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9493B" w14:textId="3AFAB802" w:rsidR="005F6CB5" w:rsidRDefault="005F6CB5">
      <w:pPr>
        <w:rPr>
          <w:rFonts w:ascii="Arial" w:hAnsi="Arial" w:cs="Arial"/>
          <w:sz w:val="28"/>
          <w:szCs w:val="28"/>
        </w:rPr>
      </w:pPr>
      <w:r>
        <w:rPr>
          <w:noProof/>
        </w:rPr>
        <w:drawing>
          <wp:anchor distT="0" distB="0" distL="114300" distR="114300" simplePos="0" relativeHeight="251658240" behindDoc="0" locked="0" layoutInCell="1" allowOverlap="1" wp14:anchorId="3C82134F" wp14:editId="48911B48">
            <wp:simplePos x="0" y="0"/>
            <wp:positionH relativeFrom="page">
              <wp:align>right</wp:align>
            </wp:positionH>
            <wp:positionV relativeFrom="page">
              <wp:posOffset>22844</wp:posOffset>
            </wp:positionV>
            <wp:extent cx="2859405" cy="711835"/>
            <wp:effectExtent l="0" t="0" r="0" b="0"/>
            <wp:wrapSquare wrapText="bothSides"/>
            <wp:docPr id="4" name="Picture 3"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711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9077DB" w14:textId="77777777" w:rsidR="005F6CB5" w:rsidRDefault="005F6CB5">
      <w:pPr>
        <w:rPr>
          <w:rFonts w:ascii="Arial" w:hAnsi="Arial" w:cs="Arial"/>
          <w:sz w:val="28"/>
          <w:szCs w:val="28"/>
        </w:rPr>
      </w:pPr>
    </w:p>
    <w:p w14:paraId="4310E5C5" w14:textId="77777777" w:rsidR="005F6CB5" w:rsidRDefault="005F6CB5">
      <w:pPr>
        <w:rPr>
          <w:rFonts w:ascii="Arial" w:hAnsi="Arial" w:cs="Arial"/>
          <w:sz w:val="28"/>
          <w:szCs w:val="28"/>
        </w:rPr>
      </w:pPr>
    </w:p>
    <w:p w14:paraId="3E298BE3" w14:textId="77777777" w:rsidR="005F6CB5" w:rsidRDefault="005F6CB5">
      <w:pPr>
        <w:rPr>
          <w:rFonts w:ascii="Arial" w:hAnsi="Arial" w:cs="Arial"/>
          <w:sz w:val="28"/>
          <w:szCs w:val="28"/>
        </w:rPr>
      </w:pPr>
    </w:p>
    <w:p w14:paraId="3A8C86EE" w14:textId="0E5055DD" w:rsidR="00A917AE" w:rsidRPr="00210100" w:rsidRDefault="000004F0">
      <w:pPr>
        <w:rPr>
          <w:rFonts w:ascii="Arial" w:hAnsi="Arial" w:cs="Arial"/>
          <w:sz w:val="28"/>
          <w:szCs w:val="28"/>
        </w:rPr>
      </w:pPr>
      <w:r w:rsidRPr="00210100">
        <w:rPr>
          <w:rFonts w:ascii="Arial" w:hAnsi="Arial" w:cs="Arial"/>
          <w:sz w:val="28"/>
          <w:szCs w:val="28"/>
        </w:rPr>
        <w:t xml:space="preserve">Name: </w:t>
      </w:r>
      <w:r w:rsidR="00392AC8" w:rsidRPr="00210100">
        <w:rPr>
          <w:rFonts w:ascii="Arial" w:hAnsi="Arial" w:cs="Arial"/>
          <w:sz w:val="28"/>
          <w:szCs w:val="28"/>
        </w:rPr>
        <w:t>Kizzy Owusuwa Poku</w:t>
      </w:r>
    </w:p>
    <w:p w14:paraId="0E3E165D" w14:textId="5E513027" w:rsidR="000004F0" w:rsidRPr="00210100" w:rsidRDefault="000004F0">
      <w:pPr>
        <w:rPr>
          <w:rFonts w:ascii="Arial" w:hAnsi="Arial" w:cs="Arial"/>
          <w:sz w:val="28"/>
          <w:szCs w:val="28"/>
        </w:rPr>
      </w:pPr>
      <w:r w:rsidRPr="00210100">
        <w:rPr>
          <w:rFonts w:ascii="Arial" w:hAnsi="Arial" w:cs="Arial"/>
          <w:sz w:val="28"/>
          <w:szCs w:val="28"/>
        </w:rPr>
        <w:t>Assignment title:</w:t>
      </w:r>
      <w:r w:rsidR="007C6D43" w:rsidRPr="00210100">
        <w:rPr>
          <w:rFonts w:ascii="Arial" w:hAnsi="Arial" w:cs="Arial"/>
          <w:sz w:val="28"/>
          <w:szCs w:val="28"/>
        </w:rPr>
        <w:t xml:space="preserve"> Assessment 2: Bibliography &amp; report</w:t>
      </w:r>
    </w:p>
    <w:p w14:paraId="33E63E8A" w14:textId="53BEBBF0" w:rsidR="00B809A0" w:rsidRPr="00210100" w:rsidRDefault="000004F0">
      <w:pPr>
        <w:rPr>
          <w:rFonts w:ascii="Arial" w:hAnsi="Arial" w:cs="Arial"/>
          <w:sz w:val="28"/>
          <w:szCs w:val="28"/>
        </w:rPr>
      </w:pPr>
      <w:r w:rsidRPr="00210100">
        <w:rPr>
          <w:rFonts w:ascii="Arial" w:hAnsi="Arial" w:cs="Arial"/>
          <w:sz w:val="28"/>
          <w:szCs w:val="28"/>
        </w:rPr>
        <w:t>Student Number:</w:t>
      </w:r>
      <w:r w:rsidR="00214034" w:rsidRPr="00210100">
        <w:rPr>
          <w:rFonts w:ascii="Arial" w:hAnsi="Arial" w:cs="Arial"/>
          <w:sz w:val="28"/>
          <w:szCs w:val="28"/>
        </w:rPr>
        <w:t>2431278</w:t>
      </w:r>
    </w:p>
    <w:p w14:paraId="1511C829" w14:textId="5309DB56" w:rsidR="000004F0" w:rsidRPr="00210100" w:rsidRDefault="000004F0">
      <w:pPr>
        <w:rPr>
          <w:rFonts w:ascii="Arial" w:hAnsi="Arial" w:cs="Arial"/>
          <w:sz w:val="28"/>
          <w:szCs w:val="28"/>
        </w:rPr>
      </w:pPr>
      <w:r w:rsidRPr="00210100">
        <w:rPr>
          <w:rFonts w:ascii="Arial" w:hAnsi="Arial" w:cs="Arial"/>
          <w:sz w:val="28"/>
          <w:szCs w:val="28"/>
        </w:rPr>
        <w:t xml:space="preserve"> Module Code:</w:t>
      </w:r>
      <w:r w:rsidR="007C6D43" w:rsidRPr="00210100">
        <w:rPr>
          <w:rFonts w:ascii="Arial" w:hAnsi="Arial" w:cs="Arial"/>
          <w:sz w:val="28"/>
          <w:szCs w:val="28"/>
        </w:rPr>
        <w:t xml:space="preserve"> LCHS4010</w:t>
      </w:r>
    </w:p>
    <w:p w14:paraId="53CF100B" w14:textId="219C6579" w:rsidR="000004F0" w:rsidRPr="00210100" w:rsidRDefault="000004F0">
      <w:pPr>
        <w:rPr>
          <w:rFonts w:ascii="Arial" w:hAnsi="Arial" w:cs="Arial"/>
          <w:sz w:val="28"/>
          <w:szCs w:val="28"/>
        </w:rPr>
      </w:pPr>
      <w:r w:rsidRPr="00210100">
        <w:rPr>
          <w:rFonts w:ascii="Arial" w:hAnsi="Arial" w:cs="Arial"/>
          <w:sz w:val="28"/>
          <w:szCs w:val="28"/>
        </w:rPr>
        <w:t>Lectures Name:</w:t>
      </w:r>
      <w:r w:rsidR="0015667C" w:rsidRPr="00210100">
        <w:rPr>
          <w:rFonts w:ascii="Arial" w:hAnsi="Arial" w:cs="Arial"/>
          <w:sz w:val="28"/>
          <w:szCs w:val="28"/>
        </w:rPr>
        <w:t xml:space="preserve"> Peace Ukachukwu</w:t>
      </w:r>
    </w:p>
    <w:p w14:paraId="6503B8C3" w14:textId="14F4F6AB" w:rsidR="000004F0" w:rsidRDefault="000004F0">
      <w:pPr>
        <w:rPr>
          <w:rFonts w:ascii="Arial" w:hAnsi="Arial" w:cs="Arial"/>
        </w:rPr>
      </w:pPr>
    </w:p>
    <w:p w14:paraId="3D4D2007" w14:textId="519A2DA7" w:rsidR="00DB340D" w:rsidRDefault="00DB340D">
      <w:pPr>
        <w:rPr>
          <w:rFonts w:ascii="Arial" w:hAnsi="Arial" w:cs="Arial"/>
        </w:rPr>
      </w:pPr>
    </w:p>
    <w:p w14:paraId="757C5ADC" w14:textId="5588BD2D" w:rsidR="00700DF5" w:rsidRDefault="00700DF5">
      <w:pPr>
        <w:rPr>
          <w:rFonts w:ascii="Arial" w:hAnsi="Arial" w:cs="Arial"/>
        </w:rPr>
      </w:pPr>
    </w:p>
    <w:p w14:paraId="7EA9B663" w14:textId="77777777" w:rsidR="00700DF5" w:rsidRDefault="00700DF5">
      <w:pPr>
        <w:rPr>
          <w:rFonts w:ascii="Arial" w:hAnsi="Arial" w:cs="Arial"/>
        </w:rPr>
      </w:pPr>
    </w:p>
    <w:p w14:paraId="203E3407" w14:textId="1A5A37F1" w:rsidR="00700DF5" w:rsidRDefault="00700DF5">
      <w:pPr>
        <w:rPr>
          <w:rFonts w:ascii="Arial" w:hAnsi="Arial" w:cs="Arial"/>
        </w:rPr>
      </w:pPr>
    </w:p>
    <w:p w14:paraId="02AD46A8" w14:textId="0C7F850C" w:rsidR="00700DF5" w:rsidRDefault="00700DF5">
      <w:pPr>
        <w:rPr>
          <w:rFonts w:ascii="Arial" w:hAnsi="Arial" w:cs="Arial"/>
        </w:rPr>
      </w:pPr>
    </w:p>
    <w:p w14:paraId="579A85E0" w14:textId="77777777" w:rsidR="00700DF5" w:rsidRDefault="00700DF5">
      <w:pPr>
        <w:rPr>
          <w:rFonts w:ascii="Arial" w:hAnsi="Arial" w:cs="Arial"/>
        </w:rPr>
      </w:pPr>
    </w:p>
    <w:p w14:paraId="76AD97C5" w14:textId="77777777" w:rsidR="00700DF5" w:rsidRDefault="00700DF5">
      <w:pPr>
        <w:rPr>
          <w:rFonts w:ascii="Arial" w:hAnsi="Arial" w:cs="Arial"/>
        </w:rPr>
      </w:pPr>
    </w:p>
    <w:p w14:paraId="47C846D5" w14:textId="77777777" w:rsidR="00700DF5" w:rsidRDefault="00700DF5">
      <w:pPr>
        <w:rPr>
          <w:rFonts w:ascii="Arial" w:hAnsi="Arial" w:cs="Arial"/>
        </w:rPr>
      </w:pPr>
    </w:p>
    <w:p w14:paraId="11DFB8E1" w14:textId="77777777" w:rsidR="00700DF5" w:rsidRDefault="00700DF5">
      <w:pPr>
        <w:rPr>
          <w:rFonts w:ascii="Arial" w:hAnsi="Arial" w:cs="Arial"/>
        </w:rPr>
      </w:pPr>
    </w:p>
    <w:p w14:paraId="5D7E022E" w14:textId="77777777" w:rsidR="00700DF5" w:rsidRDefault="00700DF5">
      <w:pPr>
        <w:rPr>
          <w:rFonts w:ascii="Arial" w:hAnsi="Arial" w:cs="Arial"/>
        </w:rPr>
      </w:pPr>
    </w:p>
    <w:p w14:paraId="50EADCDB" w14:textId="77777777" w:rsidR="00700DF5" w:rsidRDefault="00700DF5">
      <w:pPr>
        <w:rPr>
          <w:rFonts w:ascii="Arial" w:hAnsi="Arial" w:cs="Arial"/>
        </w:rPr>
      </w:pPr>
    </w:p>
    <w:p w14:paraId="5172468A" w14:textId="77777777" w:rsidR="00700DF5" w:rsidRDefault="00700DF5">
      <w:pPr>
        <w:rPr>
          <w:rFonts w:ascii="Arial" w:hAnsi="Arial" w:cs="Arial"/>
        </w:rPr>
      </w:pPr>
    </w:p>
    <w:p w14:paraId="7A8C263B" w14:textId="77777777" w:rsidR="00700DF5" w:rsidRDefault="00700DF5">
      <w:pPr>
        <w:rPr>
          <w:rFonts w:ascii="Arial" w:hAnsi="Arial" w:cs="Arial"/>
        </w:rPr>
      </w:pPr>
    </w:p>
    <w:p w14:paraId="37980CAC" w14:textId="77777777" w:rsidR="00700DF5" w:rsidRDefault="00700DF5">
      <w:pPr>
        <w:rPr>
          <w:rFonts w:ascii="Arial" w:hAnsi="Arial" w:cs="Arial"/>
        </w:rPr>
      </w:pPr>
    </w:p>
    <w:p w14:paraId="0F3B8C89" w14:textId="77777777" w:rsidR="00700DF5" w:rsidRDefault="00700DF5">
      <w:pPr>
        <w:rPr>
          <w:rFonts w:ascii="Arial" w:hAnsi="Arial" w:cs="Arial"/>
        </w:rPr>
      </w:pPr>
    </w:p>
    <w:p w14:paraId="44892340" w14:textId="77777777" w:rsidR="00700DF5" w:rsidRDefault="00700DF5">
      <w:pPr>
        <w:rPr>
          <w:rFonts w:ascii="Arial" w:hAnsi="Arial" w:cs="Arial"/>
        </w:rPr>
      </w:pPr>
    </w:p>
    <w:p w14:paraId="70E2DEA6" w14:textId="77777777" w:rsidR="00700DF5" w:rsidRDefault="00700DF5">
      <w:pPr>
        <w:rPr>
          <w:rFonts w:ascii="Arial" w:hAnsi="Arial" w:cs="Arial"/>
        </w:rPr>
      </w:pPr>
    </w:p>
    <w:p w14:paraId="5609DEED" w14:textId="77777777" w:rsidR="00700DF5" w:rsidRDefault="00700DF5">
      <w:pPr>
        <w:rPr>
          <w:rFonts w:ascii="Arial" w:hAnsi="Arial" w:cs="Arial"/>
        </w:rPr>
      </w:pPr>
    </w:p>
    <w:p w14:paraId="2266BDAA" w14:textId="77777777" w:rsidR="00700DF5" w:rsidRDefault="00700DF5">
      <w:pPr>
        <w:rPr>
          <w:rFonts w:ascii="Arial" w:hAnsi="Arial" w:cs="Arial"/>
        </w:rPr>
      </w:pPr>
    </w:p>
    <w:p w14:paraId="02C422BD" w14:textId="77777777" w:rsidR="00700DF5" w:rsidRDefault="00700DF5">
      <w:pPr>
        <w:rPr>
          <w:rFonts w:ascii="Arial" w:hAnsi="Arial" w:cs="Arial"/>
        </w:rPr>
      </w:pPr>
    </w:p>
    <w:p w14:paraId="26D4FAC0" w14:textId="77777777" w:rsidR="00700DF5" w:rsidRDefault="00700DF5">
      <w:pPr>
        <w:rPr>
          <w:rFonts w:ascii="Arial" w:hAnsi="Arial" w:cs="Arial"/>
        </w:rPr>
      </w:pPr>
    </w:p>
    <w:p w14:paraId="64845819" w14:textId="77777777" w:rsidR="00700DF5" w:rsidRDefault="00700DF5">
      <w:pPr>
        <w:rPr>
          <w:rFonts w:ascii="Arial" w:hAnsi="Arial" w:cs="Arial"/>
        </w:rPr>
      </w:pPr>
    </w:p>
    <w:p w14:paraId="5FC05992" w14:textId="43278E56" w:rsidR="00700DF5" w:rsidRDefault="00700DF5">
      <w:pPr>
        <w:rPr>
          <w:rFonts w:ascii="Arial" w:hAnsi="Arial" w:cs="Arial"/>
        </w:rPr>
      </w:pPr>
      <w:r>
        <w:rPr>
          <w:rFonts w:ascii="Arial" w:hAnsi="Arial" w:cs="Arial"/>
        </w:rPr>
        <w:t>Table of Contents:</w:t>
      </w:r>
    </w:p>
    <w:p w14:paraId="3FE8AE5C" w14:textId="24525DBC" w:rsidR="009806B4" w:rsidRDefault="00BF7830">
      <w:pPr>
        <w:rPr>
          <w:rFonts w:ascii="Arial" w:hAnsi="Arial" w:cs="Arial"/>
        </w:rPr>
      </w:pPr>
      <w:r>
        <w:rPr>
          <w:rFonts w:ascii="Arial" w:hAnsi="Arial" w:cs="Arial"/>
        </w:rPr>
        <w:t>Title Page………</w:t>
      </w:r>
      <w:r w:rsidR="009806B4">
        <w:rPr>
          <w:rFonts w:ascii="Arial" w:hAnsi="Arial" w:cs="Arial"/>
        </w:rPr>
        <w:t>…. Page</w:t>
      </w:r>
      <w:r w:rsidR="00C14CA6">
        <w:rPr>
          <w:rFonts w:ascii="Arial" w:hAnsi="Arial" w:cs="Arial"/>
        </w:rPr>
        <w:t xml:space="preserve"> 1</w:t>
      </w:r>
    </w:p>
    <w:p w14:paraId="0B5F138E" w14:textId="436F67A9" w:rsidR="009806B4" w:rsidRDefault="009806B4">
      <w:pPr>
        <w:rPr>
          <w:rFonts w:ascii="Arial" w:hAnsi="Arial" w:cs="Arial"/>
        </w:rPr>
      </w:pPr>
      <w:r>
        <w:rPr>
          <w:rFonts w:ascii="Arial" w:hAnsi="Arial" w:cs="Arial"/>
        </w:rPr>
        <w:t>Content………. Page 2</w:t>
      </w:r>
    </w:p>
    <w:p w14:paraId="41AC2909" w14:textId="79D8117D" w:rsidR="00C14CA6" w:rsidRDefault="00C14CA6">
      <w:pPr>
        <w:rPr>
          <w:rFonts w:ascii="Arial" w:hAnsi="Arial" w:cs="Arial"/>
        </w:rPr>
      </w:pPr>
      <w:r>
        <w:rPr>
          <w:rFonts w:ascii="Arial" w:hAnsi="Arial" w:cs="Arial"/>
        </w:rPr>
        <w:t>Introduction………</w:t>
      </w:r>
      <w:r w:rsidR="009806B4">
        <w:rPr>
          <w:rFonts w:ascii="Arial" w:hAnsi="Arial" w:cs="Arial"/>
        </w:rPr>
        <w:t>…. Page</w:t>
      </w:r>
      <w:r>
        <w:rPr>
          <w:rFonts w:ascii="Arial" w:hAnsi="Arial" w:cs="Arial"/>
        </w:rPr>
        <w:t xml:space="preserve"> </w:t>
      </w:r>
      <w:r w:rsidR="009806B4">
        <w:rPr>
          <w:rFonts w:ascii="Arial" w:hAnsi="Arial" w:cs="Arial"/>
        </w:rPr>
        <w:t>3</w:t>
      </w:r>
    </w:p>
    <w:p w14:paraId="30E2D50D" w14:textId="1FCC382D" w:rsidR="00DB340D" w:rsidRDefault="000529EB">
      <w:pPr>
        <w:rPr>
          <w:rFonts w:ascii="Arial" w:hAnsi="Arial" w:cs="Arial"/>
        </w:rPr>
      </w:pPr>
      <w:r>
        <w:rPr>
          <w:rFonts w:ascii="Arial" w:hAnsi="Arial" w:cs="Arial"/>
        </w:rPr>
        <w:t>Part A:</w:t>
      </w:r>
      <w:r w:rsidR="00513F58">
        <w:rPr>
          <w:rFonts w:ascii="Arial" w:hAnsi="Arial" w:cs="Arial"/>
        </w:rPr>
        <w:t xml:space="preserve"> Annotated bibliography…………</w:t>
      </w:r>
      <w:r w:rsidR="009806B4">
        <w:rPr>
          <w:rFonts w:ascii="Arial" w:hAnsi="Arial" w:cs="Arial"/>
        </w:rPr>
        <w:t>Page 4</w:t>
      </w:r>
    </w:p>
    <w:p w14:paraId="6A64CFB1" w14:textId="0581B8D6" w:rsidR="00DB340D" w:rsidRDefault="00513F58">
      <w:pPr>
        <w:rPr>
          <w:rFonts w:ascii="Arial" w:hAnsi="Arial" w:cs="Arial"/>
        </w:rPr>
      </w:pPr>
      <w:r>
        <w:rPr>
          <w:rFonts w:ascii="Arial" w:hAnsi="Arial" w:cs="Arial"/>
        </w:rPr>
        <w:t>Part B: Short report………</w:t>
      </w:r>
      <w:r w:rsidR="009806B4">
        <w:rPr>
          <w:rFonts w:ascii="Arial" w:hAnsi="Arial" w:cs="Arial"/>
        </w:rPr>
        <w:t>Page 5- 6</w:t>
      </w:r>
    </w:p>
    <w:p w14:paraId="0910EFDC" w14:textId="19580DCE" w:rsidR="009806B4" w:rsidRDefault="009806B4">
      <w:pPr>
        <w:rPr>
          <w:rFonts w:ascii="Arial" w:hAnsi="Arial" w:cs="Arial"/>
        </w:rPr>
      </w:pPr>
      <w:r>
        <w:rPr>
          <w:rFonts w:ascii="Arial" w:hAnsi="Arial" w:cs="Arial"/>
        </w:rPr>
        <w:t>Reference: …</w:t>
      </w:r>
      <w:proofErr w:type="gramStart"/>
      <w:r>
        <w:rPr>
          <w:rFonts w:ascii="Arial" w:hAnsi="Arial" w:cs="Arial"/>
        </w:rPr>
        <w:t>…..</w:t>
      </w:r>
      <w:proofErr w:type="gramEnd"/>
      <w:r>
        <w:rPr>
          <w:rFonts w:ascii="Arial" w:hAnsi="Arial" w:cs="Arial"/>
        </w:rPr>
        <w:t xml:space="preserve"> Page 7</w:t>
      </w:r>
    </w:p>
    <w:p w14:paraId="3D145EA4" w14:textId="77777777" w:rsidR="00DB340D" w:rsidRDefault="00DB340D">
      <w:pPr>
        <w:rPr>
          <w:rFonts w:ascii="Arial" w:hAnsi="Arial" w:cs="Arial"/>
        </w:rPr>
      </w:pPr>
    </w:p>
    <w:p w14:paraId="23C91E41" w14:textId="77777777" w:rsidR="00DB340D" w:rsidRDefault="00DB340D">
      <w:pPr>
        <w:rPr>
          <w:rFonts w:ascii="Arial" w:hAnsi="Arial" w:cs="Arial"/>
        </w:rPr>
      </w:pPr>
    </w:p>
    <w:p w14:paraId="41DA27AD" w14:textId="77777777" w:rsidR="00DB340D" w:rsidRDefault="00DB340D">
      <w:pPr>
        <w:rPr>
          <w:rFonts w:ascii="Arial" w:hAnsi="Arial" w:cs="Arial"/>
        </w:rPr>
      </w:pPr>
    </w:p>
    <w:p w14:paraId="15CBBD94" w14:textId="77777777" w:rsidR="00DB340D" w:rsidRDefault="00DB340D">
      <w:pPr>
        <w:rPr>
          <w:rFonts w:ascii="Arial" w:hAnsi="Arial" w:cs="Arial"/>
        </w:rPr>
      </w:pPr>
    </w:p>
    <w:p w14:paraId="2F65F5A9" w14:textId="77777777" w:rsidR="00DB340D" w:rsidRDefault="00DB340D">
      <w:pPr>
        <w:rPr>
          <w:rFonts w:ascii="Arial" w:hAnsi="Arial" w:cs="Arial"/>
        </w:rPr>
      </w:pPr>
    </w:p>
    <w:p w14:paraId="69FB0C31" w14:textId="77777777" w:rsidR="00DB340D" w:rsidRDefault="00DB340D">
      <w:pPr>
        <w:rPr>
          <w:rFonts w:ascii="Arial" w:hAnsi="Arial" w:cs="Arial"/>
        </w:rPr>
      </w:pPr>
    </w:p>
    <w:p w14:paraId="760C77F7" w14:textId="77777777" w:rsidR="00DB340D" w:rsidRDefault="00DB340D">
      <w:pPr>
        <w:rPr>
          <w:rFonts w:ascii="Arial" w:hAnsi="Arial" w:cs="Arial"/>
        </w:rPr>
      </w:pPr>
    </w:p>
    <w:p w14:paraId="168BDBE6" w14:textId="77777777" w:rsidR="00DB340D" w:rsidRDefault="00DB340D">
      <w:pPr>
        <w:rPr>
          <w:rFonts w:ascii="Arial" w:hAnsi="Arial" w:cs="Arial"/>
        </w:rPr>
      </w:pPr>
    </w:p>
    <w:p w14:paraId="58C24C07" w14:textId="77777777" w:rsidR="00DB340D" w:rsidRDefault="00DB340D">
      <w:pPr>
        <w:rPr>
          <w:rFonts w:ascii="Arial" w:hAnsi="Arial" w:cs="Arial"/>
        </w:rPr>
      </w:pPr>
    </w:p>
    <w:p w14:paraId="59AD3077" w14:textId="77777777" w:rsidR="00DB340D" w:rsidRDefault="00DB340D">
      <w:pPr>
        <w:rPr>
          <w:rFonts w:ascii="Arial" w:hAnsi="Arial" w:cs="Arial"/>
        </w:rPr>
      </w:pPr>
    </w:p>
    <w:p w14:paraId="1B150AA2" w14:textId="77777777" w:rsidR="00DB340D" w:rsidRDefault="00DB340D">
      <w:pPr>
        <w:rPr>
          <w:rFonts w:ascii="Arial" w:hAnsi="Arial" w:cs="Arial"/>
        </w:rPr>
      </w:pPr>
    </w:p>
    <w:p w14:paraId="37F823C4" w14:textId="77777777" w:rsidR="00DB340D" w:rsidRDefault="00DB340D">
      <w:pPr>
        <w:rPr>
          <w:rFonts w:ascii="Arial" w:hAnsi="Arial" w:cs="Arial"/>
        </w:rPr>
      </w:pPr>
    </w:p>
    <w:p w14:paraId="7AC2B2FD" w14:textId="77777777" w:rsidR="00DB340D" w:rsidRDefault="00DB340D">
      <w:pPr>
        <w:rPr>
          <w:rFonts w:ascii="Arial" w:hAnsi="Arial" w:cs="Arial"/>
        </w:rPr>
      </w:pPr>
    </w:p>
    <w:p w14:paraId="796E9009" w14:textId="77777777" w:rsidR="00DB340D" w:rsidRDefault="00DB340D">
      <w:pPr>
        <w:rPr>
          <w:rFonts w:ascii="Arial" w:hAnsi="Arial" w:cs="Arial"/>
        </w:rPr>
      </w:pPr>
    </w:p>
    <w:p w14:paraId="14EFE96E" w14:textId="77777777" w:rsidR="00DB340D" w:rsidRPr="000004F0" w:rsidRDefault="00DB340D">
      <w:pPr>
        <w:rPr>
          <w:rFonts w:ascii="Arial" w:hAnsi="Arial" w:cs="Arial"/>
        </w:rPr>
      </w:pPr>
    </w:p>
    <w:p w14:paraId="0EEA665E" w14:textId="77777777" w:rsidR="000004F0" w:rsidRPr="000004F0" w:rsidRDefault="000004F0">
      <w:pPr>
        <w:rPr>
          <w:rFonts w:ascii="Arial" w:hAnsi="Arial" w:cs="Arial"/>
        </w:rPr>
      </w:pPr>
    </w:p>
    <w:p w14:paraId="132221F7" w14:textId="77777777" w:rsidR="0061418A" w:rsidRDefault="0061418A" w:rsidP="00D700FB">
      <w:pPr>
        <w:rPr>
          <w:rFonts w:ascii="Arial" w:hAnsi="Arial" w:cs="Arial"/>
          <w:b/>
          <w:bCs/>
        </w:rPr>
      </w:pPr>
    </w:p>
    <w:p w14:paraId="6DEB3DF5" w14:textId="77777777" w:rsidR="00C14CA6" w:rsidRDefault="00C14CA6" w:rsidP="00D700FB">
      <w:pPr>
        <w:rPr>
          <w:rFonts w:ascii="Arial" w:hAnsi="Arial" w:cs="Arial"/>
          <w:b/>
          <w:bCs/>
        </w:rPr>
      </w:pPr>
    </w:p>
    <w:p w14:paraId="59778985" w14:textId="77777777" w:rsidR="00C14CA6" w:rsidRDefault="00C14CA6" w:rsidP="00D700FB">
      <w:pPr>
        <w:rPr>
          <w:rFonts w:ascii="Arial" w:hAnsi="Arial" w:cs="Arial"/>
          <w:b/>
          <w:bCs/>
        </w:rPr>
      </w:pPr>
    </w:p>
    <w:p w14:paraId="0C5CEA2B" w14:textId="77777777" w:rsidR="00C14CA6" w:rsidRDefault="00C14CA6" w:rsidP="00D700FB">
      <w:pPr>
        <w:rPr>
          <w:rFonts w:ascii="Arial" w:hAnsi="Arial" w:cs="Arial"/>
          <w:b/>
          <w:bCs/>
        </w:rPr>
      </w:pPr>
    </w:p>
    <w:p w14:paraId="2D696E0C" w14:textId="77777777" w:rsidR="00C14CA6" w:rsidRDefault="00C14CA6" w:rsidP="00D700FB">
      <w:pPr>
        <w:rPr>
          <w:rFonts w:ascii="Arial" w:hAnsi="Arial" w:cs="Arial"/>
          <w:b/>
          <w:bCs/>
        </w:rPr>
      </w:pPr>
    </w:p>
    <w:p w14:paraId="29BDBC95" w14:textId="77777777" w:rsidR="00C14CA6" w:rsidRDefault="00C14CA6" w:rsidP="00D700FB">
      <w:pPr>
        <w:rPr>
          <w:rFonts w:ascii="Arial" w:hAnsi="Arial" w:cs="Arial"/>
          <w:b/>
          <w:bCs/>
        </w:rPr>
      </w:pPr>
    </w:p>
    <w:p w14:paraId="4CDC373B" w14:textId="77777777" w:rsidR="00C14CA6" w:rsidRDefault="00C14CA6" w:rsidP="00D700FB">
      <w:pPr>
        <w:rPr>
          <w:rFonts w:ascii="Arial" w:hAnsi="Arial" w:cs="Arial"/>
          <w:b/>
          <w:bCs/>
        </w:rPr>
      </w:pPr>
    </w:p>
    <w:p w14:paraId="54973300" w14:textId="77777777" w:rsidR="00C14CA6" w:rsidRDefault="00C14CA6" w:rsidP="00D700FB">
      <w:pPr>
        <w:rPr>
          <w:rFonts w:ascii="Arial" w:hAnsi="Arial" w:cs="Arial"/>
          <w:b/>
          <w:bCs/>
        </w:rPr>
      </w:pPr>
    </w:p>
    <w:p w14:paraId="6DFBFA54" w14:textId="361CE583" w:rsidR="00C14CA6" w:rsidRDefault="00C14CA6" w:rsidP="00D700FB">
      <w:pPr>
        <w:rPr>
          <w:rFonts w:ascii="Arial" w:hAnsi="Arial" w:cs="Arial"/>
          <w:b/>
          <w:bCs/>
        </w:rPr>
      </w:pPr>
      <w:r>
        <w:rPr>
          <w:rFonts w:ascii="Arial" w:hAnsi="Arial" w:cs="Arial"/>
          <w:b/>
          <w:bCs/>
        </w:rPr>
        <w:lastRenderedPageBreak/>
        <w:t>Introduction</w:t>
      </w:r>
    </w:p>
    <w:p w14:paraId="4ED89D11" w14:textId="46755237" w:rsidR="00C14CA6" w:rsidRPr="00C14CA6" w:rsidRDefault="00C14CA6" w:rsidP="00C14CA6">
      <w:pPr>
        <w:pStyle w:val="NormalWeb"/>
        <w:rPr>
          <w:rFonts w:ascii="Arial" w:hAnsi="Arial" w:cs="Arial"/>
          <w:sz w:val="22"/>
          <w:szCs w:val="22"/>
        </w:rPr>
      </w:pPr>
      <w:r w:rsidRPr="00C14CA6">
        <w:rPr>
          <w:rFonts w:ascii="Arial" w:hAnsi="Arial" w:cs="Arial"/>
          <w:sz w:val="22"/>
          <w:szCs w:val="22"/>
        </w:rPr>
        <w:t xml:space="preserve">This annotated bibliography </w:t>
      </w:r>
      <w:r w:rsidR="008205E3">
        <w:rPr>
          <w:rFonts w:ascii="Arial" w:hAnsi="Arial" w:cs="Arial"/>
          <w:sz w:val="22"/>
          <w:szCs w:val="22"/>
        </w:rPr>
        <w:t>explores</w:t>
      </w:r>
      <w:r w:rsidRPr="00C14CA6">
        <w:rPr>
          <w:rFonts w:ascii="Arial" w:hAnsi="Arial" w:cs="Arial"/>
          <w:sz w:val="22"/>
          <w:szCs w:val="22"/>
        </w:rPr>
        <w:t xml:space="preserve"> four academic sources that explore key psychological theories relevant to adult development and wellbeing within health and social care. It focuses on the theories of John Bowlby and Erik Erikson, which provide important insights into emotional development, relationships, and ageing. These sources have been selected to support understanding of how psychological theory can be applied in practice to improve the wellbeing of adults in care settings.</w:t>
      </w:r>
    </w:p>
    <w:p w14:paraId="0F6C88A6" w14:textId="77777777" w:rsidR="00C14CA6" w:rsidRDefault="00C14CA6" w:rsidP="00D700FB">
      <w:pPr>
        <w:rPr>
          <w:rFonts w:ascii="Arial" w:hAnsi="Arial" w:cs="Arial"/>
          <w:b/>
          <w:bCs/>
        </w:rPr>
      </w:pPr>
    </w:p>
    <w:p w14:paraId="0C07DDA3" w14:textId="2E084C86" w:rsidR="00DB340D" w:rsidRDefault="00DB340D" w:rsidP="00D700FB">
      <w:pPr>
        <w:rPr>
          <w:rFonts w:ascii="Arial" w:hAnsi="Arial" w:cs="Arial"/>
          <w:b/>
          <w:bCs/>
        </w:rPr>
      </w:pPr>
      <w:r>
        <w:rPr>
          <w:rFonts w:ascii="Arial" w:hAnsi="Arial" w:cs="Arial"/>
          <w:b/>
          <w:bCs/>
        </w:rPr>
        <w:t>Annotated Bibliography</w:t>
      </w:r>
    </w:p>
    <w:p w14:paraId="0C2E4B75" w14:textId="1AA3768E" w:rsidR="00D700FB" w:rsidRDefault="00392AC8" w:rsidP="00D700FB">
      <w:pPr>
        <w:rPr>
          <w:rFonts w:ascii="Arial" w:hAnsi="Arial" w:cs="Arial"/>
          <w:b/>
          <w:bCs/>
        </w:rPr>
      </w:pPr>
      <w:r w:rsidRPr="00DB340D">
        <w:rPr>
          <w:rFonts w:ascii="Arial" w:hAnsi="Arial" w:cs="Arial"/>
          <w:b/>
          <w:bCs/>
        </w:rPr>
        <w:t>Erickson’s psychological theory</w:t>
      </w:r>
    </w:p>
    <w:p w14:paraId="17612C43" w14:textId="77777777" w:rsidR="00DB340D" w:rsidRDefault="00DB340D" w:rsidP="00DB340D">
      <w:pPr>
        <w:rPr>
          <w:rFonts w:ascii="Arial" w:hAnsi="Arial" w:cs="Arial"/>
        </w:rPr>
      </w:pPr>
      <w:r w:rsidRPr="00C30B17">
        <w:rPr>
          <w:rFonts w:ascii="Arial" w:hAnsi="Arial" w:cs="Arial"/>
        </w:rPr>
        <w:t>Syed, M. and McLean, K.C. (2017) Erikson’s Theory of Psychosocial Development. Available at: (d1wqtxts1xzle7.cloudfront.net in Bing) (Accessed: 25 March 2026).</w:t>
      </w:r>
    </w:p>
    <w:p w14:paraId="04D26B0B" w14:textId="404CCCB3" w:rsidR="00DB340D" w:rsidRPr="00DB340D" w:rsidRDefault="00DB340D" w:rsidP="00D700FB">
      <w:r w:rsidRPr="0009060F">
        <w:t>Erikson, E. H. (1950). Childhood and Society. New York: W. W. Norton &amp;</w:t>
      </w:r>
    </w:p>
    <w:p w14:paraId="39AFFFF6" w14:textId="5B23EC54" w:rsidR="00D700FB" w:rsidRPr="00D700FB" w:rsidRDefault="00D700FB" w:rsidP="00D700FB">
      <w:pPr>
        <w:rPr>
          <w:rFonts w:ascii="Arial" w:hAnsi="Arial" w:cs="Arial"/>
        </w:rPr>
      </w:pPr>
      <w:r w:rsidRPr="001A2B8E">
        <w:rPr>
          <w:rFonts w:ascii="Arial" w:hAnsi="Arial" w:cs="Arial"/>
          <w:b/>
          <w:bCs/>
          <w:sz w:val="28"/>
          <w:szCs w:val="28"/>
        </w:rPr>
        <w:t>Summary of Key Arguments or Findings</w:t>
      </w:r>
    </w:p>
    <w:p w14:paraId="20571D40" w14:textId="1BCF78D3" w:rsidR="003B4DC2" w:rsidRDefault="000004F0">
      <w:pPr>
        <w:rPr>
          <w:rFonts w:ascii="Arial" w:hAnsi="Arial" w:cs="Arial"/>
        </w:rPr>
      </w:pPr>
      <w:r w:rsidRPr="000004F0">
        <w:rPr>
          <w:rFonts w:ascii="Arial" w:hAnsi="Arial" w:cs="Arial"/>
        </w:rPr>
        <w:t xml:space="preserve">This article </w:t>
      </w:r>
      <w:r w:rsidR="00DB47C8">
        <w:rPr>
          <w:rFonts w:ascii="Arial" w:hAnsi="Arial" w:cs="Arial"/>
        </w:rPr>
        <w:t xml:space="preserve">on Erikson psychological theory </w:t>
      </w:r>
      <w:r w:rsidRPr="000004F0">
        <w:rPr>
          <w:rFonts w:ascii="Arial" w:hAnsi="Arial" w:cs="Arial"/>
        </w:rPr>
        <w:t>explores</w:t>
      </w:r>
      <w:r w:rsidR="00DB47C8">
        <w:rPr>
          <w:rFonts w:ascii="Arial" w:hAnsi="Arial" w:cs="Arial"/>
        </w:rPr>
        <w:t xml:space="preserve"> the use of nostalgia and life review in supporting psychological wellbeing in older adult</w:t>
      </w:r>
      <w:r w:rsidR="005D08F0">
        <w:rPr>
          <w:rFonts w:ascii="Arial" w:hAnsi="Arial" w:cs="Arial"/>
        </w:rPr>
        <w:t>s</w:t>
      </w:r>
      <w:r w:rsidR="00F57155">
        <w:rPr>
          <w:rFonts w:ascii="Arial" w:hAnsi="Arial" w:cs="Arial"/>
        </w:rPr>
        <w:t xml:space="preserve">. It is strongly linked to Erik Erikson’s concept of ego integrity vs despair, which emphasises the </w:t>
      </w:r>
      <w:r w:rsidR="00FB42C0">
        <w:rPr>
          <w:rFonts w:ascii="Arial" w:hAnsi="Arial" w:cs="Arial"/>
        </w:rPr>
        <w:t xml:space="preserve">importance of reflecting on life experiences in later adulthood. The article </w:t>
      </w:r>
      <w:r w:rsidR="00EA7BDD">
        <w:rPr>
          <w:rFonts w:ascii="Arial" w:hAnsi="Arial" w:cs="Arial"/>
        </w:rPr>
        <w:t xml:space="preserve">explains that structured reminiscence </w:t>
      </w:r>
      <w:r w:rsidR="000C4003">
        <w:rPr>
          <w:rFonts w:ascii="Arial" w:hAnsi="Arial" w:cs="Arial"/>
        </w:rPr>
        <w:t>activities can help individual process past experiences</w:t>
      </w:r>
      <w:r w:rsidR="003B4DC2">
        <w:rPr>
          <w:rFonts w:ascii="Arial" w:hAnsi="Arial" w:cs="Arial"/>
        </w:rPr>
        <w:t>, find meaning, and achieve a sense of consistency and satisfaction. The research highlights that positive life review is associated with improved mental health and increased life satisfaction among older adults.</w:t>
      </w:r>
      <w:r w:rsidR="00B862E7">
        <w:rPr>
          <w:rFonts w:ascii="Arial" w:hAnsi="Arial" w:cs="Arial"/>
        </w:rPr>
        <w:t xml:space="preserve"> </w:t>
      </w:r>
      <w:r w:rsidR="00B862E7" w:rsidRPr="00B862E7">
        <w:rPr>
          <w:rFonts w:ascii="Arial" w:hAnsi="Arial" w:cs="Arial"/>
        </w:rPr>
        <w:t>This is particularly relevant in health and social care, where practitioners often support adults navigating transitions such as parenthood, career change, ageing, and end</w:t>
      </w:r>
      <w:r w:rsidR="00B862E7" w:rsidRPr="00B862E7">
        <w:rPr>
          <w:rFonts w:ascii="Cambria Math" w:hAnsi="Cambria Math" w:cs="Cambria Math"/>
        </w:rPr>
        <w:t>‑</w:t>
      </w:r>
      <w:r w:rsidR="00B862E7" w:rsidRPr="00B862E7">
        <w:rPr>
          <w:rFonts w:ascii="Arial" w:hAnsi="Arial" w:cs="Arial"/>
        </w:rPr>
        <w:t>of</w:t>
      </w:r>
      <w:r w:rsidR="00B862E7" w:rsidRPr="00B862E7">
        <w:rPr>
          <w:rFonts w:ascii="Cambria Math" w:hAnsi="Cambria Math" w:cs="Cambria Math"/>
        </w:rPr>
        <w:t>‑</w:t>
      </w:r>
      <w:r w:rsidR="00B862E7" w:rsidRPr="00B862E7">
        <w:rPr>
          <w:rFonts w:ascii="Arial" w:hAnsi="Arial" w:cs="Arial"/>
        </w:rPr>
        <w:t>life reflection.</w:t>
      </w:r>
    </w:p>
    <w:p w14:paraId="08005300" w14:textId="1D459A1D" w:rsidR="00E33F22" w:rsidRDefault="00785E0F">
      <w:pPr>
        <w:rPr>
          <w:rFonts w:ascii="Arial" w:hAnsi="Arial" w:cs="Arial"/>
        </w:rPr>
      </w:pPr>
      <w:r w:rsidRPr="00785E0F">
        <w:rPr>
          <w:rFonts w:ascii="Arial" w:hAnsi="Arial" w:cs="Arial"/>
        </w:rPr>
        <w:t xml:space="preserve">Erikson’s theory states that once individuals enter adulthood, they begin to consider what they can leave behind for future generations. As he explains, “now that they have developed an identity and shared it with other people, what of themselves do they want to pass on to future generations? This is the thrust of generativity” </w:t>
      </w:r>
      <w:r w:rsidR="00C30B17">
        <w:rPr>
          <w:rFonts w:ascii="Arial" w:hAnsi="Arial" w:cs="Arial"/>
        </w:rPr>
        <w:t>(</w:t>
      </w:r>
      <w:r w:rsidR="00C30B17" w:rsidRPr="00C30B17">
        <w:rPr>
          <w:rFonts w:ascii="Arial" w:hAnsi="Arial" w:cs="Arial"/>
        </w:rPr>
        <w:t>Syed and McLean, 2017, p. 5)</w:t>
      </w:r>
      <w:r w:rsidR="00C30B17">
        <w:rPr>
          <w:rFonts w:ascii="Arial" w:hAnsi="Arial" w:cs="Arial"/>
        </w:rPr>
        <w:t xml:space="preserve"> </w:t>
      </w:r>
      <w:r w:rsidRPr="00785E0F">
        <w:rPr>
          <w:rFonts w:ascii="Arial" w:hAnsi="Arial" w:cs="Arial"/>
        </w:rPr>
        <w:t xml:space="preserve">Erikson’s work </w:t>
      </w:r>
      <w:r>
        <w:rPr>
          <w:rFonts w:ascii="Arial" w:hAnsi="Arial" w:cs="Arial"/>
        </w:rPr>
        <w:t xml:space="preserve">shows </w:t>
      </w:r>
      <w:r w:rsidRPr="00785E0F">
        <w:rPr>
          <w:rFonts w:ascii="Arial" w:hAnsi="Arial" w:cs="Arial"/>
        </w:rPr>
        <w:t>that engaging in activities which benefit future generations</w:t>
      </w:r>
      <w:r>
        <w:rPr>
          <w:rFonts w:ascii="Arial" w:hAnsi="Arial" w:cs="Arial"/>
        </w:rPr>
        <w:t xml:space="preserve"> </w:t>
      </w:r>
      <w:r w:rsidRPr="00785E0F">
        <w:rPr>
          <w:rFonts w:ascii="Arial" w:hAnsi="Arial" w:cs="Arial"/>
        </w:rPr>
        <w:t>such as mentoring, artistic expression, teaching, and activism</w:t>
      </w:r>
      <w:r>
        <w:rPr>
          <w:rFonts w:ascii="Arial" w:hAnsi="Arial" w:cs="Arial"/>
        </w:rPr>
        <w:t xml:space="preserve"> </w:t>
      </w:r>
      <w:r w:rsidRPr="00785E0F">
        <w:rPr>
          <w:rFonts w:ascii="Arial" w:hAnsi="Arial" w:cs="Arial"/>
        </w:rPr>
        <w:t>allows adults to develop a sense of generativity and feel that they have something meaningful to contribute. This process can enhance wellbeing, as adults often experience fulfilment and happiness when they believe they have created a positive legacy.</w:t>
      </w:r>
    </w:p>
    <w:p w14:paraId="428BBADD" w14:textId="291E6240" w:rsidR="00E33F22" w:rsidRDefault="002D1010">
      <w:pPr>
        <w:rPr>
          <w:rFonts w:ascii="Arial" w:hAnsi="Arial" w:cs="Arial"/>
        </w:rPr>
      </w:pPr>
      <w:r>
        <w:rPr>
          <w:rFonts w:ascii="Arial" w:hAnsi="Arial" w:cs="Arial"/>
        </w:rPr>
        <w:t>T</w:t>
      </w:r>
      <w:r w:rsidRPr="002D1010">
        <w:rPr>
          <w:rFonts w:ascii="Arial" w:hAnsi="Arial" w:cs="Arial"/>
        </w:rPr>
        <w:t>he article applies Erikson’s concept of wisdom to explore how older adults use creative self</w:t>
      </w:r>
      <w:r w:rsidRPr="002D1010">
        <w:rPr>
          <w:rFonts w:ascii="Cambria Math" w:hAnsi="Cambria Math" w:cs="Cambria Math"/>
        </w:rPr>
        <w:t>‑</w:t>
      </w:r>
      <w:r w:rsidRPr="002D1010">
        <w:rPr>
          <w:rFonts w:ascii="Arial" w:hAnsi="Arial" w:cs="Arial"/>
        </w:rPr>
        <w:t xml:space="preserve">management strategies in daily life. </w:t>
      </w:r>
      <w:r w:rsidR="0015667C">
        <w:rPr>
          <w:rFonts w:ascii="Arial" w:hAnsi="Arial" w:cs="Arial"/>
        </w:rPr>
        <w:t xml:space="preserve">The </w:t>
      </w:r>
      <w:r w:rsidRPr="002D1010">
        <w:rPr>
          <w:rFonts w:ascii="Arial" w:hAnsi="Arial" w:cs="Arial"/>
        </w:rPr>
        <w:t>findings from</w:t>
      </w:r>
      <w:r w:rsidR="0015667C">
        <w:rPr>
          <w:rFonts w:ascii="Arial" w:hAnsi="Arial" w:cs="Arial"/>
        </w:rPr>
        <w:t xml:space="preserve"> the </w:t>
      </w:r>
      <w:r w:rsidRPr="002D1010">
        <w:rPr>
          <w:rFonts w:ascii="Arial" w:hAnsi="Arial" w:cs="Arial"/>
        </w:rPr>
        <w:t>studies, the authors show that older adults often rely on skills and knowledge gained through work, leisure, and caregiving to manage challenges and maintain involvement in meaningful activities. This aligns with Erikson’s view that wisdom in later life emerges from integrating past experiences into a coherent sense of self that supports wellbeing.</w:t>
      </w:r>
    </w:p>
    <w:p w14:paraId="7D92C8A9" w14:textId="77777777" w:rsidR="00E33F22" w:rsidRDefault="00E33F22">
      <w:pPr>
        <w:rPr>
          <w:rFonts w:ascii="Arial" w:hAnsi="Arial" w:cs="Arial"/>
        </w:rPr>
      </w:pPr>
    </w:p>
    <w:p w14:paraId="575FC1B5" w14:textId="77777777" w:rsidR="00E33F22" w:rsidRDefault="00E33F22">
      <w:pPr>
        <w:rPr>
          <w:rFonts w:ascii="Arial" w:hAnsi="Arial" w:cs="Arial"/>
        </w:rPr>
      </w:pPr>
    </w:p>
    <w:p w14:paraId="358F2843" w14:textId="77777777" w:rsidR="00E33F22" w:rsidRDefault="00E33F22">
      <w:pPr>
        <w:rPr>
          <w:rFonts w:ascii="Arial" w:hAnsi="Arial" w:cs="Arial"/>
        </w:rPr>
      </w:pPr>
    </w:p>
    <w:p w14:paraId="5E29AD10" w14:textId="77777777" w:rsidR="008A7C37" w:rsidRDefault="008A7C37">
      <w:pPr>
        <w:rPr>
          <w:rFonts w:ascii="Arial" w:hAnsi="Arial" w:cs="Arial"/>
        </w:rPr>
      </w:pPr>
    </w:p>
    <w:p w14:paraId="6B3F9401" w14:textId="2E8FCFF5" w:rsidR="00E33F22" w:rsidRPr="008A7C37" w:rsidRDefault="00E31580">
      <w:pPr>
        <w:rPr>
          <w:rFonts w:ascii="Arial" w:hAnsi="Arial" w:cs="Arial"/>
          <w:b/>
          <w:bCs/>
        </w:rPr>
      </w:pPr>
      <w:r w:rsidRPr="008A7C37">
        <w:rPr>
          <w:rFonts w:ascii="Arial" w:hAnsi="Arial" w:cs="Arial"/>
          <w:b/>
          <w:bCs/>
        </w:rPr>
        <w:lastRenderedPageBreak/>
        <w:t>Bowlby</w:t>
      </w:r>
      <w:r w:rsidR="00CE7D51" w:rsidRPr="008A7C37">
        <w:rPr>
          <w:rFonts w:ascii="Arial" w:hAnsi="Arial" w:cs="Arial"/>
          <w:b/>
          <w:bCs/>
        </w:rPr>
        <w:t>’s</w:t>
      </w:r>
      <w:r w:rsidR="00BF7830" w:rsidRPr="008A7C37">
        <w:rPr>
          <w:rFonts w:ascii="Arial" w:hAnsi="Arial" w:cs="Arial"/>
          <w:b/>
          <w:bCs/>
        </w:rPr>
        <w:t xml:space="preserve"> attachment theory</w:t>
      </w:r>
    </w:p>
    <w:p w14:paraId="22F148D9" w14:textId="5C7389E1" w:rsidR="006535C8" w:rsidRDefault="006535C8" w:rsidP="006535C8">
      <w:pPr>
        <w:pStyle w:val="NormalWeb"/>
        <w:spacing w:before="0" w:beforeAutospacing="0" w:after="0" w:afterAutospacing="0" w:line="360" w:lineRule="atLeast"/>
        <w:rPr>
          <w:rFonts w:ascii="Arial" w:hAnsi="Arial" w:cs="Arial"/>
          <w:color w:val="000000"/>
          <w:sz w:val="22"/>
          <w:szCs w:val="22"/>
        </w:rPr>
      </w:pPr>
      <w:r w:rsidRPr="006535C8">
        <w:rPr>
          <w:rFonts w:ascii="Arial" w:hAnsi="Arial" w:cs="Arial"/>
          <w:color w:val="000000"/>
          <w:sz w:val="22"/>
          <w:szCs w:val="22"/>
        </w:rPr>
        <w:t>Khadka, C. (2022). The Evolution of Attachment Theory: From Bowlby to Modern Perspectives. </w:t>
      </w:r>
      <w:r w:rsidRPr="006535C8">
        <w:rPr>
          <w:rFonts w:ascii="Arial" w:hAnsi="Arial" w:cs="Arial"/>
          <w:i/>
          <w:iCs/>
          <w:color w:val="000000"/>
          <w:sz w:val="22"/>
          <w:szCs w:val="22"/>
        </w:rPr>
        <w:t>TUTA Journal</w:t>
      </w:r>
      <w:r w:rsidRPr="006535C8">
        <w:rPr>
          <w:rFonts w:ascii="Arial" w:hAnsi="Arial" w:cs="Arial"/>
          <w:color w:val="000000"/>
          <w:sz w:val="22"/>
          <w:szCs w:val="22"/>
        </w:rPr>
        <w:t xml:space="preserve">, 10(1), pp.125–140. </w:t>
      </w:r>
    </w:p>
    <w:p w14:paraId="3895C447" w14:textId="1B84EE16" w:rsidR="003D20E4" w:rsidRDefault="008B3F0D" w:rsidP="006535C8">
      <w:pPr>
        <w:pStyle w:val="NormalWeb"/>
        <w:spacing w:before="0" w:beforeAutospacing="0" w:after="0" w:afterAutospacing="0" w:line="360" w:lineRule="atLeast"/>
        <w:rPr>
          <w:rFonts w:ascii="Arial" w:hAnsi="Arial" w:cs="Arial"/>
          <w:color w:val="000000"/>
          <w:sz w:val="22"/>
          <w:szCs w:val="22"/>
        </w:rPr>
      </w:pPr>
      <w:hyperlink r:id="rId8" w:history="1">
        <w:r w:rsidRPr="00942370">
          <w:rPr>
            <w:rStyle w:val="Hyperlink"/>
            <w:rFonts w:ascii="Arial" w:hAnsi="Arial" w:cs="Arial"/>
            <w:sz w:val="22"/>
            <w:szCs w:val="22"/>
          </w:rPr>
          <w:t>https://pmc.ncbi.nlm.nih.gov/articles/PMC3266769/?utm_source=</w:t>
        </w:r>
      </w:hyperlink>
    </w:p>
    <w:p w14:paraId="14ECF607" w14:textId="6ADFA660" w:rsidR="008B3F0D" w:rsidRPr="008B3F0D" w:rsidRDefault="008B3F0D" w:rsidP="006535C8">
      <w:pPr>
        <w:pStyle w:val="NormalWeb"/>
        <w:spacing w:before="0" w:beforeAutospacing="0" w:after="0" w:afterAutospacing="0" w:line="360" w:lineRule="atLeast"/>
        <w:rPr>
          <w:rFonts w:ascii="Arial" w:hAnsi="Arial" w:cs="Arial"/>
          <w:color w:val="000000"/>
          <w:sz w:val="22"/>
          <w:szCs w:val="22"/>
        </w:rPr>
      </w:pPr>
      <w:r w:rsidRPr="008B3F0D">
        <w:rPr>
          <w:rFonts w:ascii="Arial" w:hAnsi="Arial" w:cs="Arial"/>
          <w:sz w:val="22"/>
          <w:szCs w:val="22"/>
        </w:rPr>
        <w:t xml:space="preserve">Bowlby, J. (1969). </w:t>
      </w:r>
      <w:r w:rsidRPr="008B3F0D">
        <w:rPr>
          <w:rStyle w:val="Emphasis"/>
          <w:rFonts w:ascii="Arial" w:eastAsiaTheme="majorEastAsia" w:hAnsi="Arial" w:cs="Arial"/>
          <w:sz w:val="22"/>
          <w:szCs w:val="22"/>
        </w:rPr>
        <w:t>Attachment and loss: Vol. 1. Attachment</w:t>
      </w:r>
      <w:r w:rsidRPr="008B3F0D">
        <w:rPr>
          <w:rFonts w:ascii="Arial" w:hAnsi="Arial" w:cs="Arial"/>
          <w:sz w:val="22"/>
          <w:szCs w:val="22"/>
        </w:rPr>
        <w:t>. Basic Books.</w:t>
      </w:r>
    </w:p>
    <w:p w14:paraId="369853FB" w14:textId="45430679" w:rsidR="00BF7830" w:rsidRPr="00DB6EFC" w:rsidRDefault="006535C8" w:rsidP="006535C8">
      <w:pPr>
        <w:pStyle w:val="NormalWeb"/>
        <w:rPr>
          <w:rFonts w:ascii="Calibri" w:hAnsi="Calibri" w:cs="Calibri"/>
          <w:color w:val="000000"/>
          <w:sz w:val="22"/>
          <w:szCs w:val="22"/>
        </w:rPr>
      </w:pPr>
      <w:r w:rsidRPr="00DB6EFC">
        <w:rPr>
          <w:rFonts w:ascii="Calibri" w:hAnsi="Calibri" w:cs="Calibri"/>
          <w:color w:val="000000"/>
          <w:sz w:val="22"/>
          <w:szCs w:val="22"/>
        </w:rPr>
        <w:t>‌</w:t>
      </w:r>
      <w:r w:rsidR="006F6552" w:rsidRPr="00DB6EFC">
        <w:rPr>
          <w:rFonts w:ascii="Arial" w:hAnsi="Arial" w:cs="Arial"/>
          <w:sz w:val="22"/>
          <w:szCs w:val="22"/>
        </w:rPr>
        <w:t xml:space="preserve">Psychological theories are important in understanding adult development and wellbeing in health and social care. One key theory is Bowlby’s attachment theory which explores how </w:t>
      </w:r>
      <w:r w:rsidR="004B58CC" w:rsidRPr="00DB6EFC">
        <w:rPr>
          <w:rFonts w:ascii="Arial" w:hAnsi="Arial" w:cs="Arial"/>
          <w:sz w:val="22"/>
          <w:szCs w:val="22"/>
        </w:rPr>
        <w:t>emotional functioning</w:t>
      </w:r>
      <w:r w:rsidR="004548CF" w:rsidRPr="00DB6EFC">
        <w:rPr>
          <w:rFonts w:ascii="Arial" w:hAnsi="Arial" w:cs="Arial"/>
          <w:sz w:val="22"/>
          <w:szCs w:val="22"/>
        </w:rPr>
        <w:t>, behaviour and interpersonal relationships work. This article introduces psychological theory links to the question</w:t>
      </w:r>
      <w:r w:rsidR="00C216C9" w:rsidRPr="00DB6EFC">
        <w:rPr>
          <w:rFonts w:ascii="Arial" w:hAnsi="Arial" w:cs="Arial"/>
          <w:sz w:val="22"/>
          <w:szCs w:val="22"/>
        </w:rPr>
        <w:t xml:space="preserve"> of John Bowlby’s theory explains which explains how early relationships with care caregivers influence development across lifespan. While </w:t>
      </w:r>
      <w:r w:rsidR="00883615" w:rsidRPr="00DB6EFC">
        <w:rPr>
          <w:rFonts w:ascii="Arial" w:hAnsi="Arial" w:cs="Arial"/>
          <w:sz w:val="22"/>
          <w:szCs w:val="22"/>
        </w:rPr>
        <w:t xml:space="preserve">Bowlby originally focuses on </w:t>
      </w:r>
      <w:r w:rsidR="00953CEC" w:rsidRPr="00DB6EFC">
        <w:rPr>
          <w:rFonts w:ascii="Arial" w:hAnsi="Arial" w:cs="Arial"/>
          <w:sz w:val="22"/>
          <w:szCs w:val="22"/>
        </w:rPr>
        <w:t xml:space="preserve">childhood, recent research such as “the attachment theory: from Bowlby to modern </w:t>
      </w:r>
      <w:r w:rsidR="00037108" w:rsidRPr="00DB6EFC">
        <w:rPr>
          <w:rFonts w:ascii="Arial" w:hAnsi="Arial" w:cs="Arial"/>
          <w:sz w:val="22"/>
          <w:szCs w:val="22"/>
        </w:rPr>
        <w:t xml:space="preserve">perspective” demonstrates that the </w:t>
      </w:r>
      <w:r w:rsidR="005102B9" w:rsidRPr="00DB6EFC">
        <w:rPr>
          <w:rFonts w:ascii="Arial" w:hAnsi="Arial" w:cs="Arial"/>
          <w:sz w:val="22"/>
          <w:szCs w:val="22"/>
        </w:rPr>
        <w:t>theory has evolved to remain</w:t>
      </w:r>
      <w:r w:rsidR="00023BDF" w:rsidRPr="00DB6EFC">
        <w:rPr>
          <w:rFonts w:ascii="Arial" w:hAnsi="Arial" w:cs="Arial"/>
          <w:sz w:val="22"/>
          <w:szCs w:val="22"/>
        </w:rPr>
        <w:t xml:space="preserve"> very relevant to adult wellbeing</w:t>
      </w:r>
      <w:r w:rsidR="00DE67F6">
        <w:rPr>
          <w:rFonts w:ascii="Arial" w:hAnsi="Arial" w:cs="Arial"/>
          <w:sz w:val="22"/>
          <w:szCs w:val="22"/>
        </w:rPr>
        <w:t xml:space="preserve"> (</w:t>
      </w:r>
      <w:r w:rsidR="00DE67F6">
        <w:t>Khadka, C. (2022).</w:t>
      </w:r>
    </w:p>
    <w:p w14:paraId="7DAE083C" w14:textId="2A538E55" w:rsidR="0054501C" w:rsidRDefault="0054501C">
      <w:pPr>
        <w:rPr>
          <w:rFonts w:ascii="Arial" w:hAnsi="Arial" w:cs="Arial"/>
        </w:rPr>
      </w:pPr>
      <w:r>
        <w:rPr>
          <w:rFonts w:ascii="Arial" w:hAnsi="Arial" w:cs="Arial"/>
        </w:rPr>
        <w:t xml:space="preserve">According to Bowlby, individuals who experiences secure attachment </w:t>
      </w:r>
      <w:r w:rsidR="00C220C7">
        <w:rPr>
          <w:rFonts w:ascii="Arial" w:hAnsi="Arial" w:cs="Arial"/>
        </w:rPr>
        <w:t>in early life are more likely to develop healthy relationships in adulthood, wherea</w:t>
      </w:r>
      <w:r w:rsidR="0003079B">
        <w:rPr>
          <w:rFonts w:ascii="Arial" w:hAnsi="Arial" w:cs="Arial"/>
        </w:rPr>
        <w:t xml:space="preserve">s insecure attachments may lead to anxiety or avoidance in later life. The article supports this by explaining that </w:t>
      </w:r>
      <w:r w:rsidR="00ED46DF">
        <w:rPr>
          <w:rFonts w:ascii="Arial" w:hAnsi="Arial" w:cs="Arial"/>
        </w:rPr>
        <w:t xml:space="preserve">attachment patterns </w:t>
      </w:r>
      <w:r w:rsidR="00DB6EFC">
        <w:rPr>
          <w:rFonts w:ascii="Arial" w:hAnsi="Arial" w:cs="Arial"/>
        </w:rPr>
        <w:t>persist</w:t>
      </w:r>
      <w:r w:rsidR="00ED46DF">
        <w:rPr>
          <w:rFonts w:ascii="Arial" w:hAnsi="Arial" w:cs="Arial"/>
        </w:rPr>
        <w:t xml:space="preserve"> across the lifespan and continue to influence adult relationships. </w:t>
      </w:r>
      <w:r w:rsidR="00DB6EFC">
        <w:rPr>
          <w:rFonts w:ascii="Arial" w:hAnsi="Arial" w:cs="Arial"/>
        </w:rPr>
        <w:t>This demonstrates that attachment theory is relevant to adult wellbeing, as early experiences shape emotional</w:t>
      </w:r>
      <w:r w:rsidR="00E504F3">
        <w:rPr>
          <w:rFonts w:ascii="Arial" w:hAnsi="Arial" w:cs="Arial"/>
        </w:rPr>
        <w:t xml:space="preserve"> stability and relationship outcomes in adulthood.</w:t>
      </w:r>
    </w:p>
    <w:p w14:paraId="35E80C27" w14:textId="360E7E62" w:rsidR="00BF7830" w:rsidRDefault="003D20E4">
      <w:pPr>
        <w:rPr>
          <w:rFonts w:ascii="Arial" w:hAnsi="Arial" w:cs="Arial"/>
        </w:rPr>
      </w:pPr>
      <w:r>
        <w:rPr>
          <w:rFonts w:ascii="Arial" w:hAnsi="Arial" w:cs="Arial"/>
        </w:rPr>
        <w:t xml:space="preserve">The article builds on Bowlby’s attachment theory by explaining how early relationships with caregivers influence emotional and psychological development into adulthood. The article highlights that adults have better emotional regulation and a stable relationship </w:t>
      </w:r>
      <w:r w:rsidR="002C5B8B">
        <w:rPr>
          <w:rFonts w:ascii="Arial" w:hAnsi="Arial" w:cs="Arial"/>
        </w:rPr>
        <w:t xml:space="preserve">which contribute to improved wellbeing. This source is highly relevant to health and social care because it helps professionals understand how past </w:t>
      </w:r>
      <w:r w:rsidR="002239C5">
        <w:rPr>
          <w:rFonts w:ascii="Arial" w:hAnsi="Arial" w:cs="Arial"/>
        </w:rPr>
        <w:t>experiences</w:t>
      </w:r>
      <w:r w:rsidR="002C5B8B">
        <w:rPr>
          <w:rFonts w:ascii="Arial" w:hAnsi="Arial" w:cs="Arial"/>
        </w:rPr>
        <w:t xml:space="preserve"> can affect a </w:t>
      </w:r>
      <w:r w:rsidR="00162517">
        <w:rPr>
          <w:rFonts w:ascii="Arial" w:hAnsi="Arial" w:cs="Arial"/>
        </w:rPr>
        <w:t>patient’s</w:t>
      </w:r>
      <w:r w:rsidR="002C5B8B">
        <w:rPr>
          <w:rFonts w:ascii="Arial" w:hAnsi="Arial" w:cs="Arial"/>
        </w:rPr>
        <w:t xml:space="preserve"> behaviour and engagement with car</w:t>
      </w:r>
      <w:r w:rsidR="002239C5">
        <w:rPr>
          <w:rFonts w:ascii="Arial" w:hAnsi="Arial" w:cs="Arial"/>
        </w:rPr>
        <w:t>e, and emotional needs. A key strength of this research is its clear link between attachment styles and mental health</w:t>
      </w:r>
      <w:r w:rsidR="00162517">
        <w:rPr>
          <w:rFonts w:ascii="Arial" w:hAnsi="Arial" w:cs="Arial"/>
        </w:rPr>
        <w:t xml:space="preserve"> outcomes</w:t>
      </w:r>
      <w:r w:rsidR="00786C9F">
        <w:rPr>
          <w:rFonts w:ascii="Arial" w:hAnsi="Arial" w:cs="Arial"/>
        </w:rPr>
        <w:t>. This article valuable because it applies to the wellbeing of adults in health and social care.</w:t>
      </w:r>
    </w:p>
    <w:p w14:paraId="410001BC" w14:textId="555C4CC3" w:rsidR="00162517" w:rsidRDefault="00162517">
      <w:pPr>
        <w:rPr>
          <w:rFonts w:ascii="Arial" w:hAnsi="Arial" w:cs="Arial"/>
        </w:rPr>
      </w:pPr>
      <w:r>
        <w:rPr>
          <w:rFonts w:ascii="Arial" w:hAnsi="Arial" w:cs="Arial"/>
        </w:rPr>
        <w:t xml:space="preserve">. </w:t>
      </w:r>
    </w:p>
    <w:p w14:paraId="0CB79221" w14:textId="77777777" w:rsidR="009806B4" w:rsidRDefault="009806B4">
      <w:pPr>
        <w:rPr>
          <w:rFonts w:ascii="Arial" w:hAnsi="Arial" w:cs="Arial"/>
        </w:rPr>
      </w:pPr>
    </w:p>
    <w:p w14:paraId="00B4B11D" w14:textId="77777777" w:rsidR="009806B4" w:rsidRDefault="009806B4">
      <w:pPr>
        <w:rPr>
          <w:rFonts w:ascii="Arial" w:hAnsi="Arial" w:cs="Arial"/>
        </w:rPr>
      </w:pPr>
    </w:p>
    <w:p w14:paraId="79C6AE74" w14:textId="77777777" w:rsidR="009806B4" w:rsidRDefault="009806B4">
      <w:pPr>
        <w:rPr>
          <w:rFonts w:ascii="Arial" w:hAnsi="Arial" w:cs="Arial"/>
        </w:rPr>
      </w:pPr>
    </w:p>
    <w:p w14:paraId="12206C7B" w14:textId="77777777" w:rsidR="009806B4" w:rsidRDefault="009806B4">
      <w:pPr>
        <w:rPr>
          <w:rFonts w:ascii="Arial" w:hAnsi="Arial" w:cs="Arial"/>
        </w:rPr>
      </w:pPr>
    </w:p>
    <w:p w14:paraId="543775B6" w14:textId="77777777" w:rsidR="009806B4" w:rsidRDefault="009806B4">
      <w:pPr>
        <w:rPr>
          <w:rFonts w:ascii="Arial" w:hAnsi="Arial" w:cs="Arial"/>
        </w:rPr>
      </w:pPr>
    </w:p>
    <w:p w14:paraId="4AFCC09C" w14:textId="77777777" w:rsidR="009806B4" w:rsidRDefault="009806B4">
      <w:pPr>
        <w:rPr>
          <w:rFonts w:ascii="Arial" w:hAnsi="Arial" w:cs="Arial"/>
        </w:rPr>
      </w:pPr>
    </w:p>
    <w:p w14:paraId="15542005" w14:textId="77777777" w:rsidR="009806B4" w:rsidRDefault="009806B4">
      <w:pPr>
        <w:rPr>
          <w:rFonts w:ascii="Arial" w:hAnsi="Arial" w:cs="Arial"/>
        </w:rPr>
      </w:pPr>
    </w:p>
    <w:p w14:paraId="2904B28F" w14:textId="77777777" w:rsidR="009806B4" w:rsidRDefault="009806B4">
      <w:pPr>
        <w:rPr>
          <w:rFonts w:ascii="Arial" w:hAnsi="Arial" w:cs="Arial"/>
        </w:rPr>
      </w:pPr>
    </w:p>
    <w:p w14:paraId="02A25957" w14:textId="77777777" w:rsidR="009806B4" w:rsidRDefault="009806B4">
      <w:pPr>
        <w:rPr>
          <w:rFonts w:ascii="Arial" w:hAnsi="Arial" w:cs="Arial"/>
        </w:rPr>
      </w:pPr>
    </w:p>
    <w:p w14:paraId="1B0EB103" w14:textId="77777777" w:rsidR="009806B4" w:rsidRDefault="009806B4">
      <w:pPr>
        <w:rPr>
          <w:rFonts w:ascii="Arial" w:hAnsi="Arial" w:cs="Arial"/>
        </w:rPr>
      </w:pPr>
    </w:p>
    <w:p w14:paraId="400798F9" w14:textId="77777777" w:rsidR="0008516D" w:rsidRDefault="0008516D">
      <w:pPr>
        <w:rPr>
          <w:rFonts w:ascii="Arial" w:hAnsi="Arial" w:cs="Arial"/>
          <w:b/>
          <w:bCs/>
        </w:rPr>
      </w:pPr>
    </w:p>
    <w:p w14:paraId="558B1A82" w14:textId="1A83740B" w:rsidR="00E33F22" w:rsidRPr="008A7C37" w:rsidRDefault="00BF6B72">
      <w:pPr>
        <w:rPr>
          <w:rFonts w:ascii="Arial" w:hAnsi="Arial" w:cs="Arial"/>
          <w:b/>
          <w:bCs/>
        </w:rPr>
      </w:pPr>
      <w:r w:rsidRPr="008A7C37">
        <w:rPr>
          <w:rFonts w:ascii="Arial" w:hAnsi="Arial" w:cs="Arial"/>
          <w:b/>
          <w:bCs/>
        </w:rPr>
        <w:lastRenderedPageBreak/>
        <w:t>Part B</w:t>
      </w:r>
    </w:p>
    <w:p w14:paraId="1301D941" w14:textId="79719D55" w:rsidR="0030206E" w:rsidRDefault="00BF6B72">
      <w:pPr>
        <w:rPr>
          <w:rFonts w:ascii="Arial" w:hAnsi="Arial" w:cs="Arial"/>
        </w:rPr>
      </w:pPr>
      <w:r>
        <w:rPr>
          <w:rFonts w:ascii="Arial" w:hAnsi="Arial" w:cs="Arial"/>
        </w:rPr>
        <w:t xml:space="preserve">Psychology wellbeing in older adults living in residential care can </w:t>
      </w:r>
      <w:r w:rsidR="004D54E3">
        <w:rPr>
          <w:rFonts w:ascii="Arial" w:hAnsi="Arial" w:cs="Arial"/>
        </w:rPr>
        <w:t>be significantly improved by applying Erikson</w:t>
      </w:r>
      <w:r w:rsidR="00613C02">
        <w:rPr>
          <w:rFonts w:ascii="Arial" w:hAnsi="Arial" w:cs="Arial"/>
        </w:rPr>
        <w:t>’s psychosocial theory.</w:t>
      </w:r>
      <w:r w:rsidR="0030206E">
        <w:rPr>
          <w:rFonts w:ascii="Arial" w:hAnsi="Arial" w:cs="Arial"/>
        </w:rPr>
        <w:t xml:space="preserve"> (Erikson,1982).</w:t>
      </w:r>
    </w:p>
    <w:p w14:paraId="07C3E719" w14:textId="5265A72B" w:rsidR="00E33F22" w:rsidRDefault="004D54E3">
      <w:pPr>
        <w:rPr>
          <w:rFonts w:ascii="Arial" w:hAnsi="Arial" w:cs="Arial"/>
        </w:rPr>
      </w:pPr>
      <w:r>
        <w:rPr>
          <w:rFonts w:ascii="Arial" w:hAnsi="Arial" w:cs="Arial"/>
        </w:rPr>
        <w:t xml:space="preserve">According to Erikson’s psychology theory, older adults are in the stage of ego integrity and </w:t>
      </w:r>
      <w:r w:rsidR="009E7C13">
        <w:rPr>
          <w:rFonts w:ascii="Arial" w:hAnsi="Arial" w:cs="Arial"/>
        </w:rPr>
        <w:t>despair. (</w:t>
      </w:r>
      <w:r w:rsidR="0030206E">
        <w:rPr>
          <w:rFonts w:ascii="Arial" w:hAnsi="Arial" w:cs="Arial"/>
        </w:rPr>
        <w:t>Erikson,1982).</w:t>
      </w:r>
      <w:r>
        <w:rPr>
          <w:rFonts w:ascii="Arial" w:hAnsi="Arial" w:cs="Arial"/>
        </w:rPr>
        <w:t xml:space="preserve"> At this stage </w:t>
      </w:r>
      <w:r w:rsidR="00613C02">
        <w:rPr>
          <w:rFonts w:ascii="Arial" w:hAnsi="Arial" w:cs="Arial"/>
        </w:rPr>
        <w:t>adults reflect</w:t>
      </w:r>
      <w:r>
        <w:rPr>
          <w:rFonts w:ascii="Arial" w:hAnsi="Arial" w:cs="Arial"/>
        </w:rPr>
        <w:t xml:space="preserve"> on their lives and either feel a sense of fulfilment, dissatisfaction and regret.</w:t>
      </w:r>
    </w:p>
    <w:p w14:paraId="6C19E705" w14:textId="352F761B" w:rsidR="00613C02" w:rsidRDefault="00613C02">
      <w:pPr>
        <w:rPr>
          <w:rFonts w:ascii="Arial" w:hAnsi="Arial" w:cs="Arial"/>
        </w:rPr>
      </w:pPr>
      <w:r>
        <w:rPr>
          <w:rFonts w:ascii="Arial" w:hAnsi="Arial" w:cs="Arial"/>
        </w:rPr>
        <w:t>In a residential care setting, many older adults may experience loss</w:t>
      </w:r>
      <w:r w:rsidR="00925586">
        <w:rPr>
          <w:rFonts w:ascii="Arial" w:hAnsi="Arial" w:cs="Arial"/>
        </w:rPr>
        <w:t xml:space="preserve">, isolation or independence which can lead them have feelings of despair. Health and social care professionals can apply Erickson theory by supporting residents to achieve a sense of integrity. This can be done by supporting independence where possible to maintain </w:t>
      </w:r>
      <w:r w:rsidR="000F444F">
        <w:rPr>
          <w:rFonts w:ascii="Arial" w:hAnsi="Arial" w:cs="Arial"/>
        </w:rPr>
        <w:t>self-worth</w:t>
      </w:r>
      <w:r w:rsidR="00925586">
        <w:rPr>
          <w:rFonts w:ascii="Arial" w:hAnsi="Arial" w:cs="Arial"/>
        </w:rPr>
        <w:t xml:space="preserve"> and dignity.</w:t>
      </w:r>
      <w:r w:rsidR="000F444F">
        <w:rPr>
          <w:rFonts w:ascii="Arial" w:hAnsi="Arial" w:cs="Arial"/>
        </w:rPr>
        <w:t xml:space="preserve"> Encouraging residents to share thei</w:t>
      </w:r>
      <w:r w:rsidR="00A36ADD">
        <w:rPr>
          <w:rFonts w:ascii="Arial" w:hAnsi="Arial" w:cs="Arial"/>
        </w:rPr>
        <w:t>r life stories and share accomplishment which will help them feel a sense of purpose and value.</w:t>
      </w:r>
    </w:p>
    <w:p w14:paraId="0D48FDDE" w14:textId="0AA0E1EB" w:rsidR="00E33F22" w:rsidRDefault="00F633BE">
      <w:pPr>
        <w:rPr>
          <w:rFonts w:ascii="Arial" w:hAnsi="Arial" w:cs="Arial"/>
        </w:rPr>
      </w:pPr>
      <w:r>
        <w:rPr>
          <w:rFonts w:ascii="Arial" w:hAnsi="Arial" w:cs="Arial"/>
        </w:rPr>
        <w:t>Social interaction plays a huge role in reducing feelings of despair</w:t>
      </w:r>
      <w:r w:rsidR="0030206E">
        <w:rPr>
          <w:rFonts w:ascii="Arial" w:hAnsi="Arial" w:cs="Arial"/>
        </w:rPr>
        <w:t xml:space="preserve"> (Perr</w:t>
      </w:r>
      <w:r w:rsidR="009E7C13">
        <w:rPr>
          <w:rFonts w:ascii="Arial" w:hAnsi="Arial" w:cs="Arial"/>
        </w:rPr>
        <w:t>y</w:t>
      </w:r>
      <w:r w:rsidR="0030206E">
        <w:rPr>
          <w:rFonts w:ascii="Arial" w:hAnsi="Arial" w:cs="Arial"/>
        </w:rPr>
        <w:t xml:space="preserve"> </w:t>
      </w:r>
      <w:r w:rsidR="009E7C13">
        <w:rPr>
          <w:rFonts w:ascii="Arial" w:hAnsi="Arial" w:cs="Arial"/>
        </w:rPr>
        <w:t>e</w:t>
      </w:r>
      <w:r w:rsidR="0030206E">
        <w:rPr>
          <w:rFonts w:ascii="Arial" w:hAnsi="Arial" w:cs="Arial"/>
        </w:rPr>
        <w:t>t al, 2018).</w:t>
      </w:r>
      <w:r>
        <w:rPr>
          <w:rFonts w:ascii="Arial" w:hAnsi="Arial" w:cs="Arial"/>
        </w:rPr>
        <w:t xml:space="preserve"> Care home</w:t>
      </w:r>
      <w:r w:rsidR="00F5547A">
        <w:rPr>
          <w:rFonts w:ascii="Arial" w:hAnsi="Arial" w:cs="Arial"/>
        </w:rPr>
        <w:t xml:space="preserve"> can organise storytelling sessions to encourage communication between residents. This is important because building relationships with residents and staff can reduce loneliness and provide emotional support. Residents will feel valued and included and are more likely to </w:t>
      </w:r>
      <w:r w:rsidR="00397669">
        <w:rPr>
          <w:rFonts w:ascii="Arial" w:hAnsi="Arial" w:cs="Arial"/>
        </w:rPr>
        <w:t>develop</w:t>
      </w:r>
      <w:r w:rsidR="00F5547A">
        <w:rPr>
          <w:rFonts w:ascii="Arial" w:hAnsi="Arial" w:cs="Arial"/>
        </w:rPr>
        <w:t xml:space="preserve"> a happier life when being able to do story telling or communicating. </w:t>
      </w:r>
    </w:p>
    <w:p w14:paraId="71DCD541" w14:textId="1F05A9B9" w:rsidR="00E33F22" w:rsidRDefault="00C85B10">
      <w:pPr>
        <w:rPr>
          <w:rFonts w:ascii="Arial" w:hAnsi="Arial" w:cs="Arial"/>
        </w:rPr>
      </w:pPr>
      <w:r>
        <w:rPr>
          <w:rFonts w:ascii="Arial" w:hAnsi="Arial" w:cs="Arial"/>
        </w:rPr>
        <w:t>Promoting person</w:t>
      </w:r>
      <w:r w:rsidR="00D83EDE">
        <w:rPr>
          <w:rFonts w:ascii="Arial" w:hAnsi="Arial" w:cs="Arial"/>
        </w:rPr>
        <w:t xml:space="preserve">-centred care is important in supporting Erikson’s stage of development because it means recognising each </w:t>
      </w:r>
      <w:r w:rsidR="004E2000">
        <w:rPr>
          <w:rFonts w:ascii="Arial" w:hAnsi="Arial" w:cs="Arial"/>
        </w:rPr>
        <w:t xml:space="preserve">resident as an individual with their own preferences and values. Health care professionals can support residents by involving them in decision making about their </w:t>
      </w:r>
      <w:r w:rsidR="00CF453E">
        <w:rPr>
          <w:rFonts w:ascii="Arial" w:hAnsi="Arial" w:cs="Arial"/>
        </w:rPr>
        <w:t>everyday</w:t>
      </w:r>
      <w:r w:rsidR="004E2000">
        <w:rPr>
          <w:rFonts w:ascii="Arial" w:hAnsi="Arial" w:cs="Arial"/>
        </w:rPr>
        <w:t xml:space="preserve"> routines, respecting their choices and maintaining their independence. </w:t>
      </w:r>
      <w:r w:rsidR="00345C66">
        <w:rPr>
          <w:rFonts w:ascii="Arial" w:hAnsi="Arial" w:cs="Arial"/>
        </w:rPr>
        <w:t>Allowing residents to choose their clothing or activities help preserve their sense of control in contributing to improved psychological wellbeing.</w:t>
      </w:r>
      <w:r w:rsidR="008D0C6D">
        <w:rPr>
          <w:rFonts w:ascii="Arial" w:hAnsi="Arial" w:cs="Arial"/>
        </w:rPr>
        <w:t xml:space="preserve"> </w:t>
      </w:r>
    </w:p>
    <w:p w14:paraId="79CDCE3B" w14:textId="0FCFB3C1" w:rsidR="008D0C6D" w:rsidRPr="008A7C37" w:rsidRDefault="007160E3">
      <w:pPr>
        <w:rPr>
          <w:rFonts w:ascii="Arial" w:hAnsi="Arial" w:cs="Arial"/>
          <w:b/>
          <w:bCs/>
        </w:rPr>
      </w:pPr>
      <w:r w:rsidRPr="008A7C37">
        <w:rPr>
          <w:rFonts w:ascii="Arial" w:hAnsi="Arial" w:cs="Arial"/>
          <w:b/>
          <w:bCs/>
        </w:rPr>
        <w:t>Case Scenario:</w:t>
      </w:r>
    </w:p>
    <w:p w14:paraId="1AE7924B" w14:textId="1A0077EE" w:rsidR="007160E3" w:rsidRDefault="007160E3">
      <w:pPr>
        <w:rPr>
          <w:rFonts w:ascii="Arial" w:hAnsi="Arial" w:cs="Arial"/>
        </w:rPr>
      </w:pPr>
      <w:r>
        <w:rPr>
          <w:rFonts w:ascii="Arial" w:hAnsi="Arial" w:cs="Arial"/>
        </w:rPr>
        <w:t xml:space="preserve">One way Erikson’s theory can be applied in residential care us through supporting older adults to reflect positively on their lives and achieve ego integrity. This can be demonstrated through the following scenario. </w:t>
      </w:r>
    </w:p>
    <w:p w14:paraId="7C43450A" w14:textId="31125224" w:rsidR="00CB6B69" w:rsidRDefault="007160E3">
      <w:pPr>
        <w:rPr>
          <w:rFonts w:ascii="Arial" w:hAnsi="Arial" w:cs="Arial"/>
        </w:rPr>
      </w:pPr>
      <w:r>
        <w:rPr>
          <w:rFonts w:ascii="Arial" w:hAnsi="Arial" w:cs="Arial"/>
        </w:rPr>
        <w:t>Blair is a 75-year-old resident, who has become withdrawn after moving into a care home and stated regrets about her life. According to Erikson’s theory</w:t>
      </w:r>
      <w:r w:rsidR="000256F0">
        <w:rPr>
          <w:rFonts w:ascii="Arial" w:hAnsi="Arial" w:cs="Arial"/>
        </w:rPr>
        <w:t xml:space="preserve">, this reflects despair as she </w:t>
      </w:r>
      <w:r w:rsidR="00EC2CBA">
        <w:rPr>
          <w:rFonts w:ascii="Arial" w:hAnsi="Arial" w:cs="Arial"/>
        </w:rPr>
        <w:t xml:space="preserve">is </w:t>
      </w:r>
      <w:r w:rsidR="000256F0">
        <w:rPr>
          <w:rFonts w:ascii="Arial" w:hAnsi="Arial" w:cs="Arial"/>
        </w:rPr>
        <w:t>reflecting on negatives</w:t>
      </w:r>
      <w:r w:rsidR="00275A84">
        <w:rPr>
          <w:rFonts w:ascii="Arial" w:hAnsi="Arial" w:cs="Arial"/>
        </w:rPr>
        <w:t xml:space="preserve"> aspects</w:t>
      </w:r>
      <w:r w:rsidR="000256F0">
        <w:rPr>
          <w:rFonts w:ascii="Arial" w:hAnsi="Arial" w:cs="Arial"/>
        </w:rPr>
        <w:t xml:space="preserve"> of her life</w:t>
      </w:r>
      <w:r w:rsidR="009E7C13">
        <w:rPr>
          <w:rFonts w:ascii="Arial" w:hAnsi="Arial" w:cs="Arial"/>
        </w:rPr>
        <w:t xml:space="preserve"> (Erikson,1982).</w:t>
      </w:r>
      <w:r w:rsidR="000256F0">
        <w:rPr>
          <w:rFonts w:ascii="Arial" w:hAnsi="Arial" w:cs="Arial"/>
        </w:rPr>
        <w:t xml:space="preserve"> To support her staff could encourage her </w:t>
      </w:r>
      <w:r w:rsidR="00275A84">
        <w:rPr>
          <w:rFonts w:ascii="Arial" w:hAnsi="Arial" w:cs="Arial"/>
        </w:rPr>
        <w:t xml:space="preserve">to talk </w:t>
      </w:r>
      <w:r w:rsidR="00EC2CBA">
        <w:rPr>
          <w:rFonts w:ascii="Arial" w:hAnsi="Arial" w:cs="Arial"/>
        </w:rPr>
        <w:t xml:space="preserve">about </w:t>
      </w:r>
      <w:r w:rsidR="00275A84">
        <w:rPr>
          <w:rFonts w:ascii="Arial" w:hAnsi="Arial" w:cs="Arial"/>
        </w:rPr>
        <w:t xml:space="preserve">her </w:t>
      </w:r>
      <w:r w:rsidR="000256F0">
        <w:rPr>
          <w:rFonts w:ascii="Arial" w:hAnsi="Arial" w:cs="Arial"/>
        </w:rPr>
        <w:t xml:space="preserve">past experiences and help her recognise her achievements. This approach can help her to </w:t>
      </w:r>
      <w:r w:rsidR="00275A84">
        <w:rPr>
          <w:rFonts w:ascii="Arial" w:hAnsi="Arial" w:cs="Arial"/>
        </w:rPr>
        <w:t>talk about herself in a positive way without her feeling</w:t>
      </w:r>
      <w:r w:rsidR="00EC2CBA">
        <w:rPr>
          <w:rFonts w:ascii="Arial" w:hAnsi="Arial" w:cs="Arial"/>
        </w:rPr>
        <w:t xml:space="preserve"> that</w:t>
      </w:r>
      <w:r w:rsidR="00275A84">
        <w:rPr>
          <w:rFonts w:ascii="Arial" w:hAnsi="Arial" w:cs="Arial"/>
        </w:rPr>
        <w:t xml:space="preserve"> she is being judged. Over time Blair will feel more comfortable in discussing her cultural values, her family history and positive memories she did not recognise.</w:t>
      </w:r>
      <w:r w:rsidR="007D7E27">
        <w:rPr>
          <w:rFonts w:ascii="Arial" w:hAnsi="Arial" w:cs="Arial"/>
        </w:rPr>
        <w:t xml:space="preserve"> Applying Erickson’s theory to her case can her move from despair to ego integrity</w:t>
      </w:r>
      <w:r w:rsidR="009E7C13">
        <w:rPr>
          <w:rFonts w:ascii="Arial" w:hAnsi="Arial" w:cs="Arial"/>
        </w:rPr>
        <w:t xml:space="preserve"> (Erikson,1982).</w:t>
      </w:r>
      <w:r w:rsidR="007D7E27">
        <w:rPr>
          <w:rFonts w:ascii="Arial" w:hAnsi="Arial" w:cs="Arial"/>
        </w:rPr>
        <w:t xml:space="preserve"> </w:t>
      </w:r>
      <w:r w:rsidR="009E7C13">
        <w:rPr>
          <w:rFonts w:ascii="Arial" w:hAnsi="Arial" w:cs="Arial"/>
        </w:rPr>
        <w:t>B</w:t>
      </w:r>
      <w:r w:rsidR="00EC2CBA">
        <w:rPr>
          <w:rFonts w:ascii="Arial" w:hAnsi="Arial" w:cs="Arial"/>
        </w:rPr>
        <w:t xml:space="preserve">y </w:t>
      </w:r>
      <w:r w:rsidR="007D7E27">
        <w:rPr>
          <w:rFonts w:ascii="Arial" w:hAnsi="Arial" w:cs="Arial"/>
        </w:rPr>
        <w:t xml:space="preserve">improving her psychological wellbeing </w:t>
      </w:r>
      <w:r w:rsidR="00EC2CBA">
        <w:rPr>
          <w:rFonts w:ascii="Arial" w:hAnsi="Arial" w:cs="Arial"/>
        </w:rPr>
        <w:t>and</w:t>
      </w:r>
      <w:r w:rsidR="007D7E27">
        <w:rPr>
          <w:rFonts w:ascii="Arial" w:hAnsi="Arial" w:cs="Arial"/>
        </w:rPr>
        <w:t xml:space="preserve"> increasing her </w:t>
      </w:r>
      <w:r w:rsidR="004E7E70">
        <w:rPr>
          <w:rFonts w:ascii="Arial" w:hAnsi="Arial" w:cs="Arial"/>
        </w:rPr>
        <w:t>self-esteem</w:t>
      </w:r>
      <w:r w:rsidR="007D7E27">
        <w:rPr>
          <w:rFonts w:ascii="Arial" w:hAnsi="Arial" w:cs="Arial"/>
        </w:rPr>
        <w:t xml:space="preserve"> and reducing feels of regret. </w:t>
      </w:r>
    </w:p>
    <w:p w14:paraId="745A754D" w14:textId="29DF5944" w:rsidR="00CB6B69" w:rsidRPr="00CB6B69" w:rsidRDefault="00CB6B69" w:rsidP="00CB6B69">
      <w:pPr>
        <w:pStyle w:val="NormalWeb"/>
        <w:rPr>
          <w:rFonts w:ascii="Arial" w:hAnsi="Arial" w:cs="Arial"/>
          <w:sz w:val="22"/>
          <w:szCs w:val="22"/>
        </w:rPr>
      </w:pPr>
      <w:r w:rsidRPr="00CB6B69">
        <w:rPr>
          <w:rFonts w:ascii="Arial" w:hAnsi="Arial" w:cs="Arial"/>
          <w:sz w:val="22"/>
          <w:szCs w:val="22"/>
        </w:rPr>
        <w:t xml:space="preserve">One challenge that health and social care professionals may face when applying </w:t>
      </w:r>
      <w:r w:rsidRPr="00CB6B69">
        <w:rPr>
          <w:rStyle w:val="whitespace-normal"/>
          <w:rFonts w:ascii="Arial" w:eastAsiaTheme="majorEastAsia" w:hAnsi="Arial" w:cs="Arial"/>
          <w:sz w:val="22"/>
          <w:szCs w:val="22"/>
        </w:rPr>
        <w:t>Erik Erikson</w:t>
      </w:r>
      <w:r w:rsidRPr="00CB6B69">
        <w:rPr>
          <w:rFonts w:ascii="Arial" w:hAnsi="Arial" w:cs="Arial"/>
          <w:sz w:val="22"/>
          <w:szCs w:val="22"/>
        </w:rPr>
        <w:t xml:space="preserve">’s theory in residential care is that some older adults may be </w:t>
      </w:r>
      <w:r w:rsidRPr="00CB6B69">
        <w:rPr>
          <w:rStyle w:val="Strong"/>
          <w:rFonts w:ascii="Arial" w:eastAsiaTheme="majorEastAsia" w:hAnsi="Arial" w:cs="Arial"/>
          <w:b w:val="0"/>
          <w:bCs w:val="0"/>
          <w:sz w:val="22"/>
          <w:szCs w:val="22"/>
        </w:rPr>
        <w:t xml:space="preserve">reluctant or </w:t>
      </w:r>
      <w:r>
        <w:rPr>
          <w:rStyle w:val="Strong"/>
          <w:rFonts w:ascii="Arial" w:eastAsiaTheme="majorEastAsia" w:hAnsi="Arial" w:cs="Arial"/>
          <w:b w:val="0"/>
          <w:bCs w:val="0"/>
          <w:sz w:val="22"/>
          <w:szCs w:val="22"/>
        </w:rPr>
        <w:t>find it hard to</w:t>
      </w:r>
      <w:r w:rsidRPr="00CB6B69">
        <w:rPr>
          <w:rStyle w:val="Strong"/>
          <w:rFonts w:ascii="Arial" w:eastAsiaTheme="majorEastAsia" w:hAnsi="Arial" w:cs="Arial"/>
          <w:b w:val="0"/>
          <w:bCs w:val="0"/>
          <w:sz w:val="22"/>
          <w:szCs w:val="22"/>
        </w:rPr>
        <w:t xml:space="preserve"> reflect on their past experiences</w:t>
      </w:r>
      <w:r w:rsidRPr="00CB6B69">
        <w:rPr>
          <w:rFonts w:ascii="Arial" w:hAnsi="Arial" w:cs="Arial"/>
          <w:sz w:val="22"/>
          <w:szCs w:val="22"/>
        </w:rPr>
        <w:t>. Erikson’s stage of ego integrity versus despair relies heavily on individuals evaluating their lives</w:t>
      </w:r>
      <w:r w:rsidR="0087358B">
        <w:rPr>
          <w:rFonts w:ascii="Arial" w:hAnsi="Arial" w:cs="Arial"/>
          <w:sz w:val="22"/>
          <w:szCs w:val="22"/>
        </w:rPr>
        <w:t xml:space="preserve"> (Erikson,1982</w:t>
      </w:r>
      <w:proofErr w:type="gramStart"/>
      <w:r w:rsidR="0087358B">
        <w:rPr>
          <w:rFonts w:ascii="Arial" w:hAnsi="Arial" w:cs="Arial"/>
          <w:sz w:val="22"/>
          <w:szCs w:val="22"/>
        </w:rPr>
        <w:t>).H</w:t>
      </w:r>
      <w:r w:rsidRPr="00CB6B69">
        <w:rPr>
          <w:rFonts w:ascii="Arial" w:hAnsi="Arial" w:cs="Arial"/>
          <w:sz w:val="22"/>
          <w:szCs w:val="22"/>
        </w:rPr>
        <w:t>owever</w:t>
      </w:r>
      <w:proofErr w:type="gramEnd"/>
      <w:r w:rsidRPr="00CB6B69">
        <w:rPr>
          <w:rFonts w:ascii="Arial" w:hAnsi="Arial" w:cs="Arial"/>
          <w:sz w:val="22"/>
          <w:szCs w:val="22"/>
        </w:rPr>
        <w:t>, residents may avoid this due to painful memories, trauma, or feelings of regret</w:t>
      </w:r>
      <w:r w:rsidR="005A458C">
        <w:rPr>
          <w:rFonts w:ascii="Arial" w:hAnsi="Arial" w:cs="Arial"/>
          <w:sz w:val="22"/>
          <w:szCs w:val="22"/>
        </w:rPr>
        <w:t>. So</w:t>
      </w:r>
      <w:r w:rsidRPr="00CB6B69">
        <w:rPr>
          <w:rFonts w:ascii="Arial" w:hAnsi="Arial" w:cs="Arial"/>
          <w:sz w:val="22"/>
          <w:szCs w:val="22"/>
        </w:rPr>
        <w:t>me individuals may have cognitive impairments such as dementia, which can make it difficult for them to engage in structured reminiscence activities</w:t>
      </w:r>
      <w:r w:rsidR="0087358B">
        <w:rPr>
          <w:rFonts w:ascii="Arial" w:hAnsi="Arial" w:cs="Arial"/>
          <w:sz w:val="22"/>
          <w:szCs w:val="22"/>
        </w:rPr>
        <w:t xml:space="preserve"> (Khadka, 2022).</w:t>
      </w:r>
    </w:p>
    <w:p w14:paraId="4D52F73E" w14:textId="74D41B61" w:rsidR="00CB6B69" w:rsidRDefault="00CB6B69" w:rsidP="00CB6B69">
      <w:pPr>
        <w:pStyle w:val="NormalWeb"/>
        <w:rPr>
          <w:rFonts w:ascii="Arial" w:hAnsi="Arial" w:cs="Arial"/>
          <w:sz w:val="22"/>
          <w:szCs w:val="22"/>
        </w:rPr>
      </w:pPr>
      <w:r w:rsidRPr="00CB6B69">
        <w:rPr>
          <w:rFonts w:ascii="Arial" w:hAnsi="Arial" w:cs="Arial"/>
          <w:sz w:val="22"/>
          <w:szCs w:val="22"/>
        </w:rPr>
        <w:t>This can limit the effectiveness of the theory, as residents may remain in a state of despair, leading to low mood, withdrawal, and reduced psychological wellbeing.</w:t>
      </w:r>
      <w:r w:rsidR="00F70543">
        <w:rPr>
          <w:rFonts w:ascii="Arial" w:hAnsi="Arial" w:cs="Arial"/>
          <w:sz w:val="22"/>
          <w:szCs w:val="22"/>
        </w:rPr>
        <w:t xml:space="preserve"> A way to overcome </w:t>
      </w:r>
      <w:r w:rsidR="00F70543">
        <w:rPr>
          <w:rFonts w:ascii="Arial" w:hAnsi="Arial" w:cs="Arial"/>
          <w:sz w:val="22"/>
          <w:szCs w:val="22"/>
        </w:rPr>
        <w:lastRenderedPageBreak/>
        <w:t xml:space="preserve">this challenge is by introducing the person- centred approach to reflection. For </w:t>
      </w:r>
      <w:r w:rsidR="000825A2">
        <w:rPr>
          <w:rFonts w:ascii="Arial" w:hAnsi="Arial" w:cs="Arial"/>
          <w:sz w:val="22"/>
          <w:szCs w:val="22"/>
        </w:rPr>
        <w:t>example,</w:t>
      </w:r>
      <w:r w:rsidR="00B46E9C">
        <w:rPr>
          <w:rFonts w:ascii="Arial" w:hAnsi="Arial" w:cs="Arial"/>
          <w:sz w:val="22"/>
          <w:szCs w:val="22"/>
        </w:rPr>
        <w:t xml:space="preserve"> instead of residents relying on verbal discussions alone staff can encourage them to do group activities </w:t>
      </w:r>
      <w:r w:rsidR="003B02D5">
        <w:rPr>
          <w:rFonts w:ascii="Arial" w:hAnsi="Arial" w:cs="Arial"/>
          <w:sz w:val="22"/>
          <w:szCs w:val="22"/>
        </w:rPr>
        <w:t xml:space="preserve">that does not feel as intense than one to one reflection or short simple conversations adapted to the </w:t>
      </w:r>
      <w:r w:rsidR="000825A2">
        <w:rPr>
          <w:rFonts w:ascii="Arial" w:hAnsi="Arial" w:cs="Arial"/>
          <w:sz w:val="22"/>
          <w:szCs w:val="22"/>
        </w:rPr>
        <w:t>resident’s</w:t>
      </w:r>
      <w:r w:rsidR="003B02D5">
        <w:rPr>
          <w:rFonts w:ascii="Arial" w:hAnsi="Arial" w:cs="Arial"/>
          <w:sz w:val="22"/>
          <w:szCs w:val="22"/>
        </w:rPr>
        <w:t xml:space="preserve"> thinking ability.</w:t>
      </w:r>
    </w:p>
    <w:p w14:paraId="6A9CD346" w14:textId="76BBA8A8" w:rsidR="00F55DBF" w:rsidRPr="00CB6B69" w:rsidRDefault="000825A2" w:rsidP="00CB6B69">
      <w:pPr>
        <w:pStyle w:val="NormalWeb"/>
        <w:rPr>
          <w:rFonts w:ascii="Arial" w:hAnsi="Arial" w:cs="Arial"/>
          <w:sz w:val="22"/>
          <w:szCs w:val="22"/>
        </w:rPr>
      </w:pPr>
      <w:r>
        <w:rPr>
          <w:rFonts w:ascii="Arial" w:hAnsi="Arial" w:cs="Arial"/>
          <w:sz w:val="22"/>
          <w:szCs w:val="22"/>
        </w:rPr>
        <w:t xml:space="preserve">Another challenge health care professionals may face when applying Erik Erickson’s theory is cultural differences in how a resident may view their life and achievements. Erikson’s idea of ego integrity assumes that reflecting on life satisfaction </w:t>
      </w:r>
      <w:r w:rsidR="00F55DBF">
        <w:rPr>
          <w:rFonts w:ascii="Arial" w:hAnsi="Arial" w:cs="Arial"/>
          <w:sz w:val="22"/>
          <w:szCs w:val="22"/>
        </w:rPr>
        <w:t>leads to wellbeing</w:t>
      </w:r>
      <w:r w:rsidR="003177EC">
        <w:rPr>
          <w:rFonts w:ascii="Arial" w:hAnsi="Arial" w:cs="Arial"/>
          <w:sz w:val="22"/>
          <w:szCs w:val="22"/>
        </w:rPr>
        <w:t xml:space="preserve"> (Erikson,1982). </w:t>
      </w:r>
      <w:r w:rsidR="00F55DBF">
        <w:rPr>
          <w:rFonts w:ascii="Arial" w:hAnsi="Arial" w:cs="Arial"/>
          <w:sz w:val="22"/>
          <w:szCs w:val="22"/>
        </w:rPr>
        <w:t xml:space="preserve">Although, some residents from different ethnic backgrounds may not feel comfortable discussing their past experiences. This can make it difficult for health care professionals to support residents in achieving ego integrity, as standard approaches like reminiscence therapy may not feel comfortable for everyone. This can result in </w:t>
      </w:r>
      <w:r w:rsidR="004E7E70">
        <w:rPr>
          <w:rFonts w:ascii="Arial" w:hAnsi="Arial" w:cs="Arial"/>
          <w:sz w:val="22"/>
          <w:szCs w:val="22"/>
        </w:rPr>
        <w:t>residents feeling disconnected or misunderstood, which can destructively affect their wellbeing.</w:t>
      </w:r>
      <w:r w:rsidR="000B12FA">
        <w:rPr>
          <w:rFonts w:ascii="Arial" w:hAnsi="Arial" w:cs="Arial"/>
          <w:sz w:val="22"/>
          <w:szCs w:val="22"/>
        </w:rPr>
        <w:t xml:space="preserve"> A way to overcome this challenge is by providing a culturally sensitive, person-centred care this can include involving their family members where appropriate to gain more insight into the individuals life and taking the time to learn about the </w:t>
      </w:r>
      <w:r w:rsidR="001D46EB">
        <w:rPr>
          <w:rFonts w:ascii="Arial" w:hAnsi="Arial" w:cs="Arial"/>
          <w:sz w:val="22"/>
          <w:szCs w:val="22"/>
        </w:rPr>
        <w:t>resident’s</w:t>
      </w:r>
      <w:r w:rsidR="00A131EC">
        <w:rPr>
          <w:rFonts w:ascii="Arial" w:hAnsi="Arial" w:cs="Arial"/>
          <w:sz w:val="22"/>
          <w:szCs w:val="22"/>
        </w:rPr>
        <w:t xml:space="preserve"> belief and background.</w:t>
      </w:r>
    </w:p>
    <w:p w14:paraId="4DC7DF92" w14:textId="77777777" w:rsidR="00CB6B69" w:rsidRDefault="00CB6B69">
      <w:pPr>
        <w:rPr>
          <w:rFonts w:ascii="Arial" w:hAnsi="Arial" w:cs="Arial"/>
        </w:rPr>
      </w:pPr>
    </w:p>
    <w:p w14:paraId="6F4902B4" w14:textId="77777777" w:rsidR="00E33F22" w:rsidRDefault="00E33F22">
      <w:pPr>
        <w:rPr>
          <w:rFonts w:ascii="Arial" w:hAnsi="Arial" w:cs="Arial"/>
        </w:rPr>
      </w:pPr>
    </w:p>
    <w:p w14:paraId="2B888A1C" w14:textId="77777777" w:rsidR="00E33F22" w:rsidRDefault="00E33F22">
      <w:pPr>
        <w:rPr>
          <w:rFonts w:ascii="Arial" w:hAnsi="Arial" w:cs="Arial"/>
        </w:rPr>
      </w:pPr>
    </w:p>
    <w:p w14:paraId="6717BD8C" w14:textId="77777777" w:rsidR="00E33F22" w:rsidRDefault="00E33F22">
      <w:pPr>
        <w:rPr>
          <w:rFonts w:ascii="Arial" w:hAnsi="Arial" w:cs="Arial"/>
        </w:rPr>
      </w:pPr>
    </w:p>
    <w:p w14:paraId="7C2C331C" w14:textId="77777777" w:rsidR="00E33F22" w:rsidRDefault="00E33F22">
      <w:pPr>
        <w:rPr>
          <w:rFonts w:ascii="Arial" w:hAnsi="Arial" w:cs="Arial"/>
        </w:rPr>
      </w:pPr>
    </w:p>
    <w:p w14:paraId="2D01741A" w14:textId="77777777" w:rsidR="00E33F22" w:rsidRDefault="00E33F22">
      <w:pPr>
        <w:rPr>
          <w:rFonts w:ascii="Arial" w:hAnsi="Arial" w:cs="Arial"/>
        </w:rPr>
      </w:pPr>
    </w:p>
    <w:p w14:paraId="5DEE001E" w14:textId="77777777" w:rsidR="00E33F22" w:rsidRDefault="00E33F22">
      <w:pPr>
        <w:rPr>
          <w:rFonts w:ascii="Arial" w:hAnsi="Arial" w:cs="Arial"/>
        </w:rPr>
      </w:pPr>
    </w:p>
    <w:p w14:paraId="7B3E66FD" w14:textId="77777777" w:rsidR="00E33F22" w:rsidRDefault="00E33F22">
      <w:pPr>
        <w:rPr>
          <w:rFonts w:ascii="Arial" w:hAnsi="Arial" w:cs="Arial"/>
        </w:rPr>
      </w:pPr>
    </w:p>
    <w:p w14:paraId="7C1C50E5" w14:textId="77777777" w:rsidR="00E33F22" w:rsidRDefault="00E33F22">
      <w:pPr>
        <w:rPr>
          <w:rFonts w:ascii="Arial" w:hAnsi="Arial" w:cs="Arial"/>
        </w:rPr>
      </w:pPr>
    </w:p>
    <w:p w14:paraId="09BFDB7A" w14:textId="77777777" w:rsidR="00E33F22" w:rsidRDefault="00E33F22">
      <w:pPr>
        <w:rPr>
          <w:rFonts w:ascii="Arial" w:hAnsi="Arial" w:cs="Arial"/>
        </w:rPr>
      </w:pPr>
    </w:p>
    <w:p w14:paraId="3DD5BEBE" w14:textId="77777777" w:rsidR="00E33F22" w:rsidRDefault="00E33F22">
      <w:pPr>
        <w:rPr>
          <w:rFonts w:ascii="Arial" w:hAnsi="Arial" w:cs="Arial"/>
        </w:rPr>
      </w:pPr>
    </w:p>
    <w:p w14:paraId="35D9DA74" w14:textId="77777777" w:rsidR="00E33F22" w:rsidRDefault="00E33F22">
      <w:pPr>
        <w:rPr>
          <w:rFonts w:ascii="Arial" w:hAnsi="Arial" w:cs="Arial"/>
        </w:rPr>
      </w:pPr>
    </w:p>
    <w:p w14:paraId="3230D2EC" w14:textId="77777777" w:rsidR="00E33F22" w:rsidRDefault="00E33F22">
      <w:pPr>
        <w:rPr>
          <w:rFonts w:ascii="Arial" w:hAnsi="Arial" w:cs="Arial"/>
        </w:rPr>
      </w:pPr>
    </w:p>
    <w:p w14:paraId="43CE317C" w14:textId="77777777" w:rsidR="00E33F22" w:rsidRDefault="00E33F22">
      <w:pPr>
        <w:rPr>
          <w:rFonts w:ascii="Arial" w:hAnsi="Arial" w:cs="Arial"/>
        </w:rPr>
      </w:pPr>
    </w:p>
    <w:p w14:paraId="239990B6" w14:textId="77777777" w:rsidR="00E33F22" w:rsidRDefault="00E33F22">
      <w:pPr>
        <w:rPr>
          <w:rFonts w:ascii="Arial" w:hAnsi="Arial" w:cs="Arial"/>
        </w:rPr>
      </w:pPr>
    </w:p>
    <w:p w14:paraId="2F49A6CD" w14:textId="77777777" w:rsidR="00E33F22" w:rsidRDefault="00E33F22">
      <w:pPr>
        <w:rPr>
          <w:rFonts w:ascii="Arial" w:hAnsi="Arial" w:cs="Arial"/>
        </w:rPr>
      </w:pPr>
    </w:p>
    <w:p w14:paraId="4787E1F2" w14:textId="77777777" w:rsidR="00E33F22" w:rsidRDefault="00E33F22">
      <w:pPr>
        <w:rPr>
          <w:rFonts w:ascii="Arial" w:hAnsi="Arial" w:cs="Arial"/>
        </w:rPr>
      </w:pPr>
    </w:p>
    <w:p w14:paraId="30F3FF3B" w14:textId="77777777" w:rsidR="009806B4" w:rsidRDefault="009806B4">
      <w:pPr>
        <w:rPr>
          <w:rFonts w:ascii="Arial" w:hAnsi="Arial" w:cs="Arial"/>
        </w:rPr>
      </w:pPr>
    </w:p>
    <w:p w14:paraId="0241AF26" w14:textId="77777777" w:rsidR="009806B4" w:rsidRDefault="009806B4">
      <w:pPr>
        <w:rPr>
          <w:rFonts w:ascii="Arial" w:hAnsi="Arial" w:cs="Arial"/>
        </w:rPr>
      </w:pPr>
    </w:p>
    <w:p w14:paraId="6E679140" w14:textId="77777777" w:rsidR="008A7C37" w:rsidRDefault="008A7C37">
      <w:pPr>
        <w:rPr>
          <w:rFonts w:ascii="Arial" w:hAnsi="Arial" w:cs="Arial"/>
        </w:rPr>
      </w:pPr>
    </w:p>
    <w:p w14:paraId="1F82BA41" w14:textId="77777777" w:rsidR="008A7C37" w:rsidRDefault="008A7C37">
      <w:pPr>
        <w:rPr>
          <w:rFonts w:ascii="Arial" w:hAnsi="Arial" w:cs="Arial"/>
        </w:rPr>
      </w:pPr>
    </w:p>
    <w:p w14:paraId="50631EF7" w14:textId="77777777" w:rsidR="008A7C37" w:rsidRDefault="008A7C37">
      <w:pPr>
        <w:rPr>
          <w:rFonts w:ascii="Arial" w:hAnsi="Arial" w:cs="Arial"/>
        </w:rPr>
      </w:pPr>
    </w:p>
    <w:p w14:paraId="0E2F1EEC" w14:textId="77777777" w:rsidR="008A7C37" w:rsidRDefault="008A7C37">
      <w:pPr>
        <w:rPr>
          <w:rFonts w:ascii="Arial" w:hAnsi="Arial" w:cs="Arial"/>
        </w:rPr>
      </w:pPr>
    </w:p>
    <w:p w14:paraId="7E46F228" w14:textId="05A7B749" w:rsidR="00E33F22" w:rsidRDefault="00E33F22">
      <w:pPr>
        <w:rPr>
          <w:rFonts w:ascii="Arial" w:hAnsi="Arial" w:cs="Arial"/>
          <w:b/>
          <w:bCs/>
        </w:rPr>
      </w:pPr>
      <w:r w:rsidRPr="008A7C37">
        <w:rPr>
          <w:rFonts w:ascii="Arial" w:hAnsi="Arial" w:cs="Arial"/>
          <w:b/>
          <w:bCs/>
        </w:rPr>
        <w:t>Reference</w:t>
      </w:r>
    </w:p>
    <w:p w14:paraId="7248753B" w14:textId="77777777" w:rsidR="00D2371E" w:rsidRPr="00843066" w:rsidRDefault="00D2371E" w:rsidP="00D2371E">
      <w:pPr>
        <w:rPr>
          <w:rFonts w:ascii="Arial" w:hAnsi="Arial" w:cs="Arial"/>
        </w:rPr>
      </w:pPr>
      <w:r w:rsidRPr="00843066">
        <w:rPr>
          <w:rFonts w:ascii="Arial" w:hAnsi="Arial" w:cs="Arial"/>
        </w:rPr>
        <w:t xml:space="preserve">Bowlby, J. (1988) </w:t>
      </w:r>
      <w:r w:rsidRPr="00843066">
        <w:rPr>
          <w:rStyle w:val="Emphasis"/>
          <w:rFonts w:ascii="Arial" w:hAnsi="Arial" w:cs="Arial"/>
        </w:rPr>
        <w:t>A Secure Base: Parent-Child Attachment and Healthy Human Development</w:t>
      </w:r>
      <w:r w:rsidRPr="00843066">
        <w:rPr>
          <w:rFonts w:ascii="Arial" w:hAnsi="Arial" w:cs="Arial"/>
        </w:rPr>
        <w:t>. London: Routledge.</w:t>
      </w:r>
    </w:p>
    <w:p w14:paraId="1325A3DC" w14:textId="77777777" w:rsidR="00D2371E" w:rsidRDefault="00D2371E" w:rsidP="00D2371E">
      <w:pPr>
        <w:rPr>
          <w:rFonts w:ascii="Arial" w:hAnsi="Arial" w:cs="Arial"/>
        </w:rPr>
      </w:pPr>
      <w:r w:rsidRPr="008A7C37">
        <w:rPr>
          <w:rStyle w:val="Strong"/>
          <w:rFonts w:ascii="Arial" w:hAnsi="Arial" w:cs="Arial"/>
          <w:b w:val="0"/>
          <w:bCs w:val="0"/>
        </w:rPr>
        <w:t>Erikson, E.H. (1982)</w:t>
      </w:r>
      <w:r w:rsidRPr="00843066">
        <w:rPr>
          <w:rFonts w:ascii="Arial" w:hAnsi="Arial" w:cs="Arial"/>
        </w:rPr>
        <w:t xml:space="preserve"> </w:t>
      </w:r>
      <w:r w:rsidRPr="00843066">
        <w:rPr>
          <w:rStyle w:val="Emphasis"/>
          <w:rFonts w:ascii="Arial" w:hAnsi="Arial" w:cs="Arial"/>
        </w:rPr>
        <w:t>The Life Cycle Completed</w:t>
      </w:r>
      <w:r w:rsidRPr="00843066">
        <w:rPr>
          <w:rFonts w:ascii="Arial" w:hAnsi="Arial" w:cs="Arial"/>
        </w:rPr>
        <w:t>. New York: W.W. Norton &amp; Company.</w:t>
      </w:r>
    </w:p>
    <w:p w14:paraId="46158128" w14:textId="77777777" w:rsidR="00D2371E" w:rsidRDefault="00D2371E" w:rsidP="00D2371E">
      <w:r w:rsidRPr="0009060F">
        <w:t>Erikson, E. H. (1950). Childhood and Society. New York: W. W. Norton &amp;</w:t>
      </w:r>
    </w:p>
    <w:p w14:paraId="0955DD1C" w14:textId="77777777" w:rsidR="00215DDA" w:rsidRDefault="00215DDA" w:rsidP="00215DDA">
      <w:pPr>
        <w:pStyle w:val="NormalWeb"/>
        <w:spacing w:before="0" w:beforeAutospacing="0" w:after="0" w:afterAutospacing="0" w:line="360" w:lineRule="atLeast"/>
        <w:rPr>
          <w:rFonts w:ascii="Arial" w:hAnsi="Arial" w:cs="Arial"/>
          <w:color w:val="000000"/>
          <w:sz w:val="22"/>
          <w:szCs w:val="22"/>
        </w:rPr>
      </w:pPr>
      <w:r w:rsidRPr="006535C8">
        <w:rPr>
          <w:rFonts w:ascii="Arial" w:hAnsi="Arial" w:cs="Arial"/>
          <w:color w:val="000000"/>
          <w:sz w:val="22"/>
          <w:szCs w:val="22"/>
        </w:rPr>
        <w:t>Khadka, C. (2022). The Evolution of Attachment Theory: From Bowlby to Modern Perspectives. </w:t>
      </w:r>
      <w:r w:rsidRPr="006535C8">
        <w:rPr>
          <w:rFonts w:ascii="Arial" w:hAnsi="Arial" w:cs="Arial"/>
          <w:i/>
          <w:iCs/>
          <w:color w:val="000000"/>
          <w:sz w:val="22"/>
          <w:szCs w:val="22"/>
        </w:rPr>
        <w:t>TUTA Journal</w:t>
      </w:r>
      <w:r w:rsidRPr="006535C8">
        <w:rPr>
          <w:rFonts w:ascii="Arial" w:hAnsi="Arial" w:cs="Arial"/>
          <w:color w:val="000000"/>
          <w:sz w:val="22"/>
          <w:szCs w:val="22"/>
        </w:rPr>
        <w:t xml:space="preserve">, 10(1), pp.125–140. </w:t>
      </w:r>
    </w:p>
    <w:p w14:paraId="3DA85232" w14:textId="77777777" w:rsidR="00D2371E" w:rsidRDefault="00D2371E" w:rsidP="00D2371E">
      <w:pPr>
        <w:rPr>
          <w:rFonts w:ascii="Arial" w:hAnsi="Arial" w:cs="Arial"/>
        </w:rPr>
      </w:pPr>
      <w:r w:rsidRPr="00C30B17">
        <w:rPr>
          <w:rFonts w:ascii="Arial" w:hAnsi="Arial" w:cs="Arial"/>
        </w:rPr>
        <w:t>Syed, M. and McLean, K.C. (2017) Erikson’s Theory of Psychosocial Development. Available at: (d1wqtxts1xzle7.cloudfront.net in Bing) (Accessed: 25 March 2026).</w:t>
      </w:r>
    </w:p>
    <w:p w14:paraId="6F1E9293" w14:textId="7E7D0E0D" w:rsidR="00EB4F8E" w:rsidRPr="00364C05" w:rsidRDefault="00E108FC" w:rsidP="0009060F">
      <w:pPr>
        <w:rPr>
          <w:rFonts w:ascii="Arial" w:hAnsi="Arial" w:cs="Arial"/>
        </w:rPr>
      </w:pPr>
      <w:r w:rsidRPr="00E108FC">
        <w:rPr>
          <w:rFonts w:ascii="Arial" w:hAnsi="Arial" w:cs="Arial"/>
        </w:rPr>
        <w:t xml:space="preserve">Perry, T.E., Ruggiano, N., </w:t>
      </w:r>
      <w:proofErr w:type="spellStart"/>
      <w:r w:rsidRPr="00E108FC">
        <w:rPr>
          <w:rFonts w:ascii="Arial" w:hAnsi="Arial" w:cs="Arial"/>
        </w:rPr>
        <w:t>Shtompel</w:t>
      </w:r>
      <w:proofErr w:type="spellEnd"/>
      <w:r w:rsidRPr="00E108FC">
        <w:rPr>
          <w:rFonts w:ascii="Arial" w:hAnsi="Arial" w:cs="Arial"/>
        </w:rPr>
        <w:t>, N. and Hassevoort, L. (2018) ‘Applying Erikson’s wisdom to self-management practices of older adults’</w:t>
      </w:r>
      <w:r w:rsidRPr="00E108FC">
        <w:t xml:space="preserve">, </w:t>
      </w:r>
      <w:r w:rsidRPr="00E108FC">
        <w:rPr>
          <w:i/>
          <w:iCs/>
        </w:rPr>
        <w:t>Research on Aging</w:t>
      </w:r>
      <w:r w:rsidRPr="00E108FC">
        <w:t xml:space="preserve">, 40(2), pp. 200–223. Available at: </w:t>
      </w:r>
      <w:hyperlink r:id="rId9" w:tgtFrame="_new" w:history="1">
        <w:r w:rsidRPr="00E108FC">
          <w:rPr>
            <w:color w:val="0000FF"/>
            <w:u w:val="single"/>
          </w:rPr>
          <w:t>https://doi.org/10.1177/0164027517694374</w:t>
        </w:r>
      </w:hyperlink>
      <w:r w:rsidRPr="00E108FC">
        <w:t xml:space="preserve"> (Accessed: 18 April 2026).</w:t>
      </w:r>
    </w:p>
    <w:sectPr w:rsidR="00EB4F8E" w:rsidRPr="00364C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4B87C" w14:textId="77777777" w:rsidR="00B6334B" w:rsidRDefault="00B6334B" w:rsidP="00D700FB">
      <w:pPr>
        <w:spacing w:after="0" w:line="240" w:lineRule="auto"/>
      </w:pPr>
      <w:r>
        <w:separator/>
      </w:r>
    </w:p>
  </w:endnote>
  <w:endnote w:type="continuationSeparator" w:id="0">
    <w:p w14:paraId="070FA6B6" w14:textId="77777777" w:rsidR="00B6334B" w:rsidRDefault="00B6334B" w:rsidP="00D70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C2E32" w14:textId="77777777" w:rsidR="00B6334B" w:rsidRDefault="00B6334B" w:rsidP="00D700FB">
      <w:pPr>
        <w:spacing w:after="0" w:line="240" w:lineRule="auto"/>
      </w:pPr>
      <w:r>
        <w:separator/>
      </w:r>
    </w:p>
  </w:footnote>
  <w:footnote w:type="continuationSeparator" w:id="0">
    <w:p w14:paraId="560E8DB4" w14:textId="77777777" w:rsidR="00B6334B" w:rsidRDefault="00B6334B" w:rsidP="00D700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C8"/>
    <w:rsid w:val="000004F0"/>
    <w:rsid w:val="00023BDF"/>
    <w:rsid w:val="000256F0"/>
    <w:rsid w:val="0003079B"/>
    <w:rsid w:val="00037108"/>
    <w:rsid w:val="000529EB"/>
    <w:rsid w:val="0007296B"/>
    <w:rsid w:val="000825A2"/>
    <w:rsid w:val="0008516D"/>
    <w:rsid w:val="00085784"/>
    <w:rsid w:val="0009060F"/>
    <w:rsid w:val="000A48CE"/>
    <w:rsid w:val="000B12FA"/>
    <w:rsid w:val="000C4003"/>
    <w:rsid w:val="000F444F"/>
    <w:rsid w:val="001110EE"/>
    <w:rsid w:val="00122051"/>
    <w:rsid w:val="00127F9A"/>
    <w:rsid w:val="0015667C"/>
    <w:rsid w:val="00162517"/>
    <w:rsid w:val="001A2EC6"/>
    <w:rsid w:val="001C626C"/>
    <w:rsid w:val="001D46EB"/>
    <w:rsid w:val="00210100"/>
    <w:rsid w:val="00214034"/>
    <w:rsid w:val="00215DDA"/>
    <w:rsid w:val="002239C5"/>
    <w:rsid w:val="00226C55"/>
    <w:rsid w:val="00232114"/>
    <w:rsid w:val="00261787"/>
    <w:rsid w:val="00275A84"/>
    <w:rsid w:val="002C1D9D"/>
    <w:rsid w:val="002C3AAF"/>
    <w:rsid w:val="002C5B8B"/>
    <w:rsid w:val="002D1010"/>
    <w:rsid w:val="0030206E"/>
    <w:rsid w:val="003177EC"/>
    <w:rsid w:val="00345124"/>
    <w:rsid w:val="00345C66"/>
    <w:rsid w:val="00364C05"/>
    <w:rsid w:val="00392AC8"/>
    <w:rsid w:val="00397669"/>
    <w:rsid w:val="003B02D5"/>
    <w:rsid w:val="003B4DC2"/>
    <w:rsid w:val="003C3E16"/>
    <w:rsid w:val="003D20E4"/>
    <w:rsid w:val="003D5C5D"/>
    <w:rsid w:val="004548CF"/>
    <w:rsid w:val="00495836"/>
    <w:rsid w:val="004B0F76"/>
    <w:rsid w:val="004B58CC"/>
    <w:rsid w:val="004C2D49"/>
    <w:rsid w:val="004D091E"/>
    <w:rsid w:val="004D54E3"/>
    <w:rsid w:val="004E2000"/>
    <w:rsid w:val="004E7E70"/>
    <w:rsid w:val="005102B9"/>
    <w:rsid w:val="00513F58"/>
    <w:rsid w:val="00522E59"/>
    <w:rsid w:val="00531CA3"/>
    <w:rsid w:val="0054501C"/>
    <w:rsid w:val="005615B9"/>
    <w:rsid w:val="00562DE2"/>
    <w:rsid w:val="005816F5"/>
    <w:rsid w:val="005A458C"/>
    <w:rsid w:val="005D08F0"/>
    <w:rsid w:val="005F418D"/>
    <w:rsid w:val="005F6CB5"/>
    <w:rsid w:val="00613C02"/>
    <w:rsid w:val="0061418A"/>
    <w:rsid w:val="00624383"/>
    <w:rsid w:val="00634C8F"/>
    <w:rsid w:val="006362CB"/>
    <w:rsid w:val="00641CF3"/>
    <w:rsid w:val="006535C8"/>
    <w:rsid w:val="00683F7A"/>
    <w:rsid w:val="006A379F"/>
    <w:rsid w:val="006A5F94"/>
    <w:rsid w:val="006E29FA"/>
    <w:rsid w:val="006F6552"/>
    <w:rsid w:val="006F7E81"/>
    <w:rsid w:val="00700DF5"/>
    <w:rsid w:val="007160E3"/>
    <w:rsid w:val="00737B08"/>
    <w:rsid w:val="0075167D"/>
    <w:rsid w:val="00785E0F"/>
    <w:rsid w:val="00786C9F"/>
    <w:rsid w:val="007B060E"/>
    <w:rsid w:val="007C408F"/>
    <w:rsid w:val="007C6D43"/>
    <w:rsid w:val="007D3A67"/>
    <w:rsid w:val="007D7E27"/>
    <w:rsid w:val="008205E3"/>
    <w:rsid w:val="00830286"/>
    <w:rsid w:val="00832C42"/>
    <w:rsid w:val="00843066"/>
    <w:rsid w:val="0087358B"/>
    <w:rsid w:val="00883615"/>
    <w:rsid w:val="008962DF"/>
    <w:rsid w:val="008A7C37"/>
    <w:rsid w:val="008B3F0D"/>
    <w:rsid w:val="008D0C6D"/>
    <w:rsid w:val="008E7614"/>
    <w:rsid w:val="008F6337"/>
    <w:rsid w:val="00921E5E"/>
    <w:rsid w:val="00925586"/>
    <w:rsid w:val="00953CEC"/>
    <w:rsid w:val="00957A70"/>
    <w:rsid w:val="009806B4"/>
    <w:rsid w:val="009B06C3"/>
    <w:rsid w:val="009C1524"/>
    <w:rsid w:val="009C55BF"/>
    <w:rsid w:val="009E479E"/>
    <w:rsid w:val="009E7C13"/>
    <w:rsid w:val="00A131EC"/>
    <w:rsid w:val="00A21608"/>
    <w:rsid w:val="00A23BE7"/>
    <w:rsid w:val="00A36ADD"/>
    <w:rsid w:val="00A917AE"/>
    <w:rsid w:val="00AD7C0B"/>
    <w:rsid w:val="00B03805"/>
    <w:rsid w:val="00B46E9C"/>
    <w:rsid w:val="00B47557"/>
    <w:rsid w:val="00B52F58"/>
    <w:rsid w:val="00B6334B"/>
    <w:rsid w:val="00B809A0"/>
    <w:rsid w:val="00B862E7"/>
    <w:rsid w:val="00BF6B72"/>
    <w:rsid w:val="00BF7830"/>
    <w:rsid w:val="00C14CA6"/>
    <w:rsid w:val="00C216C9"/>
    <w:rsid w:val="00C220C7"/>
    <w:rsid w:val="00C278F2"/>
    <w:rsid w:val="00C30B17"/>
    <w:rsid w:val="00C85B10"/>
    <w:rsid w:val="00C97BCB"/>
    <w:rsid w:val="00CB48C2"/>
    <w:rsid w:val="00CB6B69"/>
    <w:rsid w:val="00CE7D51"/>
    <w:rsid w:val="00CF453E"/>
    <w:rsid w:val="00D2371E"/>
    <w:rsid w:val="00D700FB"/>
    <w:rsid w:val="00D83EDE"/>
    <w:rsid w:val="00DB340D"/>
    <w:rsid w:val="00DB47C8"/>
    <w:rsid w:val="00DB6EFC"/>
    <w:rsid w:val="00DD6126"/>
    <w:rsid w:val="00DE67F6"/>
    <w:rsid w:val="00E108FC"/>
    <w:rsid w:val="00E16417"/>
    <w:rsid w:val="00E31580"/>
    <w:rsid w:val="00E33F22"/>
    <w:rsid w:val="00E441EC"/>
    <w:rsid w:val="00E45587"/>
    <w:rsid w:val="00E504F3"/>
    <w:rsid w:val="00E66CC7"/>
    <w:rsid w:val="00EA7BDD"/>
    <w:rsid w:val="00EB4F8E"/>
    <w:rsid w:val="00EC2CBA"/>
    <w:rsid w:val="00ED46DF"/>
    <w:rsid w:val="00F0076D"/>
    <w:rsid w:val="00F35D20"/>
    <w:rsid w:val="00F5547A"/>
    <w:rsid w:val="00F55DBF"/>
    <w:rsid w:val="00F57155"/>
    <w:rsid w:val="00F633BE"/>
    <w:rsid w:val="00F65E80"/>
    <w:rsid w:val="00F70543"/>
    <w:rsid w:val="00FB42C0"/>
    <w:rsid w:val="00FB5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D4040"/>
  <w15:chartTrackingRefBased/>
  <w15:docId w15:val="{98F55221-D278-4072-90D6-EDC6AC2BD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A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A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A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A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A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A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A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A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A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A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AC8"/>
    <w:rPr>
      <w:rFonts w:eastAsiaTheme="majorEastAsia" w:cstheme="majorBidi"/>
      <w:color w:val="272727" w:themeColor="text1" w:themeTint="D8"/>
    </w:rPr>
  </w:style>
  <w:style w:type="paragraph" w:styleId="Title">
    <w:name w:val="Title"/>
    <w:basedOn w:val="Normal"/>
    <w:next w:val="Normal"/>
    <w:link w:val="TitleChar"/>
    <w:uiPriority w:val="10"/>
    <w:qFormat/>
    <w:rsid w:val="00392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AC8"/>
    <w:pPr>
      <w:spacing w:before="160"/>
      <w:jc w:val="center"/>
    </w:pPr>
    <w:rPr>
      <w:i/>
      <w:iCs/>
      <w:color w:val="404040" w:themeColor="text1" w:themeTint="BF"/>
    </w:rPr>
  </w:style>
  <w:style w:type="character" w:customStyle="1" w:styleId="QuoteChar">
    <w:name w:val="Quote Char"/>
    <w:basedOn w:val="DefaultParagraphFont"/>
    <w:link w:val="Quote"/>
    <w:uiPriority w:val="29"/>
    <w:rsid w:val="00392AC8"/>
    <w:rPr>
      <w:i/>
      <w:iCs/>
      <w:color w:val="404040" w:themeColor="text1" w:themeTint="BF"/>
    </w:rPr>
  </w:style>
  <w:style w:type="paragraph" w:styleId="ListParagraph">
    <w:name w:val="List Paragraph"/>
    <w:basedOn w:val="Normal"/>
    <w:uiPriority w:val="34"/>
    <w:qFormat/>
    <w:rsid w:val="00392AC8"/>
    <w:pPr>
      <w:ind w:left="720"/>
      <w:contextualSpacing/>
    </w:pPr>
  </w:style>
  <w:style w:type="character" w:styleId="IntenseEmphasis">
    <w:name w:val="Intense Emphasis"/>
    <w:basedOn w:val="DefaultParagraphFont"/>
    <w:uiPriority w:val="21"/>
    <w:qFormat/>
    <w:rsid w:val="00392AC8"/>
    <w:rPr>
      <w:i/>
      <w:iCs/>
      <w:color w:val="0F4761" w:themeColor="accent1" w:themeShade="BF"/>
    </w:rPr>
  </w:style>
  <w:style w:type="paragraph" w:styleId="IntenseQuote">
    <w:name w:val="Intense Quote"/>
    <w:basedOn w:val="Normal"/>
    <w:next w:val="Normal"/>
    <w:link w:val="IntenseQuoteChar"/>
    <w:uiPriority w:val="30"/>
    <w:qFormat/>
    <w:rsid w:val="00392A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AC8"/>
    <w:rPr>
      <w:i/>
      <w:iCs/>
      <w:color w:val="0F4761" w:themeColor="accent1" w:themeShade="BF"/>
    </w:rPr>
  </w:style>
  <w:style w:type="character" w:styleId="IntenseReference">
    <w:name w:val="Intense Reference"/>
    <w:basedOn w:val="DefaultParagraphFont"/>
    <w:uiPriority w:val="32"/>
    <w:qFormat/>
    <w:rsid w:val="00392AC8"/>
    <w:rPr>
      <w:b/>
      <w:bCs/>
      <w:smallCaps/>
      <w:color w:val="0F4761" w:themeColor="accent1" w:themeShade="BF"/>
      <w:spacing w:val="5"/>
    </w:rPr>
  </w:style>
  <w:style w:type="character" w:styleId="Emphasis">
    <w:name w:val="Emphasis"/>
    <w:basedOn w:val="DefaultParagraphFont"/>
    <w:uiPriority w:val="20"/>
    <w:qFormat/>
    <w:rsid w:val="00830286"/>
    <w:rPr>
      <w:i/>
      <w:iCs/>
    </w:rPr>
  </w:style>
  <w:style w:type="paragraph" w:styleId="Header">
    <w:name w:val="header"/>
    <w:basedOn w:val="Normal"/>
    <w:link w:val="HeaderChar"/>
    <w:uiPriority w:val="99"/>
    <w:unhideWhenUsed/>
    <w:rsid w:val="00D70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FB"/>
  </w:style>
  <w:style w:type="paragraph" w:styleId="Footer">
    <w:name w:val="footer"/>
    <w:basedOn w:val="Normal"/>
    <w:link w:val="FooterChar"/>
    <w:uiPriority w:val="99"/>
    <w:unhideWhenUsed/>
    <w:rsid w:val="00D70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FB"/>
  </w:style>
  <w:style w:type="paragraph" w:styleId="NormalWeb">
    <w:name w:val="Normal (Web)"/>
    <w:basedOn w:val="Normal"/>
    <w:uiPriority w:val="99"/>
    <w:unhideWhenUsed/>
    <w:rsid w:val="006535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CB6B69"/>
  </w:style>
  <w:style w:type="character" w:styleId="Strong">
    <w:name w:val="Strong"/>
    <w:basedOn w:val="DefaultParagraphFont"/>
    <w:uiPriority w:val="22"/>
    <w:qFormat/>
    <w:rsid w:val="00CB6B69"/>
    <w:rPr>
      <w:b/>
      <w:bCs/>
    </w:rPr>
  </w:style>
  <w:style w:type="character" w:styleId="Hyperlink">
    <w:name w:val="Hyperlink"/>
    <w:basedOn w:val="DefaultParagraphFont"/>
    <w:uiPriority w:val="99"/>
    <w:unhideWhenUsed/>
    <w:rsid w:val="008B3F0D"/>
    <w:rPr>
      <w:color w:val="467886" w:themeColor="hyperlink"/>
      <w:u w:val="single"/>
    </w:rPr>
  </w:style>
  <w:style w:type="character" w:styleId="UnresolvedMention">
    <w:name w:val="Unresolved Mention"/>
    <w:basedOn w:val="DefaultParagraphFont"/>
    <w:uiPriority w:val="99"/>
    <w:semiHidden/>
    <w:unhideWhenUsed/>
    <w:rsid w:val="008B3F0D"/>
    <w:rPr>
      <w:color w:val="605E5C"/>
      <w:shd w:val="clear" w:color="auto" w:fill="E1DFDD"/>
    </w:rPr>
  </w:style>
  <w:style w:type="character" w:styleId="FollowedHyperlink">
    <w:name w:val="FollowedHyperlink"/>
    <w:basedOn w:val="DefaultParagraphFont"/>
    <w:uiPriority w:val="99"/>
    <w:semiHidden/>
    <w:unhideWhenUsed/>
    <w:rsid w:val="008B3F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3266769/?utm_sourc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1640275176943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20874-902C-4AC8-9922-3C37C7B4A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1498</TotalTime>
  <Pages>7</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Kizzy Owusuwa Poku (2431278)</dc:creator>
  <cp:keywords/>
  <dc:description/>
  <cp:lastModifiedBy>Kizzy Owusuwa Poku (2431278)</cp:lastModifiedBy>
  <cp:revision>69</cp:revision>
  <dcterms:created xsi:type="dcterms:W3CDTF">2026-03-22T10:08:00Z</dcterms:created>
  <dcterms:modified xsi:type="dcterms:W3CDTF">2026-04-18T16:04:00Z</dcterms:modified>
</cp:coreProperties>
</file>