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4F045D" w14:textId="3893488B" w:rsidR="00847EB8" w:rsidRPr="005F0C67" w:rsidRDefault="005F0C67" w:rsidP="005F0C67">
      <w:pPr>
        <w:spacing w:line="360" w:lineRule="auto"/>
        <w:jc w:val="center"/>
        <w:rPr>
          <w:rFonts w:ascii="Arial" w:hAnsi="Arial" w:cs="Arial"/>
          <w:sz w:val="22"/>
          <w:szCs w:val="22"/>
          <w:lang w:val="en-US"/>
        </w:rPr>
      </w:pPr>
      <w:r w:rsidRPr="005F0C67">
        <w:rPr>
          <w:rFonts w:ascii="Arial" w:hAnsi="Arial" w:cs="Arial"/>
          <w:sz w:val="22"/>
          <w:szCs w:val="22"/>
          <w:lang w:val="en-US"/>
        </w:rPr>
        <w:t xml:space="preserve">Student </w:t>
      </w:r>
      <w:proofErr w:type="gramStart"/>
      <w:r w:rsidRPr="005F0C67">
        <w:rPr>
          <w:rFonts w:ascii="Arial" w:hAnsi="Arial" w:cs="Arial"/>
          <w:sz w:val="22"/>
          <w:szCs w:val="22"/>
          <w:lang w:val="en-US"/>
        </w:rPr>
        <w:t>Name :</w:t>
      </w:r>
      <w:proofErr w:type="gramEnd"/>
      <w:r w:rsidRPr="005F0C67">
        <w:rPr>
          <w:rFonts w:ascii="Arial" w:hAnsi="Arial" w:cs="Arial"/>
          <w:sz w:val="22"/>
          <w:szCs w:val="22"/>
          <w:lang w:val="en-US"/>
        </w:rPr>
        <w:t xml:space="preserve"> Fizza Rizwan</w:t>
      </w:r>
    </w:p>
    <w:p w14:paraId="535A90EB" w14:textId="06C095DD" w:rsidR="005F0C67" w:rsidRPr="005F0C67" w:rsidRDefault="005F0C67" w:rsidP="005F0C67">
      <w:pPr>
        <w:spacing w:line="360" w:lineRule="auto"/>
        <w:jc w:val="center"/>
        <w:rPr>
          <w:rFonts w:ascii="Arial" w:hAnsi="Arial" w:cs="Arial"/>
          <w:sz w:val="22"/>
          <w:szCs w:val="22"/>
          <w:lang w:val="en-US"/>
        </w:rPr>
      </w:pPr>
      <w:r w:rsidRPr="005F0C67">
        <w:rPr>
          <w:rFonts w:ascii="Arial" w:hAnsi="Arial" w:cs="Arial"/>
          <w:sz w:val="22"/>
          <w:szCs w:val="22"/>
          <w:lang w:val="en-US"/>
        </w:rPr>
        <w:t xml:space="preserve">Student </w:t>
      </w:r>
      <w:proofErr w:type="gramStart"/>
      <w:r w:rsidRPr="005F0C67">
        <w:rPr>
          <w:rFonts w:ascii="Arial" w:hAnsi="Arial" w:cs="Arial"/>
          <w:sz w:val="22"/>
          <w:szCs w:val="22"/>
          <w:lang w:val="en-US"/>
        </w:rPr>
        <w:t>No :</w:t>
      </w:r>
      <w:proofErr w:type="gramEnd"/>
      <w:r w:rsidRPr="005F0C67">
        <w:rPr>
          <w:rFonts w:ascii="Arial" w:hAnsi="Arial" w:cs="Arial"/>
          <w:sz w:val="22"/>
          <w:szCs w:val="22"/>
          <w:lang w:val="en-US"/>
        </w:rPr>
        <w:t xml:space="preserve"> 2422238</w:t>
      </w:r>
    </w:p>
    <w:p w14:paraId="6C366997" w14:textId="233830C4" w:rsidR="005F0C67" w:rsidRPr="005F0C67" w:rsidRDefault="005F0C67" w:rsidP="005F0C67">
      <w:pPr>
        <w:spacing w:line="360" w:lineRule="auto"/>
        <w:jc w:val="center"/>
        <w:rPr>
          <w:rFonts w:ascii="Arial" w:hAnsi="Arial" w:cs="Arial"/>
          <w:sz w:val="22"/>
          <w:szCs w:val="22"/>
          <w:lang w:val="en-US"/>
        </w:rPr>
      </w:pPr>
      <w:r w:rsidRPr="005F0C67">
        <w:rPr>
          <w:rFonts w:ascii="Arial" w:hAnsi="Arial" w:cs="Arial"/>
          <w:sz w:val="22"/>
          <w:szCs w:val="22"/>
          <w:lang w:val="en-US"/>
        </w:rPr>
        <w:t xml:space="preserve">Lecturer </w:t>
      </w:r>
      <w:proofErr w:type="gramStart"/>
      <w:r w:rsidRPr="005F0C67">
        <w:rPr>
          <w:rFonts w:ascii="Arial" w:hAnsi="Arial" w:cs="Arial"/>
          <w:sz w:val="22"/>
          <w:szCs w:val="22"/>
          <w:lang w:val="en-US"/>
        </w:rPr>
        <w:t>Name :</w:t>
      </w:r>
      <w:proofErr w:type="gramEnd"/>
      <w:r w:rsidRPr="005F0C67">
        <w:rPr>
          <w:rFonts w:ascii="Arial" w:hAnsi="Arial" w:cs="Arial"/>
          <w:sz w:val="22"/>
          <w:szCs w:val="22"/>
          <w:lang w:val="en-US"/>
        </w:rPr>
        <w:t xml:space="preserve"> Mumtaz Goolam</w:t>
      </w:r>
    </w:p>
    <w:p w14:paraId="2A83C091" w14:textId="5CCC35CA" w:rsidR="005F0C67" w:rsidRPr="005F0C67" w:rsidRDefault="005F0C67" w:rsidP="005F0C67">
      <w:pPr>
        <w:spacing w:line="360" w:lineRule="auto"/>
        <w:jc w:val="center"/>
        <w:rPr>
          <w:rFonts w:ascii="Arial" w:hAnsi="Arial" w:cs="Arial"/>
          <w:sz w:val="22"/>
          <w:szCs w:val="22"/>
          <w:lang w:val="en-US"/>
        </w:rPr>
      </w:pPr>
      <w:r w:rsidRPr="005F0C67">
        <w:rPr>
          <w:rFonts w:ascii="Arial" w:hAnsi="Arial" w:cs="Arial"/>
          <w:sz w:val="22"/>
          <w:szCs w:val="22"/>
          <w:lang w:val="en-US"/>
        </w:rPr>
        <w:t>Module Code LCHS 4008</w:t>
      </w:r>
    </w:p>
    <w:p w14:paraId="02158F7F" w14:textId="0FB97C4F" w:rsidR="005F0C67" w:rsidRPr="005F0C67" w:rsidRDefault="005F0C67" w:rsidP="005F0C67">
      <w:pPr>
        <w:spacing w:line="360" w:lineRule="auto"/>
        <w:jc w:val="center"/>
        <w:rPr>
          <w:rFonts w:ascii="Arial" w:hAnsi="Arial" w:cs="Arial"/>
          <w:sz w:val="22"/>
          <w:szCs w:val="22"/>
          <w:lang w:val="en-US"/>
        </w:rPr>
      </w:pPr>
      <w:r w:rsidRPr="005F0C67">
        <w:rPr>
          <w:rFonts w:ascii="Arial" w:hAnsi="Arial" w:cs="Arial"/>
          <w:sz w:val="22"/>
          <w:szCs w:val="22"/>
          <w:lang w:val="en-US"/>
        </w:rPr>
        <w:t xml:space="preserve">Assignment Title: </w:t>
      </w:r>
      <w:proofErr w:type="gramStart"/>
      <w:r w:rsidRPr="005F0C67">
        <w:rPr>
          <w:rFonts w:ascii="Arial" w:hAnsi="Arial" w:cs="Arial"/>
          <w:sz w:val="22"/>
          <w:szCs w:val="22"/>
          <w:lang w:val="en-US"/>
        </w:rPr>
        <w:t>Work Place</w:t>
      </w:r>
      <w:proofErr w:type="gramEnd"/>
      <w:r w:rsidRPr="005F0C67">
        <w:rPr>
          <w:rFonts w:ascii="Arial" w:hAnsi="Arial" w:cs="Arial"/>
          <w:sz w:val="22"/>
          <w:szCs w:val="22"/>
          <w:lang w:val="en-US"/>
        </w:rPr>
        <w:t xml:space="preserve"> Health and Social Care</w:t>
      </w:r>
    </w:p>
    <w:p w14:paraId="0DB01B46" w14:textId="0A892AB3" w:rsidR="005F0C67" w:rsidRPr="005F0C67" w:rsidRDefault="005F0C67" w:rsidP="005F0C67">
      <w:pPr>
        <w:spacing w:line="360" w:lineRule="auto"/>
        <w:jc w:val="center"/>
        <w:rPr>
          <w:rFonts w:ascii="Arial" w:hAnsi="Arial" w:cs="Arial"/>
          <w:sz w:val="22"/>
          <w:szCs w:val="22"/>
          <w:lang w:val="en-US"/>
        </w:rPr>
      </w:pPr>
    </w:p>
    <w:p w14:paraId="4B37CDD3" w14:textId="77777777" w:rsidR="005F0C67" w:rsidRPr="005F0C67" w:rsidRDefault="005F0C67" w:rsidP="005F0C67">
      <w:pPr>
        <w:spacing w:line="360" w:lineRule="auto"/>
        <w:rPr>
          <w:rFonts w:ascii="Arial" w:hAnsi="Arial" w:cs="Arial"/>
          <w:sz w:val="22"/>
          <w:szCs w:val="22"/>
          <w:lang w:val="en-US"/>
        </w:rPr>
      </w:pPr>
      <w:r w:rsidRPr="005F0C67">
        <w:rPr>
          <w:rFonts w:ascii="Arial" w:hAnsi="Arial" w:cs="Arial"/>
          <w:sz w:val="22"/>
          <w:szCs w:val="22"/>
          <w:lang w:val="en-US"/>
        </w:rPr>
        <w:br w:type="page"/>
      </w:r>
    </w:p>
    <w:p w14:paraId="4EBED89F" w14:textId="641FEC75" w:rsidR="005F0C67" w:rsidRDefault="005F0C67" w:rsidP="005F0C67">
      <w:pPr>
        <w:spacing w:line="360" w:lineRule="auto"/>
        <w:rPr>
          <w:rFonts w:ascii="Arial" w:hAnsi="Arial" w:cs="Arial"/>
          <w:b/>
          <w:bCs/>
          <w:sz w:val="22"/>
          <w:szCs w:val="22"/>
          <w:u w:val="single"/>
          <w:lang w:val="en-US"/>
        </w:rPr>
      </w:pPr>
      <w:r w:rsidRPr="005F0C67">
        <w:rPr>
          <w:rFonts w:ascii="Arial" w:hAnsi="Arial" w:cs="Arial"/>
          <w:b/>
          <w:bCs/>
          <w:sz w:val="22"/>
          <w:szCs w:val="22"/>
          <w:u w:val="single"/>
          <w:lang w:val="en-US"/>
        </w:rPr>
        <w:lastRenderedPageBreak/>
        <w:t xml:space="preserve">Introduction </w:t>
      </w:r>
    </w:p>
    <w:p w14:paraId="3BAF154E" w14:textId="1ACA154D" w:rsidR="005F0C67" w:rsidRPr="005F0C67" w:rsidRDefault="005F0C67" w:rsidP="005F0C67">
      <w:pPr>
        <w:spacing w:line="360" w:lineRule="auto"/>
        <w:rPr>
          <w:rFonts w:ascii="Arial" w:hAnsi="Arial" w:cs="Arial"/>
          <w:b/>
          <w:bCs/>
          <w:sz w:val="22"/>
          <w:szCs w:val="22"/>
          <w:lang w:val="en-US"/>
        </w:rPr>
      </w:pPr>
      <w:r w:rsidRPr="005F0C67">
        <w:rPr>
          <w:rFonts w:ascii="Arial" w:hAnsi="Arial" w:cs="Arial"/>
          <w:b/>
          <w:bCs/>
          <w:sz w:val="22"/>
          <w:szCs w:val="22"/>
          <w:lang w:val="en-US"/>
        </w:rPr>
        <w:t>Heart Disease: Epidemiology, Impact, control and the public health implications</w:t>
      </w:r>
    </w:p>
    <w:p w14:paraId="7190658D" w14:textId="77777777" w:rsidR="005F0C67" w:rsidRPr="005F0C67" w:rsidRDefault="005F0C67" w:rsidP="005F0C67">
      <w:pPr>
        <w:spacing w:line="360" w:lineRule="auto"/>
        <w:rPr>
          <w:rFonts w:ascii="Arial" w:hAnsi="Arial" w:cs="Arial"/>
          <w:sz w:val="22"/>
          <w:szCs w:val="22"/>
        </w:rPr>
      </w:pPr>
      <w:r w:rsidRPr="005F0C67">
        <w:rPr>
          <w:rFonts w:ascii="Arial" w:hAnsi="Arial" w:cs="Arial"/>
          <w:sz w:val="22"/>
          <w:szCs w:val="22"/>
        </w:rPr>
        <w:t>Heart disease, a collective term for a wide spectrum of cardiovascular conditions, remains the leading cause of death worldwide and a persistent challenge to public health systems. The term encompasses coronary heart disease, heart failure, valvular disorders, arrhythmias and congenital defects, all of which disrupt normal cardiac function and blood circulation. Globally, nearly 20 million deaths each year are attributed to cardiovascular disease, illustrating its continued dominance as a major health threat. In the United Kingdom, heart and circulatory diseases account for over 100,000 deaths annually, with millions more living with chronic conditions that require long-term monitoring and treatment. The personal, social and economic implications of heart disease extend far beyond clinical symptoms, creating lasting burdens on individuals, families, communities and the National Health Service (NHS). Addressing this complex disease requires coordinated action across prevention, early detection and effective treatment strategies.</w:t>
      </w:r>
    </w:p>
    <w:p w14:paraId="3EA7B1D7" w14:textId="77777777" w:rsidR="005F0C67" w:rsidRDefault="005F0C67" w:rsidP="005F0C67">
      <w:pPr>
        <w:spacing w:line="360" w:lineRule="auto"/>
        <w:rPr>
          <w:rFonts w:ascii="Arial" w:hAnsi="Arial" w:cs="Arial"/>
          <w:b/>
          <w:bCs/>
          <w:sz w:val="22"/>
          <w:szCs w:val="22"/>
          <w:u w:val="single"/>
          <w:lang w:val="en-US"/>
        </w:rPr>
      </w:pPr>
    </w:p>
    <w:p w14:paraId="74BAAA31" w14:textId="67B3E9A1" w:rsidR="005F0C67" w:rsidRDefault="005F0C67" w:rsidP="005F0C67">
      <w:pPr>
        <w:spacing w:line="360" w:lineRule="auto"/>
        <w:rPr>
          <w:rFonts w:ascii="Arial" w:hAnsi="Arial" w:cs="Arial"/>
          <w:b/>
          <w:bCs/>
          <w:sz w:val="22"/>
          <w:szCs w:val="22"/>
          <w:u w:val="single"/>
          <w:lang w:val="en-US"/>
        </w:rPr>
      </w:pPr>
      <w:r>
        <w:rPr>
          <w:rFonts w:ascii="Arial" w:hAnsi="Arial" w:cs="Arial"/>
          <w:b/>
          <w:bCs/>
          <w:sz w:val="22"/>
          <w:szCs w:val="22"/>
          <w:u w:val="single"/>
          <w:lang w:val="en-US"/>
        </w:rPr>
        <w:t>Main Body</w:t>
      </w:r>
    </w:p>
    <w:p w14:paraId="4E8CDF8C" w14:textId="77777777" w:rsidR="005F0C67" w:rsidRPr="00E70DE6" w:rsidRDefault="005F0C67" w:rsidP="005F0C67">
      <w:pPr>
        <w:spacing w:line="360" w:lineRule="auto"/>
        <w:rPr>
          <w:rFonts w:ascii="Arial" w:hAnsi="Arial" w:cs="Arial"/>
          <w:sz w:val="22"/>
          <w:szCs w:val="22"/>
        </w:rPr>
      </w:pPr>
      <w:r w:rsidRPr="00E70DE6">
        <w:rPr>
          <w:rFonts w:ascii="Arial" w:hAnsi="Arial" w:cs="Arial"/>
          <w:sz w:val="22"/>
          <w:szCs w:val="22"/>
        </w:rPr>
        <w:t>Heart disease has extensive consequences that affect individuals, families, communities and the wider healthcare system. For affected individuals, heart disease can drastically alter daily life. Acute events such as myocardial infarction or sudden cardiac arrest may result in long-term disability, reduced physical capacity or even premature death. Survivors often face persistent fatigue, breathlessness, limited mobility and reduced independence. The psychological impact is equally profound; many individuals experience anxiety, depression or fear of recurrence, which can negatively influence adherence to treatment and participation in rehabilitation.</w:t>
      </w:r>
      <w:r w:rsidRPr="00E70DE6">
        <w:rPr>
          <w:rFonts w:ascii="Arial" w:hAnsi="Arial" w:cs="Arial"/>
          <w:sz w:val="22"/>
          <w:szCs w:val="22"/>
        </w:rPr>
        <w:br/>
      </w:r>
      <w:r w:rsidRPr="00E70DE6">
        <w:rPr>
          <w:rFonts w:ascii="Arial" w:hAnsi="Arial" w:cs="Arial"/>
          <w:sz w:val="22"/>
          <w:szCs w:val="22"/>
        </w:rPr>
        <w:br/>
        <w:t>For families, the burden can extend into financial strain, emotional distress and increased caregiving responsibilities. When individuals become unable to work due to heart disease, household income may decline, leading to financial instability. Caregivers may experience exhaustion, stress and disruptions to their own health and wellbeing. These challenges contribute to the wider social impact of heart disease, as communities experience reduced workforce productivity, increased demands on social support services and the long-term loss of skilled and experienced workers.</w:t>
      </w:r>
      <w:r w:rsidRPr="00E70DE6">
        <w:rPr>
          <w:rFonts w:ascii="Arial" w:hAnsi="Arial" w:cs="Arial"/>
          <w:sz w:val="22"/>
          <w:szCs w:val="22"/>
        </w:rPr>
        <w:br/>
      </w:r>
      <w:r w:rsidRPr="00E70DE6">
        <w:rPr>
          <w:rFonts w:ascii="Arial" w:hAnsi="Arial" w:cs="Arial"/>
          <w:sz w:val="22"/>
          <w:szCs w:val="22"/>
        </w:rPr>
        <w:br/>
        <w:t xml:space="preserve">The NHS faces significant challenges in managing the high prevalence of heart disease. Large numbers of patients require regular monitoring, complex diagnostic tests and ongoing </w:t>
      </w:r>
      <w:r w:rsidRPr="00E70DE6">
        <w:rPr>
          <w:rFonts w:ascii="Arial" w:hAnsi="Arial" w:cs="Arial"/>
          <w:sz w:val="22"/>
          <w:szCs w:val="22"/>
        </w:rPr>
        <w:lastRenderedPageBreak/>
        <w:t>medical therapies. Furthermore, waiting lists for routine cardiology services and urgent interventions have grown substantially in recent years. This includes delays in accessing life-saving procedures such as percutaneous coronary intervention (PCI) and transcatheter aortic valve implantation (TAVI). These delays can contribute to increased mortality, prolonged suffering and worsening clinical outcomes. Additionally, heart disease places considerable financial pressure on the NHS through the cost of long-term medications, emergency admissions, advanced surgical procedures and rehabilitation programmes. As a result, health services must balance rising demand with limited resources, creating significant operational challenges.</w:t>
      </w:r>
    </w:p>
    <w:p w14:paraId="0D68CF63" w14:textId="77777777" w:rsidR="005F0C67" w:rsidRPr="00E70DE6" w:rsidRDefault="005F0C67" w:rsidP="005F0C67">
      <w:pPr>
        <w:spacing w:line="360" w:lineRule="auto"/>
        <w:rPr>
          <w:rFonts w:ascii="Arial" w:hAnsi="Arial" w:cs="Arial"/>
          <w:sz w:val="22"/>
          <w:szCs w:val="22"/>
        </w:rPr>
      </w:pPr>
      <w:r w:rsidRPr="00E70DE6">
        <w:rPr>
          <w:rFonts w:ascii="Arial" w:hAnsi="Arial" w:cs="Arial"/>
          <w:sz w:val="22"/>
          <w:szCs w:val="22"/>
        </w:rPr>
        <w:t>Controlling heart disease requires a comprehensive, multi-layered approach that involves public health interventions, clinical management and policy initiatives. At the population level, primary prevention strategies are essential to reduce the incidence of heart disease. These include efforts to reduce smoking rates, increase physical activity, improve dietary habits and address harmful alcohol consumption. Public health campaigns that promote healthier lifestyles, along with policies such as tobacco taxation and improved food labelling, play a crucial role in reducing risk factors. Community-based programmes, including exercise initiatives and health education workshops, help individuals make informed lifestyle choices.</w:t>
      </w:r>
      <w:r w:rsidRPr="00E70DE6">
        <w:rPr>
          <w:rFonts w:ascii="Arial" w:hAnsi="Arial" w:cs="Arial"/>
          <w:sz w:val="22"/>
          <w:szCs w:val="22"/>
        </w:rPr>
        <w:br/>
      </w:r>
      <w:r w:rsidRPr="00E70DE6">
        <w:rPr>
          <w:rFonts w:ascii="Arial" w:hAnsi="Arial" w:cs="Arial"/>
          <w:sz w:val="22"/>
          <w:szCs w:val="22"/>
        </w:rPr>
        <w:br/>
        <w:t>Secondary prevention is equally important, as it aims to prevent complications in individuals already diagnosed with heart disease. This includes long-term use of medications such as statins, antiplatelet agents and antihypertensives, which are proven to reduce the risk of further cardiac events. Structured cardiac rehabilitation programmes support physical recovery, mental wellbeing and education on long-term self-management. These programmes have been associated with reduced rates of readmission and improved survival.</w:t>
      </w:r>
      <w:r w:rsidRPr="00E70DE6">
        <w:rPr>
          <w:rFonts w:ascii="Arial" w:hAnsi="Arial" w:cs="Arial"/>
          <w:sz w:val="22"/>
          <w:szCs w:val="22"/>
        </w:rPr>
        <w:br/>
      </w:r>
      <w:r w:rsidRPr="00E70DE6">
        <w:rPr>
          <w:rFonts w:ascii="Arial" w:hAnsi="Arial" w:cs="Arial"/>
          <w:sz w:val="22"/>
          <w:szCs w:val="22"/>
        </w:rPr>
        <w:br/>
        <w:t>In addition to prevention, timely access to acute interventions is vital. For individuals experiencing an acute coronary syndrome, rapid diagnosis and treatment can significantly improve outcomes. The availability of PCI-capable centres and streamlined emergency pathways ensures that patients receive prompt care. Advanced procedures such as coronary bypass grafting, TAVI and other structural heart interventions continue to evolve, offering new opportunities for improved survival and quality of life. However, a shortage of specialists and limited hospital capacity can delay these procedures, resulting in poorer outcomes. Ensuring that the NHS has adequate staffing, infrastructure and funding is therefore a central component of disease control.</w:t>
      </w:r>
      <w:r w:rsidRPr="00E70DE6">
        <w:rPr>
          <w:rFonts w:ascii="Arial" w:hAnsi="Arial" w:cs="Arial"/>
          <w:sz w:val="22"/>
          <w:szCs w:val="22"/>
        </w:rPr>
        <w:br/>
      </w:r>
      <w:r w:rsidRPr="00E70DE6">
        <w:rPr>
          <w:rFonts w:ascii="Arial" w:hAnsi="Arial" w:cs="Arial"/>
          <w:sz w:val="22"/>
          <w:szCs w:val="22"/>
        </w:rPr>
        <w:br/>
      </w:r>
      <w:r w:rsidRPr="00E70DE6">
        <w:rPr>
          <w:rFonts w:ascii="Arial" w:hAnsi="Arial" w:cs="Arial"/>
          <w:sz w:val="22"/>
          <w:szCs w:val="22"/>
        </w:rPr>
        <w:lastRenderedPageBreak/>
        <w:t>Health policy also plays a key role in managing heart disease. National guidelines help ensure consistency in clinical practice, while data from registries and audits allow policymakers to identify areas of need, monitor inequalities and allocate resources effectively. Ongoing investment in research is essential for developing new treatments, improving diagnostic tools and enhancing preventative strategies.</w:t>
      </w:r>
    </w:p>
    <w:p w14:paraId="08E8AE0F" w14:textId="77777777" w:rsidR="005F0C67" w:rsidRPr="00E70DE6" w:rsidRDefault="005F0C67" w:rsidP="005F0C67">
      <w:pPr>
        <w:spacing w:line="360" w:lineRule="auto"/>
        <w:rPr>
          <w:rFonts w:ascii="Arial" w:hAnsi="Arial" w:cs="Arial"/>
          <w:sz w:val="22"/>
          <w:szCs w:val="22"/>
        </w:rPr>
      </w:pPr>
      <w:r w:rsidRPr="00E70DE6">
        <w:rPr>
          <w:rFonts w:ascii="Arial" w:hAnsi="Arial" w:cs="Arial"/>
          <w:sz w:val="22"/>
          <w:szCs w:val="22"/>
        </w:rPr>
        <w:t>The factors influencing the health and wellbeing of individuals with heart disease are complex and interconnected. Biological factors such as age, gender and genetics play a significant role. Older adults are at greater risk of developing heart disease, while men tend to experience coronary artery disease earlier in life. However, women often face delayed diagnosis because their symptoms may be atypical or mistaken for other conditions.</w:t>
      </w:r>
      <w:r w:rsidRPr="00E70DE6">
        <w:rPr>
          <w:rFonts w:ascii="Arial" w:hAnsi="Arial" w:cs="Arial"/>
          <w:sz w:val="22"/>
          <w:szCs w:val="22"/>
        </w:rPr>
        <w:br/>
      </w:r>
      <w:r w:rsidRPr="00E70DE6">
        <w:rPr>
          <w:rFonts w:ascii="Arial" w:hAnsi="Arial" w:cs="Arial"/>
          <w:sz w:val="22"/>
          <w:szCs w:val="22"/>
        </w:rPr>
        <w:br/>
        <w:t>Comorbidities such as diabetes, high blood pressure, obesity and chronic kidney disease further increase the risk of complications and make treatment more challenging. Lifestyle behaviours are also critical, with smoking, poor diet and sedentary living contributing significantly to disease progression. Encouraging and supporting healthier behaviours requires not only individual effort but also community resources and supportive environments.</w:t>
      </w:r>
      <w:r w:rsidRPr="00E70DE6">
        <w:rPr>
          <w:rFonts w:ascii="Arial" w:hAnsi="Arial" w:cs="Arial"/>
          <w:sz w:val="22"/>
          <w:szCs w:val="22"/>
        </w:rPr>
        <w:br/>
      </w:r>
      <w:r w:rsidRPr="00E70DE6">
        <w:rPr>
          <w:rFonts w:ascii="Arial" w:hAnsi="Arial" w:cs="Arial"/>
          <w:sz w:val="22"/>
          <w:szCs w:val="22"/>
        </w:rPr>
        <w:br/>
        <w:t>Socioeconomic determinants, including income, education and access to healthcare, have a profound impact on outcomes. Individuals living in deprived communities are more likely to develop heart disease and less likely to have access to preventive care, timely diagnosis or advanced treatments. Ethnic inequalities also persist, with some minority groups experiencing higher rates of risk factors and reduced access to specialist care.</w:t>
      </w:r>
      <w:r w:rsidRPr="00E70DE6">
        <w:rPr>
          <w:rFonts w:ascii="Arial" w:hAnsi="Arial" w:cs="Arial"/>
          <w:sz w:val="22"/>
          <w:szCs w:val="22"/>
        </w:rPr>
        <w:br/>
      </w:r>
      <w:r w:rsidRPr="00E70DE6">
        <w:rPr>
          <w:rFonts w:ascii="Arial" w:hAnsi="Arial" w:cs="Arial"/>
          <w:sz w:val="22"/>
          <w:szCs w:val="22"/>
        </w:rPr>
        <w:br/>
        <w:t>Psychological factors influence both disease progression and recovery. Anxiety, depression and fear of recurrence can affect motivation, medication adherence and engagement in rehabilitation. Family members may also experience emotional strain, altered family roles and social isolation. Support systems, counselling and multidisciplinary care are essential to address these challenges.</w:t>
      </w:r>
      <w:r w:rsidRPr="00E70DE6">
        <w:rPr>
          <w:rFonts w:ascii="Arial" w:hAnsi="Arial" w:cs="Arial"/>
          <w:sz w:val="22"/>
          <w:szCs w:val="22"/>
        </w:rPr>
        <w:br/>
      </w:r>
      <w:r w:rsidRPr="00E70DE6">
        <w:rPr>
          <w:rFonts w:ascii="Arial" w:hAnsi="Arial" w:cs="Arial"/>
          <w:sz w:val="22"/>
          <w:szCs w:val="22"/>
        </w:rPr>
        <w:br/>
        <w:t>Finally, broader system-level factors, including NHS capacity, workforce shortages and variations in care quality across regions, heavily influence patient outcomes. Long waiting times can exacerbate symptoms, increase risk of complications and heighten anxiety among patients and families. Tackling these systemic issues is essential for improving overall cardiovascular health in the UK.</w:t>
      </w:r>
    </w:p>
    <w:p w14:paraId="6E4923AD" w14:textId="77777777" w:rsidR="005F0C67" w:rsidRDefault="005F0C67" w:rsidP="005F0C67">
      <w:pPr>
        <w:spacing w:line="360" w:lineRule="auto"/>
        <w:rPr>
          <w:rFonts w:ascii="Arial" w:hAnsi="Arial" w:cs="Arial"/>
          <w:b/>
          <w:bCs/>
          <w:sz w:val="22"/>
          <w:szCs w:val="22"/>
          <w:u w:val="single"/>
        </w:rPr>
      </w:pPr>
    </w:p>
    <w:p w14:paraId="36639C4A" w14:textId="67A2DEC5" w:rsidR="005F0C67" w:rsidRPr="005F0C67" w:rsidRDefault="005F0C67" w:rsidP="005F0C67">
      <w:pPr>
        <w:spacing w:line="360" w:lineRule="auto"/>
        <w:rPr>
          <w:rFonts w:ascii="Arial" w:hAnsi="Arial" w:cs="Arial"/>
          <w:b/>
          <w:bCs/>
          <w:sz w:val="22"/>
          <w:szCs w:val="22"/>
          <w:u w:val="single"/>
        </w:rPr>
      </w:pPr>
      <w:r w:rsidRPr="005F0C67">
        <w:rPr>
          <w:rFonts w:ascii="Arial" w:hAnsi="Arial" w:cs="Arial"/>
          <w:b/>
          <w:bCs/>
          <w:sz w:val="22"/>
          <w:szCs w:val="22"/>
          <w:u w:val="single"/>
        </w:rPr>
        <w:lastRenderedPageBreak/>
        <w:t>Conclusion</w:t>
      </w:r>
    </w:p>
    <w:p w14:paraId="402F8397" w14:textId="19368D16" w:rsidR="005F0C67" w:rsidRDefault="005F0C67" w:rsidP="005F0C67">
      <w:pPr>
        <w:spacing w:line="360" w:lineRule="auto"/>
        <w:rPr>
          <w:rFonts w:ascii="Arial" w:hAnsi="Arial" w:cs="Arial"/>
          <w:sz w:val="22"/>
          <w:szCs w:val="22"/>
        </w:rPr>
      </w:pPr>
      <w:r w:rsidRPr="00E70DE6">
        <w:rPr>
          <w:rFonts w:ascii="Arial" w:hAnsi="Arial" w:cs="Arial"/>
          <w:sz w:val="22"/>
          <w:szCs w:val="22"/>
        </w:rPr>
        <w:t>Heart disease remains a major public health concern both globally and in the United Kingdom, resulting in millions of deaths worldwide each year and placing substantial pressure on individuals, communities and healthcare systems. The chronic nature of heart disease, combined with high rates of disability, long-term treatment needs and socioeconomic inequalities, highlights the need for comprehensive prevention and effective management strategies. Strengthening public health measures, enhancing early detection, expanding access to timely interventions and improving rehabilitation services are essential components of reducing the overall burden. Additionally, addressing regional and social inequalities in healthcare access is crucial to improving outcomes for all individuals living with heart disease. By integrating clinical care, public health strategies and health policy initiatives, it is possible to lessen the profound personal and societal impacts of heart disease and work toward a healthier future for affected populations.</w:t>
      </w:r>
    </w:p>
    <w:p w14:paraId="5CCF3B64" w14:textId="77777777" w:rsidR="005F0C67" w:rsidRDefault="005F0C67">
      <w:pPr>
        <w:rPr>
          <w:rFonts w:ascii="Arial" w:hAnsi="Arial" w:cs="Arial"/>
          <w:sz w:val="22"/>
          <w:szCs w:val="22"/>
        </w:rPr>
      </w:pPr>
      <w:r>
        <w:rPr>
          <w:rFonts w:ascii="Arial" w:hAnsi="Arial" w:cs="Arial"/>
          <w:sz w:val="22"/>
          <w:szCs w:val="22"/>
        </w:rPr>
        <w:br w:type="page"/>
      </w:r>
    </w:p>
    <w:p w14:paraId="46DE90B8" w14:textId="440DFCAA" w:rsidR="005F0C67" w:rsidRPr="005F0C67" w:rsidRDefault="005F0C67" w:rsidP="005F0C67">
      <w:pPr>
        <w:rPr>
          <w:rFonts w:ascii="Arial" w:hAnsi="Arial" w:cs="Arial"/>
          <w:b/>
          <w:bCs/>
          <w:sz w:val="22"/>
          <w:szCs w:val="22"/>
          <w:u w:val="single"/>
        </w:rPr>
      </w:pPr>
      <w:r w:rsidRPr="005F0C67">
        <w:rPr>
          <w:rFonts w:ascii="Arial" w:hAnsi="Arial" w:cs="Arial"/>
          <w:b/>
          <w:bCs/>
          <w:sz w:val="22"/>
          <w:szCs w:val="22"/>
          <w:u w:val="single"/>
        </w:rPr>
        <w:lastRenderedPageBreak/>
        <w:t>References:</w:t>
      </w:r>
    </w:p>
    <w:p w14:paraId="1526403A" w14:textId="0A826162" w:rsidR="005F0C67" w:rsidRPr="00E70DE6" w:rsidRDefault="005F0C67" w:rsidP="005F0C67">
      <w:pPr>
        <w:rPr>
          <w:rFonts w:ascii="Arial" w:hAnsi="Arial" w:cs="Arial"/>
          <w:sz w:val="22"/>
          <w:szCs w:val="22"/>
        </w:rPr>
      </w:pPr>
      <w:r w:rsidRPr="00E70DE6">
        <w:rPr>
          <w:rFonts w:ascii="Arial" w:hAnsi="Arial" w:cs="Arial"/>
          <w:sz w:val="22"/>
          <w:szCs w:val="22"/>
        </w:rPr>
        <w:t xml:space="preserve">World Health Organization (2023) </w:t>
      </w:r>
      <w:proofErr w:type="gramStart"/>
      <w:r w:rsidRPr="00E70DE6">
        <w:rPr>
          <w:rFonts w:ascii="Arial" w:hAnsi="Arial" w:cs="Arial"/>
          <w:sz w:val="22"/>
          <w:szCs w:val="22"/>
        </w:rPr>
        <w:t>Cardiovascular Diseases</w:t>
      </w:r>
      <w:proofErr w:type="gramEnd"/>
      <w:r w:rsidRPr="00E70DE6">
        <w:rPr>
          <w:rFonts w:ascii="Arial" w:hAnsi="Arial" w:cs="Arial"/>
          <w:sz w:val="22"/>
          <w:szCs w:val="22"/>
        </w:rPr>
        <w:t xml:space="preserve"> (CVDs) Fact Sheet. WHO.</w:t>
      </w:r>
    </w:p>
    <w:p w14:paraId="777A9CD3" w14:textId="77777777" w:rsidR="005F0C67" w:rsidRPr="00E70DE6" w:rsidRDefault="005F0C67" w:rsidP="005F0C67">
      <w:pPr>
        <w:rPr>
          <w:rFonts w:ascii="Arial" w:hAnsi="Arial" w:cs="Arial"/>
          <w:sz w:val="22"/>
          <w:szCs w:val="22"/>
        </w:rPr>
      </w:pPr>
      <w:r w:rsidRPr="00E70DE6">
        <w:rPr>
          <w:rFonts w:ascii="Arial" w:hAnsi="Arial" w:cs="Arial"/>
          <w:sz w:val="22"/>
          <w:szCs w:val="22"/>
        </w:rPr>
        <w:t>British Heart Foundation (2023) Heart and Circulatory Disease Statistics 2023. BHF.</w:t>
      </w:r>
    </w:p>
    <w:p w14:paraId="35DF4DDA" w14:textId="77777777" w:rsidR="005F0C67" w:rsidRPr="00E70DE6" w:rsidRDefault="005F0C67" w:rsidP="005F0C67">
      <w:pPr>
        <w:rPr>
          <w:rFonts w:ascii="Arial" w:hAnsi="Arial" w:cs="Arial"/>
          <w:sz w:val="22"/>
          <w:szCs w:val="22"/>
        </w:rPr>
      </w:pPr>
      <w:r w:rsidRPr="00E70DE6">
        <w:rPr>
          <w:rFonts w:ascii="Arial" w:hAnsi="Arial" w:cs="Arial"/>
          <w:sz w:val="22"/>
          <w:szCs w:val="22"/>
        </w:rPr>
        <w:t>NHS England (2025) Cardiac Waiting List Data, March 2025.</w:t>
      </w:r>
    </w:p>
    <w:p w14:paraId="52BA8022" w14:textId="77777777" w:rsidR="005F0C67" w:rsidRPr="00E70DE6" w:rsidRDefault="005F0C67" w:rsidP="005F0C67">
      <w:pPr>
        <w:rPr>
          <w:rFonts w:ascii="Arial" w:hAnsi="Arial" w:cs="Arial"/>
          <w:sz w:val="22"/>
          <w:szCs w:val="22"/>
        </w:rPr>
      </w:pPr>
      <w:r w:rsidRPr="00E70DE6">
        <w:rPr>
          <w:rFonts w:ascii="Arial" w:hAnsi="Arial" w:cs="Arial"/>
          <w:sz w:val="22"/>
          <w:szCs w:val="22"/>
        </w:rPr>
        <w:t>Valve for Life UK (2023) Survey of Aortic Stenosis Mortality and TAVI Waiting Lists.</w:t>
      </w:r>
    </w:p>
    <w:p w14:paraId="57D26D52" w14:textId="77777777" w:rsidR="005F0C67" w:rsidRPr="00E70DE6" w:rsidRDefault="005F0C67" w:rsidP="005F0C67">
      <w:pPr>
        <w:rPr>
          <w:rFonts w:ascii="Arial" w:hAnsi="Arial" w:cs="Arial"/>
          <w:sz w:val="22"/>
          <w:szCs w:val="22"/>
        </w:rPr>
      </w:pPr>
      <w:r w:rsidRPr="00E70DE6">
        <w:rPr>
          <w:rFonts w:ascii="Arial" w:hAnsi="Arial" w:cs="Arial"/>
          <w:sz w:val="22"/>
          <w:szCs w:val="22"/>
        </w:rPr>
        <w:t>British Heart Foundation (2024) UK Factsheet: Heart and Circulatory Diseases.</w:t>
      </w:r>
    </w:p>
    <w:p w14:paraId="35625A7F" w14:textId="77777777" w:rsidR="005F0C67" w:rsidRPr="00E70DE6" w:rsidRDefault="005F0C67" w:rsidP="005F0C67">
      <w:pPr>
        <w:spacing w:line="360" w:lineRule="auto"/>
        <w:rPr>
          <w:rFonts w:ascii="Arial" w:hAnsi="Arial" w:cs="Arial"/>
          <w:sz w:val="22"/>
          <w:szCs w:val="22"/>
        </w:rPr>
      </w:pPr>
    </w:p>
    <w:p w14:paraId="0BFF1EC7" w14:textId="6DF7CB72" w:rsidR="005F0C67" w:rsidRPr="005F0C67" w:rsidRDefault="005F0C67" w:rsidP="005F0C67">
      <w:pPr>
        <w:spacing w:line="360" w:lineRule="auto"/>
        <w:rPr>
          <w:rFonts w:ascii="Arial" w:hAnsi="Arial" w:cs="Arial"/>
          <w:sz w:val="22"/>
          <w:szCs w:val="22"/>
          <w:lang w:val="en-US"/>
        </w:rPr>
      </w:pPr>
    </w:p>
    <w:sectPr w:rsidR="005F0C67" w:rsidRPr="005F0C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0C67"/>
    <w:rsid w:val="003E3491"/>
    <w:rsid w:val="005F0C67"/>
    <w:rsid w:val="00847EB8"/>
    <w:rsid w:val="008D47E8"/>
    <w:rsid w:val="00EA3148"/>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E56364"/>
  <w15:chartTrackingRefBased/>
  <w15:docId w15:val="{10F3D330-B02D-4843-8F43-75A7E135B3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PK"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0C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F0C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0C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0C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0C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0C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0C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0C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0C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0C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F0C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0C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0C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0C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0C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0C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0C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0C67"/>
    <w:rPr>
      <w:rFonts w:eastAsiaTheme="majorEastAsia" w:cstheme="majorBidi"/>
      <w:color w:val="272727" w:themeColor="text1" w:themeTint="D8"/>
    </w:rPr>
  </w:style>
  <w:style w:type="paragraph" w:styleId="Title">
    <w:name w:val="Title"/>
    <w:basedOn w:val="Normal"/>
    <w:next w:val="Normal"/>
    <w:link w:val="TitleChar"/>
    <w:uiPriority w:val="10"/>
    <w:qFormat/>
    <w:rsid w:val="005F0C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0C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0C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0C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0C67"/>
    <w:pPr>
      <w:spacing w:before="160"/>
      <w:jc w:val="center"/>
    </w:pPr>
    <w:rPr>
      <w:i/>
      <w:iCs/>
      <w:color w:val="404040" w:themeColor="text1" w:themeTint="BF"/>
    </w:rPr>
  </w:style>
  <w:style w:type="character" w:customStyle="1" w:styleId="QuoteChar">
    <w:name w:val="Quote Char"/>
    <w:basedOn w:val="DefaultParagraphFont"/>
    <w:link w:val="Quote"/>
    <w:uiPriority w:val="29"/>
    <w:rsid w:val="005F0C67"/>
    <w:rPr>
      <w:i/>
      <w:iCs/>
      <w:color w:val="404040" w:themeColor="text1" w:themeTint="BF"/>
    </w:rPr>
  </w:style>
  <w:style w:type="paragraph" w:styleId="ListParagraph">
    <w:name w:val="List Paragraph"/>
    <w:basedOn w:val="Normal"/>
    <w:uiPriority w:val="34"/>
    <w:qFormat/>
    <w:rsid w:val="005F0C67"/>
    <w:pPr>
      <w:ind w:left="720"/>
      <w:contextualSpacing/>
    </w:pPr>
  </w:style>
  <w:style w:type="character" w:styleId="IntenseEmphasis">
    <w:name w:val="Intense Emphasis"/>
    <w:basedOn w:val="DefaultParagraphFont"/>
    <w:uiPriority w:val="21"/>
    <w:qFormat/>
    <w:rsid w:val="005F0C67"/>
    <w:rPr>
      <w:i/>
      <w:iCs/>
      <w:color w:val="0F4761" w:themeColor="accent1" w:themeShade="BF"/>
    </w:rPr>
  </w:style>
  <w:style w:type="paragraph" w:styleId="IntenseQuote">
    <w:name w:val="Intense Quote"/>
    <w:basedOn w:val="Normal"/>
    <w:next w:val="Normal"/>
    <w:link w:val="IntenseQuoteChar"/>
    <w:uiPriority w:val="30"/>
    <w:qFormat/>
    <w:rsid w:val="005F0C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0C67"/>
    <w:rPr>
      <w:i/>
      <w:iCs/>
      <w:color w:val="0F4761" w:themeColor="accent1" w:themeShade="BF"/>
    </w:rPr>
  </w:style>
  <w:style w:type="character" w:styleId="IntenseReference">
    <w:name w:val="Intense Reference"/>
    <w:basedOn w:val="DefaultParagraphFont"/>
    <w:uiPriority w:val="32"/>
    <w:qFormat/>
    <w:rsid w:val="005F0C6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TotalTime>
  <Pages>6</Pages>
  <Words>1409</Words>
  <Characters>8032</Characters>
  <Application>Microsoft Office Word</Application>
  <DocSecurity>0</DocSecurity>
  <Lines>66</Lines>
  <Paragraphs>18</Paragraphs>
  <ScaleCrop>false</ScaleCrop>
  <Company/>
  <LinksUpToDate>false</LinksUpToDate>
  <CharactersWithSpaces>9423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Fizza Rizwan</dc:creator>
  <cp:keywords/>
  <dc:description/>
  <cp:lastModifiedBy>Fizza Rizwan</cp:lastModifiedBy>
  <cp:revision>1</cp:revision>
  <dcterms:created xsi:type="dcterms:W3CDTF">2025-11-16T15:32:00Z</dcterms:created>
  <dcterms:modified xsi:type="dcterms:W3CDTF">2025-11-16T15:41:00Z</dcterms:modified>
</cp:coreProperties>
</file>