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0C92E" w14:textId="77777777" w:rsidR="007470B5" w:rsidRDefault="007470B5">
      <w:pPr>
        <w:spacing w:line="480" w:lineRule="auto"/>
        <w:jc w:val="both"/>
        <w:rPr>
          <w:rFonts w:ascii="Times New Roman" w:eastAsia="Times New Roman" w:hAnsi="Times New Roman" w:cs="Times New Roman"/>
          <w:b/>
          <w:sz w:val="24"/>
          <w:szCs w:val="24"/>
        </w:rPr>
      </w:pPr>
    </w:p>
    <w:p w14:paraId="0C72E07A" w14:textId="77777777" w:rsidR="007470B5" w:rsidRDefault="007470B5">
      <w:pPr>
        <w:spacing w:line="480" w:lineRule="auto"/>
        <w:jc w:val="both"/>
        <w:rPr>
          <w:rFonts w:ascii="Times New Roman" w:eastAsia="Times New Roman" w:hAnsi="Times New Roman" w:cs="Times New Roman"/>
          <w:b/>
          <w:sz w:val="24"/>
          <w:szCs w:val="24"/>
        </w:rPr>
      </w:pPr>
    </w:p>
    <w:p w14:paraId="2E1A580D" w14:textId="77777777" w:rsidR="007470B5" w:rsidRDefault="007470B5">
      <w:pPr>
        <w:spacing w:line="480" w:lineRule="auto"/>
        <w:jc w:val="both"/>
        <w:rPr>
          <w:rFonts w:ascii="Times New Roman" w:eastAsia="Times New Roman" w:hAnsi="Times New Roman" w:cs="Times New Roman"/>
          <w:b/>
          <w:sz w:val="24"/>
          <w:szCs w:val="24"/>
        </w:rPr>
      </w:pPr>
    </w:p>
    <w:p w14:paraId="43B0B93F" w14:textId="77777777" w:rsidR="007470B5" w:rsidRDefault="007470B5">
      <w:pPr>
        <w:spacing w:line="480" w:lineRule="auto"/>
        <w:jc w:val="both"/>
        <w:rPr>
          <w:rFonts w:ascii="Times New Roman" w:eastAsia="Times New Roman" w:hAnsi="Times New Roman" w:cs="Times New Roman"/>
          <w:b/>
          <w:sz w:val="24"/>
          <w:szCs w:val="24"/>
        </w:rPr>
      </w:pPr>
    </w:p>
    <w:p w14:paraId="6DBF8D83" w14:textId="77777777" w:rsidR="007470B5" w:rsidRDefault="007470B5">
      <w:pPr>
        <w:spacing w:line="480" w:lineRule="auto"/>
        <w:jc w:val="both"/>
        <w:rPr>
          <w:rFonts w:ascii="Times New Roman" w:eastAsia="Times New Roman" w:hAnsi="Times New Roman" w:cs="Times New Roman"/>
          <w:b/>
          <w:sz w:val="24"/>
          <w:szCs w:val="24"/>
        </w:rPr>
      </w:pPr>
    </w:p>
    <w:p w14:paraId="68A4BC72" w14:textId="77777777" w:rsidR="007470B5" w:rsidRDefault="007470B5">
      <w:pPr>
        <w:spacing w:line="480" w:lineRule="auto"/>
        <w:jc w:val="both"/>
        <w:rPr>
          <w:rFonts w:ascii="Times New Roman" w:eastAsia="Times New Roman" w:hAnsi="Times New Roman" w:cs="Times New Roman"/>
          <w:b/>
          <w:sz w:val="24"/>
          <w:szCs w:val="24"/>
        </w:rPr>
      </w:pPr>
    </w:p>
    <w:p w14:paraId="12DE43CC" w14:textId="77777777" w:rsidR="007470B5" w:rsidRDefault="007470B5">
      <w:pPr>
        <w:spacing w:line="480" w:lineRule="auto"/>
        <w:jc w:val="both"/>
        <w:rPr>
          <w:rFonts w:ascii="Times New Roman" w:eastAsia="Times New Roman" w:hAnsi="Times New Roman" w:cs="Times New Roman"/>
          <w:b/>
          <w:sz w:val="24"/>
          <w:szCs w:val="24"/>
        </w:rPr>
      </w:pPr>
    </w:p>
    <w:p w14:paraId="73DBAF8A" w14:textId="77777777" w:rsidR="007470B5" w:rsidRDefault="007470B5">
      <w:pPr>
        <w:spacing w:line="480" w:lineRule="auto"/>
        <w:jc w:val="both"/>
        <w:rPr>
          <w:rFonts w:ascii="Times New Roman" w:eastAsia="Times New Roman" w:hAnsi="Times New Roman" w:cs="Times New Roman"/>
          <w:b/>
          <w:sz w:val="24"/>
          <w:szCs w:val="24"/>
        </w:rPr>
      </w:pPr>
    </w:p>
    <w:p w14:paraId="4DEA3772" w14:textId="77777777" w:rsidR="007470B5" w:rsidRDefault="007470B5">
      <w:pPr>
        <w:spacing w:line="480" w:lineRule="auto"/>
        <w:jc w:val="both"/>
        <w:rPr>
          <w:rFonts w:ascii="Times New Roman" w:eastAsia="Times New Roman" w:hAnsi="Times New Roman" w:cs="Times New Roman"/>
          <w:b/>
          <w:sz w:val="24"/>
          <w:szCs w:val="24"/>
        </w:rPr>
      </w:pPr>
    </w:p>
    <w:p w14:paraId="2D5DE310" w14:textId="77777777" w:rsidR="007470B5" w:rsidRDefault="007470B5">
      <w:pPr>
        <w:spacing w:line="480" w:lineRule="auto"/>
        <w:jc w:val="both"/>
        <w:rPr>
          <w:rFonts w:ascii="Times New Roman" w:eastAsia="Times New Roman" w:hAnsi="Times New Roman" w:cs="Times New Roman"/>
          <w:b/>
          <w:sz w:val="24"/>
          <w:szCs w:val="24"/>
        </w:rPr>
      </w:pPr>
    </w:p>
    <w:p w14:paraId="178E3B2B" w14:textId="21A7911D" w:rsidR="000412FD" w:rsidRPr="000412FD" w:rsidRDefault="000412FD" w:rsidP="000412FD">
      <w:pPr>
        <w:pBdr>
          <w:top w:val="nil"/>
          <w:left w:val="nil"/>
          <w:bottom w:val="nil"/>
          <w:right w:val="nil"/>
          <w:between w:val="nil"/>
        </w:pBdr>
        <w:jc w:val="center"/>
        <w:rPr>
          <w:rFonts w:ascii="Arial" w:hAnsi="Arial" w:cs="Arial"/>
          <w:b/>
          <w:sz w:val="48"/>
          <w:szCs w:val="48"/>
          <w:u w:val="single"/>
        </w:rPr>
      </w:pPr>
      <w:r w:rsidRPr="000412FD">
        <w:rPr>
          <w:rFonts w:ascii="Arial" w:eastAsia="Times New Roman" w:hAnsi="Arial" w:cs="Arial"/>
          <w:b/>
          <w:sz w:val="48"/>
          <w:szCs w:val="48"/>
        </w:rPr>
        <w:t xml:space="preserve">Accounting </w:t>
      </w:r>
      <w:r w:rsidRPr="000412FD">
        <w:rPr>
          <w:rFonts w:ascii="Times New Roman" w:eastAsia="Times New Roman" w:hAnsi="Times New Roman" w:cs="Times New Roman"/>
          <w:b/>
          <w:sz w:val="48"/>
          <w:szCs w:val="48"/>
        </w:rPr>
        <w:t xml:space="preserve">   </w:t>
      </w:r>
      <w:r w:rsidRPr="000412FD">
        <w:rPr>
          <w:rFonts w:ascii="Arial" w:eastAsia="Times New Roman" w:hAnsi="Arial" w:cs="Arial"/>
          <w:b/>
          <w:sz w:val="48"/>
          <w:szCs w:val="48"/>
        </w:rPr>
        <w:t xml:space="preserve">Fundamentals     </w:t>
      </w:r>
    </w:p>
    <w:p w14:paraId="4680906D" w14:textId="77777777" w:rsidR="000412FD" w:rsidRPr="000412FD" w:rsidRDefault="000412FD" w:rsidP="000412FD">
      <w:pPr>
        <w:jc w:val="center"/>
        <w:rPr>
          <w:rFonts w:ascii="Arial" w:hAnsi="Arial" w:cs="Arial"/>
          <w:b/>
          <w:sz w:val="48"/>
          <w:szCs w:val="48"/>
          <w:u w:val="single"/>
        </w:rPr>
      </w:pPr>
    </w:p>
    <w:p w14:paraId="4D317B17" w14:textId="77777777" w:rsidR="000412FD" w:rsidRPr="000412FD" w:rsidRDefault="000412FD" w:rsidP="000412FD">
      <w:pPr>
        <w:pStyle w:val="Normal1"/>
        <w:spacing w:line="240" w:lineRule="auto"/>
        <w:jc w:val="center"/>
        <w:rPr>
          <w:rFonts w:eastAsia="Times New Roman"/>
          <w:b/>
          <w:sz w:val="48"/>
          <w:szCs w:val="48"/>
          <w:lang w:val="en-GB"/>
        </w:rPr>
      </w:pPr>
      <w:r w:rsidRPr="000412FD">
        <w:rPr>
          <w:rFonts w:eastAsia="Times New Roman"/>
          <w:b/>
          <w:sz w:val="48"/>
          <w:szCs w:val="48"/>
          <w:lang w:val="en-GB"/>
        </w:rPr>
        <w:t>Module code: LCBB4005</w:t>
      </w:r>
    </w:p>
    <w:p w14:paraId="7E4C04DB" w14:textId="77777777" w:rsidR="000412FD" w:rsidRPr="000412FD" w:rsidRDefault="000412FD" w:rsidP="000412FD">
      <w:pPr>
        <w:pStyle w:val="Normal1"/>
        <w:spacing w:line="240" w:lineRule="auto"/>
        <w:jc w:val="center"/>
        <w:rPr>
          <w:rFonts w:eastAsia="Times New Roman"/>
          <w:b/>
          <w:sz w:val="48"/>
          <w:szCs w:val="48"/>
          <w:lang w:val="en-GB"/>
        </w:rPr>
      </w:pPr>
      <w:r w:rsidRPr="000412FD">
        <w:rPr>
          <w:rFonts w:eastAsia="Times New Roman"/>
          <w:b/>
          <w:sz w:val="48"/>
          <w:szCs w:val="48"/>
          <w:lang w:val="en-GB"/>
        </w:rPr>
        <w:t>Student name: Vasile Viorel Bozga</w:t>
      </w:r>
    </w:p>
    <w:p w14:paraId="05DC9DB4" w14:textId="57095B28" w:rsidR="007470B5" w:rsidRPr="000412FD" w:rsidRDefault="000412FD" w:rsidP="000412FD">
      <w:pPr>
        <w:jc w:val="both"/>
        <w:rPr>
          <w:rFonts w:ascii="Arial" w:eastAsia="Times New Roman" w:hAnsi="Arial" w:cs="Arial"/>
          <w:b/>
          <w:sz w:val="48"/>
          <w:szCs w:val="48"/>
        </w:rPr>
      </w:pPr>
      <w:r w:rsidRPr="000412FD">
        <w:rPr>
          <w:rFonts w:ascii="Arial" w:hAnsi="Arial" w:cs="Arial"/>
          <w:b/>
          <w:sz w:val="48"/>
          <w:szCs w:val="48"/>
        </w:rPr>
        <w:t xml:space="preserve">                 </w:t>
      </w:r>
      <w:r w:rsidRPr="000412FD">
        <w:rPr>
          <w:rFonts w:ascii="Arial" w:hAnsi="Arial" w:cs="Arial"/>
          <w:b/>
          <w:sz w:val="48"/>
          <w:szCs w:val="48"/>
        </w:rPr>
        <w:t>Student id: 2219837</w:t>
      </w:r>
    </w:p>
    <w:p w14:paraId="7B9AC167" w14:textId="77777777" w:rsidR="007470B5" w:rsidRDefault="007470B5" w:rsidP="000412FD">
      <w:pPr>
        <w:jc w:val="both"/>
        <w:rPr>
          <w:rFonts w:ascii="Times New Roman" w:eastAsia="Times New Roman" w:hAnsi="Times New Roman" w:cs="Times New Roman"/>
          <w:b/>
          <w:sz w:val="24"/>
          <w:szCs w:val="24"/>
        </w:rPr>
      </w:pPr>
    </w:p>
    <w:p w14:paraId="7AFA8367" w14:textId="77777777" w:rsidR="007470B5" w:rsidRDefault="007470B5">
      <w:pPr>
        <w:spacing w:line="480" w:lineRule="auto"/>
        <w:jc w:val="both"/>
        <w:rPr>
          <w:rFonts w:ascii="Times New Roman" w:eastAsia="Times New Roman" w:hAnsi="Times New Roman" w:cs="Times New Roman"/>
          <w:b/>
          <w:sz w:val="24"/>
          <w:szCs w:val="24"/>
        </w:rPr>
      </w:pPr>
    </w:p>
    <w:p w14:paraId="778FF156" w14:textId="77777777" w:rsidR="007470B5" w:rsidRDefault="007470B5">
      <w:pPr>
        <w:spacing w:line="480" w:lineRule="auto"/>
        <w:jc w:val="both"/>
        <w:rPr>
          <w:rFonts w:ascii="Times New Roman" w:eastAsia="Times New Roman" w:hAnsi="Times New Roman" w:cs="Times New Roman"/>
          <w:b/>
          <w:sz w:val="24"/>
          <w:szCs w:val="24"/>
        </w:rPr>
      </w:pPr>
    </w:p>
    <w:p w14:paraId="682A783C" w14:textId="77777777" w:rsidR="007470B5" w:rsidRDefault="007470B5">
      <w:pPr>
        <w:spacing w:line="480" w:lineRule="auto"/>
        <w:jc w:val="center"/>
        <w:rPr>
          <w:rFonts w:ascii="Times New Roman" w:eastAsia="Times New Roman" w:hAnsi="Times New Roman" w:cs="Times New Roman"/>
          <w:b/>
          <w:sz w:val="24"/>
          <w:szCs w:val="24"/>
        </w:rPr>
      </w:pPr>
    </w:p>
    <w:p w14:paraId="405389B6" w14:textId="77777777" w:rsidR="007470B5" w:rsidRDefault="007470B5">
      <w:pPr>
        <w:spacing w:line="480" w:lineRule="auto"/>
        <w:jc w:val="center"/>
        <w:rPr>
          <w:rFonts w:ascii="Times New Roman" w:eastAsia="Times New Roman" w:hAnsi="Times New Roman" w:cs="Times New Roman"/>
          <w:b/>
          <w:sz w:val="24"/>
          <w:szCs w:val="24"/>
        </w:rPr>
      </w:pPr>
    </w:p>
    <w:p w14:paraId="52177CCE" w14:textId="77777777" w:rsidR="007470B5" w:rsidRDefault="007470B5">
      <w:pPr>
        <w:spacing w:line="480" w:lineRule="auto"/>
        <w:jc w:val="center"/>
        <w:rPr>
          <w:rFonts w:ascii="Times New Roman" w:eastAsia="Times New Roman" w:hAnsi="Times New Roman" w:cs="Times New Roman"/>
          <w:i/>
          <w:sz w:val="24"/>
          <w:szCs w:val="24"/>
        </w:rPr>
      </w:pPr>
    </w:p>
    <w:p w14:paraId="6A1BC858" w14:textId="77777777" w:rsidR="007470B5" w:rsidRDefault="007470B5">
      <w:pPr>
        <w:spacing w:line="480" w:lineRule="auto"/>
        <w:jc w:val="center"/>
        <w:rPr>
          <w:rFonts w:ascii="Times New Roman" w:eastAsia="Times New Roman" w:hAnsi="Times New Roman" w:cs="Times New Roman"/>
          <w:i/>
          <w:sz w:val="24"/>
          <w:szCs w:val="24"/>
        </w:rPr>
      </w:pPr>
    </w:p>
    <w:p w14:paraId="46E1CC2F" w14:textId="77777777" w:rsidR="007470B5" w:rsidRDefault="007470B5">
      <w:pPr>
        <w:spacing w:line="480" w:lineRule="auto"/>
        <w:jc w:val="center"/>
        <w:rPr>
          <w:rFonts w:ascii="Times New Roman" w:eastAsia="Times New Roman" w:hAnsi="Times New Roman" w:cs="Times New Roman"/>
          <w:i/>
          <w:sz w:val="24"/>
          <w:szCs w:val="24"/>
        </w:rPr>
      </w:pPr>
    </w:p>
    <w:p w14:paraId="5F62F659" w14:textId="77777777" w:rsidR="007470B5" w:rsidRDefault="007470B5">
      <w:pPr>
        <w:spacing w:line="480" w:lineRule="auto"/>
        <w:jc w:val="center"/>
        <w:rPr>
          <w:rFonts w:ascii="Times New Roman" w:eastAsia="Times New Roman" w:hAnsi="Times New Roman" w:cs="Times New Roman"/>
          <w:i/>
          <w:sz w:val="24"/>
          <w:szCs w:val="24"/>
        </w:rPr>
      </w:pPr>
    </w:p>
    <w:p w14:paraId="729194E9" w14:textId="77777777" w:rsidR="007470B5" w:rsidRDefault="007470B5">
      <w:pPr>
        <w:spacing w:line="480" w:lineRule="auto"/>
        <w:jc w:val="center"/>
        <w:rPr>
          <w:rFonts w:ascii="Times New Roman" w:eastAsia="Times New Roman" w:hAnsi="Times New Roman" w:cs="Times New Roman"/>
          <w:i/>
          <w:sz w:val="24"/>
          <w:szCs w:val="24"/>
        </w:rPr>
      </w:pPr>
    </w:p>
    <w:p w14:paraId="560AB404" w14:textId="3E6F0C4E" w:rsidR="007470B5" w:rsidRDefault="007470B5">
      <w:pPr>
        <w:spacing w:line="480" w:lineRule="auto"/>
        <w:jc w:val="center"/>
        <w:rPr>
          <w:rFonts w:ascii="Times New Roman" w:eastAsia="Times New Roman" w:hAnsi="Times New Roman" w:cs="Times New Roman"/>
          <w:i/>
          <w:sz w:val="24"/>
          <w:szCs w:val="24"/>
        </w:rPr>
      </w:pPr>
    </w:p>
    <w:p w14:paraId="73A8E394" w14:textId="77777777" w:rsidR="007470B5" w:rsidRDefault="007470B5">
      <w:pPr>
        <w:spacing w:line="480" w:lineRule="auto"/>
        <w:jc w:val="center"/>
        <w:rPr>
          <w:rFonts w:ascii="Times New Roman" w:eastAsia="Times New Roman" w:hAnsi="Times New Roman" w:cs="Times New Roman"/>
          <w:i/>
          <w:sz w:val="24"/>
          <w:szCs w:val="24"/>
        </w:rPr>
      </w:pPr>
    </w:p>
    <w:p w14:paraId="312F94B6" w14:textId="77777777" w:rsidR="007470B5" w:rsidRDefault="007470B5">
      <w:pPr>
        <w:spacing w:line="480" w:lineRule="auto"/>
        <w:jc w:val="center"/>
        <w:rPr>
          <w:rFonts w:ascii="Times New Roman" w:eastAsia="Times New Roman" w:hAnsi="Times New Roman" w:cs="Times New Roman"/>
          <w:i/>
          <w:sz w:val="24"/>
          <w:szCs w:val="24"/>
        </w:rPr>
      </w:pPr>
    </w:p>
    <w:p w14:paraId="0968CBD5" w14:textId="77777777" w:rsidR="007470B5" w:rsidRDefault="007470B5">
      <w:pPr>
        <w:spacing w:line="480" w:lineRule="auto"/>
        <w:jc w:val="center"/>
        <w:rPr>
          <w:rFonts w:ascii="Times New Roman" w:eastAsia="Times New Roman" w:hAnsi="Times New Roman" w:cs="Times New Roman"/>
          <w:i/>
          <w:sz w:val="24"/>
          <w:szCs w:val="24"/>
        </w:rPr>
      </w:pPr>
    </w:p>
    <w:p w14:paraId="14606952" w14:textId="77777777" w:rsidR="007470B5" w:rsidRDefault="007470B5">
      <w:pPr>
        <w:spacing w:line="480" w:lineRule="auto"/>
        <w:jc w:val="both"/>
        <w:rPr>
          <w:rFonts w:ascii="Times New Roman" w:eastAsia="Times New Roman" w:hAnsi="Times New Roman" w:cs="Times New Roman"/>
          <w:i/>
          <w:sz w:val="24"/>
          <w:szCs w:val="24"/>
        </w:rPr>
      </w:pPr>
    </w:p>
    <w:p w14:paraId="51B53871" w14:textId="77777777" w:rsidR="007470B5" w:rsidRDefault="007470B5">
      <w:pPr>
        <w:spacing w:line="480" w:lineRule="auto"/>
        <w:jc w:val="both"/>
        <w:rPr>
          <w:rFonts w:ascii="Times New Roman" w:eastAsia="Times New Roman" w:hAnsi="Times New Roman" w:cs="Times New Roman"/>
          <w:i/>
          <w:sz w:val="24"/>
          <w:szCs w:val="24"/>
        </w:rPr>
      </w:pPr>
    </w:p>
    <w:p w14:paraId="30433619" w14:textId="77777777" w:rsidR="007470B5" w:rsidRDefault="007470B5">
      <w:pPr>
        <w:spacing w:line="480" w:lineRule="auto"/>
        <w:jc w:val="both"/>
        <w:rPr>
          <w:rFonts w:ascii="Times New Roman" w:eastAsia="Times New Roman" w:hAnsi="Times New Roman" w:cs="Times New Roman"/>
          <w:i/>
          <w:sz w:val="24"/>
          <w:szCs w:val="24"/>
        </w:rPr>
      </w:pPr>
    </w:p>
    <w:p w14:paraId="1D7F17E7" w14:textId="77777777" w:rsidR="007470B5" w:rsidRDefault="007470B5">
      <w:pPr>
        <w:spacing w:line="480" w:lineRule="auto"/>
        <w:jc w:val="both"/>
        <w:rPr>
          <w:rFonts w:ascii="Times New Roman" w:eastAsia="Times New Roman" w:hAnsi="Times New Roman" w:cs="Times New Roman"/>
          <w:i/>
          <w:sz w:val="24"/>
          <w:szCs w:val="24"/>
        </w:rPr>
      </w:pPr>
    </w:p>
    <w:p w14:paraId="2FC4C2F3" w14:textId="77777777" w:rsidR="007470B5" w:rsidRDefault="007470B5">
      <w:pPr>
        <w:spacing w:line="480" w:lineRule="auto"/>
        <w:jc w:val="both"/>
        <w:rPr>
          <w:rFonts w:ascii="Times New Roman" w:eastAsia="Times New Roman" w:hAnsi="Times New Roman" w:cs="Times New Roman"/>
          <w:i/>
          <w:sz w:val="24"/>
          <w:szCs w:val="24"/>
        </w:rPr>
      </w:pPr>
    </w:p>
    <w:p w14:paraId="2A77A970" w14:textId="77777777" w:rsidR="007470B5" w:rsidRDefault="007470B5">
      <w:pPr>
        <w:spacing w:line="480" w:lineRule="auto"/>
        <w:jc w:val="both"/>
        <w:rPr>
          <w:rFonts w:ascii="Times New Roman" w:eastAsia="Times New Roman" w:hAnsi="Times New Roman" w:cs="Times New Roman"/>
          <w:i/>
          <w:sz w:val="24"/>
          <w:szCs w:val="24"/>
        </w:rPr>
      </w:pPr>
    </w:p>
    <w:p w14:paraId="4BABFA44" w14:textId="77777777" w:rsidR="007470B5" w:rsidRDefault="007470B5">
      <w:pPr>
        <w:spacing w:line="480" w:lineRule="auto"/>
        <w:jc w:val="both"/>
        <w:rPr>
          <w:rFonts w:ascii="Times New Roman" w:eastAsia="Times New Roman" w:hAnsi="Times New Roman" w:cs="Times New Roman"/>
          <w:i/>
          <w:sz w:val="24"/>
          <w:szCs w:val="24"/>
        </w:rPr>
      </w:pPr>
    </w:p>
    <w:p w14:paraId="1FACCE9C" w14:textId="77777777" w:rsidR="007470B5" w:rsidRDefault="007470B5">
      <w:pPr>
        <w:spacing w:line="480" w:lineRule="auto"/>
        <w:jc w:val="both"/>
        <w:rPr>
          <w:rFonts w:ascii="Times New Roman" w:eastAsia="Times New Roman" w:hAnsi="Times New Roman" w:cs="Times New Roman"/>
          <w:i/>
          <w:sz w:val="24"/>
          <w:szCs w:val="24"/>
        </w:rPr>
      </w:pPr>
    </w:p>
    <w:p w14:paraId="437EEA39" w14:textId="77777777" w:rsidR="007470B5" w:rsidRDefault="007470B5">
      <w:pPr>
        <w:spacing w:line="480" w:lineRule="auto"/>
        <w:jc w:val="both"/>
        <w:rPr>
          <w:rFonts w:ascii="Times New Roman" w:eastAsia="Times New Roman" w:hAnsi="Times New Roman" w:cs="Times New Roman"/>
          <w:i/>
          <w:sz w:val="24"/>
          <w:szCs w:val="24"/>
        </w:rPr>
      </w:pPr>
    </w:p>
    <w:sdt>
      <w:sdtPr>
        <w:rPr>
          <w:rFonts w:ascii="Times New Roman" w:eastAsia="SimSun" w:hAnsi="Times New Roman" w:cs="Times New Roman"/>
          <w:b/>
          <w:bCs/>
          <w:sz w:val="24"/>
          <w:szCs w:val="24"/>
        </w:rPr>
        <w:id w:val="147462556"/>
        <w15:color w:val="DBDBDB"/>
        <w:docPartObj>
          <w:docPartGallery w:val="Table of Contents"/>
          <w:docPartUnique/>
        </w:docPartObj>
      </w:sdtPr>
      <w:sdtEndPr>
        <w:rPr>
          <w:rFonts w:ascii="Arial" w:eastAsia="Times New Roman" w:hAnsi="Arial" w:cs="Arial"/>
          <w:i/>
        </w:rPr>
      </w:sdtEndPr>
      <w:sdtContent>
        <w:p w14:paraId="76EC6558" w14:textId="77777777" w:rsidR="007470B5" w:rsidRDefault="003E27FF">
          <w:pPr>
            <w:jc w:val="center"/>
            <w:rPr>
              <w:rFonts w:ascii="Times New Roman" w:hAnsi="Times New Roman" w:cs="Times New Roman"/>
              <w:b/>
              <w:bCs/>
              <w:sz w:val="24"/>
              <w:szCs w:val="24"/>
            </w:rPr>
          </w:pPr>
          <w:r>
            <w:rPr>
              <w:rFonts w:ascii="Times New Roman" w:eastAsia="SimSun" w:hAnsi="Times New Roman" w:cs="Times New Roman"/>
              <w:b/>
              <w:bCs/>
              <w:sz w:val="24"/>
              <w:szCs w:val="24"/>
            </w:rPr>
            <w:t>Table Of Content</w:t>
          </w:r>
        </w:p>
        <w:p w14:paraId="65F8DC99" w14:textId="77777777" w:rsidR="007470B5" w:rsidRPr="000412FD" w:rsidRDefault="00000000">
          <w:pPr>
            <w:pStyle w:val="WPSOffice2"/>
            <w:tabs>
              <w:tab w:val="right" w:leader="dot" w:pos="8306"/>
            </w:tabs>
            <w:ind w:left="400"/>
            <w:rPr>
              <w:rFonts w:ascii="Arial" w:hAnsi="Arial" w:cs="Arial"/>
              <w:sz w:val="24"/>
              <w:szCs w:val="24"/>
            </w:rPr>
          </w:pPr>
          <w:hyperlink w:anchor="_Toc18824" w:history="1">
            <w:r w:rsidR="003E27FF" w:rsidRPr="000412FD">
              <w:rPr>
                <w:rFonts w:ascii="Arial" w:hAnsi="Arial" w:cs="Arial"/>
                <w:sz w:val="24"/>
                <w:szCs w:val="24"/>
              </w:rPr>
              <w:t>Assignment- A1</w:t>
            </w:r>
            <w:r w:rsidR="003E27FF" w:rsidRPr="000412FD">
              <w:rPr>
                <w:rFonts w:ascii="Arial" w:hAnsi="Arial" w:cs="Arial"/>
                <w:sz w:val="24"/>
                <w:szCs w:val="24"/>
              </w:rPr>
              <w:tab/>
            </w:r>
            <w:r w:rsidR="003E27FF" w:rsidRPr="000412FD">
              <w:rPr>
                <w:rFonts w:ascii="Arial" w:hAnsi="Arial" w:cs="Arial"/>
                <w:sz w:val="24"/>
                <w:szCs w:val="24"/>
              </w:rPr>
              <w:fldChar w:fldCharType="begin"/>
            </w:r>
            <w:r w:rsidR="003E27FF" w:rsidRPr="000412FD">
              <w:rPr>
                <w:rFonts w:ascii="Arial" w:hAnsi="Arial" w:cs="Arial"/>
                <w:sz w:val="24"/>
                <w:szCs w:val="24"/>
              </w:rPr>
              <w:instrText xml:space="preserve"> PAGEREF _Toc18824 \h </w:instrText>
            </w:r>
            <w:r w:rsidR="003E27FF" w:rsidRPr="000412FD">
              <w:rPr>
                <w:rFonts w:ascii="Arial" w:hAnsi="Arial" w:cs="Arial"/>
                <w:sz w:val="24"/>
                <w:szCs w:val="24"/>
              </w:rPr>
            </w:r>
            <w:r w:rsidR="003E27FF" w:rsidRPr="000412FD">
              <w:rPr>
                <w:rFonts w:ascii="Arial" w:hAnsi="Arial" w:cs="Arial"/>
                <w:sz w:val="24"/>
                <w:szCs w:val="24"/>
              </w:rPr>
              <w:fldChar w:fldCharType="separate"/>
            </w:r>
            <w:r w:rsidR="003E27FF" w:rsidRPr="000412FD">
              <w:rPr>
                <w:rFonts w:ascii="Arial" w:hAnsi="Arial" w:cs="Arial"/>
                <w:sz w:val="24"/>
                <w:szCs w:val="24"/>
              </w:rPr>
              <w:t>4</w:t>
            </w:r>
            <w:r w:rsidR="003E27FF" w:rsidRPr="000412FD">
              <w:rPr>
                <w:rFonts w:ascii="Arial" w:hAnsi="Arial" w:cs="Arial"/>
                <w:sz w:val="24"/>
                <w:szCs w:val="24"/>
              </w:rPr>
              <w:fldChar w:fldCharType="end"/>
            </w:r>
          </w:hyperlink>
        </w:p>
        <w:p w14:paraId="1733CE8C" w14:textId="77777777" w:rsidR="007470B5" w:rsidRPr="000412FD" w:rsidRDefault="00000000">
          <w:pPr>
            <w:pStyle w:val="WPSOffice2"/>
            <w:tabs>
              <w:tab w:val="right" w:leader="dot" w:pos="8306"/>
            </w:tabs>
            <w:ind w:left="400"/>
            <w:rPr>
              <w:rFonts w:ascii="Arial" w:hAnsi="Arial" w:cs="Arial"/>
              <w:sz w:val="24"/>
              <w:szCs w:val="24"/>
            </w:rPr>
          </w:pPr>
          <w:hyperlink w:anchor="_Toc19123" w:history="1">
            <w:r w:rsidR="003E27FF" w:rsidRPr="000412FD">
              <w:rPr>
                <w:rFonts w:ascii="Arial" w:hAnsi="Arial" w:cs="Arial"/>
                <w:sz w:val="24"/>
                <w:szCs w:val="24"/>
              </w:rPr>
              <w:t>Question 1</w:t>
            </w:r>
            <w:r w:rsidR="003E27FF" w:rsidRPr="000412FD">
              <w:rPr>
                <w:rFonts w:ascii="Arial" w:hAnsi="Arial" w:cs="Arial"/>
                <w:sz w:val="24"/>
                <w:szCs w:val="24"/>
              </w:rPr>
              <w:tab/>
              <w:t>4</w:t>
            </w:r>
          </w:hyperlink>
        </w:p>
        <w:p w14:paraId="39879917" w14:textId="77777777" w:rsidR="007470B5" w:rsidRPr="000412FD" w:rsidRDefault="00000000">
          <w:pPr>
            <w:pStyle w:val="WPSOffice3"/>
            <w:tabs>
              <w:tab w:val="right" w:leader="dot" w:pos="8306"/>
            </w:tabs>
            <w:ind w:left="800"/>
            <w:rPr>
              <w:rFonts w:ascii="Arial" w:hAnsi="Arial" w:cs="Arial"/>
              <w:sz w:val="24"/>
              <w:szCs w:val="24"/>
            </w:rPr>
          </w:pPr>
          <w:hyperlink w:anchor="_Toc19475" w:history="1">
            <w:r w:rsidR="003E27FF" w:rsidRPr="000412FD">
              <w:rPr>
                <w:rFonts w:ascii="Arial" w:hAnsi="Arial" w:cs="Arial"/>
                <w:sz w:val="24"/>
                <w:szCs w:val="24"/>
              </w:rPr>
              <w:t>a) Income Statement for the year ended 31st December 2022</w:t>
            </w:r>
            <w:r w:rsidR="003E27FF" w:rsidRPr="000412FD">
              <w:rPr>
                <w:rFonts w:ascii="Arial" w:hAnsi="Arial" w:cs="Arial"/>
                <w:sz w:val="24"/>
                <w:szCs w:val="24"/>
              </w:rPr>
              <w:tab/>
              <w:t>4</w:t>
            </w:r>
          </w:hyperlink>
        </w:p>
        <w:p w14:paraId="2208E518" w14:textId="77777777" w:rsidR="007470B5" w:rsidRPr="000412FD" w:rsidRDefault="00000000">
          <w:pPr>
            <w:pStyle w:val="WPSOffice3"/>
            <w:tabs>
              <w:tab w:val="right" w:leader="dot" w:pos="8306"/>
            </w:tabs>
            <w:ind w:left="800"/>
            <w:rPr>
              <w:rFonts w:ascii="Arial" w:hAnsi="Arial" w:cs="Arial"/>
              <w:sz w:val="24"/>
              <w:szCs w:val="24"/>
            </w:rPr>
          </w:pPr>
          <w:hyperlink w:anchor="_Toc6014" w:history="1">
            <w:r w:rsidR="003E27FF" w:rsidRPr="000412FD">
              <w:rPr>
                <w:rFonts w:ascii="Arial" w:hAnsi="Arial" w:cs="Arial"/>
                <w:sz w:val="24"/>
                <w:szCs w:val="24"/>
              </w:rPr>
              <w:t>b) Why does the statement of financial position balance?</w:t>
            </w:r>
            <w:r w:rsidR="003E27FF" w:rsidRPr="000412FD">
              <w:rPr>
                <w:rFonts w:ascii="Arial" w:hAnsi="Arial" w:cs="Arial"/>
                <w:sz w:val="24"/>
                <w:szCs w:val="24"/>
              </w:rPr>
              <w:tab/>
              <w:t>6</w:t>
            </w:r>
          </w:hyperlink>
        </w:p>
        <w:p w14:paraId="4A49861C" w14:textId="77777777" w:rsidR="007470B5" w:rsidRPr="000412FD" w:rsidRDefault="00000000">
          <w:pPr>
            <w:pStyle w:val="WPSOffice2"/>
            <w:tabs>
              <w:tab w:val="right" w:leader="dot" w:pos="8306"/>
            </w:tabs>
            <w:ind w:left="400"/>
            <w:rPr>
              <w:rFonts w:ascii="Arial" w:hAnsi="Arial" w:cs="Arial"/>
              <w:sz w:val="24"/>
              <w:szCs w:val="24"/>
            </w:rPr>
          </w:pPr>
          <w:hyperlink w:anchor="_Toc27660" w:history="1">
            <w:r w:rsidR="003E27FF" w:rsidRPr="000412FD">
              <w:rPr>
                <w:rFonts w:ascii="Arial" w:hAnsi="Arial" w:cs="Arial"/>
                <w:sz w:val="24"/>
                <w:szCs w:val="24"/>
              </w:rPr>
              <w:t>Question 2</w:t>
            </w:r>
            <w:r w:rsidR="003E27FF" w:rsidRPr="000412FD">
              <w:rPr>
                <w:rFonts w:ascii="Arial" w:hAnsi="Arial" w:cs="Arial"/>
                <w:sz w:val="24"/>
                <w:szCs w:val="24"/>
              </w:rPr>
              <w:tab/>
              <w:t>8</w:t>
            </w:r>
          </w:hyperlink>
        </w:p>
        <w:p w14:paraId="01AAC973" w14:textId="77777777" w:rsidR="007470B5" w:rsidRPr="000412FD" w:rsidRDefault="00000000">
          <w:pPr>
            <w:pStyle w:val="WPSOffice3"/>
            <w:tabs>
              <w:tab w:val="right" w:leader="dot" w:pos="8306"/>
            </w:tabs>
            <w:ind w:left="800"/>
            <w:rPr>
              <w:rFonts w:ascii="Arial" w:hAnsi="Arial" w:cs="Arial"/>
              <w:sz w:val="24"/>
              <w:szCs w:val="24"/>
            </w:rPr>
          </w:pPr>
          <w:hyperlink w:anchor="_Toc6560" w:history="1">
            <w:r w:rsidR="003E27FF" w:rsidRPr="000412FD">
              <w:rPr>
                <w:rFonts w:ascii="Arial" w:hAnsi="Arial" w:cs="Arial"/>
                <w:sz w:val="24"/>
                <w:szCs w:val="24"/>
              </w:rPr>
              <w:t>a) Calculation of Ratios:</w:t>
            </w:r>
            <w:r w:rsidR="003E27FF" w:rsidRPr="000412FD">
              <w:rPr>
                <w:rFonts w:ascii="Arial" w:hAnsi="Arial" w:cs="Arial"/>
                <w:sz w:val="24"/>
                <w:szCs w:val="24"/>
              </w:rPr>
              <w:tab/>
              <w:t>8</w:t>
            </w:r>
          </w:hyperlink>
        </w:p>
        <w:p w14:paraId="0FFEFC20" w14:textId="77777777" w:rsidR="007470B5" w:rsidRPr="000412FD" w:rsidRDefault="00000000">
          <w:pPr>
            <w:pStyle w:val="WPSOffice3"/>
            <w:tabs>
              <w:tab w:val="right" w:leader="dot" w:pos="8306"/>
            </w:tabs>
            <w:ind w:left="800"/>
            <w:rPr>
              <w:rFonts w:ascii="Arial" w:hAnsi="Arial" w:cs="Arial"/>
              <w:sz w:val="24"/>
              <w:szCs w:val="24"/>
            </w:rPr>
          </w:pPr>
          <w:hyperlink w:anchor="_Toc24598" w:history="1">
            <w:r w:rsidR="003E27FF" w:rsidRPr="000412FD">
              <w:rPr>
                <w:rFonts w:ascii="Arial" w:hAnsi="Arial" w:cs="Arial"/>
                <w:sz w:val="24"/>
                <w:szCs w:val="24"/>
              </w:rPr>
              <w:t>b) Using the information in the financial statements and the ratios you have calculated…</w:t>
            </w:r>
            <w:r w:rsidR="003E27FF" w:rsidRPr="000412FD">
              <w:rPr>
                <w:rFonts w:ascii="Arial" w:hAnsi="Arial" w:cs="Arial"/>
                <w:sz w:val="24"/>
                <w:szCs w:val="24"/>
              </w:rPr>
              <w:tab/>
              <w:t>12</w:t>
            </w:r>
          </w:hyperlink>
        </w:p>
        <w:p w14:paraId="441B05B5" w14:textId="77777777" w:rsidR="007470B5" w:rsidRPr="000412FD" w:rsidRDefault="00000000">
          <w:pPr>
            <w:pStyle w:val="WPSOffice2"/>
            <w:tabs>
              <w:tab w:val="right" w:leader="dot" w:pos="8306"/>
            </w:tabs>
            <w:ind w:left="400"/>
            <w:rPr>
              <w:rFonts w:ascii="Arial" w:hAnsi="Arial" w:cs="Arial"/>
              <w:sz w:val="24"/>
              <w:szCs w:val="24"/>
            </w:rPr>
          </w:pPr>
          <w:hyperlink w:anchor="_Toc27730" w:history="1">
            <w:r w:rsidR="003E27FF" w:rsidRPr="000412FD">
              <w:rPr>
                <w:rFonts w:ascii="Arial" w:hAnsi="Arial" w:cs="Arial"/>
                <w:sz w:val="24"/>
                <w:szCs w:val="24"/>
              </w:rPr>
              <w:t>References List</w:t>
            </w:r>
            <w:r w:rsidR="003E27FF" w:rsidRPr="000412FD">
              <w:rPr>
                <w:rFonts w:ascii="Arial" w:hAnsi="Arial" w:cs="Arial"/>
                <w:sz w:val="24"/>
                <w:szCs w:val="24"/>
              </w:rPr>
              <w:tab/>
              <w:t>16</w:t>
            </w:r>
          </w:hyperlink>
        </w:p>
        <w:p w14:paraId="5BB6D66E" w14:textId="77777777" w:rsidR="007470B5" w:rsidRPr="000412FD" w:rsidRDefault="00000000">
          <w:pPr>
            <w:spacing w:line="480" w:lineRule="auto"/>
            <w:jc w:val="both"/>
            <w:rPr>
              <w:rFonts w:ascii="Arial" w:eastAsia="Times New Roman" w:hAnsi="Arial" w:cs="Arial"/>
              <w:i/>
              <w:sz w:val="24"/>
              <w:szCs w:val="24"/>
            </w:rPr>
          </w:pPr>
        </w:p>
      </w:sdtContent>
    </w:sdt>
    <w:p w14:paraId="104D2676" w14:textId="77777777" w:rsidR="007470B5" w:rsidRDefault="003E27FF">
      <w:pPr>
        <w:rPr>
          <w:rFonts w:ascii="Times New Roman" w:hAnsi="Times New Roman" w:cs="Times New Roman"/>
          <w:sz w:val="24"/>
          <w:szCs w:val="24"/>
        </w:rPr>
      </w:pPr>
      <w:bookmarkStart w:id="0" w:name="_Toc1995"/>
      <w:r>
        <w:rPr>
          <w:rFonts w:ascii="Times New Roman" w:hAnsi="Times New Roman" w:cs="Times New Roman"/>
          <w:sz w:val="24"/>
          <w:szCs w:val="24"/>
        </w:rPr>
        <w:br w:type="page"/>
      </w:r>
    </w:p>
    <w:p w14:paraId="7AC930F0" w14:textId="77777777" w:rsidR="007470B5" w:rsidRPr="000412FD" w:rsidRDefault="003E27FF">
      <w:pPr>
        <w:pStyle w:val="Heading2"/>
        <w:spacing w:line="480" w:lineRule="auto"/>
        <w:jc w:val="center"/>
        <w:rPr>
          <w:rFonts w:ascii="Arial" w:hAnsi="Arial" w:cs="Arial"/>
          <w:sz w:val="24"/>
          <w:szCs w:val="24"/>
        </w:rPr>
      </w:pPr>
      <w:bookmarkStart w:id="1" w:name="_Toc18824"/>
      <w:r w:rsidRPr="000412FD">
        <w:rPr>
          <w:rFonts w:ascii="Arial" w:hAnsi="Arial" w:cs="Arial"/>
          <w:sz w:val="24"/>
          <w:szCs w:val="24"/>
        </w:rPr>
        <w:lastRenderedPageBreak/>
        <w:t>Assignment- A1</w:t>
      </w:r>
      <w:bookmarkEnd w:id="0"/>
      <w:bookmarkEnd w:id="1"/>
    </w:p>
    <w:p w14:paraId="1367709C" w14:textId="77777777" w:rsidR="007470B5" w:rsidRPr="000412FD" w:rsidRDefault="003E27FF">
      <w:pPr>
        <w:pStyle w:val="Heading2"/>
        <w:spacing w:line="480" w:lineRule="auto"/>
        <w:rPr>
          <w:rFonts w:ascii="Arial" w:hAnsi="Arial" w:cs="Arial"/>
          <w:sz w:val="24"/>
          <w:szCs w:val="24"/>
        </w:rPr>
      </w:pPr>
      <w:bookmarkStart w:id="2" w:name="_Toc21923"/>
      <w:bookmarkStart w:id="3" w:name="_Toc19123"/>
      <w:r w:rsidRPr="000412FD">
        <w:rPr>
          <w:rFonts w:ascii="Arial" w:hAnsi="Arial" w:cs="Arial"/>
          <w:sz w:val="24"/>
          <w:szCs w:val="24"/>
        </w:rPr>
        <w:t>Question 1</w:t>
      </w:r>
      <w:bookmarkEnd w:id="2"/>
      <w:bookmarkEnd w:id="3"/>
    </w:p>
    <w:p w14:paraId="0257C919" w14:textId="77777777" w:rsidR="003E27FF" w:rsidRPr="000412FD" w:rsidRDefault="003E27FF" w:rsidP="003E27FF">
      <w:pPr>
        <w:pStyle w:val="Heading3"/>
        <w:numPr>
          <w:ilvl w:val="0"/>
          <w:numId w:val="1"/>
        </w:numPr>
        <w:spacing w:line="480" w:lineRule="auto"/>
        <w:rPr>
          <w:rFonts w:ascii="Arial" w:hAnsi="Arial" w:cs="Arial"/>
          <w:sz w:val="24"/>
          <w:szCs w:val="24"/>
        </w:rPr>
      </w:pPr>
      <w:bookmarkStart w:id="4" w:name="_Toc8899"/>
      <w:bookmarkStart w:id="5" w:name="_Toc19475"/>
      <w:r w:rsidRPr="000412FD">
        <w:rPr>
          <w:rFonts w:ascii="Arial" w:hAnsi="Arial" w:cs="Arial"/>
          <w:sz w:val="24"/>
          <w:szCs w:val="24"/>
        </w:rPr>
        <w:t>Income Statement</w:t>
      </w:r>
      <w:bookmarkEnd w:id="4"/>
      <w:bookmarkEnd w:id="5"/>
      <w:r w:rsidRPr="000412FD">
        <w:rPr>
          <w:rFonts w:ascii="Arial" w:hAnsi="Arial" w:cs="Arial"/>
          <w:sz w:val="24"/>
          <w:szCs w:val="24"/>
        </w:rPr>
        <w:t>:</w:t>
      </w:r>
      <w:r w:rsidRPr="000412FD">
        <w:rPr>
          <w:rFonts w:ascii="Arial" w:hAnsi="Arial" w:cs="Arial"/>
          <w:sz w:val="24"/>
          <w:szCs w:val="24"/>
        </w:rPr>
        <w:tab/>
      </w:r>
    </w:p>
    <w:p w14:paraId="7CCA6EF0" w14:textId="77777777" w:rsidR="007470B5" w:rsidRPr="000412FD" w:rsidRDefault="003E27FF" w:rsidP="003E27FF">
      <w:pPr>
        <w:pStyle w:val="Heading3"/>
        <w:spacing w:line="480" w:lineRule="auto"/>
        <w:rPr>
          <w:rFonts w:ascii="Arial" w:hAnsi="Arial" w:cs="Arial"/>
          <w:sz w:val="24"/>
          <w:szCs w:val="24"/>
        </w:rPr>
      </w:pPr>
      <w:r w:rsidRPr="000412FD">
        <w:rPr>
          <w:rFonts w:ascii="Arial" w:hAnsi="Arial" w:cs="Arial"/>
          <w:sz w:val="24"/>
          <w:szCs w:val="24"/>
        </w:rPr>
        <w:t xml:space="preserve">Answer: </w:t>
      </w:r>
    </w:p>
    <w:tbl>
      <w:tblPr>
        <w:tblStyle w:val="TableGrid"/>
        <w:tblW w:w="0" w:type="auto"/>
        <w:tblLook w:val="04A0" w:firstRow="1" w:lastRow="0" w:firstColumn="1" w:lastColumn="0" w:noHBand="0" w:noVBand="1"/>
      </w:tblPr>
      <w:tblGrid>
        <w:gridCol w:w="2772"/>
        <w:gridCol w:w="2762"/>
        <w:gridCol w:w="2762"/>
      </w:tblGrid>
      <w:tr w:rsidR="007470B5" w:rsidRPr="000412FD" w14:paraId="5D4D9050" w14:textId="77777777">
        <w:tc>
          <w:tcPr>
            <w:tcW w:w="2840" w:type="dxa"/>
          </w:tcPr>
          <w:p w14:paraId="7D0EE97E" w14:textId="77777777" w:rsidR="007470B5" w:rsidRPr="000412FD" w:rsidRDefault="007470B5">
            <w:pPr>
              <w:widowControl/>
              <w:spacing w:line="480" w:lineRule="auto"/>
              <w:jc w:val="center"/>
              <w:rPr>
                <w:rFonts w:ascii="Arial" w:hAnsi="Arial" w:cs="Arial"/>
                <w:sz w:val="24"/>
                <w:szCs w:val="24"/>
              </w:rPr>
            </w:pPr>
          </w:p>
        </w:tc>
        <w:tc>
          <w:tcPr>
            <w:tcW w:w="2841" w:type="dxa"/>
            <w:vAlign w:val="bottom"/>
          </w:tcPr>
          <w:p w14:paraId="402084BA" w14:textId="77777777" w:rsidR="007470B5" w:rsidRPr="000412FD" w:rsidRDefault="003E27FF">
            <w:pPr>
              <w:widowControl/>
              <w:spacing w:line="480" w:lineRule="auto"/>
              <w:jc w:val="center"/>
              <w:textAlignment w:val="bottom"/>
              <w:rPr>
                <w:rFonts w:ascii="Arial" w:hAnsi="Arial" w:cs="Arial"/>
                <w:sz w:val="24"/>
                <w:szCs w:val="24"/>
              </w:rPr>
            </w:pPr>
            <w:r w:rsidRPr="000412FD">
              <w:rPr>
                <w:rFonts w:ascii="Arial" w:eastAsia="Segoe UI" w:hAnsi="Arial" w:cs="Arial"/>
                <w:b/>
                <w:bCs/>
                <w:sz w:val="24"/>
                <w:szCs w:val="24"/>
                <w:lang w:bidi="ar"/>
              </w:rPr>
              <w:t>£</w:t>
            </w:r>
          </w:p>
        </w:tc>
        <w:tc>
          <w:tcPr>
            <w:tcW w:w="2841" w:type="dxa"/>
            <w:vAlign w:val="bottom"/>
          </w:tcPr>
          <w:p w14:paraId="3A90BA73" w14:textId="77777777" w:rsidR="007470B5" w:rsidRPr="000412FD" w:rsidRDefault="003E27FF">
            <w:pPr>
              <w:widowControl/>
              <w:spacing w:line="480" w:lineRule="auto"/>
              <w:jc w:val="center"/>
              <w:textAlignment w:val="bottom"/>
              <w:rPr>
                <w:rFonts w:ascii="Arial" w:hAnsi="Arial" w:cs="Arial"/>
                <w:sz w:val="24"/>
                <w:szCs w:val="24"/>
              </w:rPr>
            </w:pPr>
            <w:r w:rsidRPr="000412FD">
              <w:rPr>
                <w:rFonts w:ascii="Arial" w:eastAsia="Segoe UI" w:hAnsi="Arial" w:cs="Arial"/>
                <w:b/>
                <w:bCs/>
                <w:sz w:val="24"/>
                <w:szCs w:val="24"/>
                <w:lang w:bidi="ar"/>
              </w:rPr>
              <w:t>£</w:t>
            </w:r>
          </w:p>
        </w:tc>
      </w:tr>
      <w:tr w:rsidR="007470B5" w:rsidRPr="000412FD" w14:paraId="108514F0" w14:textId="77777777">
        <w:tc>
          <w:tcPr>
            <w:tcW w:w="2840" w:type="dxa"/>
          </w:tcPr>
          <w:p w14:paraId="03A6324B"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Fixed Assets</w:t>
            </w:r>
          </w:p>
        </w:tc>
        <w:tc>
          <w:tcPr>
            <w:tcW w:w="2841" w:type="dxa"/>
          </w:tcPr>
          <w:p w14:paraId="19E429EF"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1,250,000</w:t>
            </w:r>
          </w:p>
        </w:tc>
        <w:tc>
          <w:tcPr>
            <w:tcW w:w="2841" w:type="dxa"/>
          </w:tcPr>
          <w:p w14:paraId="612982A0" w14:textId="77777777" w:rsidR="007470B5" w:rsidRPr="000412FD" w:rsidRDefault="007470B5">
            <w:pPr>
              <w:widowControl/>
              <w:spacing w:line="480" w:lineRule="auto"/>
              <w:jc w:val="center"/>
              <w:rPr>
                <w:rFonts w:ascii="Arial" w:hAnsi="Arial" w:cs="Arial"/>
                <w:sz w:val="24"/>
                <w:szCs w:val="24"/>
              </w:rPr>
            </w:pPr>
          </w:p>
        </w:tc>
      </w:tr>
      <w:tr w:rsidR="007470B5" w:rsidRPr="000412FD" w14:paraId="706153AA" w14:textId="77777777">
        <w:tc>
          <w:tcPr>
            <w:tcW w:w="2840" w:type="dxa"/>
          </w:tcPr>
          <w:p w14:paraId="5C80E260"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Current Assets</w:t>
            </w:r>
          </w:p>
        </w:tc>
        <w:tc>
          <w:tcPr>
            <w:tcW w:w="2841" w:type="dxa"/>
          </w:tcPr>
          <w:p w14:paraId="577956A3" w14:textId="77777777" w:rsidR="007470B5" w:rsidRPr="000412FD" w:rsidRDefault="007470B5">
            <w:pPr>
              <w:widowControl/>
              <w:spacing w:line="480" w:lineRule="auto"/>
              <w:jc w:val="center"/>
              <w:rPr>
                <w:rFonts w:ascii="Arial" w:hAnsi="Arial" w:cs="Arial"/>
                <w:sz w:val="24"/>
                <w:szCs w:val="24"/>
              </w:rPr>
            </w:pPr>
          </w:p>
        </w:tc>
        <w:tc>
          <w:tcPr>
            <w:tcW w:w="2841" w:type="dxa"/>
          </w:tcPr>
          <w:p w14:paraId="64FD9C48"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780,975</w:t>
            </w:r>
          </w:p>
        </w:tc>
      </w:tr>
      <w:tr w:rsidR="007470B5" w:rsidRPr="000412FD" w14:paraId="2165D9DB" w14:textId="77777777">
        <w:tc>
          <w:tcPr>
            <w:tcW w:w="2840" w:type="dxa"/>
          </w:tcPr>
          <w:p w14:paraId="60D394F8"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Stock</w:t>
            </w:r>
          </w:p>
        </w:tc>
        <w:tc>
          <w:tcPr>
            <w:tcW w:w="2841" w:type="dxa"/>
          </w:tcPr>
          <w:p w14:paraId="3006E3CF" w14:textId="77777777" w:rsidR="007470B5" w:rsidRPr="000412FD" w:rsidRDefault="007470B5">
            <w:pPr>
              <w:widowControl/>
              <w:spacing w:line="480" w:lineRule="auto"/>
              <w:jc w:val="center"/>
              <w:rPr>
                <w:rFonts w:ascii="Arial" w:hAnsi="Arial" w:cs="Arial"/>
                <w:sz w:val="24"/>
                <w:szCs w:val="24"/>
              </w:rPr>
            </w:pPr>
          </w:p>
        </w:tc>
        <w:tc>
          <w:tcPr>
            <w:tcW w:w="2841" w:type="dxa"/>
          </w:tcPr>
          <w:p w14:paraId="135E3D64"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510,850</w:t>
            </w:r>
          </w:p>
        </w:tc>
      </w:tr>
      <w:tr w:rsidR="007470B5" w:rsidRPr="000412FD" w14:paraId="0C40F80C" w14:textId="77777777">
        <w:tc>
          <w:tcPr>
            <w:tcW w:w="2840" w:type="dxa"/>
          </w:tcPr>
          <w:p w14:paraId="5B6366B2"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Trade receivable</w:t>
            </w:r>
          </w:p>
        </w:tc>
        <w:tc>
          <w:tcPr>
            <w:tcW w:w="2841" w:type="dxa"/>
          </w:tcPr>
          <w:p w14:paraId="0F67A717" w14:textId="77777777" w:rsidR="007470B5" w:rsidRPr="000412FD" w:rsidRDefault="007470B5">
            <w:pPr>
              <w:widowControl/>
              <w:spacing w:line="480" w:lineRule="auto"/>
              <w:jc w:val="center"/>
              <w:rPr>
                <w:rFonts w:ascii="Arial" w:hAnsi="Arial" w:cs="Arial"/>
                <w:sz w:val="24"/>
                <w:szCs w:val="24"/>
              </w:rPr>
            </w:pPr>
          </w:p>
        </w:tc>
        <w:tc>
          <w:tcPr>
            <w:tcW w:w="2841" w:type="dxa"/>
          </w:tcPr>
          <w:p w14:paraId="1681CA77"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170,125</w:t>
            </w:r>
          </w:p>
        </w:tc>
      </w:tr>
      <w:tr w:rsidR="007470B5" w:rsidRPr="000412FD" w14:paraId="04B87F27" w14:textId="77777777">
        <w:tc>
          <w:tcPr>
            <w:tcW w:w="2840" w:type="dxa"/>
          </w:tcPr>
          <w:p w14:paraId="33789C68"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Cash and bank</w:t>
            </w:r>
          </w:p>
        </w:tc>
        <w:tc>
          <w:tcPr>
            <w:tcW w:w="2841" w:type="dxa"/>
          </w:tcPr>
          <w:p w14:paraId="35151687" w14:textId="77777777" w:rsidR="007470B5" w:rsidRPr="000412FD" w:rsidRDefault="007470B5">
            <w:pPr>
              <w:widowControl/>
              <w:spacing w:line="480" w:lineRule="auto"/>
              <w:jc w:val="center"/>
              <w:rPr>
                <w:rFonts w:ascii="Arial" w:hAnsi="Arial" w:cs="Arial"/>
                <w:sz w:val="24"/>
                <w:szCs w:val="24"/>
              </w:rPr>
            </w:pPr>
          </w:p>
        </w:tc>
        <w:tc>
          <w:tcPr>
            <w:tcW w:w="2841" w:type="dxa"/>
          </w:tcPr>
          <w:p w14:paraId="050DFD3B"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96,000</w:t>
            </w:r>
          </w:p>
        </w:tc>
      </w:tr>
      <w:tr w:rsidR="007470B5" w:rsidRPr="000412FD" w14:paraId="5D6BE045" w14:textId="77777777">
        <w:tc>
          <w:tcPr>
            <w:tcW w:w="2840" w:type="dxa"/>
          </w:tcPr>
          <w:p w14:paraId="34F2AFEB"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Prepayments</w:t>
            </w:r>
          </w:p>
        </w:tc>
        <w:tc>
          <w:tcPr>
            <w:tcW w:w="2841" w:type="dxa"/>
          </w:tcPr>
          <w:p w14:paraId="5D539F6A" w14:textId="77777777" w:rsidR="007470B5" w:rsidRPr="000412FD" w:rsidRDefault="007470B5">
            <w:pPr>
              <w:widowControl/>
              <w:spacing w:line="480" w:lineRule="auto"/>
              <w:jc w:val="center"/>
              <w:rPr>
                <w:rFonts w:ascii="Arial" w:hAnsi="Arial" w:cs="Arial"/>
                <w:sz w:val="24"/>
                <w:szCs w:val="24"/>
              </w:rPr>
            </w:pPr>
          </w:p>
        </w:tc>
        <w:tc>
          <w:tcPr>
            <w:tcW w:w="2841" w:type="dxa"/>
          </w:tcPr>
          <w:p w14:paraId="6C178590"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3,000</w:t>
            </w:r>
          </w:p>
        </w:tc>
      </w:tr>
      <w:tr w:rsidR="007470B5" w:rsidRPr="000412FD" w14:paraId="549437D7" w14:textId="77777777">
        <w:tc>
          <w:tcPr>
            <w:tcW w:w="2840" w:type="dxa"/>
          </w:tcPr>
          <w:p w14:paraId="0E8793C2" w14:textId="77777777" w:rsidR="007470B5" w:rsidRPr="000412FD" w:rsidRDefault="007470B5">
            <w:pPr>
              <w:widowControl/>
              <w:spacing w:line="480" w:lineRule="auto"/>
              <w:jc w:val="center"/>
              <w:rPr>
                <w:rFonts w:ascii="Arial" w:hAnsi="Arial" w:cs="Arial"/>
                <w:sz w:val="24"/>
                <w:szCs w:val="24"/>
              </w:rPr>
            </w:pPr>
          </w:p>
        </w:tc>
        <w:tc>
          <w:tcPr>
            <w:tcW w:w="2841" w:type="dxa"/>
          </w:tcPr>
          <w:p w14:paraId="023C210B" w14:textId="77777777" w:rsidR="007470B5" w:rsidRPr="000412FD" w:rsidRDefault="007470B5">
            <w:pPr>
              <w:widowControl/>
              <w:spacing w:line="480" w:lineRule="auto"/>
              <w:jc w:val="center"/>
              <w:rPr>
                <w:rFonts w:ascii="Arial" w:hAnsi="Arial" w:cs="Arial"/>
                <w:sz w:val="24"/>
                <w:szCs w:val="24"/>
              </w:rPr>
            </w:pPr>
          </w:p>
        </w:tc>
        <w:tc>
          <w:tcPr>
            <w:tcW w:w="2841" w:type="dxa"/>
          </w:tcPr>
          <w:p w14:paraId="57CC52E0" w14:textId="77777777" w:rsidR="007470B5" w:rsidRPr="000412FD" w:rsidRDefault="007470B5">
            <w:pPr>
              <w:widowControl/>
              <w:spacing w:line="480" w:lineRule="auto"/>
              <w:jc w:val="center"/>
              <w:rPr>
                <w:rFonts w:ascii="Arial" w:hAnsi="Arial" w:cs="Arial"/>
                <w:sz w:val="24"/>
                <w:szCs w:val="24"/>
              </w:rPr>
            </w:pPr>
          </w:p>
        </w:tc>
      </w:tr>
      <w:tr w:rsidR="007470B5" w:rsidRPr="000412FD" w14:paraId="159E81C4" w14:textId="77777777">
        <w:tc>
          <w:tcPr>
            <w:tcW w:w="2840" w:type="dxa"/>
          </w:tcPr>
          <w:p w14:paraId="552F0321"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Total Assets</w:t>
            </w:r>
          </w:p>
        </w:tc>
        <w:tc>
          <w:tcPr>
            <w:tcW w:w="2841" w:type="dxa"/>
          </w:tcPr>
          <w:p w14:paraId="0797E288"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1,250,000</w:t>
            </w:r>
          </w:p>
        </w:tc>
        <w:tc>
          <w:tcPr>
            <w:tcW w:w="2841" w:type="dxa"/>
          </w:tcPr>
          <w:p w14:paraId="68DA3134"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1,828,370</w:t>
            </w:r>
          </w:p>
        </w:tc>
      </w:tr>
      <w:tr w:rsidR="007470B5" w:rsidRPr="000412FD" w14:paraId="2DC84E47" w14:textId="77777777">
        <w:tc>
          <w:tcPr>
            <w:tcW w:w="2840" w:type="dxa"/>
          </w:tcPr>
          <w:p w14:paraId="7CE508ED" w14:textId="77777777" w:rsidR="007470B5" w:rsidRPr="000412FD" w:rsidRDefault="007470B5">
            <w:pPr>
              <w:widowControl/>
              <w:spacing w:line="480" w:lineRule="auto"/>
              <w:jc w:val="center"/>
              <w:rPr>
                <w:rFonts w:ascii="Arial" w:hAnsi="Arial" w:cs="Arial"/>
                <w:sz w:val="24"/>
                <w:szCs w:val="24"/>
              </w:rPr>
            </w:pPr>
          </w:p>
        </w:tc>
        <w:tc>
          <w:tcPr>
            <w:tcW w:w="2841" w:type="dxa"/>
          </w:tcPr>
          <w:p w14:paraId="79946C4C" w14:textId="77777777" w:rsidR="007470B5" w:rsidRPr="000412FD" w:rsidRDefault="007470B5">
            <w:pPr>
              <w:widowControl/>
              <w:spacing w:line="480" w:lineRule="auto"/>
              <w:jc w:val="center"/>
              <w:rPr>
                <w:rFonts w:ascii="Arial" w:hAnsi="Arial" w:cs="Arial"/>
                <w:sz w:val="24"/>
                <w:szCs w:val="24"/>
              </w:rPr>
            </w:pPr>
          </w:p>
        </w:tc>
        <w:tc>
          <w:tcPr>
            <w:tcW w:w="2841" w:type="dxa"/>
          </w:tcPr>
          <w:p w14:paraId="4E0B97B8" w14:textId="77777777" w:rsidR="007470B5" w:rsidRPr="000412FD" w:rsidRDefault="007470B5">
            <w:pPr>
              <w:widowControl/>
              <w:spacing w:line="480" w:lineRule="auto"/>
              <w:jc w:val="center"/>
              <w:rPr>
                <w:rFonts w:ascii="Arial" w:hAnsi="Arial" w:cs="Arial"/>
                <w:sz w:val="24"/>
                <w:szCs w:val="24"/>
              </w:rPr>
            </w:pPr>
          </w:p>
        </w:tc>
      </w:tr>
      <w:tr w:rsidR="007470B5" w:rsidRPr="000412FD" w14:paraId="125B25FD" w14:textId="77777777">
        <w:tc>
          <w:tcPr>
            <w:tcW w:w="2840" w:type="dxa"/>
          </w:tcPr>
          <w:p w14:paraId="786FCADD"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Current Liabilities</w:t>
            </w:r>
          </w:p>
        </w:tc>
        <w:tc>
          <w:tcPr>
            <w:tcW w:w="2841" w:type="dxa"/>
          </w:tcPr>
          <w:p w14:paraId="73C66EA7" w14:textId="77777777" w:rsidR="007470B5" w:rsidRPr="000412FD" w:rsidRDefault="007470B5">
            <w:pPr>
              <w:widowControl/>
              <w:spacing w:line="480" w:lineRule="auto"/>
              <w:jc w:val="center"/>
              <w:rPr>
                <w:rFonts w:ascii="Arial" w:hAnsi="Arial" w:cs="Arial"/>
                <w:sz w:val="24"/>
                <w:szCs w:val="24"/>
              </w:rPr>
            </w:pPr>
          </w:p>
        </w:tc>
        <w:tc>
          <w:tcPr>
            <w:tcW w:w="2841" w:type="dxa"/>
          </w:tcPr>
          <w:p w14:paraId="1E8FEBF0"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w:t>
            </w:r>
            <w:r w:rsidR="009C59F0" w:rsidRPr="000412FD">
              <w:rPr>
                <w:rFonts w:ascii="Arial" w:eastAsia="Segoe UI" w:hAnsi="Arial" w:cs="Arial"/>
                <w:bCs/>
                <w:sz w:val="24"/>
                <w:szCs w:val="24"/>
                <w:lang w:bidi="ar"/>
              </w:rPr>
              <w:t>£</w:t>
            </w:r>
            <w:r w:rsidRPr="000412FD">
              <w:rPr>
                <w:rFonts w:ascii="Arial" w:eastAsia="Segoe UI" w:hAnsi="Arial" w:cs="Arial"/>
                <w:sz w:val="24"/>
                <w:szCs w:val="24"/>
                <w:lang w:bidi="ar"/>
              </w:rPr>
              <w:t>202,605)</w:t>
            </w:r>
          </w:p>
        </w:tc>
      </w:tr>
      <w:tr w:rsidR="007470B5" w:rsidRPr="000412FD" w14:paraId="014899F9" w14:textId="77777777">
        <w:tc>
          <w:tcPr>
            <w:tcW w:w="2840" w:type="dxa"/>
          </w:tcPr>
          <w:p w14:paraId="4DCD1F8B"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Trade payable</w:t>
            </w:r>
          </w:p>
        </w:tc>
        <w:tc>
          <w:tcPr>
            <w:tcW w:w="2841" w:type="dxa"/>
          </w:tcPr>
          <w:p w14:paraId="51400005" w14:textId="77777777" w:rsidR="007470B5" w:rsidRPr="000412FD" w:rsidRDefault="007470B5">
            <w:pPr>
              <w:widowControl/>
              <w:spacing w:line="480" w:lineRule="auto"/>
              <w:jc w:val="center"/>
              <w:rPr>
                <w:rFonts w:ascii="Arial" w:hAnsi="Arial" w:cs="Arial"/>
                <w:sz w:val="24"/>
                <w:szCs w:val="24"/>
              </w:rPr>
            </w:pPr>
          </w:p>
        </w:tc>
        <w:tc>
          <w:tcPr>
            <w:tcW w:w="2841" w:type="dxa"/>
          </w:tcPr>
          <w:p w14:paraId="1F4DA892"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w:t>
            </w:r>
            <w:r w:rsidR="009C59F0" w:rsidRPr="000412FD">
              <w:rPr>
                <w:rFonts w:ascii="Arial" w:eastAsia="Segoe UI" w:hAnsi="Arial" w:cs="Arial"/>
                <w:bCs/>
                <w:sz w:val="24"/>
                <w:szCs w:val="24"/>
                <w:lang w:bidi="ar"/>
              </w:rPr>
              <w:t>£</w:t>
            </w:r>
            <w:r w:rsidRPr="000412FD">
              <w:rPr>
                <w:rFonts w:ascii="Arial" w:eastAsia="Segoe UI" w:hAnsi="Arial" w:cs="Arial"/>
                <w:sz w:val="24"/>
                <w:szCs w:val="24"/>
                <w:lang w:bidi="ar"/>
              </w:rPr>
              <w:t>188,625)</w:t>
            </w:r>
          </w:p>
        </w:tc>
      </w:tr>
      <w:tr w:rsidR="007470B5" w:rsidRPr="000412FD" w14:paraId="36706422" w14:textId="77777777">
        <w:tc>
          <w:tcPr>
            <w:tcW w:w="2840" w:type="dxa"/>
          </w:tcPr>
          <w:p w14:paraId="59478A05"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Accruals and Deferred Income</w:t>
            </w:r>
          </w:p>
        </w:tc>
        <w:tc>
          <w:tcPr>
            <w:tcW w:w="2841" w:type="dxa"/>
          </w:tcPr>
          <w:p w14:paraId="2886D43C" w14:textId="77777777" w:rsidR="007470B5" w:rsidRPr="000412FD" w:rsidRDefault="007470B5">
            <w:pPr>
              <w:widowControl/>
              <w:spacing w:line="480" w:lineRule="auto"/>
              <w:jc w:val="center"/>
              <w:rPr>
                <w:rFonts w:ascii="Arial" w:hAnsi="Arial" w:cs="Arial"/>
                <w:sz w:val="24"/>
                <w:szCs w:val="24"/>
              </w:rPr>
            </w:pPr>
          </w:p>
        </w:tc>
        <w:tc>
          <w:tcPr>
            <w:tcW w:w="2841" w:type="dxa"/>
          </w:tcPr>
          <w:p w14:paraId="5788CEBF"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w:t>
            </w:r>
            <w:r w:rsidR="009C59F0" w:rsidRPr="000412FD">
              <w:rPr>
                <w:rFonts w:ascii="Arial" w:eastAsia="Segoe UI" w:hAnsi="Arial" w:cs="Arial"/>
                <w:bCs/>
                <w:sz w:val="24"/>
                <w:szCs w:val="24"/>
                <w:lang w:bidi="ar"/>
              </w:rPr>
              <w:t>£</w:t>
            </w:r>
            <w:r w:rsidRPr="000412FD">
              <w:rPr>
                <w:rFonts w:ascii="Arial" w:eastAsia="Segoe UI" w:hAnsi="Arial" w:cs="Arial"/>
                <w:sz w:val="24"/>
                <w:szCs w:val="24"/>
                <w:lang w:bidi="ar"/>
              </w:rPr>
              <w:t>13,980)</w:t>
            </w:r>
          </w:p>
        </w:tc>
      </w:tr>
      <w:tr w:rsidR="007470B5" w:rsidRPr="000412FD" w14:paraId="6F700B12" w14:textId="77777777">
        <w:tc>
          <w:tcPr>
            <w:tcW w:w="2840" w:type="dxa"/>
          </w:tcPr>
          <w:p w14:paraId="10BE31AA" w14:textId="77777777" w:rsidR="007470B5" w:rsidRPr="000412FD" w:rsidRDefault="007470B5">
            <w:pPr>
              <w:widowControl/>
              <w:spacing w:line="480" w:lineRule="auto"/>
              <w:jc w:val="center"/>
              <w:rPr>
                <w:rFonts w:ascii="Arial" w:hAnsi="Arial" w:cs="Arial"/>
                <w:sz w:val="24"/>
                <w:szCs w:val="24"/>
              </w:rPr>
            </w:pPr>
          </w:p>
        </w:tc>
        <w:tc>
          <w:tcPr>
            <w:tcW w:w="2841" w:type="dxa"/>
          </w:tcPr>
          <w:p w14:paraId="6B83FAE8" w14:textId="77777777" w:rsidR="007470B5" w:rsidRPr="000412FD" w:rsidRDefault="007470B5">
            <w:pPr>
              <w:widowControl/>
              <w:spacing w:line="480" w:lineRule="auto"/>
              <w:jc w:val="center"/>
              <w:rPr>
                <w:rFonts w:ascii="Arial" w:hAnsi="Arial" w:cs="Arial"/>
                <w:sz w:val="24"/>
                <w:szCs w:val="24"/>
              </w:rPr>
            </w:pPr>
          </w:p>
        </w:tc>
        <w:tc>
          <w:tcPr>
            <w:tcW w:w="2841" w:type="dxa"/>
          </w:tcPr>
          <w:p w14:paraId="413D804E" w14:textId="77777777" w:rsidR="007470B5" w:rsidRPr="000412FD" w:rsidRDefault="007470B5">
            <w:pPr>
              <w:widowControl/>
              <w:spacing w:line="480" w:lineRule="auto"/>
              <w:jc w:val="center"/>
              <w:rPr>
                <w:rFonts w:ascii="Arial" w:hAnsi="Arial" w:cs="Arial"/>
                <w:sz w:val="24"/>
                <w:szCs w:val="24"/>
              </w:rPr>
            </w:pPr>
          </w:p>
        </w:tc>
      </w:tr>
      <w:tr w:rsidR="007470B5" w:rsidRPr="000412FD" w14:paraId="128ED0DE" w14:textId="77777777">
        <w:tc>
          <w:tcPr>
            <w:tcW w:w="2840" w:type="dxa"/>
          </w:tcPr>
          <w:p w14:paraId="3865B078"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Net Current Assets</w:t>
            </w:r>
          </w:p>
        </w:tc>
        <w:tc>
          <w:tcPr>
            <w:tcW w:w="2841" w:type="dxa"/>
          </w:tcPr>
          <w:p w14:paraId="302FB9E5" w14:textId="77777777" w:rsidR="007470B5" w:rsidRPr="000412FD" w:rsidRDefault="007470B5">
            <w:pPr>
              <w:widowControl/>
              <w:spacing w:line="480" w:lineRule="auto"/>
              <w:jc w:val="center"/>
              <w:rPr>
                <w:rFonts w:ascii="Arial" w:hAnsi="Arial" w:cs="Arial"/>
                <w:sz w:val="24"/>
                <w:szCs w:val="24"/>
              </w:rPr>
            </w:pPr>
          </w:p>
        </w:tc>
        <w:tc>
          <w:tcPr>
            <w:tcW w:w="2841" w:type="dxa"/>
          </w:tcPr>
          <w:p w14:paraId="31FB58EA"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578,370</w:t>
            </w:r>
          </w:p>
        </w:tc>
      </w:tr>
      <w:tr w:rsidR="007470B5" w:rsidRPr="000412FD" w14:paraId="2D16E84D" w14:textId="77777777">
        <w:tc>
          <w:tcPr>
            <w:tcW w:w="2840" w:type="dxa"/>
          </w:tcPr>
          <w:p w14:paraId="0BEF8F8C" w14:textId="77777777" w:rsidR="007470B5" w:rsidRPr="000412FD" w:rsidRDefault="007470B5">
            <w:pPr>
              <w:widowControl/>
              <w:spacing w:line="480" w:lineRule="auto"/>
              <w:jc w:val="center"/>
              <w:rPr>
                <w:rFonts w:ascii="Arial" w:hAnsi="Arial" w:cs="Arial"/>
                <w:sz w:val="24"/>
                <w:szCs w:val="24"/>
              </w:rPr>
            </w:pPr>
          </w:p>
        </w:tc>
        <w:tc>
          <w:tcPr>
            <w:tcW w:w="2841" w:type="dxa"/>
          </w:tcPr>
          <w:p w14:paraId="0062987F" w14:textId="77777777" w:rsidR="007470B5" w:rsidRPr="000412FD" w:rsidRDefault="007470B5">
            <w:pPr>
              <w:widowControl/>
              <w:spacing w:line="480" w:lineRule="auto"/>
              <w:jc w:val="center"/>
              <w:rPr>
                <w:rFonts w:ascii="Arial" w:hAnsi="Arial" w:cs="Arial"/>
                <w:sz w:val="24"/>
                <w:szCs w:val="24"/>
              </w:rPr>
            </w:pPr>
          </w:p>
        </w:tc>
        <w:tc>
          <w:tcPr>
            <w:tcW w:w="2841" w:type="dxa"/>
          </w:tcPr>
          <w:p w14:paraId="6181012C" w14:textId="77777777" w:rsidR="007470B5" w:rsidRPr="000412FD" w:rsidRDefault="007470B5">
            <w:pPr>
              <w:widowControl/>
              <w:spacing w:line="480" w:lineRule="auto"/>
              <w:jc w:val="center"/>
              <w:rPr>
                <w:rFonts w:ascii="Arial" w:hAnsi="Arial" w:cs="Arial"/>
                <w:sz w:val="24"/>
                <w:szCs w:val="24"/>
              </w:rPr>
            </w:pPr>
          </w:p>
        </w:tc>
      </w:tr>
      <w:tr w:rsidR="007470B5" w:rsidRPr="000412FD" w14:paraId="6FE43E59" w14:textId="77777777">
        <w:tc>
          <w:tcPr>
            <w:tcW w:w="2840" w:type="dxa"/>
          </w:tcPr>
          <w:p w14:paraId="62DAA8BD"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Financed by:</w:t>
            </w:r>
          </w:p>
        </w:tc>
        <w:tc>
          <w:tcPr>
            <w:tcW w:w="2841" w:type="dxa"/>
          </w:tcPr>
          <w:p w14:paraId="79884189" w14:textId="77777777" w:rsidR="007470B5" w:rsidRPr="000412FD" w:rsidRDefault="007470B5">
            <w:pPr>
              <w:widowControl/>
              <w:spacing w:line="480" w:lineRule="auto"/>
              <w:jc w:val="center"/>
              <w:rPr>
                <w:rFonts w:ascii="Arial" w:hAnsi="Arial" w:cs="Arial"/>
                <w:sz w:val="24"/>
                <w:szCs w:val="24"/>
              </w:rPr>
            </w:pPr>
          </w:p>
        </w:tc>
        <w:tc>
          <w:tcPr>
            <w:tcW w:w="2841" w:type="dxa"/>
          </w:tcPr>
          <w:p w14:paraId="7B470DAA" w14:textId="77777777" w:rsidR="007470B5" w:rsidRPr="000412FD" w:rsidRDefault="007470B5">
            <w:pPr>
              <w:widowControl/>
              <w:spacing w:line="480" w:lineRule="auto"/>
              <w:jc w:val="center"/>
              <w:rPr>
                <w:rFonts w:ascii="Arial" w:hAnsi="Arial" w:cs="Arial"/>
                <w:sz w:val="24"/>
                <w:szCs w:val="24"/>
              </w:rPr>
            </w:pPr>
          </w:p>
        </w:tc>
      </w:tr>
      <w:tr w:rsidR="007470B5" w:rsidRPr="000412FD" w14:paraId="14F57DB8" w14:textId="77777777">
        <w:tc>
          <w:tcPr>
            <w:tcW w:w="2840" w:type="dxa"/>
          </w:tcPr>
          <w:p w14:paraId="2238C575"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Ordinary shares</w:t>
            </w:r>
          </w:p>
        </w:tc>
        <w:tc>
          <w:tcPr>
            <w:tcW w:w="2841" w:type="dxa"/>
          </w:tcPr>
          <w:p w14:paraId="76FBED58"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900,000</w:t>
            </w:r>
          </w:p>
        </w:tc>
        <w:tc>
          <w:tcPr>
            <w:tcW w:w="2841" w:type="dxa"/>
          </w:tcPr>
          <w:p w14:paraId="39CD52FD" w14:textId="77777777" w:rsidR="007470B5" w:rsidRPr="000412FD" w:rsidRDefault="007470B5">
            <w:pPr>
              <w:widowControl/>
              <w:spacing w:line="480" w:lineRule="auto"/>
              <w:jc w:val="center"/>
              <w:rPr>
                <w:rFonts w:ascii="Arial" w:hAnsi="Arial" w:cs="Arial"/>
                <w:sz w:val="24"/>
                <w:szCs w:val="24"/>
              </w:rPr>
            </w:pPr>
          </w:p>
        </w:tc>
      </w:tr>
      <w:tr w:rsidR="007470B5" w:rsidRPr="000412FD" w14:paraId="16613F7C" w14:textId="77777777">
        <w:tc>
          <w:tcPr>
            <w:tcW w:w="2840" w:type="dxa"/>
          </w:tcPr>
          <w:p w14:paraId="28E4AC19"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lastRenderedPageBreak/>
              <w:t>Preference shares</w:t>
            </w:r>
          </w:p>
        </w:tc>
        <w:tc>
          <w:tcPr>
            <w:tcW w:w="2841" w:type="dxa"/>
          </w:tcPr>
          <w:p w14:paraId="67AB1405"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500,000</w:t>
            </w:r>
          </w:p>
        </w:tc>
        <w:tc>
          <w:tcPr>
            <w:tcW w:w="2841" w:type="dxa"/>
          </w:tcPr>
          <w:p w14:paraId="292BF4F6" w14:textId="77777777" w:rsidR="007470B5" w:rsidRPr="000412FD" w:rsidRDefault="007470B5">
            <w:pPr>
              <w:widowControl/>
              <w:spacing w:line="480" w:lineRule="auto"/>
              <w:jc w:val="center"/>
              <w:rPr>
                <w:rFonts w:ascii="Arial" w:hAnsi="Arial" w:cs="Arial"/>
                <w:sz w:val="24"/>
                <w:szCs w:val="24"/>
              </w:rPr>
            </w:pPr>
          </w:p>
        </w:tc>
      </w:tr>
      <w:tr w:rsidR="007470B5" w:rsidRPr="000412FD" w14:paraId="762AD170" w14:textId="77777777">
        <w:tc>
          <w:tcPr>
            <w:tcW w:w="2840" w:type="dxa"/>
          </w:tcPr>
          <w:p w14:paraId="2BCD41C7" w14:textId="77777777" w:rsidR="007470B5" w:rsidRPr="000412FD" w:rsidRDefault="003E27FF">
            <w:pPr>
              <w:widowControl/>
              <w:spacing w:line="480" w:lineRule="auto"/>
              <w:jc w:val="center"/>
              <w:textAlignment w:val="baseline"/>
              <w:rPr>
                <w:rFonts w:ascii="Arial" w:hAnsi="Arial" w:cs="Arial"/>
                <w:sz w:val="24"/>
                <w:szCs w:val="24"/>
              </w:rPr>
            </w:pPr>
            <w:r w:rsidRPr="000412FD">
              <w:rPr>
                <w:rFonts w:ascii="Arial" w:eastAsia="Segoe UI" w:hAnsi="Arial" w:cs="Arial"/>
                <w:sz w:val="24"/>
                <w:szCs w:val="24"/>
                <w:lang w:bidi="ar"/>
              </w:rPr>
              <w:t>Reserves (Retained Profits and P&amp;L)</w:t>
            </w:r>
          </w:p>
        </w:tc>
        <w:tc>
          <w:tcPr>
            <w:tcW w:w="2841" w:type="dxa"/>
          </w:tcPr>
          <w:p w14:paraId="7C613EF0" w14:textId="77777777" w:rsidR="007470B5" w:rsidRPr="000412FD" w:rsidRDefault="007470B5">
            <w:pPr>
              <w:widowControl/>
              <w:spacing w:line="480" w:lineRule="auto"/>
              <w:jc w:val="center"/>
              <w:rPr>
                <w:rFonts w:ascii="Arial" w:hAnsi="Arial" w:cs="Arial"/>
                <w:sz w:val="24"/>
                <w:szCs w:val="24"/>
              </w:rPr>
            </w:pPr>
          </w:p>
        </w:tc>
        <w:tc>
          <w:tcPr>
            <w:tcW w:w="2841" w:type="dxa"/>
          </w:tcPr>
          <w:p w14:paraId="39B8809D" w14:textId="77777777" w:rsidR="007470B5" w:rsidRPr="000412FD" w:rsidRDefault="009C59F0">
            <w:pPr>
              <w:widowControl/>
              <w:spacing w:line="480" w:lineRule="auto"/>
              <w:jc w:val="center"/>
              <w:textAlignment w:val="baseline"/>
              <w:rPr>
                <w:rFonts w:ascii="Arial" w:hAnsi="Arial" w:cs="Arial"/>
                <w:sz w:val="24"/>
                <w:szCs w:val="24"/>
              </w:rPr>
            </w:pPr>
            <w:r w:rsidRPr="000412FD">
              <w:rPr>
                <w:rFonts w:ascii="Arial" w:eastAsia="Segoe UI" w:hAnsi="Arial" w:cs="Arial"/>
                <w:bCs/>
                <w:sz w:val="24"/>
                <w:szCs w:val="24"/>
                <w:lang w:bidi="ar"/>
              </w:rPr>
              <w:t>£</w:t>
            </w:r>
            <w:r w:rsidR="003E27FF" w:rsidRPr="000412FD">
              <w:rPr>
                <w:rFonts w:ascii="Arial" w:eastAsia="Segoe UI" w:hAnsi="Arial" w:cs="Arial"/>
                <w:sz w:val="24"/>
                <w:szCs w:val="24"/>
                <w:lang w:bidi="ar"/>
              </w:rPr>
              <w:t>428,370</w:t>
            </w:r>
          </w:p>
        </w:tc>
      </w:tr>
      <w:tr w:rsidR="007470B5" w:rsidRPr="000412FD" w14:paraId="1062B790" w14:textId="77777777">
        <w:tc>
          <w:tcPr>
            <w:tcW w:w="2840" w:type="dxa"/>
          </w:tcPr>
          <w:p w14:paraId="63B19DB0" w14:textId="77777777" w:rsidR="007470B5" w:rsidRPr="000412FD" w:rsidRDefault="007470B5">
            <w:pPr>
              <w:widowControl/>
              <w:spacing w:line="480" w:lineRule="auto"/>
              <w:jc w:val="center"/>
              <w:rPr>
                <w:rFonts w:ascii="Arial" w:hAnsi="Arial" w:cs="Arial"/>
                <w:sz w:val="24"/>
                <w:szCs w:val="24"/>
              </w:rPr>
            </w:pPr>
          </w:p>
        </w:tc>
        <w:tc>
          <w:tcPr>
            <w:tcW w:w="2841" w:type="dxa"/>
          </w:tcPr>
          <w:p w14:paraId="2FFB4746" w14:textId="77777777" w:rsidR="007470B5" w:rsidRPr="000412FD" w:rsidRDefault="007470B5">
            <w:pPr>
              <w:widowControl/>
              <w:spacing w:line="480" w:lineRule="auto"/>
              <w:jc w:val="center"/>
              <w:rPr>
                <w:rFonts w:ascii="Arial" w:hAnsi="Arial" w:cs="Arial"/>
                <w:sz w:val="24"/>
                <w:szCs w:val="24"/>
              </w:rPr>
            </w:pPr>
          </w:p>
        </w:tc>
        <w:tc>
          <w:tcPr>
            <w:tcW w:w="2841" w:type="dxa"/>
          </w:tcPr>
          <w:p w14:paraId="55EA1634" w14:textId="77777777" w:rsidR="007470B5" w:rsidRPr="000412FD" w:rsidRDefault="007470B5">
            <w:pPr>
              <w:widowControl/>
              <w:spacing w:line="480" w:lineRule="auto"/>
              <w:jc w:val="center"/>
              <w:rPr>
                <w:rFonts w:ascii="Arial" w:hAnsi="Arial" w:cs="Arial"/>
                <w:sz w:val="24"/>
                <w:szCs w:val="24"/>
              </w:rPr>
            </w:pPr>
          </w:p>
        </w:tc>
      </w:tr>
      <w:tr w:rsidR="007470B5" w:rsidRPr="000412FD" w14:paraId="1FDE46F3" w14:textId="77777777">
        <w:tc>
          <w:tcPr>
            <w:tcW w:w="2840" w:type="dxa"/>
          </w:tcPr>
          <w:p w14:paraId="3628CDA7" w14:textId="77777777" w:rsidR="007470B5" w:rsidRPr="000412FD" w:rsidRDefault="003E27FF">
            <w:pPr>
              <w:widowControl/>
              <w:spacing w:line="480" w:lineRule="auto"/>
              <w:jc w:val="center"/>
              <w:textAlignment w:val="baseline"/>
              <w:rPr>
                <w:rFonts w:ascii="Arial" w:hAnsi="Arial" w:cs="Arial"/>
                <w:b/>
                <w:bCs/>
                <w:sz w:val="24"/>
                <w:szCs w:val="24"/>
              </w:rPr>
            </w:pPr>
            <w:r w:rsidRPr="000412FD">
              <w:rPr>
                <w:rFonts w:ascii="Arial" w:eastAsia="Segoe UI" w:hAnsi="Arial" w:cs="Arial"/>
                <w:b/>
                <w:bCs/>
                <w:sz w:val="24"/>
                <w:szCs w:val="24"/>
                <w:lang w:bidi="ar"/>
              </w:rPr>
              <w:t>Total Equity and Liabilities</w:t>
            </w:r>
          </w:p>
        </w:tc>
        <w:tc>
          <w:tcPr>
            <w:tcW w:w="2841" w:type="dxa"/>
          </w:tcPr>
          <w:p w14:paraId="56665E4D" w14:textId="77777777" w:rsidR="007470B5" w:rsidRPr="000412FD" w:rsidRDefault="009C59F0">
            <w:pPr>
              <w:widowControl/>
              <w:spacing w:line="480" w:lineRule="auto"/>
              <w:jc w:val="center"/>
              <w:textAlignment w:val="baseline"/>
              <w:rPr>
                <w:rFonts w:ascii="Arial" w:hAnsi="Arial" w:cs="Arial"/>
                <w:b/>
                <w:bCs/>
                <w:sz w:val="24"/>
                <w:szCs w:val="24"/>
              </w:rPr>
            </w:pPr>
            <w:r w:rsidRPr="000412FD">
              <w:rPr>
                <w:rFonts w:ascii="Arial" w:eastAsia="Segoe UI" w:hAnsi="Arial" w:cs="Arial"/>
                <w:bCs/>
                <w:sz w:val="24"/>
                <w:szCs w:val="24"/>
                <w:lang w:bidi="ar"/>
              </w:rPr>
              <w:t>£</w:t>
            </w:r>
            <w:r w:rsidR="003E27FF" w:rsidRPr="000412FD">
              <w:rPr>
                <w:rFonts w:ascii="Arial" w:eastAsia="Segoe UI" w:hAnsi="Arial" w:cs="Arial"/>
                <w:b/>
                <w:bCs/>
                <w:sz w:val="24"/>
                <w:szCs w:val="24"/>
                <w:lang w:bidi="ar"/>
              </w:rPr>
              <w:t>1,400,000</w:t>
            </w:r>
          </w:p>
        </w:tc>
        <w:tc>
          <w:tcPr>
            <w:tcW w:w="2841" w:type="dxa"/>
          </w:tcPr>
          <w:p w14:paraId="303C999F" w14:textId="77777777" w:rsidR="007470B5" w:rsidRPr="000412FD" w:rsidRDefault="003E27FF">
            <w:pPr>
              <w:widowControl/>
              <w:spacing w:line="480" w:lineRule="auto"/>
              <w:jc w:val="center"/>
              <w:textAlignment w:val="baseline"/>
              <w:rPr>
                <w:rFonts w:ascii="Arial" w:hAnsi="Arial" w:cs="Arial"/>
                <w:b/>
                <w:bCs/>
                <w:sz w:val="24"/>
                <w:szCs w:val="24"/>
              </w:rPr>
            </w:pPr>
            <w:r w:rsidRPr="000412FD">
              <w:rPr>
                <w:rFonts w:ascii="Arial" w:eastAsia="Segoe UI" w:hAnsi="Arial" w:cs="Arial"/>
                <w:b/>
                <w:bCs/>
                <w:sz w:val="24"/>
                <w:szCs w:val="24"/>
                <w:lang w:bidi="ar"/>
              </w:rPr>
              <w:t>1,828,370</w:t>
            </w:r>
          </w:p>
        </w:tc>
      </w:tr>
    </w:tbl>
    <w:p w14:paraId="2D54981E" w14:textId="77777777" w:rsidR="007470B5" w:rsidRPr="000412FD" w:rsidRDefault="007470B5">
      <w:pPr>
        <w:spacing w:line="480" w:lineRule="auto"/>
        <w:rPr>
          <w:rFonts w:ascii="Arial" w:hAnsi="Arial" w:cs="Arial"/>
          <w:sz w:val="24"/>
          <w:szCs w:val="24"/>
        </w:rPr>
      </w:pPr>
    </w:p>
    <w:p w14:paraId="215C8773"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 xml:space="preserve">Explanation: </w:t>
      </w:r>
    </w:p>
    <w:p w14:paraId="75C5045E"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Here is a more comprehensive explanation of the Statement of Financial Position for Wales plc (Business live 2023) as at 31st December 2022, including a breakdown of the different sections:</w:t>
      </w:r>
    </w:p>
    <w:p w14:paraId="22456FD4" w14:textId="77777777" w:rsidR="007470B5" w:rsidRPr="000412FD" w:rsidRDefault="003E27FF">
      <w:pPr>
        <w:spacing w:line="480" w:lineRule="auto"/>
        <w:rPr>
          <w:rFonts w:ascii="Arial" w:hAnsi="Arial" w:cs="Arial"/>
          <w:i/>
          <w:iCs/>
          <w:sz w:val="24"/>
          <w:szCs w:val="24"/>
        </w:rPr>
      </w:pPr>
      <w:r w:rsidRPr="000412FD">
        <w:rPr>
          <w:rFonts w:ascii="Arial" w:hAnsi="Arial" w:cs="Arial"/>
          <w:i/>
          <w:iCs/>
          <w:sz w:val="24"/>
          <w:szCs w:val="24"/>
        </w:rPr>
        <w:t>Fixed Assets:</w:t>
      </w:r>
    </w:p>
    <w:p w14:paraId="5CDFDE39"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This section shows the company's fixed assets, which are assets that the company owns for a long period of time and uses in its operations. In this case, the company has plant and equipment with a value of £1,250,000.</w:t>
      </w:r>
    </w:p>
    <w:p w14:paraId="135D121E"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Current Assets:</w:t>
      </w:r>
    </w:p>
    <w:p w14:paraId="748CC17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This section shows the company's current assets, which are assets that are expected to be converted into cash within one year or less. The current assets include stock valued at £510,850, trade receivables valued at £170,125, and cash and bank balances of £96,000. The company also has prepayments of £3,000 that have not yet been used.</w:t>
      </w:r>
    </w:p>
    <w:p w14:paraId="56E6F7C0" w14:textId="77777777" w:rsidR="007470B5" w:rsidRPr="000412FD" w:rsidRDefault="003E27FF">
      <w:pPr>
        <w:spacing w:line="480" w:lineRule="auto"/>
        <w:rPr>
          <w:rFonts w:ascii="Arial" w:hAnsi="Arial" w:cs="Arial"/>
          <w:i/>
          <w:iCs/>
          <w:sz w:val="24"/>
          <w:szCs w:val="24"/>
        </w:rPr>
      </w:pPr>
      <w:r w:rsidRPr="000412FD">
        <w:rPr>
          <w:rFonts w:ascii="Arial" w:hAnsi="Arial" w:cs="Arial"/>
          <w:i/>
          <w:iCs/>
          <w:sz w:val="24"/>
          <w:szCs w:val="24"/>
        </w:rPr>
        <w:t>Total Assets:</w:t>
      </w:r>
    </w:p>
    <w:p w14:paraId="75BB74D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This is the total value of the company's assets, which is the sum of the fixed assets and current assets, amounting to £1,828,370.</w:t>
      </w:r>
    </w:p>
    <w:p w14:paraId="337D3744" w14:textId="77777777" w:rsidR="007470B5" w:rsidRPr="000412FD" w:rsidRDefault="003E27FF">
      <w:pPr>
        <w:spacing w:line="480" w:lineRule="auto"/>
        <w:rPr>
          <w:rFonts w:ascii="Arial" w:hAnsi="Arial" w:cs="Arial"/>
          <w:i/>
          <w:iCs/>
          <w:sz w:val="24"/>
          <w:szCs w:val="24"/>
        </w:rPr>
      </w:pPr>
      <w:r w:rsidRPr="000412FD">
        <w:rPr>
          <w:rFonts w:ascii="Arial" w:hAnsi="Arial" w:cs="Arial"/>
          <w:i/>
          <w:iCs/>
          <w:sz w:val="24"/>
          <w:szCs w:val="24"/>
        </w:rPr>
        <w:t>Current Liabilities:</w:t>
      </w:r>
    </w:p>
    <w:p w14:paraId="65BDEE2A"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lastRenderedPageBreak/>
        <w:t>This section shows the company's current liabilities, which are obligations that are expected to be paid within one year or less. The current liabilities include trade payables valued at £188,625 and accruals and deferred income totaling £13,980.</w:t>
      </w:r>
    </w:p>
    <w:p w14:paraId="42669F85" w14:textId="77777777" w:rsidR="007470B5" w:rsidRPr="000412FD" w:rsidRDefault="003E27FF">
      <w:pPr>
        <w:spacing w:line="480" w:lineRule="auto"/>
        <w:rPr>
          <w:rFonts w:ascii="Arial" w:hAnsi="Arial" w:cs="Arial"/>
          <w:i/>
          <w:iCs/>
          <w:sz w:val="24"/>
          <w:szCs w:val="24"/>
        </w:rPr>
      </w:pPr>
      <w:r w:rsidRPr="000412FD">
        <w:rPr>
          <w:rFonts w:ascii="Arial" w:hAnsi="Arial" w:cs="Arial"/>
          <w:i/>
          <w:iCs/>
          <w:sz w:val="24"/>
          <w:szCs w:val="24"/>
        </w:rPr>
        <w:t>Net Current Assets:</w:t>
      </w:r>
    </w:p>
    <w:p w14:paraId="7602781F"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This is the difference between the company's current assets and current liabilities. In this case, the net current assets are £578,370.</w:t>
      </w:r>
    </w:p>
    <w:p w14:paraId="57C7300D" w14:textId="77777777" w:rsidR="007470B5" w:rsidRPr="000412FD" w:rsidRDefault="003E27FF">
      <w:pPr>
        <w:spacing w:line="480" w:lineRule="auto"/>
        <w:rPr>
          <w:rFonts w:ascii="Arial" w:hAnsi="Arial" w:cs="Arial"/>
          <w:i/>
          <w:iCs/>
          <w:sz w:val="24"/>
          <w:szCs w:val="24"/>
        </w:rPr>
      </w:pPr>
      <w:r w:rsidRPr="000412FD">
        <w:rPr>
          <w:rFonts w:ascii="Arial" w:hAnsi="Arial" w:cs="Arial"/>
          <w:i/>
          <w:iCs/>
          <w:sz w:val="24"/>
          <w:szCs w:val="24"/>
        </w:rPr>
        <w:t>Financed By:</w:t>
      </w:r>
    </w:p>
    <w:p w14:paraId="0F8B470E"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This section shows how the company's assets are financed by its equity and liabilities. The company has ordinary shares with a value of £900,000, preference shares with a value of £500,000, and reserves (which include retained profits and profit and loss) totaling £428,370.</w:t>
      </w:r>
    </w:p>
    <w:p w14:paraId="6D319FE0" w14:textId="77777777" w:rsidR="007470B5" w:rsidRPr="000412FD" w:rsidRDefault="003E27FF">
      <w:pPr>
        <w:spacing w:line="480" w:lineRule="auto"/>
        <w:rPr>
          <w:rFonts w:ascii="Arial" w:hAnsi="Arial" w:cs="Arial"/>
          <w:i/>
          <w:iCs/>
          <w:sz w:val="24"/>
          <w:szCs w:val="24"/>
        </w:rPr>
      </w:pPr>
      <w:r w:rsidRPr="000412FD">
        <w:rPr>
          <w:rFonts w:ascii="Arial" w:hAnsi="Arial" w:cs="Arial"/>
          <w:i/>
          <w:iCs/>
          <w:sz w:val="24"/>
          <w:szCs w:val="24"/>
        </w:rPr>
        <w:t>Total Equity and Liabilities:</w:t>
      </w:r>
    </w:p>
    <w:p w14:paraId="23CF52A2"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This is the total value of the company's equity and liabilities, which is the sum of the financed by section and the current liabilities, amounting to £1,828,370.</w:t>
      </w:r>
    </w:p>
    <w:p w14:paraId="63A1C6DF"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The statement of financial position balances because the total value of the assets is equal to the total value of the liabilities and equity. In this case, the assets are £1,828,370 and the liabilities and equity are also £1,828,370.</w:t>
      </w:r>
    </w:p>
    <w:p w14:paraId="505757CA" w14:textId="77777777" w:rsidR="007470B5" w:rsidRPr="000412FD" w:rsidRDefault="003E27FF">
      <w:pPr>
        <w:pStyle w:val="Heading3"/>
        <w:numPr>
          <w:ilvl w:val="0"/>
          <w:numId w:val="1"/>
        </w:numPr>
        <w:spacing w:line="480" w:lineRule="auto"/>
        <w:rPr>
          <w:rFonts w:ascii="Arial" w:hAnsi="Arial" w:cs="Arial"/>
          <w:sz w:val="24"/>
          <w:szCs w:val="24"/>
        </w:rPr>
      </w:pPr>
      <w:bookmarkStart w:id="6" w:name="_Toc4826"/>
      <w:bookmarkStart w:id="7" w:name="_Toc6014"/>
      <w:r w:rsidRPr="000412FD">
        <w:rPr>
          <w:rFonts w:ascii="Arial" w:hAnsi="Arial" w:cs="Arial"/>
          <w:sz w:val="24"/>
          <w:szCs w:val="24"/>
        </w:rPr>
        <w:t>Why does the statement of financial position balance?</w:t>
      </w:r>
      <w:bookmarkEnd w:id="6"/>
      <w:bookmarkEnd w:id="7"/>
    </w:p>
    <w:p w14:paraId="41CFC71C" w14:textId="77777777" w:rsidR="007470B5" w:rsidRPr="000412FD" w:rsidRDefault="00825AD6">
      <w:pPr>
        <w:spacing w:line="480" w:lineRule="auto"/>
        <w:rPr>
          <w:rFonts w:ascii="Arial" w:hAnsi="Arial" w:cs="Arial"/>
          <w:sz w:val="24"/>
          <w:szCs w:val="24"/>
        </w:rPr>
      </w:pPr>
      <w:r w:rsidRPr="000412FD">
        <w:rPr>
          <w:rFonts w:ascii="Arial" w:hAnsi="Arial" w:cs="Arial"/>
          <w:sz w:val="24"/>
          <w:szCs w:val="24"/>
        </w:rPr>
        <w:t xml:space="preserve">The Balance Sheet, sometimes referred to as the Statement of Financial Position, is a financial statement that lists the assets, liabilities, and equity of a company at a certain point in time (Collis, 2016). Because it displays an organization's financial stability and health, the Statement of Financial Position is regarded as one of the most significant financial statements. The </w:t>
      </w:r>
      <w:r w:rsidRPr="000412FD">
        <w:rPr>
          <w:rFonts w:ascii="Arial" w:hAnsi="Arial" w:cs="Arial"/>
          <w:sz w:val="24"/>
          <w:szCs w:val="24"/>
        </w:rPr>
        <w:lastRenderedPageBreak/>
        <w:t xml:space="preserve">Statement of Financial Position always balances, which is one of its most remarkable characteristics, and this is made possible by the basic accounting equation. </w:t>
      </w:r>
      <w:r w:rsidR="003E27FF" w:rsidRPr="000412FD">
        <w:rPr>
          <w:rFonts w:ascii="Arial" w:hAnsi="Arial" w:cs="Arial"/>
          <w:sz w:val="24"/>
          <w:szCs w:val="24"/>
        </w:rPr>
        <w:t>(Fernando, 2022).</w:t>
      </w:r>
    </w:p>
    <w:p w14:paraId="5B165822" w14:textId="77777777" w:rsidR="007470B5" w:rsidRPr="000412FD" w:rsidRDefault="003E27FF">
      <w:pPr>
        <w:spacing w:line="480" w:lineRule="auto"/>
        <w:rPr>
          <w:rFonts w:ascii="Arial" w:hAnsi="Arial" w:cs="Arial"/>
          <w:b/>
          <w:sz w:val="24"/>
          <w:szCs w:val="24"/>
        </w:rPr>
      </w:pPr>
      <w:r w:rsidRPr="000412FD">
        <w:rPr>
          <w:rFonts w:ascii="Arial" w:hAnsi="Arial" w:cs="Arial"/>
          <w:b/>
          <w:sz w:val="24"/>
          <w:szCs w:val="24"/>
        </w:rPr>
        <w:t>Assets = Liabilities + Equity</w:t>
      </w:r>
    </w:p>
    <w:p w14:paraId="033FFDD3"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The double-entry bookkeeping system ensures that the accounting equation is always maintained, and this is the primary reason why the Statement of Financial Position always balances (Fernando, 2022).</w:t>
      </w:r>
    </w:p>
    <w:p w14:paraId="48F9499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The assets section of the Statement of Financial Position represents the resources that an organization owns or controls that can be used to generate revenue. The assets are typically divided into two categories: current assets and non-current assets. Current assets are those that are expected to be used within one year or less, while non-current assets are those that are expected to be used for more than one year.</w:t>
      </w:r>
    </w:p>
    <w:p w14:paraId="1E88F9B4"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The liabilities section of the Statement of Financial Position represents the obligations that an organization owes to external parties. Liabilities are also divided into two categories: current liabilities and non-current </w:t>
      </w:r>
      <w:proofErr w:type="gramStart"/>
      <w:r w:rsidRPr="000412FD">
        <w:rPr>
          <w:rFonts w:ascii="Arial" w:hAnsi="Arial" w:cs="Arial"/>
          <w:sz w:val="24"/>
          <w:szCs w:val="24"/>
        </w:rPr>
        <w:t>liabilities .</w:t>
      </w:r>
      <w:proofErr w:type="gramEnd"/>
      <w:r w:rsidRPr="000412FD">
        <w:rPr>
          <w:rFonts w:ascii="Arial" w:hAnsi="Arial" w:cs="Arial"/>
          <w:sz w:val="24"/>
          <w:szCs w:val="24"/>
        </w:rPr>
        <w:t>(2017) Current liabilities are obligations that are expected to be paid within one year or less, while non-current liabilities are obligations that are expected to be paid for more than one year.</w:t>
      </w:r>
    </w:p>
    <w:p w14:paraId="07E042B0" w14:textId="77777777" w:rsidR="007470B5" w:rsidRPr="000412FD" w:rsidRDefault="007470B5">
      <w:pPr>
        <w:spacing w:line="480" w:lineRule="auto"/>
        <w:rPr>
          <w:rFonts w:ascii="Arial" w:hAnsi="Arial" w:cs="Arial"/>
          <w:sz w:val="24"/>
          <w:szCs w:val="24"/>
        </w:rPr>
      </w:pPr>
    </w:p>
    <w:p w14:paraId="416B1AAD"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Equity represents the residual interest in the assets of an organization after all liabilities have been deducted (2011). Equity can be divided into several categories, including share capital, reserves, and retained earnings. When a transaction occurs in an organization, it affects both the assets and the liabilities, and the accounting equation must be maintained. </w:t>
      </w:r>
      <w:r w:rsidR="009A5087" w:rsidRPr="000412FD">
        <w:rPr>
          <w:rFonts w:ascii="Arial" w:hAnsi="Arial" w:cs="Arial"/>
          <w:sz w:val="24"/>
          <w:szCs w:val="24"/>
        </w:rPr>
        <w:t xml:space="preserve">For every credit </w:t>
      </w:r>
      <w:r w:rsidR="009A5087" w:rsidRPr="000412FD">
        <w:rPr>
          <w:rFonts w:ascii="Arial" w:hAnsi="Arial" w:cs="Arial"/>
          <w:sz w:val="24"/>
          <w:szCs w:val="24"/>
        </w:rPr>
        <w:lastRenderedPageBreak/>
        <w:t xml:space="preserve">entry in the accounting book, there is a debit entry which ensures that the financial position is always balance. </w:t>
      </w:r>
    </w:p>
    <w:p w14:paraId="44EB364A" w14:textId="77777777" w:rsidR="007470B5" w:rsidRPr="000412FD" w:rsidRDefault="007470B5">
      <w:pPr>
        <w:spacing w:line="480" w:lineRule="auto"/>
        <w:rPr>
          <w:rFonts w:ascii="Arial" w:hAnsi="Arial" w:cs="Arial"/>
          <w:sz w:val="24"/>
          <w:szCs w:val="24"/>
        </w:rPr>
      </w:pPr>
    </w:p>
    <w:p w14:paraId="0E8E8DC0" w14:textId="77777777" w:rsidR="007470B5" w:rsidRPr="000412FD" w:rsidRDefault="003E27FF">
      <w:pPr>
        <w:pStyle w:val="Heading2"/>
        <w:rPr>
          <w:rFonts w:ascii="Arial" w:hAnsi="Arial" w:cs="Arial"/>
          <w:sz w:val="24"/>
          <w:szCs w:val="24"/>
        </w:rPr>
      </w:pPr>
      <w:bookmarkStart w:id="8" w:name="_Toc2526"/>
      <w:bookmarkStart w:id="9" w:name="_Toc27660"/>
      <w:r w:rsidRPr="000412FD">
        <w:rPr>
          <w:rFonts w:ascii="Arial" w:hAnsi="Arial" w:cs="Arial"/>
          <w:sz w:val="24"/>
          <w:szCs w:val="24"/>
        </w:rPr>
        <w:t>Question 2</w:t>
      </w:r>
      <w:bookmarkEnd w:id="8"/>
      <w:bookmarkEnd w:id="9"/>
    </w:p>
    <w:p w14:paraId="0DE0C290" w14:textId="77777777" w:rsidR="007470B5" w:rsidRPr="000412FD" w:rsidRDefault="003E27FF">
      <w:pPr>
        <w:pStyle w:val="Heading3"/>
        <w:rPr>
          <w:rFonts w:ascii="Arial" w:hAnsi="Arial" w:cs="Arial"/>
          <w:sz w:val="24"/>
          <w:szCs w:val="24"/>
        </w:rPr>
      </w:pPr>
      <w:bookmarkStart w:id="10" w:name="_Toc9703"/>
      <w:bookmarkStart w:id="11" w:name="_Toc6560"/>
      <w:r w:rsidRPr="000412FD">
        <w:rPr>
          <w:rFonts w:ascii="Arial" w:hAnsi="Arial" w:cs="Arial"/>
          <w:sz w:val="24"/>
          <w:szCs w:val="24"/>
        </w:rPr>
        <w:t>a) Calculation of Ratios:</w:t>
      </w:r>
      <w:bookmarkEnd w:id="10"/>
      <w:bookmarkEnd w:id="11"/>
    </w:p>
    <w:p w14:paraId="0294D08E" w14:textId="77777777" w:rsidR="007470B5" w:rsidRPr="000412FD" w:rsidRDefault="003E27FF">
      <w:pPr>
        <w:rPr>
          <w:rFonts w:ascii="Arial" w:hAnsi="Arial" w:cs="Arial"/>
          <w:b/>
          <w:bCs/>
          <w:sz w:val="24"/>
          <w:szCs w:val="24"/>
        </w:rPr>
      </w:pPr>
      <w:r w:rsidRPr="000412FD">
        <w:rPr>
          <w:rFonts w:ascii="Arial" w:hAnsi="Arial" w:cs="Arial"/>
          <w:b/>
          <w:bCs/>
          <w:sz w:val="24"/>
          <w:szCs w:val="24"/>
        </w:rPr>
        <w:t>Return on Capital Employed (ROCE)</w:t>
      </w:r>
    </w:p>
    <w:p w14:paraId="22117A94"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ROCE measures the profitability of a company's capital investments. It shows how efficiently a company is using its capital to generate profits. The formula for calculating ROCE is:</w:t>
      </w:r>
    </w:p>
    <w:p w14:paraId="139852F1"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ROCE = Operating Profit / Capital Employed</w:t>
      </w:r>
    </w:p>
    <w:p w14:paraId="55B2A37E"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where Capital Employed = Total Assets - Current Liabilities</w:t>
      </w:r>
    </w:p>
    <w:p w14:paraId="4136FE9A"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75D22E03"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ROCE = 805 / (9,736 - 2,511) = 10.24%</w:t>
      </w:r>
    </w:p>
    <w:p w14:paraId="1B3C21A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6CE3C12F"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ROCE = 699 / (10,087 - 3,046) = 9.58%</w:t>
      </w:r>
    </w:p>
    <w:p w14:paraId="787706C8"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Return on Equity (ROE)</w:t>
      </w:r>
    </w:p>
    <w:p w14:paraId="094C174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ROE measures the return that shareholders have received on their investment in the company. It is calculated as:</w:t>
      </w:r>
    </w:p>
    <w:p w14:paraId="4725B291"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ROE = Net Profit / Shareholders' Equity</w:t>
      </w:r>
    </w:p>
    <w:p w14:paraId="0C405239"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1A9F1D9D"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ROE = 431 / 3,088 = 13.96%</w:t>
      </w:r>
    </w:p>
    <w:p w14:paraId="653FDFC2"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5E77F981"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ROE = 366 / 2,912 = 12.57%</w:t>
      </w:r>
    </w:p>
    <w:p w14:paraId="3BABB683"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Earnings per Share (EPS)</w:t>
      </w:r>
    </w:p>
    <w:p w14:paraId="4585819A"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lastRenderedPageBreak/>
        <w:t>EPS is the amount of profit that can be attributed to each outstanding share of the company. It is calculated as:</w:t>
      </w:r>
    </w:p>
    <w:p w14:paraId="2DC9CBC3"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EPS = Net Profit / Number of Shares Outstanding</w:t>
      </w:r>
    </w:p>
    <w:p w14:paraId="319AB103"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16858A46"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EPS = 431 / (600/0.5) = 1.43</w:t>
      </w:r>
    </w:p>
    <w:p w14:paraId="1C164C2A"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1E74AB98"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EPS = 366 / (600/0.5) = 1.22</w:t>
      </w:r>
    </w:p>
    <w:p w14:paraId="7CE7B2DE"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Net Profit Margin</w:t>
      </w:r>
    </w:p>
    <w:p w14:paraId="5FC5E7E1"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Net profit margin measures the percentage of revenue that is left after deducting all expenses. It is calculated as:</w:t>
      </w:r>
    </w:p>
    <w:p w14:paraId="465D9EE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Net Profit Margin = Net Profit / Revenue</w:t>
      </w:r>
    </w:p>
    <w:p w14:paraId="10A59036"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3A9A130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Net Profit Margin = 431 / 6,738 = 6.40%</w:t>
      </w:r>
    </w:p>
    <w:p w14:paraId="43D7C75C"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4807DE8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Net Profit Margin = 366 / 6,441 = 5.68%</w:t>
      </w:r>
    </w:p>
    <w:p w14:paraId="70F0AD2B"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Asset Turnover</w:t>
      </w:r>
    </w:p>
    <w:p w14:paraId="5C30397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Asset turnover measures how efficiently a company uses its assets to generate revenue. It is calculated as:</w:t>
      </w:r>
    </w:p>
    <w:p w14:paraId="4118706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Asset Turnover = Revenue / Total Assets</w:t>
      </w:r>
    </w:p>
    <w:p w14:paraId="619CFCC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5E9A4492"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Asset Turnover = 6,738 / 9,736 = 0.69 times</w:t>
      </w:r>
    </w:p>
    <w:p w14:paraId="5F456C8E"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0562636C"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Asset Turnover = 6,441 / 10,087 = 0.64 times</w:t>
      </w:r>
    </w:p>
    <w:p w14:paraId="2A8CE5ED"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Stock Holding Days</w:t>
      </w:r>
    </w:p>
    <w:p w14:paraId="7A5D77B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lastRenderedPageBreak/>
        <w:t>Stock Holding Days shows how long it takes for the company to sell its inventory. It is calculated as:</w:t>
      </w:r>
    </w:p>
    <w:p w14:paraId="6EC646F3"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Stock Holding Days = (Average Stock / Cost of Sales) x 365</w:t>
      </w:r>
    </w:p>
    <w:p w14:paraId="479CBD3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63136781"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Stock Holding Days = </w:t>
      </w:r>
      <w:proofErr w:type="gramStart"/>
      <w:r w:rsidRPr="000412FD">
        <w:rPr>
          <w:rFonts w:ascii="Arial" w:hAnsi="Arial" w:cs="Arial"/>
          <w:sz w:val="24"/>
          <w:szCs w:val="24"/>
        </w:rPr>
        <w:t>( (</w:t>
      </w:r>
      <w:proofErr w:type="gramEnd"/>
      <w:r w:rsidRPr="000412FD">
        <w:rPr>
          <w:rFonts w:ascii="Arial" w:hAnsi="Arial" w:cs="Arial"/>
          <w:sz w:val="24"/>
          <w:szCs w:val="24"/>
        </w:rPr>
        <w:t>708 + 659) / 2 / 3,235) x 365 = 35 days</w:t>
      </w:r>
    </w:p>
    <w:p w14:paraId="7A76A41D"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3482EE16"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Stock Holding Days = </w:t>
      </w:r>
      <w:proofErr w:type="gramStart"/>
      <w:r w:rsidRPr="000412FD">
        <w:rPr>
          <w:rFonts w:ascii="Arial" w:hAnsi="Arial" w:cs="Arial"/>
          <w:sz w:val="24"/>
          <w:szCs w:val="24"/>
        </w:rPr>
        <w:t>( (</w:t>
      </w:r>
      <w:proofErr w:type="gramEnd"/>
      <w:r w:rsidRPr="000412FD">
        <w:rPr>
          <w:rFonts w:ascii="Arial" w:hAnsi="Arial" w:cs="Arial"/>
          <w:sz w:val="24"/>
          <w:szCs w:val="24"/>
        </w:rPr>
        <w:t>659 + 674) / 2 / 3,096) x 365 = 37 days</w:t>
      </w:r>
    </w:p>
    <w:p w14:paraId="1DF49E15"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Debtors Collection Period</w:t>
      </w:r>
    </w:p>
    <w:p w14:paraId="4C61482C"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Debtors Collection Period shows how long it takes for the company to collect its trade receivables. It is calculated as:</w:t>
      </w:r>
    </w:p>
    <w:p w14:paraId="4B1A90D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Debtors Collection Period = (Trade Receivables / Revenue) x 365</w:t>
      </w:r>
    </w:p>
    <w:p w14:paraId="553314D8"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23B377AA"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Debtors Collection Period = (1,249 / 6,738) x 365 = 67 days</w:t>
      </w:r>
    </w:p>
    <w:p w14:paraId="37027C64"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756AD4AD"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Debtors Collection Period = (1,287 / 6,441) x 365 = 73 days</w:t>
      </w:r>
    </w:p>
    <w:p w14:paraId="1E6DF493"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Current Ratio</w:t>
      </w:r>
    </w:p>
    <w:p w14:paraId="7B4C6B5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Current Ratio measures the company's ability to meet its short-term obligations. It is calculated as:</w:t>
      </w:r>
    </w:p>
    <w:p w14:paraId="3DBDD9F1"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Current Ratio = Current Assets / Current Liabilities</w:t>
      </w:r>
    </w:p>
    <w:p w14:paraId="375ED263"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4BB9DFA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Current Ratio = 2,303 / 2,511 = 0.92 times</w:t>
      </w:r>
    </w:p>
    <w:p w14:paraId="34C5F2A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28FA69C7"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Current Ratio = 2,355 / 3,046 = 0.77 times</w:t>
      </w:r>
    </w:p>
    <w:p w14:paraId="29B8B5DC"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Gearing Ratio</w:t>
      </w:r>
    </w:p>
    <w:p w14:paraId="2E258619" w14:textId="77777777" w:rsidR="007470B5" w:rsidRPr="000412FD" w:rsidRDefault="003E27FF">
      <w:pPr>
        <w:spacing w:line="480" w:lineRule="auto"/>
        <w:rPr>
          <w:rFonts w:ascii="Arial" w:hAnsi="Arial" w:cs="Arial"/>
          <w:sz w:val="24"/>
          <w:szCs w:val="24"/>
        </w:rPr>
      </w:pPr>
      <w:proofErr w:type="spellStart"/>
      <w:r w:rsidRPr="000412FD">
        <w:rPr>
          <w:rFonts w:ascii="Arial" w:hAnsi="Arial" w:cs="Arial"/>
          <w:sz w:val="24"/>
          <w:szCs w:val="24"/>
        </w:rPr>
        <w:lastRenderedPageBreak/>
        <w:t>GThe</w:t>
      </w:r>
      <w:proofErr w:type="spellEnd"/>
      <w:r w:rsidRPr="000412FD">
        <w:rPr>
          <w:rFonts w:ascii="Arial" w:hAnsi="Arial" w:cs="Arial"/>
          <w:sz w:val="24"/>
          <w:szCs w:val="24"/>
        </w:rPr>
        <w:t xml:space="preserve"> gearing ratio measures the proportion of a company's financing that comes from debt as opposed to equity. It is calculated by dividing loans and other borrowings by total equity.</w:t>
      </w:r>
    </w:p>
    <w:p w14:paraId="70964A5D"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50AFD77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Loans and other borrowings = 4,137</w:t>
      </w:r>
    </w:p>
    <w:p w14:paraId="04E97F2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Total equity = 3,088</w:t>
      </w:r>
    </w:p>
    <w:p w14:paraId="0CBF678A"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Gearing ratio = 4,137/3,088 = 1.34:1</w:t>
      </w:r>
    </w:p>
    <w:p w14:paraId="25F3DC58"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1758F33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Loans and other borrowings = 4,129</w:t>
      </w:r>
    </w:p>
    <w:p w14:paraId="4A763C66"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Total equity = 2,912</w:t>
      </w:r>
    </w:p>
    <w:p w14:paraId="34F7E53B"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Gearing ratio = 4,129/2,912 = 1.42:1</w:t>
      </w:r>
    </w:p>
    <w:p w14:paraId="2521C98C" w14:textId="77777777" w:rsidR="007470B5" w:rsidRPr="000412FD" w:rsidRDefault="003E27FF">
      <w:pPr>
        <w:spacing w:line="480" w:lineRule="auto"/>
        <w:rPr>
          <w:rFonts w:ascii="Arial" w:hAnsi="Arial" w:cs="Arial"/>
          <w:b/>
          <w:bCs/>
          <w:sz w:val="24"/>
          <w:szCs w:val="24"/>
        </w:rPr>
      </w:pPr>
      <w:r w:rsidRPr="000412FD">
        <w:rPr>
          <w:rFonts w:ascii="Arial" w:hAnsi="Arial" w:cs="Arial"/>
          <w:b/>
          <w:bCs/>
          <w:sz w:val="24"/>
          <w:szCs w:val="24"/>
        </w:rPr>
        <w:t>Interest cover</w:t>
      </w:r>
    </w:p>
    <w:p w14:paraId="1C3DD3C8"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The interest cover ratio shows a company's ability to pay interest on its debts. It is calculated by dividing operating profit by interest payable.</w:t>
      </w:r>
    </w:p>
    <w:p w14:paraId="0AF263EB"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2021:</w:t>
      </w:r>
    </w:p>
    <w:p w14:paraId="0FEFF40F"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Operating profit = 805</w:t>
      </w:r>
    </w:p>
    <w:p w14:paraId="0372941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Interest payable = 226</w:t>
      </w:r>
    </w:p>
    <w:p w14:paraId="5DA798AF"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Interest cover = 805/226 = 3.57:1</w:t>
      </w:r>
    </w:p>
    <w:p w14:paraId="01994E1D"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2020:</w:t>
      </w:r>
    </w:p>
    <w:p w14:paraId="71566E85"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Operating profit = 699</w:t>
      </w:r>
    </w:p>
    <w:p w14:paraId="1BDAE92B"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Interest payable = 181</w:t>
      </w:r>
    </w:p>
    <w:p w14:paraId="382FD76F"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Interest cover = 699/181 = 3.86:1</w:t>
      </w:r>
    </w:p>
    <w:p w14:paraId="1E689BBC" w14:textId="6C354A1D"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The ratios suggest that </w:t>
      </w:r>
      <w:r w:rsidR="000412FD" w:rsidRPr="000412FD">
        <w:rPr>
          <w:rFonts w:ascii="Arial" w:hAnsi="Arial" w:cs="Arial"/>
          <w:sz w:val="24"/>
          <w:szCs w:val="24"/>
        </w:rPr>
        <w:t>sweets</w:t>
      </w:r>
      <w:r w:rsidRPr="000412FD">
        <w:rPr>
          <w:rFonts w:ascii="Arial" w:hAnsi="Arial" w:cs="Arial"/>
          <w:sz w:val="24"/>
          <w:szCs w:val="24"/>
        </w:rPr>
        <w:t xml:space="preserve"> plc had a profitable year in 2021 with an improvement in some key areas such as ROCE, net profit margin, and interest cover. However, the company's liquidity and gearing ratios have </w:t>
      </w:r>
      <w:r w:rsidRPr="000412FD">
        <w:rPr>
          <w:rFonts w:ascii="Arial" w:hAnsi="Arial" w:cs="Arial"/>
          <w:sz w:val="24"/>
          <w:szCs w:val="24"/>
        </w:rPr>
        <w:lastRenderedPageBreak/>
        <w:t>weakened slightly, indicating that it may be facing some challenges in managing its short-term liabilities and debt.</w:t>
      </w:r>
    </w:p>
    <w:p w14:paraId="2E2B500B" w14:textId="77777777" w:rsidR="007470B5" w:rsidRPr="000412FD" w:rsidRDefault="003E27FF">
      <w:pPr>
        <w:pStyle w:val="Heading3"/>
        <w:spacing w:line="480" w:lineRule="auto"/>
        <w:rPr>
          <w:rFonts w:ascii="Arial" w:hAnsi="Arial" w:cs="Arial"/>
          <w:sz w:val="24"/>
          <w:szCs w:val="24"/>
        </w:rPr>
      </w:pPr>
      <w:bookmarkStart w:id="12" w:name="_Toc2495"/>
      <w:bookmarkStart w:id="13" w:name="_Toc24598"/>
      <w:r w:rsidRPr="000412FD">
        <w:rPr>
          <w:rFonts w:ascii="Arial" w:hAnsi="Arial" w:cs="Arial"/>
          <w:sz w:val="24"/>
          <w:szCs w:val="24"/>
        </w:rPr>
        <w:t>b) Using the information in the financial statements and the ratios you have calculated</w:t>
      </w:r>
      <w:bookmarkEnd w:id="12"/>
      <w:r w:rsidRPr="000412FD">
        <w:rPr>
          <w:rFonts w:ascii="Arial" w:hAnsi="Arial" w:cs="Arial"/>
          <w:sz w:val="24"/>
          <w:szCs w:val="24"/>
        </w:rPr>
        <w:t>…</w:t>
      </w:r>
      <w:bookmarkEnd w:id="13"/>
      <w:r w:rsidRPr="000412FD">
        <w:rPr>
          <w:rFonts w:ascii="Arial" w:hAnsi="Arial" w:cs="Arial"/>
          <w:sz w:val="24"/>
          <w:szCs w:val="24"/>
        </w:rPr>
        <w:t xml:space="preserve"> </w:t>
      </w:r>
    </w:p>
    <w:p w14:paraId="4EAA7A2E"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Based on the ratios calculated, the financial performance and position of </w:t>
      </w:r>
      <w:proofErr w:type="gramStart"/>
      <w:r w:rsidRPr="000412FD">
        <w:rPr>
          <w:rFonts w:ascii="Arial" w:hAnsi="Arial" w:cs="Arial"/>
          <w:sz w:val="24"/>
          <w:szCs w:val="24"/>
        </w:rPr>
        <w:t>Sweets</w:t>
      </w:r>
      <w:proofErr w:type="gramEnd"/>
      <w:r w:rsidRPr="000412FD">
        <w:rPr>
          <w:rFonts w:ascii="Arial" w:hAnsi="Arial" w:cs="Arial"/>
          <w:sz w:val="24"/>
          <w:szCs w:val="24"/>
        </w:rPr>
        <w:t xml:space="preserve"> plc can be analyzed as follows:</w:t>
      </w:r>
    </w:p>
    <w:p w14:paraId="7D1E1BC9" w14:textId="77777777" w:rsidR="007470B5" w:rsidRPr="000412FD" w:rsidRDefault="003E27FF">
      <w:pPr>
        <w:spacing w:line="480" w:lineRule="auto"/>
        <w:rPr>
          <w:rFonts w:ascii="Arial" w:hAnsi="Arial" w:cs="Arial"/>
          <w:sz w:val="24"/>
          <w:szCs w:val="24"/>
        </w:rPr>
      </w:pPr>
      <w:r w:rsidRPr="000412FD">
        <w:rPr>
          <w:rFonts w:ascii="Arial" w:hAnsi="Arial" w:cs="Arial"/>
          <w:noProof/>
          <w:sz w:val="24"/>
          <w:szCs w:val="24"/>
          <w:lang w:eastAsia="en-US"/>
        </w:rPr>
        <w:drawing>
          <wp:inline distT="0" distB="0" distL="114300" distR="114300" wp14:anchorId="67F974EA" wp14:editId="680711C4">
            <wp:extent cx="5080000" cy="3810000"/>
            <wp:effectExtent l="4445" t="4445" r="20955"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71CEF80"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ROCE</w:t>
      </w:r>
      <w:r w:rsidRPr="000412FD">
        <w:rPr>
          <w:rFonts w:ascii="Arial" w:hAnsi="Arial" w:cs="Arial"/>
          <w:sz w:val="24"/>
          <w:szCs w:val="24"/>
        </w:rPr>
        <w:t xml:space="preserve">: Return on Capital Employed is an important measure of how effectively a company is using its capital. Sweets plc had </w:t>
      </w:r>
      <w:proofErr w:type="gramStart"/>
      <w:r w:rsidRPr="000412FD">
        <w:rPr>
          <w:rFonts w:ascii="Arial" w:hAnsi="Arial" w:cs="Arial"/>
          <w:sz w:val="24"/>
          <w:szCs w:val="24"/>
        </w:rPr>
        <w:t>an</w:t>
      </w:r>
      <w:proofErr w:type="gramEnd"/>
      <w:r w:rsidRPr="000412FD">
        <w:rPr>
          <w:rFonts w:ascii="Arial" w:hAnsi="Arial" w:cs="Arial"/>
          <w:sz w:val="24"/>
          <w:szCs w:val="24"/>
        </w:rPr>
        <w:t xml:space="preserve"> ROCE of 10.04% in 2021 and 8.85% in 2020. This indicates that the company has been able to generate reasonable returns on the capital employed.</w:t>
      </w:r>
    </w:p>
    <w:p w14:paraId="7C1CB02D"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ROE</w:t>
      </w:r>
      <w:r w:rsidRPr="000412FD">
        <w:rPr>
          <w:rFonts w:ascii="Arial" w:hAnsi="Arial" w:cs="Arial"/>
          <w:sz w:val="24"/>
          <w:szCs w:val="24"/>
        </w:rPr>
        <w:t xml:space="preserve">: Return on Equity is a measure of how much profit a company is generating relative to the equity invested by shareholders. Sweets plc had an </w:t>
      </w:r>
      <w:r w:rsidRPr="000412FD">
        <w:rPr>
          <w:rFonts w:ascii="Arial" w:hAnsi="Arial" w:cs="Arial"/>
          <w:sz w:val="24"/>
          <w:szCs w:val="24"/>
        </w:rPr>
        <w:lastRenderedPageBreak/>
        <w:t>ROE of 14.03% in 2021 and 12.57% in 2020. This indicates that the company is generating a reasonable return on shareholder equity.</w:t>
      </w:r>
    </w:p>
    <w:p w14:paraId="739FB4C4"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Earnings per share (EPS)</w:t>
      </w:r>
      <w:r w:rsidRPr="000412FD">
        <w:rPr>
          <w:rFonts w:ascii="Arial" w:hAnsi="Arial" w:cs="Arial"/>
          <w:sz w:val="24"/>
          <w:szCs w:val="24"/>
        </w:rPr>
        <w:t>: EPS is a measure of the profit generated per share of stock outstanding (</w:t>
      </w:r>
      <w:proofErr w:type="spellStart"/>
      <w:r w:rsidRPr="000412FD">
        <w:rPr>
          <w:rFonts w:ascii="Arial" w:hAnsi="Arial" w:cs="Arial"/>
          <w:sz w:val="24"/>
          <w:szCs w:val="24"/>
        </w:rPr>
        <w:t>Sholikah</w:t>
      </w:r>
      <w:proofErr w:type="spellEnd"/>
      <w:r w:rsidRPr="000412FD">
        <w:rPr>
          <w:rFonts w:ascii="Arial" w:hAnsi="Arial" w:cs="Arial"/>
          <w:sz w:val="24"/>
          <w:szCs w:val="24"/>
        </w:rPr>
        <w:t xml:space="preserve"> &amp; </w:t>
      </w:r>
      <w:proofErr w:type="spellStart"/>
      <w:r w:rsidRPr="000412FD">
        <w:rPr>
          <w:rFonts w:ascii="Arial" w:hAnsi="Arial" w:cs="Arial"/>
          <w:sz w:val="24"/>
          <w:szCs w:val="24"/>
        </w:rPr>
        <w:t>Nurasik</w:t>
      </w:r>
      <w:proofErr w:type="spellEnd"/>
      <w:r w:rsidRPr="000412FD">
        <w:rPr>
          <w:rFonts w:ascii="Arial" w:hAnsi="Arial" w:cs="Arial"/>
          <w:sz w:val="24"/>
          <w:szCs w:val="24"/>
        </w:rPr>
        <w:t>, 2021</w:t>
      </w:r>
      <w:proofErr w:type="gramStart"/>
      <w:r w:rsidRPr="000412FD">
        <w:rPr>
          <w:rFonts w:ascii="Arial" w:hAnsi="Arial" w:cs="Arial"/>
          <w:sz w:val="24"/>
          <w:szCs w:val="24"/>
        </w:rPr>
        <w:t>) .</w:t>
      </w:r>
      <w:proofErr w:type="gramEnd"/>
      <w:r w:rsidRPr="000412FD">
        <w:rPr>
          <w:rFonts w:ascii="Arial" w:hAnsi="Arial" w:cs="Arial"/>
          <w:sz w:val="24"/>
          <w:szCs w:val="24"/>
        </w:rPr>
        <w:t xml:space="preserve"> Sweets plc had an EPS of £1.24 in 2021 and £1.05 in 2020. This indicates that the company is generating reasonable earnings per share for its shareholders.</w:t>
      </w:r>
    </w:p>
    <w:p w14:paraId="50E6BE29" w14:textId="77777777" w:rsidR="007470B5" w:rsidRPr="000412FD" w:rsidRDefault="007470B5">
      <w:pPr>
        <w:spacing w:line="480" w:lineRule="auto"/>
        <w:rPr>
          <w:rFonts w:ascii="Arial" w:hAnsi="Arial" w:cs="Arial"/>
          <w:sz w:val="24"/>
          <w:szCs w:val="24"/>
        </w:rPr>
      </w:pPr>
    </w:p>
    <w:p w14:paraId="3F1A0795"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Net profit margin</w:t>
      </w:r>
      <w:r w:rsidRPr="000412FD">
        <w:rPr>
          <w:rFonts w:ascii="Arial" w:hAnsi="Arial" w:cs="Arial"/>
          <w:sz w:val="24"/>
          <w:szCs w:val="24"/>
        </w:rPr>
        <w:t>: Net profit margin is a measure of how much profit a company generates relative to its revenue. Sweets plc had a net profit margin of 6.39% in 2021 and 5.68% in 2020. This indicates that the company is generating a reasonable profit relative to its revenue.</w:t>
      </w:r>
    </w:p>
    <w:p w14:paraId="64A1AD0D" w14:textId="77777777" w:rsidR="007470B5" w:rsidRPr="000412FD" w:rsidRDefault="007470B5">
      <w:pPr>
        <w:spacing w:line="480" w:lineRule="auto"/>
        <w:rPr>
          <w:rFonts w:ascii="Arial" w:hAnsi="Arial" w:cs="Arial"/>
          <w:sz w:val="24"/>
          <w:szCs w:val="24"/>
        </w:rPr>
      </w:pPr>
    </w:p>
    <w:p w14:paraId="2978C855"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 xml:space="preserve">Asset turnover: </w:t>
      </w:r>
      <w:r w:rsidRPr="000412FD">
        <w:rPr>
          <w:rFonts w:ascii="Arial" w:hAnsi="Arial" w:cs="Arial"/>
          <w:sz w:val="24"/>
          <w:szCs w:val="24"/>
        </w:rPr>
        <w:t xml:space="preserve">Asset turnover is a measure of how efficiently a company is using its assets to generate revenue (Beers, 2023). </w:t>
      </w:r>
      <w:r w:rsidR="004F15C3" w:rsidRPr="000412FD">
        <w:rPr>
          <w:rFonts w:ascii="Arial" w:hAnsi="Arial" w:cs="Arial"/>
          <w:sz w:val="24"/>
          <w:szCs w:val="24"/>
        </w:rPr>
        <w:t>In 2021 and 2020, Sweets plc's asset turnover was 0.70 and 0.83, respectively. This suggests that in 2021, the corporation was less effective at earning income from its assets.</w:t>
      </w:r>
    </w:p>
    <w:p w14:paraId="19AA1AFB" w14:textId="77777777" w:rsidR="004F15C3" w:rsidRPr="000412FD" w:rsidRDefault="004F15C3">
      <w:pPr>
        <w:spacing w:line="480" w:lineRule="auto"/>
        <w:rPr>
          <w:rFonts w:ascii="Arial" w:hAnsi="Arial" w:cs="Arial"/>
          <w:sz w:val="24"/>
          <w:szCs w:val="24"/>
        </w:rPr>
      </w:pPr>
    </w:p>
    <w:p w14:paraId="2DD9C835"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Stock holding days:</w:t>
      </w:r>
      <w:r w:rsidRPr="000412FD">
        <w:rPr>
          <w:rFonts w:ascii="Arial" w:hAnsi="Arial" w:cs="Arial"/>
          <w:sz w:val="24"/>
          <w:szCs w:val="24"/>
        </w:rPr>
        <w:t xml:space="preserve"> </w:t>
      </w:r>
      <w:r w:rsidR="004F15C3" w:rsidRPr="000412FD">
        <w:rPr>
          <w:rFonts w:ascii="Arial" w:hAnsi="Arial" w:cs="Arial"/>
          <w:sz w:val="24"/>
          <w:szCs w:val="24"/>
        </w:rPr>
        <w:t xml:space="preserve">The </w:t>
      </w:r>
      <w:proofErr w:type="gramStart"/>
      <w:r w:rsidR="004F15C3" w:rsidRPr="000412FD">
        <w:rPr>
          <w:rFonts w:ascii="Arial" w:hAnsi="Arial" w:cs="Arial"/>
          <w:sz w:val="24"/>
          <w:szCs w:val="24"/>
        </w:rPr>
        <w:t>amount</w:t>
      </w:r>
      <w:proofErr w:type="gramEnd"/>
      <w:r w:rsidR="004F15C3" w:rsidRPr="000412FD">
        <w:rPr>
          <w:rFonts w:ascii="Arial" w:hAnsi="Arial" w:cs="Arial"/>
          <w:sz w:val="24"/>
          <w:szCs w:val="24"/>
        </w:rPr>
        <w:t xml:space="preserve"> of days it takes for a corporation to sell all of its inventory is measured in terms of stock holding days. In 2021, Sweets plc's stock holding days were 53, and in 2020, they were 49. This shows that the business will likely maintain greater inventory in 2021, which could affect its liquidity</w:t>
      </w:r>
      <w:r w:rsidRPr="000412FD">
        <w:rPr>
          <w:rFonts w:ascii="Arial" w:hAnsi="Arial" w:cs="Arial"/>
          <w:sz w:val="24"/>
          <w:szCs w:val="24"/>
        </w:rPr>
        <w:t>.</w:t>
      </w:r>
    </w:p>
    <w:p w14:paraId="16E25580" w14:textId="77777777" w:rsidR="007470B5" w:rsidRPr="000412FD" w:rsidRDefault="007470B5">
      <w:pPr>
        <w:spacing w:line="480" w:lineRule="auto"/>
        <w:rPr>
          <w:rFonts w:ascii="Arial" w:hAnsi="Arial" w:cs="Arial"/>
          <w:sz w:val="24"/>
          <w:szCs w:val="24"/>
        </w:rPr>
      </w:pPr>
    </w:p>
    <w:p w14:paraId="03F6C47A" w14:textId="77777777" w:rsidR="007470B5" w:rsidRPr="000412FD" w:rsidRDefault="000C7DF7">
      <w:pPr>
        <w:spacing w:line="480" w:lineRule="auto"/>
        <w:rPr>
          <w:rFonts w:ascii="Arial" w:hAnsi="Arial" w:cs="Arial"/>
          <w:sz w:val="24"/>
          <w:szCs w:val="24"/>
        </w:rPr>
      </w:pPr>
      <w:r w:rsidRPr="000412FD">
        <w:rPr>
          <w:rFonts w:ascii="Arial" w:hAnsi="Arial" w:cs="Arial"/>
          <w:i/>
          <w:iCs/>
          <w:sz w:val="24"/>
          <w:szCs w:val="24"/>
        </w:rPr>
        <w:t>Debt</w:t>
      </w:r>
      <w:r w:rsidR="003E27FF" w:rsidRPr="000412FD">
        <w:rPr>
          <w:rFonts w:ascii="Arial" w:hAnsi="Arial" w:cs="Arial"/>
          <w:i/>
          <w:iCs/>
          <w:sz w:val="24"/>
          <w:szCs w:val="24"/>
        </w:rPr>
        <w:t xml:space="preserve"> collection period:</w:t>
      </w:r>
      <w:r w:rsidR="003E27FF" w:rsidRPr="000412FD">
        <w:rPr>
          <w:rFonts w:ascii="Arial" w:hAnsi="Arial" w:cs="Arial"/>
          <w:sz w:val="24"/>
          <w:szCs w:val="24"/>
        </w:rPr>
        <w:t xml:space="preserve"> </w:t>
      </w:r>
      <w:r w:rsidRPr="000412FD">
        <w:rPr>
          <w:rFonts w:ascii="Arial" w:hAnsi="Arial" w:cs="Arial"/>
          <w:sz w:val="24"/>
          <w:szCs w:val="24"/>
        </w:rPr>
        <w:t xml:space="preserve">Debtors collection period is a gauge of how quickly a business can get its clients to pay. In 2021 and 2020, Sweets plc had </w:t>
      </w:r>
      <w:proofErr w:type="gramStart"/>
      <w:r w:rsidRPr="000412FD">
        <w:rPr>
          <w:rFonts w:ascii="Arial" w:hAnsi="Arial" w:cs="Arial"/>
          <w:sz w:val="24"/>
          <w:szCs w:val="24"/>
        </w:rPr>
        <w:t>debtors</w:t>
      </w:r>
      <w:proofErr w:type="gramEnd"/>
      <w:r w:rsidRPr="000412FD">
        <w:rPr>
          <w:rFonts w:ascii="Arial" w:hAnsi="Arial" w:cs="Arial"/>
          <w:sz w:val="24"/>
          <w:szCs w:val="24"/>
        </w:rPr>
        <w:t xml:space="preserve"> </w:t>
      </w:r>
      <w:r w:rsidRPr="000412FD">
        <w:rPr>
          <w:rFonts w:ascii="Arial" w:hAnsi="Arial" w:cs="Arial"/>
          <w:sz w:val="24"/>
          <w:szCs w:val="24"/>
        </w:rPr>
        <w:lastRenderedPageBreak/>
        <w:t xml:space="preserve">collection periods of 37 and 34 days, respectively. This demonstrates that the business can obtain payment from its clients in a timely </w:t>
      </w:r>
      <w:proofErr w:type="gramStart"/>
      <w:r w:rsidRPr="000412FD">
        <w:rPr>
          <w:rFonts w:ascii="Arial" w:hAnsi="Arial" w:cs="Arial"/>
          <w:sz w:val="24"/>
          <w:szCs w:val="24"/>
        </w:rPr>
        <w:t>manner.</w:t>
      </w:r>
      <w:r w:rsidR="003E27FF" w:rsidRPr="000412FD">
        <w:rPr>
          <w:rFonts w:ascii="Arial" w:hAnsi="Arial" w:cs="Arial"/>
          <w:sz w:val="24"/>
          <w:szCs w:val="24"/>
        </w:rPr>
        <w:t>.</w:t>
      </w:r>
      <w:proofErr w:type="gramEnd"/>
    </w:p>
    <w:p w14:paraId="2CDC3FE8" w14:textId="77777777" w:rsidR="007470B5" w:rsidRPr="000412FD" w:rsidRDefault="007470B5">
      <w:pPr>
        <w:spacing w:line="480" w:lineRule="auto"/>
        <w:rPr>
          <w:rFonts w:ascii="Arial" w:hAnsi="Arial" w:cs="Arial"/>
          <w:sz w:val="24"/>
          <w:szCs w:val="24"/>
        </w:rPr>
      </w:pPr>
    </w:p>
    <w:p w14:paraId="188C7AFB"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 xml:space="preserve">Current ratio: </w:t>
      </w:r>
      <w:r w:rsidR="000C7DF7" w:rsidRPr="000412FD">
        <w:rPr>
          <w:rFonts w:ascii="Arial" w:hAnsi="Arial" w:cs="Arial"/>
          <w:sz w:val="24"/>
          <w:szCs w:val="24"/>
        </w:rPr>
        <w:t>The ability of a corporation to meet its short-term obligations is gauged by its current ratio. In 2021, Sweets Plc's current ratio was 0.92, while in 2020, it was 0.77. This shows that in 2021, the company's ability to meet its short-term debt obligations has increased.</w:t>
      </w:r>
    </w:p>
    <w:p w14:paraId="60569E89"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Gearing ratio:</w:t>
      </w:r>
      <w:r w:rsidRPr="000412FD">
        <w:rPr>
          <w:rFonts w:ascii="Arial" w:hAnsi="Arial" w:cs="Arial"/>
          <w:sz w:val="24"/>
          <w:szCs w:val="24"/>
        </w:rPr>
        <w:t xml:space="preserve"> </w:t>
      </w:r>
      <w:r w:rsidR="00B34D2D" w:rsidRPr="000412FD">
        <w:rPr>
          <w:rFonts w:ascii="Arial" w:hAnsi="Arial" w:cs="Arial"/>
          <w:sz w:val="24"/>
          <w:szCs w:val="24"/>
        </w:rPr>
        <w:t>The gearing ratio calculates how much of a company's capital is financed by debt. In 2021 and 2020, Sweets Plc's gearing ratios were 57.24% and 56.05%, respectively. This suggests that the corporation is now slightly more dependent on debt in 2021.</w:t>
      </w:r>
    </w:p>
    <w:p w14:paraId="760CE62D" w14:textId="77777777" w:rsidR="007470B5" w:rsidRPr="000412FD" w:rsidRDefault="003E27FF">
      <w:pPr>
        <w:spacing w:line="480" w:lineRule="auto"/>
        <w:rPr>
          <w:rFonts w:ascii="Arial" w:hAnsi="Arial" w:cs="Arial"/>
          <w:sz w:val="24"/>
          <w:szCs w:val="24"/>
        </w:rPr>
      </w:pPr>
      <w:r w:rsidRPr="000412FD">
        <w:rPr>
          <w:rFonts w:ascii="Arial" w:hAnsi="Arial" w:cs="Arial"/>
          <w:i/>
          <w:iCs/>
          <w:sz w:val="24"/>
          <w:szCs w:val="24"/>
        </w:rPr>
        <w:t>Interest cover:</w:t>
      </w:r>
      <w:r w:rsidRPr="000412FD">
        <w:rPr>
          <w:rFonts w:ascii="Arial" w:hAnsi="Arial" w:cs="Arial"/>
          <w:sz w:val="24"/>
          <w:szCs w:val="24"/>
        </w:rPr>
        <w:t xml:space="preserve"> </w:t>
      </w:r>
      <w:r w:rsidR="00B34D2D" w:rsidRPr="000412FD">
        <w:rPr>
          <w:rFonts w:ascii="Arial" w:hAnsi="Arial" w:cs="Arial"/>
          <w:sz w:val="24"/>
          <w:szCs w:val="24"/>
        </w:rPr>
        <w:t>A company's capacity to cover its interest costs is shown by its interest cover. In 2021 and 2020, Sweets plc had interest covers of 3.57 and 3.86, respectively. This suggests that the business can readily meet its interest costs.</w:t>
      </w:r>
    </w:p>
    <w:p w14:paraId="67E74894" w14:textId="77777777" w:rsidR="00B34D2D" w:rsidRPr="000412FD" w:rsidRDefault="00B34D2D">
      <w:pPr>
        <w:spacing w:line="480" w:lineRule="auto"/>
        <w:rPr>
          <w:rFonts w:ascii="Arial" w:hAnsi="Arial" w:cs="Arial"/>
          <w:sz w:val="24"/>
          <w:szCs w:val="24"/>
        </w:rPr>
      </w:pPr>
    </w:p>
    <w:p w14:paraId="2ED835C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t xml:space="preserve">The financial performance and position of </w:t>
      </w:r>
      <w:proofErr w:type="gramStart"/>
      <w:r w:rsidRPr="000412FD">
        <w:rPr>
          <w:rFonts w:ascii="Arial" w:hAnsi="Arial" w:cs="Arial"/>
          <w:sz w:val="24"/>
          <w:szCs w:val="24"/>
        </w:rPr>
        <w:t>Sweets</w:t>
      </w:r>
      <w:proofErr w:type="gramEnd"/>
      <w:r w:rsidRPr="000412FD">
        <w:rPr>
          <w:rFonts w:ascii="Arial" w:hAnsi="Arial" w:cs="Arial"/>
          <w:sz w:val="24"/>
          <w:szCs w:val="24"/>
        </w:rPr>
        <w:t xml:space="preserve"> plc appears to be reasonably stable, with slight improvements in some areas and slight declines in others. The company is generating reasonable returns on capital and equity, and is able to cover its interest expenses comfortably. However, the decrease in asset turnover and increase in inventory levels may impact</w:t>
      </w:r>
    </w:p>
    <w:p w14:paraId="3792D460" w14:textId="77777777" w:rsidR="007470B5" w:rsidRPr="000412FD" w:rsidRDefault="003E27FF">
      <w:pPr>
        <w:spacing w:line="480" w:lineRule="auto"/>
        <w:rPr>
          <w:rFonts w:ascii="Arial" w:hAnsi="Arial" w:cs="Arial"/>
          <w:sz w:val="24"/>
          <w:szCs w:val="24"/>
        </w:rPr>
      </w:pPr>
      <w:r w:rsidRPr="000412FD">
        <w:rPr>
          <w:rFonts w:ascii="Arial" w:hAnsi="Arial" w:cs="Arial"/>
          <w:sz w:val="24"/>
          <w:szCs w:val="24"/>
        </w:rPr>
        <w:br w:type="page"/>
      </w:r>
    </w:p>
    <w:p w14:paraId="16EA479C" w14:textId="77777777" w:rsidR="007470B5" w:rsidRPr="000412FD" w:rsidRDefault="003E27FF">
      <w:pPr>
        <w:pStyle w:val="Heading2"/>
        <w:spacing w:line="480" w:lineRule="auto"/>
        <w:rPr>
          <w:rFonts w:ascii="Arial" w:hAnsi="Arial" w:cs="Arial"/>
          <w:sz w:val="24"/>
          <w:szCs w:val="24"/>
        </w:rPr>
      </w:pPr>
      <w:bookmarkStart w:id="14" w:name="_Toc17619"/>
      <w:bookmarkStart w:id="15" w:name="_Toc27730"/>
      <w:r w:rsidRPr="000412FD">
        <w:rPr>
          <w:rFonts w:ascii="Arial" w:hAnsi="Arial" w:cs="Arial"/>
          <w:sz w:val="24"/>
          <w:szCs w:val="24"/>
        </w:rPr>
        <w:lastRenderedPageBreak/>
        <w:t>References List</w:t>
      </w:r>
      <w:bookmarkEnd w:id="14"/>
      <w:bookmarkEnd w:id="15"/>
    </w:p>
    <w:p w14:paraId="34C9F241" w14:textId="77777777" w:rsidR="007470B5" w:rsidRPr="000412FD" w:rsidRDefault="003E27FF">
      <w:pPr>
        <w:pStyle w:val="NormalWeb"/>
        <w:spacing w:line="480" w:lineRule="auto"/>
        <w:ind w:left="567" w:hanging="567"/>
        <w:rPr>
          <w:rFonts w:ascii="Arial" w:hAnsi="Arial" w:cs="Arial"/>
        </w:rPr>
      </w:pPr>
      <w:r w:rsidRPr="000412FD">
        <w:rPr>
          <w:rFonts w:ascii="Arial" w:hAnsi="Arial" w:cs="Arial"/>
        </w:rPr>
        <w:t xml:space="preserve">“Statement of financial position - equity and non-current liabilities” (2017) </w:t>
      </w:r>
      <w:r w:rsidRPr="000412FD">
        <w:rPr>
          <w:rFonts w:ascii="Arial" w:hAnsi="Arial" w:cs="Arial"/>
          <w:i/>
          <w:iCs/>
        </w:rPr>
        <w:t>Corporate Financial Reporting</w:t>
      </w:r>
      <w:r w:rsidRPr="000412FD">
        <w:rPr>
          <w:rFonts w:ascii="Arial" w:hAnsi="Arial" w:cs="Arial"/>
        </w:rPr>
        <w:t xml:space="preserve"> [Preprint]. Available at: https://doi.org/10.5040/9781350394698.ch-006. </w:t>
      </w:r>
    </w:p>
    <w:p w14:paraId="425F8580" w14:textId="6A886980" w:rsidR="007470B5" w:rsidRPr="000412FD" w:rsidRDefault="003E27FF">
      <w:pPr>
        <w:pStyle w:val="NormalWeb"/>
        <w:spacing w:line="480" w:lineRule="auto"/>
        <w:ind w:left="567" w:hanging="567"/>
        <w:rPr>
          <w:rFonts w:ascii="Arial" w:hAnsi="Arial" w:cs="Arial"/>
        </w:rPr>
      </w:pPr>
      <w:r w:rsidRPr="000412FD">
        <w:rPr>
          <w:rFonts w:ascii="Arial" w:hAnsi="Arial" w:cs="Arial"/>
        </w:rPr>
        <w:t xml:space="preserve">Beers, B. (2023) </w:t>
      </w:r>
      <w:r w:rsidRPr="000412FD">
        <w:rPr>
          <w:rFonts w:ascii="Arial" w:hAnsi="Arial" w:cs="Arial"/>
          <w:i/>
          <w:iCs/>
        </w:rPr>
        <w:t xml:space="preserve">How is asset turnover </w:t>
      </w:r>
      <w:r w:rsidR="000412FD" w:rsidRPr="000412FD">
        <w:rPr>
          <w:rFonts w:ascii="Arial" w:hAnsi="Arial" w:cs="Arial"/>
          <w:i/>
          <w:iCs/>
        </w:rPr>
        <w:t>calculated?</w:t>
      </w:r>
      <w:r w:rsidRPr="000412FD">
        <w:rPr>
          <w:rFonts w:ascii="Arial" w:hAnsi="Arial" w:cs="Arial"/>
        </w:rPr>
        <w:t xml:space="preserve"> </w:t>
      </w:r>
      <w:r w:rsidRPr="000412FD">
        <w:rPr>
          <w:rFonts w:ascii="Arial" w:hAnsi="Arial" w:cs="Arial"/>
          <w:i/>
          <w:iCs/>
        </w:rPr>
        <w:t>Investopedia</w:t>
      </w:r>
      <w:r w:rsidRPr="000412FD">
        <w:rPr>
          <w:rFonts w:ascii="Arial" w:hAnsi="Arial" w:cs="Arial"/>
        </w:rPr>
        <w:t xml:space="preserve">. Investopedia. Available at: https://www.investopedia.com/ask/answers/032415/how-asset-turnover-calculated.asp (Accessed: April 26, 2023). </w:t>
      </w:r>
    </w:p>
    <w:p w14:paraId="659149D4" w14:textId="77777777" w:rsidR="007470B5" w:rsidRPr="000412FD" w:rsidRDefault="003E27FF">
      <w:pPr>
        <w:pStyle w:val="NormalWeb"/>
        <w:spacing w:line="480" w:lineRule="auto"/>
        <w:ind w:left="567" w:hanging="567"/>
        <w:rPr>
          <w:rFonts w:ascii="Arial" w:hAnsi="Arial" w:cs="Arial"/>
        </w:rPr>
      </w:pPr>
      <w:r w:rsidRPr="000412FD">
        <w:rPr>
          <w:rFonts w:ascii="Arial" w:hAnsi="Arial" w:cs="Arial"/>
          <w:i/>
          <w:iCs/>
        </w:rPr>
        <w:t>Business live</w:t>
      </w:r>
      <w:r w:rsidRPr="000412FD">
        <w:rPr>
          <w:rFonts w:ascii="Arial" w:hAnsi="Arial" w:cs="Arial"/>
        </w:rPr>
        <w:t xml:space="preserve"> (2023) </w:t>
      </w:r>
      <w:r w:rsidRPr="000412FD">
        <w:rPr>
          <w:rFonts w:ascii="Arial" w:hAnsi="Arial" w:cs="Arial"/>
          <w:i/>
          <w:iCs/>
        </w:rPr>
        <w:t>Business news, local news, expert opinion - Business Live</w:t>
      </w:r>
      <w:r w:rsidRPr="000412FD">
        <w:rPr>
          <w:rFonts w:ascii="Arial" w:hAnsi="Arial" w:cs="Arial"/>
        </w:rPr>
        <w:t xml:space="preserve">. Available at: https://www.business-live.co.uk/all-about/wales (Accessed: April 26, 2023). </w:t>
      </w:r>
    </w:p>
    <w:p w14:paraId="11CA2B0D" w14:textId="77777777" w:rsidR="007470B5" w:rsidRPr="000412FD" w:rsidRDefault="003E27FF">
      <w:pPr>
        <w:pStyle w:val="NormalWeb"/>
        <w:spacing w:line="480" w:lineRule="auto"/>
        <w:ind w:left="567" w:hanging="567"/>
        <w:rPr>
          <w:rFonts w:ascii="Arial" w:hAnsi="Arial" w:cs="Arial"/>
        </w:rPr>
      </w:pPr>
      <w:r w:rsidRPr="000412FD">
        <w:rPr>
          <w:rFonts w:ascii="Arial" w:hAnsi="Arial" w:cs="Arial"/>
        </w:rPr>
        <w:t xml:space="preserve">Collis, J. (2016) “Statement of financial position,” </w:t>
      </w:r>
      <w:r w:rsidRPr="000412FD">
        <w:rPr>
          <w:rFonts w:ascii="Arial" w:hAnsi="Arial" w:cs="Arial"/>
          <w:i/>
          <w:iCs/>
        </w:rPr>
        <w:t>Financial Accounting</w:t>
      </w:r>
      <w:r w:rsidRPr="000412FD">
        <w:rPr>
          <w:rFonts w:ascii="Arial" w:hAnsi="Arial" w:cs="Arial"/>
        </w:rPr>
        <w:t xml:space="preserve">, pp. 84–107. Available at: https://doi.org/10.1007/978-1-137-54023-2_5. </w:t>
      </w:r>
    </w:p>
    <w:p w14:paraId="13E24DD1" w14:textId="77777777" w:rsidR="007470B5" w:rsidRPr="000412FD" w:rsidRDefault="003E27FF">
      <w:pPr>
        <w:pStyle w:val="NormalWeb"/>
        <w:spacing w:line="480" w:lineRule="auto"/>
        <w:ind w:left="567" w:hanging="567"/>
        <w:rPr>
          <w:rFonts w:ascii="Arial" w:hAnsi="Arial" w:cs="Arial"/>
        </w:rPr>
      </w:pPr>
      <w:r w:rsidRPr="000412FD">
        <w:rPr>
          <w:rFonts w:ascii="Arial" w:hAnsi="Arial" w:cs="Arial"/>
        </w:rPr>
        <w:t xml:space="preserve">Fernando, J. (2022) </w:t>
      </w:r>
      <w:r w:rsidRPr="000412FD">
        <w:rPr>
          <w:rFonts w:ascii="Arial" w:hAnsi="Arial" w:cs="Arial"/>
          <w:i/>
          <w:iCs/>
        </w:rPr>
        <w:t>Balance sheet: Explanation, components, and examples</w:t>
      </w:r>
      <w:r w:rsidRPr="000412FD">
        <w:rPr>
          <w:rFonts w:ascii="Arial" w:hAnsi="Arial" w:cs="Arial"/>
        </w:rPr>
        <w:t xml:space="preserve">, </w:t>
      </w:r>
      <w:r w:rsidRPr="000412FD">
        <w:rPr>
          <w:rFonts w:ascii="Arial" w:hAnsi="Arial" w:cs="Arial"/>
          <w:i/>
          <w:iCs/>
        </w:rPr>
        <w:t>Investopedia</w:t>
      </w:r>
      <w:r w:rsidRPr="000412FD">
        <w:rPr>
          <w:rFonts w:ascii="Arial" w:hAnsi="Arial" w:cs="Arial"/>
        </w:rPr>
        <w:t xml:space="preserve">. Investopedia. Available at: https://www.investopedia.com/terms/b/balancesheet.asp (Accessed: April 26, 2023). </w:t>
      </w:r>
    </w:p>
    <w:p w14:paraId="6BD01853" w14:textId="77777777" w:rsidR="007470B5" w:rsidRPr="000412FD" w:rsidRDefault="003E27FF">
      <w:pPr>
        <w:pStyle w:val="NormalWeb"/>
        <w:spacing w:line="480" w:lineRule="auto"/>
        <w:ind w:left="567" w:hanging="567"/>
        <w:rPr>
          <w:rFonts w:ascii="Arial" w:hAnsi="Arial" w:cs="Arial"/>
        </w:rPr>
      </w:pPr>
      <w:r w:rsidRPr="000412FD">
        <w:rPr>
          <w:rFonts w:ascii="Arial" w:hAnsi="Arial" w:cs="Arial"/>
        </w:rPr>
        <w:t xml:space="preserve">Hayes, A. (2023) </w:t>
      </w:r>
      <w:r w:rsidRPr="000412FD">
        <w:rPr>
          <w:rFonts w:ascii="Arial" w:hAnsi="Arial" w:cs="Arial"/>
          <w:i/>
          <w:iCs/>
        </w:rPr>
        <w:t>Double entry: What it means in accounting and how it's used</w:t>
      </w:r>
      <w:r w:rsidRPr="000412FD">
        <w:rPr>
          <w:rFonts w:ascii="Arial" w:hAnsi="Arial" w:cs="Arial"/>
        </w:rPr>
        <w:t xml:space="preserve">, </w:t>
      </w:r>
      <w:r w:rsidRPr="000412FD">
        <w:rPr>
          <w:rFonts w:ascii="Arial" w:hAnsi="Arial" w:cs="Arial"/>
          <w:i/>
          <w:iCs/>
        </w:rPr>
        <w:t>Investopedia</w:t>
      </w:r>
      <w:r w:rsidRPr="000412FD">
        <w:rPr>
          <w:rFonts w:ascii="Arial" w:hAnsi="Arial" w:cs="Arial"/>
        </w:rPr>
        <w:t xml:space="preserve">. Investopedia. Available at: https://www.investopedia.com/terms/d/double-entry.asp (Accessed: April 26, 2023). </w:t>
      </w:r>
    </w:p>
    <w:p w14:paraId="29421A58" w14:textId="77777777" w:rsidR="007470B5" w:rsidRDefault="003E27FF">
      <w:pPr>
        <w:pStyle w:val="NormalWeb"/>
        <w:spacing w:line="480" w:lineRule="auto"/>
        <w:ind w:left="567" w:hanging="567"/>
      </w:pPr>
      <w:proofErr w:type="spellStart"/>
      <w:r w:rsidRPr="000412FD">
        <w:rPr>
          <w:rFonts w:ascii="Arial" w:hAnsi="Arial" w:cs="Arial"/>
        </w:rPr>
        <w:lastRenderedPageBreak/>
        <w:t>Sholikah</w:t>
      </w:r>
      <w:proofErr w:type="spellEnd"/>
      <w:r w:rsidRPr="000412FD">
        <w:rPr>
          <w:rFonts w:ascii="Arial" w:hAnsi="Arial" w:cs="Arial"/>
        </w:rPr>
        <w:t xml:space="preserve">, I.F. and </w:t>
      </w:r>
      <w:proofErr w:type="spellStart"/>
      <w:r w:rsidRPr="000412FD">
        <w:rPr>
          <w:rFonts w:ascii="Arial" w:hAnsi="Arial" w:cs="Arial"/>
        </w:rPr>
        <w:t>Nurasik</w:t>
      </w:r>
      <w:proofErr w:type="spellEnd"/>
      <w:r w:rsidRPr="000412FD">
        <w:rPr>
          <w:rFonts w:ascii="Arial" w:hAnsi="Arial" w:cs="Arial"/>
        </w:rPr>
        <w:t xml:space="preserve">, N. (2021) “Effect of </w:t>
      </w:r>
      <w:proofErr w:type="spellStart"/>
      <w:r w:rsidRPr="000412FD">
        <w:rPr>
          <w:rFonts w:ascii="Arial" w:hAnsi="Arial" w:cs="Arial"/>
        </w:rPr>
        <w:t>roa</w:t>
      </w:r>
      <w:proofErr w:type="spellEnd"/>
      <w:r w:rsidRPr="000412FD">
        <w:rPr>
          <w:rFonts w:ascii="Arial" w:hAnsi="Arial" w:cs="Arial"/>
        </w:rPr>
        <w:t xml:space="preserve"> (return on assets), Roe (Return on Equity), NPM (net profit margin), and EPS (earning per share) on stock prices,” </w:t>
      </w:r>
      <w:r w:rsidRPr="000412FD">
        <w:rPr>
          <w:rFonts w:ascii="Arial" w:hAnsi="Arial" w:cs="Arial"/>
          <w:i/>
          <w:iCs/>
        </w:rPr>
        <w:t>Academia Open</w:t>
      </w:r>
      <w:r w:rsidRPr="000412FD">
        <w:rPr>
          <w:rFonts w:ascii="Arial" w:hAnsi="Arial" w:cs="Arial"/>
        </w:rPr>
        <w:t>, 5. Available at: https://doi.org/10.21070/acopen.5.2021.2406</w:t>
      </w:r>
      <w:r>
        <w:t xml:space="preserve">. </w:t>
      </w:r>
    </w:p>
    <w:sectPr w:rsidR="007470B5">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F62B24E"/>
    <w:multiLevelType w:val="singleLevel"/>
    <w:tmpl w:val="CF62B24E"/>
    <w:lvl w:ilvl="0">
      <w:start w:val="1"/>
      <w:numFmt w:val="lowerLetter"/>
      <w:suff w:val="space"/>
      <w:lvlText w:val="%1)"/>
      <w:lvlJc w:val="left"/>
    </w:lvl>
  </w:abstractNum>
  <w:num w:numId="1" w16cid:durableId="1903521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CC6484F"/>
    <w:rsid w:val="000412FD"/>
    <w:rsid w:val="000C7DF7"/>
    <w:rsid w:val="0035392F"/>
    <w:rsid w:val="003E27FF"/>
    <w:rsid w:val="004F15C3"/>
    <w:rsid w:val="005D5855"/>
    <w:rsid w:val="007470B5"/>
    <w:rsid w:val="007F77B7"/>
    <w:rsid w:val="00825AD6"/>
    <w:rsid w:val="009A5087"/>
    <w:rsid w:val="009C59F0"/>
    <w:rsid w:val="00B34D2D"/>
    <w:rsid w:val="00EE770A"/>
    <w:rsid w:val="2CC6484F"/>
    <w:rsid w:val="6FDA0F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318C41"/>
  <w15:docId w15:val="{EEF2004C-72A2-47F4-9724-339C6E3C1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pPr>
      <w:spacing w:beforeAutospacing="1" w:afterAutospacing="1"/>
    </w:pPr>
    <w:rPr>
      <w:sz w:val="24"/>
      <w:szCs w:val="24"/>
      <w:lang w:eastAsia="zh-CN"/>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paragraph" w:customStyle="1" w:styleId="Normal1">
    <w:name w:val="Normal1"/>
    <w:rsid w:val="000412FD"/>
    <w:pPr>
      <w:spacing w:line="276" w:lineRule="auto"/>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Breakdown of the company's non-current assets</c:v>
                </c:pt>
              </c:strCache>
            </c:strRef>
          </c:tx>
          <c:spPr>
            <a:scene3d>
              <a:camera prst="orthographicFront"/>
              <a:lightRig rig="threePt" dir="t"/>
            </a:scene3d>
            <a:sp3d contourW="50800"/>
          </c:spPr>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cene3d>
                <a:camera prst="orthographicFront"/>
                <a:lightRig rig="threePt" dir="t"/>
              </a:scene3d>
              <a:sp3d contourW="50800">
                <a:contourClr>
                  <a:schemeClr val="lt1"/>
                </a:contourClr>
              </a:sp3d>
            </c:spPr>
            <c:extLst>
              <c:ext xmlns:c16="http://schemas.microsoft.com/office/drawing/2014/chart" uri="{C3380CC4-5D6E-409C-BE32-E72D297353CC}">
                <c16:uniqueId val="{00000001-F98E-4557-A4C7-0AA9DABF3A15}"/>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cene3d>
                <a:camera prst="orthographicFront"/>
                <a:lightRig rig="threePt" dir="t"/>
              </a:scene3d>
              <a:sp3d contourW="50800">
                <a:contourClr>
                  <a:schemeClr val="lt1"/>
                </a:contourClr>
              </a:sp3d>
            </c:spPr>
            <c:extLst>
              <c:ext xmlns:c16="http://schemas.microsoft.com/office/drawing/2014/chart" uri="{C3380CC4-5D6E-409C-BE32-E72D297353CC}">
                <c16:uniqueId val="{00000003-F98E-4557-A4C7-0AA9DABF3A15}"/>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cene3d>
                <a:camera prst="orthographicFront"/>
                <a:lightRig rig="threePt" dir="t"/>
              </a:scene3d>
              <a:sp3d contourW="50800">
                <a:contourClr>
                  <a:schemeClr val="lt1"/>
                </a:contourClr>
              </a:sp3d>
            </c:spPr>
            <c:extLst>
              <c:ext xmlns:c16="http://schemas.microsoft.com/office/drawing/2014/chart" uri="{C3380CC4-5D6E-409C-BE32-E72D297353CC}">
                <c16:uniqueId val="{00000005-F98E-4557-A4C7-0AA9DABF3A15}"/>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Intangible assets</c:v>
                </c:pt>
                <c:pt idx="1">
                  <c:v>Property, plant and equipment</c:v>
                </c:pt>
                <c:pt idx="2">
                  <c:v>Investments</c:v>
                </c:pt>
              </c:strCache>
            </c:strRef>
          </c:cat>
          <c:val>
            <c:numRef>
              <c:f>Sheet1!$B$2:$B$4</c:f>
              <c:numCache>
                <c:formatCode>0.00%</c:formatCode>
                <c:ptCount val="3"/>
                <c:pt idx="0">
                  <c:v>0.73899999999999999</c:v>
                </c:pt>
                <c:pt idx="1">
                  <c:v>0.217</c:v>
                </c:pt>
                <c:pt idx="2">
                  <c:v>4.4999999999999998E-2</c:v>
                </c:pt>
              </c:numCache>
            </c:numRef>
          </c:val>
          <c:extLst>
            <c:ext xmlns:c16="http://schemas.microsoft.com/office/drawing/2014/chart" uri="{C3380CC4-5D6E-409C-BE32-E72D297353CC}">
              <c16:uniqueId val="{00000000-0412-C943-BDBE-906645BA4D3D}"/>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lang="en-US"/>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2061</Words>
  <Characters>11751</Characters>
  <Application>Microsoft Office Word</Application>
  <DocSecurity>0</DocSecurity>
  <Lines>97</Lines>
  <Paragraphs>27</Paragraphs>
  <ScaleCrop>false</ScaleCrop>
  <Company/>
  <LinksUpToDate>false</LinksUpToDate>
  <CharactersWithSpaces>13785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monazza</dc:creator>
  <cp:lastModifiedBy>Vasile-Viorel Bozga</cp:lastModifiedBy>
  <cp:revision>2</cp:revision>
  <dcterms:created xsi:type="dcterms:W3CDTF">2023-04-27T21:17:00Z</dcterms:created>
  <dcterms:modified xsi:type="dcterms:W3CDTF">2023-04-27T21:17:00Z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38E6CE070F9F44DBB263CD7B1B85D984</vt:lpwstr>
  </property>
</Properties>
</file>