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57CBB" w14:textId="77777777" w:rsidR="008C6AB1" w:rsidRPr="008C6AB1" w:rsidRDefault="008C6AB1" w:rsidP="008C6AB1">
      <w:pPr>
        <w:rPr>
          <w:lang w:val="en"/>
        </w:rPr>
      </w:pPr>
      <w:r w:rsidRPr="008C6AB1">
        <w:rPr>
          <w:lang w:val="en"/>
        </w:rPr>
        <w:t>4.1 Introduction</w:t>
      </w:r>
    </w:p>
    <w:p w14:paraId="325F0AA5" w14:textId="702C6AE6" w:rsidR="008C6AB1" w:rsidRPr="008C6AB1" w:rsidRDefault="008C6AB1" w:rsidP="008C6AB1">
      <w:pPr>
        <w:rPr>
          <w:lang w:val="en"/>
        </w:rPr>
      </w:pPr>
      <w:r w:rsidRPr="008C6AB1">
        <w:rPr>
          <w:lang w:val="en"/>
        </w:rPr>
        <w:t xml:space="preserve">This chapter presents the findings from a questionnaire designed to explore how exposure to traumatic incidents impacts UK police officers and operational staff, and how effective current coping strategies and organisational support systems are perceived to be. The questionnaire consisted of nine questions combining closed-ended Likert scale items and </w:t>
      </w:r>
      <w:r w:rsidRPr="008C6AB1">
        <w:rPr>
          <w:lang w:val="en"/>
        </w:rPr>
        <w:t>open-ended</w:t>
      </w:r>
      <w:r w:rsidRPr="008C6AB1">
        <w:rPr>
          <w:lang w:val="en"/>
        </w:rPr>
        <w:t xml:space="preserve"> questions, allowing for both quantitative and qualitative insights.</w:t>
      </w:r>
    </w:p>
    <w:p w14:paraId="03282766" w14:textId="3B96DDCB" w:rsidR="008C6AB1" w:rsidRPr="008C6AB1" w:rsidRDefault="008C6AB1" w:rsidP="008C6AB1">
      <w:pPr>
        <w:rPr>
          <w:lang w:val="en"/>
        </w:rPr>
      </w:pPr>
      <w:r w:rsidRPr="008C6AB1">
        <w:rPr>
          <w:lang w:val="en"/>
        </w:rPr>
        <w:t xml:space="preserve">A </w:t>
      </w:r>
      <w:r w:rsidRPr="008C6AB1">
        <w:rPr>
          <w:lang w:val="en"/>
        </w:rPr>
        <w:t>sample</w:t>
      </w:r>
      <w:r w:rsidRPr="008C6AB1">
        <w:rPr>
          <w:lang w:val="en"/>
        </w:rPr>
        <w:t xml:space="preserve"> of 25 operational police personnel completed the questionnaire. Descriptive statistics are used to summarise quantitative responses, while thematic analysis is applied to qualitative data to identify recurring themes related to trauma exposure, coping and organisational support.</w:t>
      </w:r>
    </w:p>
    <w:p w14:paraId="367C2429" w14:textId="77777777" w:rsidR="008C6AB1" w:rsidRPr="008C6AB1" w:rsidRDefault="008C6AB1" w:rsidP="008C6AB1">
      <w:pPr>
        <w:rPr>
          <w:lang w:val="en"/>
        </w:rPr>
      </w:pPr>
    </w:p>
    <w:p w14:paraId="538403E6" w14:textId="77777777" w:rsidR="008C6AB1" w:rsidRPr="008C6AB1" w:rsidRDefault="008C6AB1" w:rsidP="008C6AB1">
      <w:pPr>
        <w:rPr>
          <w:lang w:val="en"/>
        </w:rPr>
      </w:pPr>
      <w:r w:rsidRPr="008C6AB1">
        <w:rPr>
          <w:lang w:val="en"/>
        </w:rPr>
        <w:t>4.2 Participant Roles</w:t>
      </w:r>
    </w:p>
    <w:p w14:paraId="0A967895" w14:textId="77777777" w:rsidR="008C6AB1" w:rsidRPr="008C6AB1" w:rsidRDefault="008C6AB1" w:rsidP="008C6AB1">
      <w:pPr>
        <w:rPr>
          <w:lang w:val="en"/>
        </w:rPr>
      </w:pPr>
      <w:r w:rsidRPr="008C6AB1">
        <w:rPr>
          <w:lang w:val="en"/>
        </w:rPr>
        <w:t>Participants were asked to indicate their current operational role. The sample reflected a range of policing positions.</w:t>
      </w:r>
    </w:p>
    <w:p w14:paraId="499CA06E" w14:textId="77777777" w:rsidR="008C6AB1" w:rsidRPr="008C6AB1" w:rsidRDefault="008C6AB1" w:rsidP="008C6AB1">
      <w:pPr>
        <w:rPr>
          <w:lang w:val="en"/>
        </w:rPr>
      </w:pPr>
      <w:r w:rsidRPr="008C6AB1">
        <w:rPr>
          <w:lang w:val="en"/>
        </w:rPr>
        <w:t>The majority of respondents identified as Constables (56%). Sergeants accounted for 16% of the sample while Police Community Support Officers (PCSOs) also represented 16%. A smaller proportion of the sample identified as CID officers (8%), with Inspector or above and other operational roles accounting for the remaining respondents.</w:t>
      </w:r>
    </w:p>
    <w:p w14:paraId="18C36D90" w14:textId="77777777" w:rsidR="008C6AB1" w:rsidRDefault="008C6AB1" w:rsidP="008C6AB1">
      <w:pPr>
        <w:rPr>
          <w:lang w:val="en"/>
        </w:rPr>
      </w:pPr>
      <w:r w:rsidRPr="008C6AB1">
        <w:rPr>
          <w:lang w:val="en"/>
        </w:rPr>
        <w:t>This distribution reflects the operational focus of the study and allows for insight into trauma exposure across frontline and supervisory roles.</w:t>
      </w:r>
    </w:p>
    <w:p w14:paraId="198B1434" w14:textId="77777777" w:rsidR="008C6AB1" w:rsidRDefault="008C6AB1" w:rsidP="008C6AB1">
      <w:pPr>
        <w:rPr>
          <w:lang w:val="en"/>
        </w:rPr>
      </w:pPr>
    </w:p>
    <w:p w14:paraId="23F824AB" w14:textId="01A37517" w:rsidR="008C6AB1" w:rsidRPr="008C6AB1" w:rsidRDefault="008C6AB1" w:rsidP="008C6AB1">
      <w:pPr>
        <w:rPr>
          <w:lang w:val="en"/>
        </w:rPr>
      </w:pPr>
      <w:r>
        <w:rPr>
          <w:noProof/>
          <w:lang w:val="en"/>
        </w:rPr>
        <w:drawing>
          <wp:inline distT="0" distB="0" distL="0" distR="0" wp14:anchorId="76CF92F9" wp14:editId="14464D54">
            <wp:extent cx="4146698" cy="2388781"/>
            <wp:effectExtent l="0" t="0" r="6350" b="12065"/>
            <wp:docPr id="119117881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1C4ED95F" w14:textId="77777777" w:rsidR="008C6AB1" w:rsidRPr="008C6AB1" w:rsidRDefault="008C6AB1" w:rsidP="008C6AB1">
      <w:pPr>
        <w:rPr>
          <w:lang w:val="en"/>
        </w:rPr>
      </w:pPr>
    </w:p>
    <w:p w14:paraId="17F5E3DC" w14:textId="77777777" w:rsidR="008C6AB1" w:rsidRPr="008C6AB1" w:rsidRDefault="008C6AB1" w:rsidP="008C6AB1">
      <w:pPr>
        <w:rPr>
          <w:lang w:val="en"/>
        </w:rPr>
      </w:pPr>
      <w:r w:rsidRPr="008C6AB1">
        <w:rPr>
          <w:lang w:val="en"/>
        </w:rPr>
        <w:t>4.3 Frequency of Exposure to Traumatic Incidents</w:t>
      </w:r>
    </w:p>
    <w:p w14:paraId="4F333A4D" w14:textId="77777777" w:rsidR="008C6AB1" w:rsidRPr="008C6AB1" w:rsidRDefault="008C6AB1" w:rsidP="008C6AB1">
      <w:pPr>
        <w:rPr>
          <w:lang w:val="en"/>
        </w:rPr>
      </w:pPr>
      <w:r w:rsidRPr="008C6AB1">
        <w:rPr>
          <w:lang w:val="en"/>
        </w:rPr>
        <w:lastRenderedPageBreak/>
        <w:t>Respondents were asked how frequently they are exposed to potentially traumatic incidents in their role.</w:t>
      </w:r>
    </w:p>
    <w:p w14:paraId="7B506B78" w14:textId="77777777" w:rsidR="008C6AB1" w:rsidRPr="008C6AB1" w:rsidRDefault="008C6AB1" w:rsidP="008C6AB1">
      <w:pPr>
        <w:rPr>
          <w:lang w:val="en"/>
        </w:rPr>
      </w:pPr>
      <w:r w:rsidRPr="008C6AB1">
        <w:rPr>
          <w:lang w:val="en"/>
        </w:rPr>
        <w:t>Findings indicate that exposure to trauma is a regular feature of operational policing. 72% of respondents reported being exposed to traumatic incidents frequently or very frequently, while 24% reported occasional exposure. Only 4% reported rare exposure.</w:t>
      </w:r>
    </w:p>
    <w:p w14:paraId="5737D015" w14:textId="77777777" w:rsidR="008C6AB1" w:rsidRDefault="008C6AB1" w:rsidP="008C6AB1">
      <w:pPr>
        <w:rPr>
          <w:lang w:val="en"/>
        </w:rPr>
      </w:pPr>
      <w:r w:rsidRPr="008C6AB1">
        <w:rPr>
          <w:lang w:val="en"/>
        </w:rPr>
        <w:t>The results suggest that repeated and cumulative exposure to traumatic events is common within operational policing roles, reinforcing concerns raised in existing literature regarding chronic occupational stress and trauma.</w:t>
      </w:r>
    </w:p>
    <w:p w14:paraId="662CC7BC" w14:textId="5EF76E35" w:rsidR="008C6AB1" w:rsidRPr="008C6AB1" w:rsidRDefault="008C6AB1" w:rsidP="008C6AB1">
      <w:pPr>
        <w:rPr>
          <w:lang w:val="en"/>
        </w:rPr>
      </w:pPr>
      <w:r>
        <w:rPr>
          <w:noProof/>
          <w:lang w:val="en"/>
        </w:rPr>
        <w:drawing>
          <wp:inline distT="0" distB="0" distL="0" distR="0" wp14:anchorId="554BCB35" wp14:editId="57BF95EE">
            <wp:extent cx="5486400" cy="3200400"/>
            <wp:effectExtent l="0" t="0" r="0" b="0"/>
            <wp:docPr id="26449844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3368847" w14:textId="77777777" w:rsidR="008C6AB1" w:rsidRPr="008C6AB1" w:rsidRDefault="008C6AB1" w:rsidP="008C6AB1">
      <w:pPr>
        <w:rPr>
          <w:lang w:val="en"/>
        </w:rPr>
      </w:pPr>
    </w:p>
    <w:p w14:paraId="2E16CCAF" w14:textId="77777777" w:rsidR="008C6AB1" w:rsidRPr="008C6AB1" w:rsidRDefault="008C6AB1" w:rsidP="008C6AB1">
      <w:pPr>
        <w:rPr>
          <w:lang w:val="en"/>
        </w:rPr>
      </w:pPr>
      <w:r w:rsidRPr="008C6AB1">
        <w:rPr>
          <w:lang w:val="en"/>
        </w:rPr>
        <w:t xml:space="preserve">4.4 Types of Traumatic Incidents Experienced </w:t>
      </w:r>
    </w:p>
    <w:p w14:paraId="3BB71497" w14:textId="77777777" w:rsidR="008C6AB1" w:rsidRPr="008C6AB1" w:rsidRDefault="008C6AB1" w:rsidP="008C6AB1">
      <w:pPr>
        <w:rPr>
          <w:lang w:val="en"/>
        </w:rPr>
      </w:pPr>
      <w:r w:rsidRPr="008C6AB1">
        <w:rPr>
          <w:lang w:val="en"/>
        </w:rPr>
        <w:t xml:space="preserve">Participants were able to select multiple types of incidents they have been exposed to in their service. </w:t>
      </w:r>
    </w:p>
    <w:p w14:paraId="799DB57A" w14:textId="77777777" w:rsidR="008C6AB1" w:rsidRPr="008C6AB1" w:rsidRDefault="008C6AB1" w:rsidP="008C6AB1">
      <w:pPr>
        <w:rPr>
          <w:lang w:val="en"/>
        </w:rPr>
      </w:pPr>
      <w:r w:rsidRPr="008C6AB1">
        <w:rPr>
          <w:lang w:val="en"/>
        </w:rPr>
        <w:t>The most frequent reported incidents were domestic abuse incidents (80%) followed by sudden or violent death (72%) and fatal or serious road traffic collisions (68%). Serious violence or threats to personal safety were reported by 64% of respondents.</w:t>
      </w:r>
    </w:p>
    <w:p w14:paraId="3247F43F" w14:textId="77777777" w:rsidR="008C6AB1" w:rsidRPr="008C6AB1" w:rsidRDefault="008C6AB1" w:rsidP="008C6AB1">
      <w:pPr>
        <w:rPr>
          <w:lang w:val="en"/>
        </w:rPr>
      </w:pPr>
      <w:r w:rsidRPr="008C6AB1">
        <w:rPr>
          <w:lang w:val="en"/>
        </w:rPr>
        <w:t>Additionally, suicide or attempted suicide incidents were reported by 60%, while exposure to graphic or disturbing material was also reported by 56%. Child abuse or child death investigations and sexual offences were also commonly reported, highlighting the emotionally demanding nature of police work.</w:t>
      </w:r>
    </w:p>
    <w:p w14:paraId="0D71D029" w14:textId="77777777" w:rsidR="008C6AB1" w:rsidRDefault="008C6AB1" w:rsidP="008C6AB1">
      <w:pPr>
        <w:rPr>
          <w:lang w:val="en"/>
        </w:rPr>
      </w:pPr>
      <w:r w:rsidRPr="008C6AB1">
        <w:rPr>
          <w:lang w:val="en"/>
        </w:rPr>
        <w:t>These findings illustrate the breadth and severity of traumatic exposure faced by operational staff.</w:t>
      </w:r>
    </w:p>
    <w:p w14:paraId="30F541DB" w14:textId="4BEC40C1" w:rsidR="004D4D86" w:rsidRPr="008C6AB1" w:rsidRDefault="004D4D86" w:rsidP="008C6AB1">
      <w:pPr>
        <w:rPr>
          <w:lang w:val="en"/>
        </w:rPr>
      </w:pPr>
      <w:r>
        <w:rPr>
          <w:i/>
          <w:iCs/>
          <w:noProof/>
          <w:lang w:val="en"/>
        </w:rPr>
        <w:lastRenderedPageBreak/>
        <w:drawing>
          <wp:inline distT="0" distB="0" distL="0" distR="0" wp14:anchorId="417D0FEB" wp14:editId="75D8821C">
            <wp:extent cx="5486400" cy="3200400"/>
            <wp:effectExtent l="0" t="0" r="0" b="0"/>
            <wp:docPr id="200033766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24B5C01" w14:textId="77777777" w:rsidR="008C6AB1" w:rsidRPr="008C6AB1" w:rsidRDefault="008C6AB1" w:rsidP="008C6AB1">
      <w:pPr>
        <w:rPr>
          <w:lang w:val="en"/>
        </w:rPr>
      </w:pPr>
    </w:p>
    <w:p w14:paraId="00158B87" w14:textId="77777777" w:rsidR="008C6AB1" w:rsidRPr="008C6AB1" w:rsidRDefault="008C6AB1" w:rsidP="008C6AB1">
      <w:pPr>
        <w:rPr>
          <w:lang w:val="en"/>
        </w:rPr>
      </w:pPr>
      <w:r w:rsidRPr="008C6AB1">
        <w:rPr>
          <w:lang w:val="en"/>
        </w:rPr>
        <w:t>4.5 Perceived Emotional Distress</w:t>
      </w:r>
    </w:p>
    <w:p w14:paraId="55966281" w14:textId="77777777" w:rsidR="008C6AB1" w:rsidRPr="008C6AB1" w:rsidRDefault="008C6AB1" w:rsidP="008C6AB1">
      <w:pPr>
        <w:rPr>
          <w:lang w:val="en"/>
        </w:rPr>
      </w:pPr>
      <w:r w:rsidRPr="008C6AB1">
        <w:rPr>
          <w:lang w:val="en"/>
        </w:rPr>
        <w:t>Participants were asked how emotionally distressing they found these incidents overall.</w:t>
      </w:r>
    </w:p>
    <w:p w14:paraId="054DCC01" w14:textId="77777777" w:rsidR="008C6AB1" w:rsidRPr="008C6AB1" w:rsidRDefault="008C6AB1" w:rsidP="008C6AB1">
      <w:pPr>
        <w:rPr>
          <w:lang w:val="en"/>
        </w:rPr>
      </w:pPr>
      <w:r w:rsidRPr="008C6AB1">
        <w:rPr>
          <w:lang w:val="en"/>
        </w:rPr>
        <w:t>A majority of respondents reported experiencing significant stress. 68% rated their experiences as moderately, very or extremely distressing, with 28% selecting very or extremely distressing. A smaller proportion reported incidents as slightly distressing or not distressing.</w:t>
      </w:r>
    </w:p>
    <w:p w14:paraId="1497FB03" w14:textId="77777777" w:rsidR="008C6AB1" w:rsidRDefault="008C6AB1" w:rsidP="008C6AB1">
      <w:pPr>
        <w:rPr>
          <w:lang w:val="en"/>
        </w:rPr>
      </w:pPr>
      <w:r w:rsidRPr="008C6AB1">
        <w:rPr>
          <w:lang w:val="en"/>
        </w:rPr>
        <w:t>This suggests that while officers may develop coping mechanisms over time, exposure continues to have a notable emotional impact for many.</w:t>
      </w:r>
    </w:p>
    <w:p w14:paraId="3C4C4607" w14:textId="77777777" w:rsidR="004D4D86" w:rsidRDefault="004D4D86" w:rsidP="008C6AB1">
      <w:pPr>
        <w:rPr>
          <w:lang w:val="en"/>
        </w:rPr>
      </w:pPr>
    </w:p>
    <w:p w14:paraId="5E2B244F" w14:textId="381CE210" w:rsidR="004D4D86" w:rsidRPr="008C6AB1" w:rsidRDefault="004D4D86" w:rsidP="008C6AB1">
      <w:pPr>
        <w:rPr>
          <w:lang w:val="en"/>
        </w:rPr>
      </w:pPr>
      <w:r>
        <w:rPr>
          <w:noProof/>
          <w:lang w:val="en"/>
        </w:rPr>
        <w:lastRenderedPageBreak/>
        <w:drawing>
          <wp:inline distT="0" distB="0" distL="0" distR="0" wp14:anchorId="471940DA" wp14:editId="2ED9B826">
            <wp:extent cx="5486400" cy="3200400"/>
            <wp:effectExtent l="0" t="0" r="0" b="0"/>
            <wp:docPr id="121263907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58561DB" w14:textId="77777777" w:rsidR="008C6AB1" w:rsidRPr="008C6AB1" w:rsidRDefault="008C6AB1" w:rsidP="008C6AB1">
      <w:pPr>
        <w:rPr>
          <w:lang w:val="en"/>
        </w:rPr>
      </w:pPr>
    </w:p>
    <w:p w14:paraId="0907D824" w14:textId="77777777" w:rsidR="008C6AB1" w:rsidRPr="008C6AB1" w:rsidRDefault="008C6AB1" w:rsidP="008C6AB1">
      <w:pPr>
        <w:rPr>
          <w:lang w:val="en"/>
        </w:rPr>
      </w:pPr>
      <w:r w:rsidRPr="008C6AB1">
        <w:rPr>
          <w:lang w:val="en"/>
        </w:rPr>
        <w:t xml:space="preserve">4.6 Coping Strategies Used Following Traumatic Incidents </w:t>
      </w:r>
    </w:p>
    <w:p w14:paraId="0CFB9ECB" w14:textId="77777777" w:rsidR="008C6AB1" w:rsidRPr="008C6AB1" w:rsidRDefault="008C6AB1" w:rsidP="008C6AB1">
      <w:pPr>
        <w:rPr>
          <w:lang w:val="en"/>
        </w:rPr>
      </w:pPr>
      <w:r w:rsidRPr="008C6AB1">
        <w:rPr>
          <w:lang w:val="en"/>
        </w:rPr>
        <w:t>Respondents identified the coping strategies they use following traumatic incidents. Multiple selections were permitted.</w:t>
      </w:r>
    </w:p>
    <w:p w14:paraId="2C0790B0" w14:textId="77777777" w:rsidR="008C6AB1" w:rsidRPr="008C6AB1" w:rsidRDefault="008C6AB1" w:rsidP="008C6AB1">
      <w:pPr>
        <w:rPr>
          <w:lang w:val="en"/>
        </w:rPr>
      </w:pPr>
      <w:r w:rsidRPr="008C6AB1">
        <w:rPr>
          <w:lang w:val="en"/>
        </w:rPr>
        <w:t>The most commonly reported coping strategy was talking to colleagues (72%) indicating the importance of peer support within policing culture. Talking to family or friends (60%) and physical exercise (56%) were also frequently used.</w:t>
      </w:r>
    </w:p>
    <w:p w14:paraId="39467998" w14:textId="6216792D" w:rsidR="008C6AB1" w:rsidRPr="008C6AB1" w:rsidRDefault="008C6AB1" w:rsidP="008C6AB1">
      <w:pPr>
        <w:rPr>
          <w:lang w:val="en"/>
        </w:rPr>
      </w:pPr>
      <w:r w:rsidRPr="008C6AB1">
        <w:rPr>
          <w:lang w:val="en"/>
        </w:rPr>
        <w:t>Less adaptive strategies were also reported.</w:t>
      </w:r>
      <w:r>
        <w:rPr>
          <w:lang w:val="en"/>
        </w:rPr>
        <w:t xml:space="preserve"> </w:t>
      </w:r>
      <w:r w:rsidRPr="008C6AB1">
        <w:rPr>
          <w:lang w:val="en"/>
        </w:rPr>
        <w:t xml:space="preserve">Avoidance or emotional suppression was selected by 48% of respondents, while humour was reported by 44%. Alcohol use was selected by 32%, highlighting potential risk </w:t>
      </w:r>
      <w:r w:rsidRPr="008C6AB1">
        <w:rPr>
          <w:lang w:val="en"/>
        </w:rPr>
        <w:t>behaviors</w:t>
      </w:r>
      <w:r w:rsidRPr="008C6AB1">
        <w:rPr>
          <w:lang w:val="en"/>
        </w:rPr>
        <w:t>.</w:t>
      </w:r>
    </w:p>
    <w:p w14:paraId="5FB384E6" w14:textId="77777777" w:rsidR="008C6AB1" w:rsidRPr="008C6AB1" w:rsidRDefault="008C6AB1" w:rsidP="008C6AB1">
      <w:pPr>
        <w:rPr>
          <w:lang w:val="en"/>
        </w:rPr>
      </w:pPr>
      <w:r w:rsidRPr="008C6AB1">
        <w:rPr>
          <w:lang w:val="en"/>
        </w:rPr>
        <w:t>Only 28% of respondents reported using professional counselling or therapy, and 24% reported using mindfulness or relaxation techniques, suggesting limited engagement with formal or structured wellbeing interventions.</w:t>
      </w:r>
    </w:p>
    <w:p w14:paraId="04FE4CBE" w14:textId="555CAE4F" w:rsidR="008C6AB1" w:rsidRDefault="004D4D86" w:rsidP="008C6AB1">
      <w:pPr>
        <w:rPr>
          <w:lang w:val="en"/>
        </w:rPr>
      </w:pPr>
      <w:r>
        <w:rPr>
          <w:noProof/>
          <w:lang w:val="en"/>
        </w:rPr>
        <w:lastRenderedPageBreak/>
        <w:drawing>
          <wp:inline distT="0" distB="0" distL="0" distR="0" wp14:anchorId="5F97EFC1" wp14:editId="62D59DE5">
            <wp:extent cx="5486400" cy="3200400"/>
            <wp:effectExtent l="0" t="0" r="0" b="0"/>
            <wp:docPr id="821495069"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C4C476B" w14:textId="77777777" w:rsidR="004D4D86" w:rsidRPr="008C6AB1" w:rsidRDefault="004D4D86" w:rsidP="008C6AB1">
      <w:pPr>
        <w:rPr>
          <w:lang w:val="en"/>
        </w:rPr>
      </w:pPr>
    </w:p>
    <w:p w14:paraId="2AD2B8B1" w14:textId="77777777" w:rsidR="008C6AB1" w:rsidRPr="008C6AB1" w:rsidRDefault="008C6AB1" w:rsidP="008C6AB1">
      <w:pPr>
        <w:rPr>
          <w:lang w:val="en"/>
        </w:rPr>
      </w:pPr>
      <w:r w:rsidRPr="008C6AB1">
        <w:rPr>
          <w:lang w:val="en"/>
        </w:rPr>
        <w:t xml:space="preserve">4.7 Perceived Effectiveness or Coping Strategies </w:t>
      </w:r>
    </w:p>
    <w:p w14:paraId="71042375" w14:textId="77777777" w:rsidR="008C6AB1" w:rsidRPr="008C6AB1" w:rsidRDefault="008C6AB1" w:rsidP="008C6AB1">
      <w:pPr>
        <w:rPr>
          <w:lang w:val="en"/>
        </w:rPr>
      </w:pPr>
      <w:r w:rsidRPr="008C6AB1">
        <w:rPr>
          <w:lang w:val="en"/>
        </w:rPr>
        <w:t>Participants were asked how effective they felt their coping strategies were overall.</w:t>
      </w:r>
    </w:p>
    <w:p w14:paraId="46D13272" w14:textId="77777777" w:rsidR="008C6AB1" w:rsidRPr="008C6AB1" w:rsidRDefault="008C6AB1" w:rsidP="008C6AB1">
      <w:pPr>
        <w:rPr>
          <w:lang w:val="en"/>
        </w:rPr>
      </w:pPr>
      <w:r w:rsidRPr="008C6AB1">
        <w:rPr>
          <w:lang w:val="en"/>
        </w:rPr>
        <w:t>Responses indicated mixed perceptions. 44% of respondents rated their coping strategies as moderately effective, while 24% rated them as very or extremely effective. However, 32% reported their coping strategies as not effective or only slightly effective.</w:t>
      </w:r>
    </w:p>
    <w:p w14:paraId="62890B77" w14:textId="77777777" w:rsidR="008C6AB1" w:rsidRDefault="008C6AB1" w:rsidP="008C6AB1">
      <w:pPr>
        <w:rPr>
          <w:lang w:val="en"/>
        </w:rPr>
      </w:pPr>
      <w:r w:rsidRPr="008C6AB1">
        <w:rPr>
          <w:lang w:val="en"/>
        </w:rPr>
        <w:t>This suggests that while many officers rely on informal coping mechanisms, these may not fully mitigate the impact of traumatic exposure.</w:t>
      </w:r>
    </w:p>
    <w:p w14:paraId="715791A7" w14:textId="77777777" w:rsidR="0050106A" w:rsidRDefault="0050106A" w:rsidP="008C6AB1">
      <w:pPr>
        <w:rPr>
          <w:lang w:val="en"/>
        </w:rPr>
      </w:pPr>
    </w:p>
    <w:p w14:paraId="6E6B7272" w14:textId="2B126C10" w:rsidR="0050106A" w:rsidRPr="008C6AB1" w:rsidRDefault="0050106A" w:rsidP="008C6AB1">
      <w:pPr>
        <w:rPr>
          <w:lang w:val="en"/>
        </w:rPr>
      </w:pPr>
      <w:r>
        <w:rPr>
          <w:noProof/>
          <w:lang w:val="en"/>
        </w:rPr>
        <w:lastRenderedPageBreak/>
        <w:drawing>
          <wp:inline distT="0" distB="0" distL="0" distR="0" wp14:anchorId="7CC863F9" wp14:editId="1844FAA1">
            <wp:extent cx="5486400" cy="3200400"/>
            <wp:effectExtent l="0" t="0" r="0" b="0"/>
            <wp:docPr id="1677578794"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E89BC15" w14:textId="77777777" w:rsidR="008C6AB1" w:rsidRPr="008C6AB1" w:rsidRDefault="008C6AB1" w:rsidP="008C6AB1">
      <w:pPr>
        <w:rPr>
          <w:lang w:val="en"/>
        </w:rPr>
      </w:pPr>
    </w:p>
    <w:p w14:paraId="45014207" w14:textId="77777777" w:rsidR="008C6AB1" w:rsidRPr="008C6AB1" w:rsidRDefault="008C6AB1" w:rsidP="008C6AB1">
      <w:pPr>
        <w:rPr>
          <w:lang w:val="en"/>
        </w:rPr>
      </w:pPr>
      <w:r w:rsidRPr="008C6AB1">
        <w:rPr>
          <w:lang w:val="en"/>
        </w:rPr>
        <w:t>4.8 Awareness of Mental Health and Wellbeing Support</w:t>
      </w:r>
    </w:p>
    <w:p w14:paraId="5C4EDC8F" w14:textId="77777777" w:rsidR="008C6AB1" w:rsidRPr="008C6AB1" w:rsidRDefault="008C6AB1" w:rsidP="008C6AB1">
      <w:pPr>
        <w:rPr>
          <w:lang w:val="en"/>
        </w:rPr>
      </w:pPr>
      <w:r w:rsidRPr="008C6AB1">
        <w:rPr>
          <w:lang w:val="en"/>
        </w:rPr>
        <w:t>Participants were asked how aware they were of available mental health and wellbeing support.</w:t>
      </w:r>
    </w:p>
    <w:p w14:paraId="587047DE" w14:textId="77777777" w:rsidR="008C6AB1" w:rsidRPr="008C6AB1" w:rsidRDefault="008C6AB1" w:rsidP="008C6AB1">
      <w:pPr>
        <w:rPr>
          <w:lang w:val="en"/>
        </w:rPr>
      </w:pPr>
      <w:r w:rsidRPr="008C6AB1">
        <w:rPr>
          <w:lang w:val="en"/>
        </w:rPr>
        <w:t>Awareness levels varied considerably. 44% of respondents reported being not at all or not so aware of available support. 32% reported being somewhat aware, while only 24% described themselves as very or extremely aware.</w:t>
      </w:r>
    </w:p>
    <w:p w14:paraId="6681FB65" w14:textId="77777777" w:rsidR="008C6AB1" w:rsidRDefault="008C6AB1" w:rsidP="008C6AB1">
      <w:pPr>
        <w:rPr>
          <w:lang w:val="en"/>
        </w:rPr>
      </w:pPr>
      <w:r w:rsidRPr="008C6AB1">
        <w:rPr>
          <w:lang w:val="en"/>
        </w:rPr>
        <w:t>This indicated a potential communication gap between organisations and operations staff regarding available wellbeing resources.</w:t>
      </w:r>
    </w:p>
    <w:p w14:paraId="1C626718" w14:textId="77777777" w:rsidR="0050106A" w:rsidRDefault="0050106A" w:rsidP="008C6AB1">
      <w:pPr>
        <w:rPr>
          <w:lang w:val="en"/>
        </w:rPr>
      </w:pPr>
    </w:p>
    <w:p w14:paraId="26560B27" w14:textId="5B428DC6" w:rsidR="0050106A" w:rsidRPr="008C6AB1" w:rsidRDefault="001F3515" w:rsidP="008C6AB1">
      <w:pPr>
        <w:rPr>
          <w:lang w:val="en"/>
        </w:rPr>
      </w:pPr>
      <w:r>
        <w:rPr>
          <w:noProof/>
          <w:lang w:val="en"/>
        </w:rPr>
        <w:lastRenderedPageBreak/>
        <w:drawing>
          <wp:inline distT="0" distB="0" distL="0" distR="0" wp14:anchorId="03D53C55" wp14:editId="267849B2">
            <wp:extent cx="5486400" cy="3200400"/>
            <wp:effectExtent l="0" t="0" r="0" b="0"/>
            <wp:docPr id="200302421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396332D" w14:textId="77777777" w:rsidR="008C6AB1" w:rsidRPr="008C6AB1" w:rsidRDefault="008C6AB1" w:rsidP="008C6AB1">
      <w:pPr>
        <w:rPr>
          <w:lang w:val="en"/>
        </w:rPr>
      </w:pPr>
    </w:p>
    <w:p w14:paraId="543604E3" w14:textId="77777777" w:rsidR="008C6AB1" w:rsidRPr="008C6AB1" w:rsidRDefault="008C6AB1" w:rsidP="008C6AB1">
      <w:pPr>
        <w:rPr>
          <w:lang w:val="en"/>
        </w:rPr>
      </w:pPr>
      <w:r w:rsidRPr="008C6AB1">
        <w:rPr>
          <w:lang w:val="en"/>
        </w:rPr>
        <w:t>4.9 Perceived Effectiveness of Support Systems</w:t>
      </w:r>
    </w:p>
    <w:p w14:paraId="37665381" w14:textId="77777777" w:rsidR="008C6AB1" w:rsidRPr="008C6AB1" w:rsidRDefault="008C6AB1" w:rsidP="008C6AB1">
      <w:pPr>
        <w:rPr>
          <w:lang w:val="en"/>
        </w:rPr>
      </w:pPr>
      <w:r w:rsidRPr="008C6AB1">
        <w:rPr>
          <w:lang w:val="en"/>
        </w:rPr>
        <w:t>Respondents were asked to evaluate how effective they felt current support systems were in addressing trauma.</w:t>
      </w:r>
    </w:p>
    <w:p w14:paraId="6B9E49F0" w14:textId="77777777" w:rsidR="008C6AB1" w:rsidRPr="008C6AB1" w:rsidRDefault="008C6AB1" w:rsidP="008C6AB1">
      <w:pPr>
        <w:rPr>
          <w:lang w:val="en"/>
        </w:rPr>
      </w:pPr>
      <w:r w:rsidRPr="008C6AB1">
        <w:rPr>
          <w:lang w:val="en"/>
        </w:rPr>
        <w:t>Over half of respondents (52%) rated organisational support as not at all effective or not so effective. 32% rated support as somewhat effective, while 16% perceived support systems as very or extremely effective.</w:t>
      </w:r>
    </w:p>
    <w:p w14:paraId="3287605E" w14:textId="77777777" w:rsidR="008C6AB1" w:rsidRPr="008C6AB1" w:rsidRDefault="008C6AB1" w:rsidP="008C6AB1">
      <w:pPr>
        <w:rPr>
          <w:lang w:val="en"/>
        </w:rPr>
      </w:pPr>
      <w:r w:rsidRPr="008C6AB1">
        <w:rPr>
          <w:lang w:val="en"/>
        </w:rPr>
        <w:t>These findings suggest dissatisfaction with current provision and possible barriers to accessing meaningful support.</w:t>
      </w:r>
    </w:p>
    <w:p w14:paraId="0E88CA72" w14:textId="0C4D62EF" w:rsidR="008C6AB1" w:rsidRDefault="0050106A" w:rsidP="008C6AB1">
      <w:pPr>
        <w:rPr>
          <w:lang w:val="en"/>
        </w:rPr>
      </w:pPr>
      <w:r>
        <w:rPr>
          <w:noProof/>
          <w:lang w:val="en"/>
        </w:rPr>
        <w:lastRenderedPageBreak/>
        <w:drawing>
          <wp:inline distT="0" distB="0" distL="0" distR="0" wp14:anchorId="0FD921AD" wp14:editId="17ED9BD4">
            <wp:extent cx="5486400" cy="3200400"/>
            <wp:effectExtent l="0" t="0" r="0" b="0"/>
            <wp:docPr id="205018644"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28DFDC6" w14:textId="77777777" w:rsidR="0050106A" w:rsidRPr="008C6AB1" w:rsidRDefault="0050106A" w:rsidP="008C6AB1">
      <w:pPr>
        <w:rPr>
          <w:lang w:val="en"/>
        </w:rPr>
      </w:pPr>
    </w:p>
    <w:p w14:paraId="30CB3827" w14:textId="77777777" w:rsidR="008C6AB1" w:rsidRPr="008C6AB1" w:rsidRDefault="008C6AB1" w:rsidP="008C6AB1">
      <w:pPr>
        <w:rPr>
          <w:lang w:val="en"/>
        </w:rPr>
      </w:pPr>
      <w:r w:rsidRPr="008C6AB1">
        <w:rPr>
          <w:lang w:val="en"/>
        </w:rPr>
        <w:t>4.10 Suggested Improvements to Support Systems</w:t>
      </w:r>
    </w:p>
    <w:p w14:paraId="7F36079B" w14:textId="77777777" w:rsidR="008C6AB1" w:rsidRPr="008C6AB1" w:rsidRDefault="008C6AB1" w:rsidP="008C6AB1">
      <w:pPr>
        <w:rPr>
          <w:lang w:val="en"/>
        </w:rPr>
      </w:pPr>
      <w:r w:rsidRPr="008C6AB1">
        <w:rPr>
          <w:lang w:val="en"/>
        </w:rPr>
        <w:t>The final question invited respondents to suggest improvements to better support officers following traumatic incidents.</w:t>
      </w:r>
    </w:p>
    <w:p w14:paraId="56CEC489" w14:textId="77777777" w:rsidR="008C6AB1" w:rsidRPr="008C6AB1" w:rsidRDefault="008C6AB1" w:rsidP="008C6AB1">
      <w:pPr>
        <w:rPr>
          <w:lang w:val="en"/>
        </w:rPr>
      </w:pPr>
      <w:r w:rsidRPr="008C6AB1">
        <w:rPr>
          <w:lang w:val="en"/>
        </w:rPr>
        <w:t>Thematic analysis identified several recurring themes:</w:t>
      </w:r>
    </w:p>
    <w:p w14:paraId="5556A618" w14:textId="2906557B" w:rsidR="008C6AB1" w:rsidRPr="008C6AB1" w:rsidRDefault="008C6AB1" w:rsidP="008C6AB1">
      <w:pPr>
        <w:numPr>
          <w:ilvl w:val="0"/>
          <w:numId w:val="1"/>
        </w:numPr>
        <w:rPr>
          <w:lang w:val="en"/>
        </w:rPr>
      </w:pPr>
      <w:r w:rsidRPr="008C6AB1">
        <w:rPr>
          <w:lang w:val="en"/>
        </w:rPr>
        <w:t xml:space="preserve">Improved confidentiality, with respondents expressing concern about privacy when accessing </w:t>
      </w:r>
      <w:r w:rsidRPr="008C6AB1">
        <w:rPr>
          <w:lang w:val="en"/>
        </w:rPr>
        <w:t>force-based</w:t>
      </w:r>
      <w:r w:rsidRPr="008C6AB1">
        <w:rPr>
          <w:lang w:val="en"/>
        </w:rPr>
        <w:t xml:space="preserve"> services. Concerns were raised that it may be used against them in any subsequent promotional or specialist unit movements.</w:t>
      </w:r>
    </w:p>
    <w:p w14:paraId="782EB6E4" w14:textId="77777777" w:rsidR="008C6AB1" w:rsidRPr="008C6AB1" w:rsidRDefault="008C6AB1" w:rsidP="008C6AB1">
      <w:pPr>
        <w:numPr>
          <w:ilvl w:val="0"/>
          <w:numId w:val="1"/>
        </w:numPr>
        <w:rPr>
          <w:lang w:val="en"/>
        </w:rPr>
      </w:pPr>
      <w:r w:rsidRPr="008C6AB1">
        <w:rPr>
          <w:lang w:val="en"/>
        </w:rPr>
        <w:t>Proactive rather than reactive support, including routine check-ins after traumatic incidents whether formal or informal</w:t>
      </w:r>
    </w:p>
    <w:p w14:paraId="332B304E" w14:textId="77777777" w:rsidR="008C6AB1" w:rsidRPr="008C6AB1" w:rsidRDefault="008C6AB1" w:rsidP="008C6AB1">
      <w:pPr>
        <w:numPr>
          <w:ilvl w:val="0"/>
          <w:numId w:val="1"/>
        </w:numPr>
        <w:rPr>
          <w:lang w:val="en"/>
        </w:rPr>
      </w:pPr>
      <w:r w:rsidRPr="008C6AB1">
        <w:rPr>
          <w:lang w:val="en"/>
        </w:rPr>
        <w:t>Greater supervisor training to recognise trauma-related symptoms</w:t>
      </w:r>
    </w:p>
    <w:p w14:paraId="1AE8F455" w14:textId="77777777" w:rsidR="008C6AB1" w:rsidRPr="008C6AB1" w:rsidRDefault="008C6AB1" w:rsidP="008C6AB1">
      <w:pPr>
        <w:numPr>
          <w:ilvl w:val="0"/>
          <w:numId w:val="1"/>
        </w:numPr>
        <w:rPr>
          <w:lang w:val="en"/>
        </w:rPr>
      </w:pPr>
      <w:r w:rsidRPr="008C6AB1">
        <w:rPr>
          <w:lang w:val="en"/>
        </w:rPr>
        <w:t>Reduced stigma surrounding mental health within policing culture</w:t>
      </w:r>
    </w:p>
    <w:p w14:paraId="75F22C1B" w14:textId="77777777" w:rsidR="008C6AB1" w:rsidRPr="008C6AB1" w:rsidRDefault="008C6AB1" w:rsidP="008C6AB1">
      <w:pPr>
        <w:numPr>
          <w:ilvl w:val="0"/>
          <w:numId w:val="1"/>
        </w:numPr>
        <w:rPr>
          <w:lang w:val="en"/>
        </w:rPr>
      </w:pPr>
      <w:r w:rsidRPr="008C6AB1">
        <w:rPr>
          <w:lang w:val="en"/>
        </w:rPr>
        <w:t>Increased availability of independent or external support services</w:t>
      </w:r>
    </w:p>
    <w:p w14:paraId="6692EFBB" w14:textId="77777777" w:rsidR="008C6AB1" w:rsidRPr="008C6AB1" w:rsidRDefault="008C6AB1" w:rsidP="008C6AB1">
      <w:pPr>
        <w:rPr>
          <w:lang w:val="en"/>
        </w:rPr>
      </w:pPr>
      <w:r w:rsidRPr="008C6AB1">
        <w:rPr>
          <w:lang w:val="en"/>
        </w:rPr>
        <w:t>One respondent commented:</w:t>
      </w:r>
    </w:p>
    <w:p w14:paraId="2E03D6BD" w14:textId="77777777" w:rsidR="008C6AB1" w:rsidRPr="008C6AB1" w:rsidRDefault="008C6AB1" w:rsidP="008C6AB1">
      <w:pPr>
        <w:rPr>
          <w:lang w:val="en"/>
        </w:rPr>
      </w:pPr>
      <w:r w:rsidRPr="008C6AB1">
        <w:rPr>
          <w:lang w:val="en"/>
        </w:rPr>
        <w:t>“Support exists but it feels tick box. There needs to be a genuine follow up without fear of it affecting your career.”</w:t>
      </w:r>
    </w:p>
    <w:p w14:paraId="6451E986" w14:textId="77777777" w:rsidR="008C6AB1" w:rsidRPr="008C6AB1" w:rsidRDefault="008C6AB1" w:rsidP="008C6AB1">
      <w:pPr>
        <w:rPr>
          <w:lang w:val="en"/>
        </w:rPr>
      </w:pPr>
    </w:p>
    <w:p w14:paraId="3578A3DB" w14:textId="77777777" w:rsidR="008C6AB1" w:rsidRPr="008C6AB1" w:rsidRDefault="008C6AB1" w:rsidP="008C6AB1">
      <w:pPr>
        <w:rPr>
          <w:lang w:val="en"/>
        </w:rPr>
      </w:pPr>
      <w:r w:rsidRPr="008C6AB1">
        <w:rPr>
          <w:lang w:val="en"/>
        </w:rPr>
        <w:t xml:space="preserve">4.11 Summary of Findings </w:t>
      </w:r>
    </w:p>
    <w:p w14:paraId="7032CACB" w14:textId="4BB477AC" w:rsidR="008C6AB1" w:rsidRPr="008C6AB1" w:rsidRDefault="008C6AB1" w:rsidP="008C6AB1">
      <w:pPr>
        <w:rPr>
          <w:lang w:val="en"/>
        </w:rPr>
      </w:pPr>
      <w:r w:rsidRPr="008C6AB1">
        <w:rPr>
          <w:lang w:val="en"/>
        </w:rPr>
        <w:lastRenderedPageBreak/>
        <w:t xml:space="preserve">Overall, the findings indicate that UK policing officers and operational staff experience frequent and varied exposure to traumatic incidents, which are commonly perceived as emotionally distressing. While informal coping strategies, particularly peer </w:t>
      </w:r>
      <w:r w:rsidRPr="008C6AB1">
        <w:rPr>
          <w:lang w:val="en"/>
        </w:rPr>
        <w:t>support,</w:t>
      </w:r>
      <w:r w:rsidRPr="008C6AB1">
        <w:rPr>
          <w:lang w:val="en"/>
        </w:rPr>
        <w:t xml:space="preserve"> are widely </w:t>
      </w:r>
      <w:r w:rsidRPr="008C6AB1">
        <w:rPr>
          <w:lang w:val="en"/>
        </w:rPr>
        <w:t>used,</w:t>
      </w:r>
      <w:r w:rsidRPr="008C6AB1">
        <w:rPr>
          <w:lang w:val="en"/>
        </w:rPr>
        <w:t xml:space="preserve"> their effectiveness is varied. Awareness and perceived effectiveness of </w:t>
      </w:r>
      <w:r w:rsidRPr="008C6AB1">
        <w:rPr>
          <w:lang w:val="en"/>
        </w:rPr>
        <w:t>organi</w:t>
      </w:r>
      <w:r>
        <w:rPr>
          <w:lang w:val="en"/>
        </w:rPr>
        <w:t>s</w:t>
      </w:r>
      <w:r w:rsidRPr="008C6AB1">
        <w:rPr>
          <w:lang w:val="en"/>
        </w:rPr>
        <w:t>ational</w:t>
      </w:r>
      <w:r w:rsidRPr="008C6AB1">
        <w:rPr>
          <w:lang w:val="en"/>
        </w:rPr>
        <w:t xml:space="preserve"> support systems </w:t>
      </w:r>
      <w:r w:rsidRPr="008C6AB1">
        <w:rPr>
          <w:lang w:val="en"/>
        </w:rPr>
        <w:t>remain</w:t>
      </w:r>
      <w:r w:rsidRPr="008C6AB1">
        <w:rPr>
          <w:lang w:val="en"/>
        </w:rPr>
        <w:t xml:space="preserve"> inconsistent, with stigma and confidentiality concerns emerging as key barriers.</w:t>
      </w:r>
    </w:p>
    <w:p w14:paraId="2DDCC34E" w14:textId="77777777" w:rsidR="005A2660" w:rsidRDefault="005A2660"/>
    <w:sectPr w:rsidR="005A26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40290E"/>
    <w:multiLevelType w:val="multilevel"/>
    <w:tmpl w:val="7ED651D6"/>
    <w:lvl w:ilvl="0">
      <w:start w:val="1"/>
      <w:numFmt w:val="bullet"/>
      <w:lvlText w:val="●"/>
      <w:lvlJc w:val="left"/>
      <w:pPr>
        <w:ind w:left="720" w:hanging="360"/>
      </w:pPr>
      <w:rPr>
        <w:b w:val="0"/>
        <w:bCs w:val="0"/>
        <w:i w:val="0"/>
        <w:iCs w:val="0"/>
        <w:smallCaps w:val="0"/>
        <w:strike w:val="0"/>
        <w:dstrike w:val="0"/>
        <w:color w:val="FFFFFF"/>
        <w:sz w:val="26"/>
        <w:szCs w:val="26"/>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1135365419">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AB1"/>
    <w:rsid w:val="00045745"/>
    <w:rsid w:val="001F3515"/>
    <w:rsid w:val="004D4D86"/>
    <w:rsid w:val="0050106A"/>
    <w:rsid w:val="005A2660"/>
    <w:rsid w:val="008C6AB1"/>
    <w:rsid w:val="00E86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5B2BC"/>
  <w15:chartTrackingRefBased/>
  <w15:docId w15:val="{5C311BB6-513F-4093-BD35-89F2277EC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6A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6A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6A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6A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6A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6A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6A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6A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6A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A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6A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6A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6A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6A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6A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6A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6A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6AB1"/>
    <w:rPr>
      <w:rFonts w:eastAsiaTheme="majorEastAsia" w:cstheme="majorBidi"/>
      <w:color w:val="272727" w:themeColor="text1" w:themeTint="D8"/>
    </w:rPr>
  </w:style>
  <w:style w:type="paragraph" w:styleId="Title">
    <w:name w:val="Title"/>
    <w:basedOn w:val="Normal"/>
    <w:next w:val="Normal"/>
    <w:link w:val="TitleChar"/>
    <w:uiPriority w:val="10"/>
    <w:qFormat/>
    <w:rsid w:val="008C6A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6A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6A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6A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6AB1"/>
    <w:pPr>
      <w:spacing w:before="160"/>
      <w:jc w:val="center"/>
    </w:pPr>
    <w:rPr>
      <w:i/>
      <w:iCs/>
      <w:color w:val="404040" w:themeColor="text1" w:themeTint="BF"/>
    </w:rPr>
  </w:style>
  <w:style w:type="character" w:customStyle="1" w:styleId="QuoteChar">
    <w:name w:val="Quote Char"/>
    <w:basedOn w:val="DefaultParagraphFont"/>
    <w:link w:val="Quote"/>
    <w:uiPriority w:val="29"/>
    <w:rsid w:val="008C6AB1"/>
    <w:rPr>
      <w:i/>
      <w:iCs/>
      <w:color w:val="404040" w:themeColor="text1" w:themeTint="BF"/>
    </w:rPr>
  </w:style>
  <w:style w:type="paragraph" w:styleId="ListParagraph">
    <w:name w:val="List Paragraph"/>
    <w:basedOn w:val="Normal"/>
    <w:uiPriority w:val="34"/>
    <w:qFormat/>
    <w:rsid w:val="008C6AB1"/>
    <w:pPr>
      <w:ind w:left="720"/>
      <w:contextualSpacing/>
    </w:pPr>
  </w:style>
  <w:style w:type="character" w:styleId="IntenseEmphasis">
    <w:name w:val="Intense Emphasis"/>
    <w:basedOn w:val="DefaultParagraphFont"/>
    <w:uiPriority w:val="21"/>
    <w:qFormat/>
    <w:rsid w:val="008C6AB1"/>
    <w:rPr>
      <w:i/>
      <w:iCs/>
      <w:color w:val="0F4761" w:themeColor="accent1" w:themeShade="BF"/>
    </w:rPr>
  </w:style>
  <w:style w:type="paragraph" w:styleId="IntenseQuote">
    <w:name w:val="Intense Quote"/>
    <w:basedOn w:val="Normal"/>
    <w:next w:val="Normal"/>
    <w:link w:val="IntenseQuoteChar"/>
    <w:uiPriority w:val="30"/>
    <w:qFormat/>
    <w:rsid w:val="008C6A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6AB1"/>
    <w:rPr>
      <w:i/>
      <w:iCs/>
      <w:color w:val="0F4761" w:themeColor="accent1" w:themeShade="BF"/>
    </w:rPr>
  </w:style>
  <w:style w:type="character" w:styleId="IntenseReference">
    <w:name w:val="Intense Reference"/>
    <w:basedOn w:val="DefaultParagraphFont"/>
    <w:uiPriority w:val="32"/>
    <w:qFormat/>
    <w:rsid w:val="008C6AB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chart" Target="charts/chart8.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chart" Target="charts/chart7.xml"/><Relationship Id="rId5" Type="http://schemas.openxmlformats.org/officeDocument/2006/relationships/chart" Target="charts/chart1.xml"/><Relationship Id="rId10" Type="http://schemas.openxmlformats.org/officeDocument/2006/relationships/chart" Target="charts/chart6.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is your current role?</c:v>
                </c:pt>
              </c:strCache>
            </c:strRef>
          </c:tx>
          <c:dPt>
            <c:idx val="0"/>
            <c:bubble3D val="0"/>
            <c:spPr>
              <a:solidFill>
                <a:schemeClr val="accent4">
                  <a:shade val="50000"/>
                </a:schemeClr>
              </a:solidFill>
              <a:ln w="19050">
                <a:solidFill>
                  <a:schemeClr val="lt1"/>
                </a:solidFill>
              </a:ln>
              <a:effectLst/>
            </c:spPr>
            <c:extLst>
              <c:ext xmlns:c16="http://schemas.microsoft.com/office/drawing/2014/chart" uri="{C3380CC4-5D6E-409C-BE32-E72D297353CC}">
                <c16:uniqueId val="{00000001-7FAD-4550-B685-EF532CF58B46}"/>
              </c:ext>
            </c:extLst>
          </c:dPt>
          <c:dPt>
            <c:idx val="1"/>
            <c:bubble3D val="0"/>
            <c:spPr>
              <a:solidFill>
                <a:schemeClr val="accent4">
                  <a:shade val="70000"/>
                </a:schemeClr>
              </a:solidFill>
              <a:ln w="19050">
                <a:solidFill>
                  <a:schemeClr val="lt1"/>
                </a:solidFill>
              </a:ln>
              <a:effectLst/>
            </c:spPr>
            <c:extLst>
              <c:ext xmlns:c16="http://schemas.microsoft.com/office/drawing/2014/chart" uri="{C3380CC4-5D6E-409C-BE32-E72D297353CC}">
                <c16:uniqueId val="{00000003-7FAD-4550-B685-EF532CF58B46}"/>
              </c:ext>
            </c:extLst>
          </c:dPt>
          <c:dPt>
            <c:idx val="2"/>
            <c:bubble3D val="0"/>
            <c:spPr>
              <a:solidFill>
                <a:schemeClr val="accent4">
                  <a:shade val="90000"/>
                </a:schemeClr>
              </a:solidFill>
              <a:ln w="19050">
                <a:solidFill>
                  <a:schemeClr val="lt1"/>
                </a:solidFill>
              </a:ln>
              <a:effectLst/>
            </c:spPr>
            <c:extLst>
              <c:ext xmlns:c16="http://schemas.microsoft.com/office/drawing/2014/chart" uri="{C3380CC4-5D6E-409C-BE32-E72D297353CC}">
                <c16:uniqueId val="{00000005-7FAD-4550-B685-EF532CF58B46}"/>
              </c:ext>
            </c:extLst>
          </c:dPt>
          <c:dPt>
            <c:idx val="3"/>
            <c:bubble3D val="0"/>
            <c:spPr>
              <a:solidFill>
                <a:schemeClr val="accent4">
                  <a:tint val="90000"/>
                </a:schemeClr>
              </a:solidFill>
              <a:ln w="19050">
                <a:solidFill>
                  <a:schemeClr val="lt1"/>
                </a:solidFill>
              </a:ln>
              <a:effectLst/>
            </c:spPr>
            <c:extLst>
              <c:ext xmlns:c16="http://schemas.microsoft.com/office/drawing/2014/chart" uri="{C3380CC4-5D6E-409C-BE32-E72D297353CC}">
                <c16:uniqueId val="{00000007-7FAD-4550-B685-EF532CF58B46}"/>
              </c:ext>
            </c:extLst>
          </c:dPt>
          <c:dPt>
            <c:idx val="4"/>
            <c:bubble3D val="0"/>
            <c:spPr>
              <a:solidFill>
                <a:schemeClr val="accent4">
                  <a:tint val="70000"/>
                </a:schemeClr>
              </a:solidFill>
              <a:ln w="19050">
                <a:solidFill>
                  <a:schemeClr val="lt1"/>
                </a:solidFill>
              </a:ln>
              <a:effectLst/>
            </c:spPr>
            <c:extLst>
              <c:ext xmlns:c16="http://schemas.microsoft.com/office/drawing/2014/chart" uri="{C3380CC4-5D6E-409C-BE32-E72D297353CC}">
                <c16:uniqueId val="{00000009-7FAD-4550-B685-EF532CF58B46}"/>
              </c:ext>
            </c:extLst>
          </c:dPt>
          <c:dPt>
            <c:idx val="5"/>
            <c:bubble3D val="0"/>
            <c:spPr>
              <a:solidFill>
                <a:schemeClr val="accent4">
                  <a:tint val="50000"/>
                </a:schemeClr>
              </a:solidFill>
              <a:ln w="19050">
                <a:solidFill>
                  <a:schemeClr val="lt1"/>
                </a:solidFill>
              </a:ln>
              <a:effectLst/>
            </c:spPr>
            <c:extLst>
              <c:ext xmlns:c16="http://schemas.microsoft.com/office/drawing/2014/chart" uri="{C3380CC4-5D6E-409C-BE32-E72D297353CC}">
                <c16:uniqueId val="{0000000B-7FAD-4550-B685-EF532CF58B46}"/>
              </c:ext>
            </c:extLst>
          </c:dPt>
          <c:cat>
            <c:strRef>
              <c:f>Sheet1!$A$2:$A$7</c:f>
              <c:strCache>
                <c:ptCount val="6"/>
                <c:pt idx="0">
                  <c:v>Police Constable</c:v>
                </c:pt>
                <c:pt idx="1">
                  <c:v>Sergeant</c:v>
                </c:pt>
                <c:pt idx="2">
                  <c:v>PCSOs</c:v>
                </c:pt>
                <c:pt idx="3">
                  <c:v>CID/ Detective</c:v>
                </c:pt>
                <c:pt idx="4">
                  <c:v>Inspector or above</c:v>
                </c:pt>
                <c:pt idx="5">
                  <c:v>Other operational role</c:v>
                </c:pt>
              </c:strCache>
            </c:strRef>
          </c:cat>
          <c:val>
            <c:numRef>
              <c:f>Sheet1!$B$2:$B$7</c:f>
              <c:numCache>
                <c:formatCode>General</c:formatCode>
                <c:ptCount val="6"/>
                <c:pt idx="0">
                  <c:v>14</c:v>
                </c:pt>
                <c:pt idx="1">
                  <c:v>4</c:v>
                </c:pt>
                <c:pt idx="2">
                  <c:v>4</c:v>
                </c:pt>
                <c:pt idx="3">
                  <c:v>2</c:v>
                </c:pt>
                <c:pt idx="4">
                  <c:v>1</c:v>
                </c:pt>
                <c:pt idx="5">
                  <c:v>0</c:v>
                </c:pt>
              </c:numCache>
            </c:numRef>
          </c:val>
          <c:extLst>
            <c:ext xmlns:c16="http://schemas.microsoft.com/office/drawing/2014/chart" uri="{C3380CC4-5D6E-409C-BE32-E72D297353CC}">
              <c16:uniqueId val="{0000000C-7FAD-4550-B685-EF532CF58B46}"/>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6.1431792695132097E-2"/>
          <c:y val="0.79659539366938348"/>
          <c:w val="0.71174566808551676"/>
          <c:h val="0.1555449945252456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How frequently are you exposed to potentially trauamtic incidents?</c:v>
                </c:pt>
              </c:strCache>
            </c:strRef>
          </c:tx>
          <c:spPr>
            <a:solidFill>
              <a:schemeClr val="accent1"/>
            </a:solidFill>
            <a:ln>
              <a:noFill/>
            </a:ln>
            <a:effectLst/>
          </c:spPr>
          <c:invertIfNegative val="0"/>
          <c:cat>
            <c:strRef>
              <c:f>Sheet1!$A$2:$A$6</c:f>
              <c:strCache>
                <c:ptCount val="5"/>
                <c:pt idx="0">
                  <c:v>Very frequently</c:v>
                </c:pt>
                <c:pt idx="1">
                  <c:v>Frequently</c:v>
                </c:pt>
                <c:pt idx="2">
                  <c:v>Occasionally</c:v>
                </c:pt>
                <c:pt idx="3">
                  <c:v>Rarely</c:v>
                </c:pt>
                <c:pt idx="4">
                  <c:v>Never</c:v>
                </c:pt>
              </c:strCache>
            </c:strRef>
          </c:cat>
          <c:val>
            <c:numRef>
              <c:f>Sheet1!$B$2:$B$6</c:f>
              <c:numCache>
                <c:formatCode>General</c:formatCode>
                <c:ptCount val="5"/>
                <c:pt idx="0">
                  <c:v>8</c:v>
                </c:pt>
                <c:pt idx="1">
                  <c:v>10</c:v>
                </c:pt>
                <c:pt idx="2">
                  <c:v>6</c:v>
                </c:pt>
                <c:pt idx="3">
                  <c:v>1</c:v>
                </c:pt>
                <c:pt idx="4">
                  <c:v>0</c:v>
                </c:pt>
              </c:numCache>
            </c:numRef>
          </c:val>
          <c:extLst>
            <c:ext xmlns:c16="http://schemas.microsoft.com/office/drawing/2014/chart" uri="{C3380CC4-5D6E-409C-BE32-E72D297353CC}">
              <c16:uniqueId val="{00000000-1545-497B-81DF-EF01EAD848A5}"/>
            </c:ext>
          </c:extLst>
        </c:ser>
        <c:dLbls>
          <c:showLegendKey val="0"/>
          <c:showVal val="0"/>
          <c:showCatName val="0"/>
          <c:showSerName val="0"/>
          <c:showPercent val="0"/>
          <c:showBubbleSize val="0"/>
        </c:dLbls>
        <c:gapWidth val="182"/>
        <c:axId val="938585504"/>
        <c:axId val="938585144"/>
      </c:barChart>
      <c:catAx>
        <c:axId val="9385855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8585144"/>
        <c:crosses val="autoZero"/>
        <c:auto val="1"/>
        <c:lblAlgn val="ctr"/>
        <c:lblOffset val="100"/>
        <c:noMultiLvlLbl val="0"/>
      </c:catAx>
      <c:valAx>
        <c:axId val="9385851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85855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What types of traumatic incidents have you been exposed to?</c:v>
                </c:pt>
              </c:strCache>
            </c:strRef>
          </c:tx>
          <c:spPr>
            <a:solidFill>
              <a:schemeClr val="accent1"/>
            </a:solidFill>
            <a:ln>
              <a:noFill/>
            </a:ln>
            <a:effectLst/>
          </c:spPr>
          <c:invertIfNegative val="0"/>
          <c:cat>
            <c:strRef>
              <c:f>Sheet1!$A$2:$A$9</c:f>
              <c:strCache>
                <c:ptCount val="8"/>
                <c:pt idx="0">
                  <c:v>Domestic abuse incidents</c:v>
                </c:pt>
                <c:pt idx="1">
                  <c:v>Sudden or violent death</c:v>
                </c:pt>
                <c:pt idx="2">
                  <c:v>Fatal/serious road traffic collisions</c:v>
                </c:pt>
                <c:pt idx="3">
                  <c:v>Serious violence/threats to safety</c:v>
                </c:pt>
                <c:pt idx="4">
                  <c:v>Suicide/attempted suicide</c:v>
                </c:pt>
                <c:pt idx="5">
                  <c:v>Graphic or disturbing material</c:v>
                </c:pt>
                <c:pt idx="6">
                  <c:v>Child abuse/ Child death</c:v>
                </c:pt>
                <c:pt idx="7">
                  <c:v>Sexual offences</c:v>
                </c:pt>
              </c:strCache>
            </c:strRef>
          </c:cat>
          <c:val>
            <c:numRef>
              <c:f>Sheet1!$B$2:$B$9</c:f>
              <c:numCache>
                <c:formatCode>General</c:formatCode>
                <c:ptCount val="8"/>
                <c:pt idx="0">
                  <c:v>20</c:v>
                </c:pt>
                <c:pt idx="1">
                  <c:v>18</c:v>
                </c:pt>
                <c:pt idx="2">
                  <c:v>17</c:v>
                </c:pt>
                <c:pt idx="3">
                  <c:v>16</c:v>
                </c:pt>
                <c:pt idx="4">
                  <c:v>15</c:v>
                </c:pt>
                <c:pt idx="5">
                  <c:v>14</c:v>
                </c:pt>
                <c:pt idx="6">
                  <c:v>12</c:v>
                </c:pt>
                <c:pt idx="7">
                  <c:v>10</c:v>
                </c:pt>
              </c:numCache>
            </c:numRef>
          </c:val>
          <c:extLst>
            <c:ext xmlns:c16="http://schemas.microsoft.com/office/drawing/2014/chart" uri="{C3380CC4-5D6E-409C-BE32-E72D297353CC}">
              <c16:uniqueId val="{00000000-55F5-4CBF-B4D6-15B3D9A96C8E}"/>
            </c:ext>
          </c:extLst>
        </c:ser>
        <c:dLbls>
          <c:showLegendKey val="0"/>
          <c:showVal val="0"/>
          <c:showCatName val="0"/>
          <c:showSerName val="0"/>
          <c:showPercent val="0"/>
          <c:showBubbleSize val="0"/>
        </c:dLbls>
        <c:gapWidth val="182"/>
        <c:axId val="1003439304"/>
        <c:axId val="1003437504"/>
      </c:barChart>
      <c:catAx>
        <c:axId val="10034393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3437504"/>
        <c:crosses val="autoZero"/>
        <c:auto val="1"/>
        <c:lblAlgn val="ctr"/>
        <c:lblOffset val="100"/>
        <c:noMultiLvlLbl val="0"/>
      </c:catAx>
      <c:valAx>
        <c:axId val="10034375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34393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Overall, how emotionally distressing fo you find these incidents?</c:v>
                </c:pt>
              </c:strCache>
            </c:strRef>
          </c:tx>
          <c:spPr>
            <a:solidFill>
              <a:schemeClr val="accent1"/>
            </a:solidFill>
            <a:ln>
              <a:noFill/>
            </a:ln>
            <a:effectLst/>
          </c:spPr>
          <c:invertIfNegative val="0"/>
          <c:cat>
            <c:strRef>
              <c:f>Sheet1!$A$2:$A$6</c:f>
              <c:strCache>
                <c:ptCount val="5"/>
                <c:pt idx="0">
                  <c:v>Extremely distressing</c:v>
                </c:pt>
                <c:pt idx="1">
                  <c:v>Very distressing</c:v>
                </c:pt>
                <c:pt idx="2">
                  <c:v>Moderately disressing</c:v>
                </c:pt>
                <c:pt idx="3">
                  <c:v>Slightly distressing</c:v>
                </c:pt>
                <c:pt idx="4">
                  <c:v>Not distressing</c:v>
                </c:pt>
              </c:strCache>
            </c:strRef>
          </c:cat>
          <c:val>
            <c:numRef>
              <c:f>Sheet1!$B$2:$B$6</c:f>
              <c:numCache>
                <c:formatCode>General</c:formatCode>
                <c:ptCount val="5"/>
                <c:pt idx="0">
                  <c:v>4</c:v>
                </c:pt>
                <c:pt idx="1">
                  <c:v>3</c:v>
                </c:pt>
                <c:pt idx="2">
                  <c:v>10</c:v>
                </c:pt>
                <c:pt idx="3">
                  <c:v>6</c:v>
                </c:pt>
                <c:pt idx="4">
                  <c:v>2</c:v>
                </c:pt>
              </c:numCache>
            </c:numRef>
          </c:val>
          <c:extLst>
            <c:ext xmlns:c16="http://schemas.microsoft.com/office/drawing/2014/chart" uri="{C3380CC4-5D6E-409C-BE32-E72D297353CC}">
              <c16:uniqueId val="{00000000-4CD7-4C2B-B7A8-267D6AAA39DC}"/>
            </c:ext>
          </c:extLst>
        </c:ser>
        <c:dLbls>
          <c:showLegendKey val="0"/>
          <c:showVal val="0"/>
          <c:showCatName val="0"/>
          <c:showSerName val="0"/>
          <c:showPercent val="0"/>
          <c:showBubbleSize val="0"/>
        </c:dLbls>
        <c:gapWidth val="182"/>
        <c:axId val="425789168"/>
        <c:axId val="425789888"/>
      </c:barChart>
      <c:catAx>
        <c:axId val="4257891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789888"/>
        <c:crosses val="autoZero"/>
        <c:auto val="1"/>
        <c:lblAlgn val="ctr"/>
        <c:lblOffset val="100"/>
        <c:noMultiLvlLbl val="0"/>
      </c:catAx>
      <c:valAx>
        <c:axId val="4257898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789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Which coping strategies do you use?</c:v>
                </c:pt>
              </c:strCache>
            </c:strRef>
          </c:tx>
          <c:spPr>
            <a:solidFill>
              <a:schemeClr val="accent1"/>
            </a:solidFill>
            <a:ln>
              <a:noFill/>
            </a:ln>
            <a:effectLst/>
          </c:spPr>
          <c:invertIfNegative val="0"/>
          <c:cat>
            <c:strRef>
              <c:f>Sheet1!$A$2:$A$9</c:f>
              <c:strCache>
                <c:ptCount val="8"/>
                <c:pt idx="0">
                  <c:v>Talking to colleagues</c:v>
                </c:pt>
                <c:pt idx="1">
                  <c:v>Talking to family/friends</c:v>
                </c:pt>
                <c:pt idx="2">
                  <c:v>Physical exercise</c:v>
                </c:pt>
                <c:pt idx="3">
                  <c:v>Avoidance/emotional suppression</c:v>
                </c:pt>
                <c:pt idx="4">
                  <c:v>Humour</c:v>
                </c:pt>
                <c:pt idx="5">
                  <c:v>Alcohol use</c:v>
                </c:pt>
                <c:pt idx="6">
                  <c:v>Professional counselling</c:v>
                </c:pt>
                <c:pt idx="7">
                  <c:v>Mindfulness/relaxation</c:v>
                </c:pt>
              </c:strCache>
            </c:strRef>
          </c:cat>
          <c:val>
            <c:numRef>
              <c:f>Sheet1!$B$2:$B$9</c:f>
              <c:numCache>
                <c:formatCode>General</c:formatCode>
                <c:ptCount val="8"/>
                <c:pt idx="0">
                  <c:v>18</c:v>
                </c:pt>
                <c:pt idx="1">
                  <c:v>15</c:v>
                </c:pt>
                <c:pt idx="2">
                  <c:v>14</c:v>
                </c:pt>
                <c:pt idx="3">
                  <c:v>12</c:v>
                </c:pt>
                <c:pt idx="4">
                  <c:v>11</c:v>
                </c:pt>
                <c:pt idx="5">
                  <c:v>8</c:v>
                </c:pt>
                <c:pt idx="6">
                  <c:v>7</c:v>
                </c:pt>
                <c:pt idx="7">
                  <c:v>6</c:v>
                </c:pt>
              </c:numCache>
            </c:numRef>
          </c:val>
          <c:extLst>
            <c:ext xmlns:c16="http://schemas.microsoft.com/office/drawing/2014/chart" uri="{C3380CC4-5D6E-409C-BE32-E72D297353CC}">
              <c16:uniqueId val="{00000000-6AAC-4E14-AF13-E7944A8C687F}"/>
            </c:ext>
          </c:extLst>
        </c:ser>
        <c:dLbls>
          <c:showLegendKey val="0"/>
          <c:showVal val="0"/>
          <c:showCatName val="0"/>
          <c:showSerName val="0"/>
          <c:showPercent val="0"/>
          <c:showBubbleSize val="0"/>
        </c:dLbls>
        <c:gapWidth val="182"/>
        <c:axId val="1238863512"/>
        <c:axId val="1238864592"/>
      </c:barChart>
      <c:catAx>
        <c:axId val="12388635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8864592"/>
        <c:crosses val="autoZero"/>
        <c:auto val="1"/>
        <c:lblAlgn val="ctr"/>
        <c:lblOffset val="100"/>
        <c:noMultiLvlLbl val="0"/>
      </c:catAx>
      <c:valAx>
        <c:axId val="12388645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8863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How effective are your coping strategies overall?</c:v>
                </c:pt>
              </c:strCache>
            </c:strRef>
          </c:tx>
          <c:spPr>
            <a:solidFill>
              <a:schemeClr val="accent1"/>
            </a:solidFill>
            <a:ln>
              <a:noFill/>
            </a:ln>
            <a:effectLst/>
          </c:spPr>
          <c:invertIfNegative val="0"/>
          <c:cat>
            <c:strRef>
              <c:f>Sheet1!$A$2:$A$6</c:f>
              <c:strCache>
                <c:ptCount val="5"/>
                <c:pt idx="0">
                  <c:v>Extremely effective</c:v>
                </c:pt>
                <c:pt idx="1">
                  <c:v>Very effective</c:v>
                </c:pt>
                <c:pt idx="2">
                  <c:v>Moderately effective</c:v>
                </c:pt>
                <c:pt idx="3">
                  <c:v>Slightly effective</c:v>
                </c:pt>
                <c:pt idx="4">
                  <c:v>Not effective</c:v>
                </c:pt>
              </c:strCache>
            </c:strRef>
          </c:cat>
          <c:val>
            <c:numRef>
              <c:f>Sheet1!$B$2:$B$6</c:f>
              <c:numCache>
                <c:formatCode>General</c:formatCode>
                <c:ptCount val="5"/>
                <c:pt idx="0">
                  <c:v>2</c:v>
                </c:pt>
                <c:pt idx="1">
                  <c:v>4</c:v>
                </c:pt>
                <c:pt idx="2">
                  <c:v>11</c:v>
                </c:pt>
                <c:pt idx="3">
                  <c:v>5</c:v>
                </c:pt>
                <c:pt idx="4">
                  <c:v>3</c:v>
                </c:pt>
              </c:numCache>
            </c:numRef>
          </c:val>
          <c:extLst>
            <c:ext xmlns:c16="http://schemas.microsoft.com/office/drawing/2014/chart" uri="{C3380CC4-5D6E-409C-BE32-E72D297353CC}">
              <c16:uniqueId val="{00000000-D63F-4EC0-8EA6-93A336765D3F}"/>
            </c:ext>
          </c:extLst>
        </c:ser>
        <c:dLbls>
          <c:showLegendKey val="0"/>
          <c:showVal val="0"/>
          <c:showCatName val="0"/>
          <c:showSerName val="0"/>
          <c:showPercent val="0"/>
          <c:showBubbleSize val="0"/>
        </c:dLbls>
        <c:gapWidth val="182"/>
        <c:axId val="574994904"/>
        <c:axId val="574983744"/>
      </c:barChart>
      <c:catAx>
        <c:axId val="5749949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983744"/>
        <c:crosses val="autoZero"/>
        <c:auto val="1"/>
        <c:lblAlgn val="ctr"/>
        <c:lblOffset val="100"/>
        <c:noMultiLvlLbl val="0"/>
      </c:catAx>
      <c:valAx>
        <c:axId val="5749837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994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How aware are you of available mental health and wellbeing support?</c:v>
                </c:pt>
              </c:strCache>
            </c:strRef>
          </c:tx>
          <c:spPr>
            <a:solidFill>
              <a:schemeClr val="accent1"/>
            </a:solidFill>
            <a:ln>
              <a:noFill/>
            </a:ln>
            <a:effectLst/>
          </c:spPr>
          <c:invertIfNegative val="0"/>
          <c:cat>
            <c:strRef>
              <c:f>Sheet1!$A$2:$A$6</c:f>
              <c:strCache>
                <c:ptCount val="5"/>
                <c:pt idx="0">
                  <c:v>Extremely aware</c:v>
                </c:pt>
                <c:pt idx="1">
                  <c:v>Very aware</c:v>
                </c:pt>
                <c:pt idx="2">
                  <c:v>Somewhat aware</c:v>
                </c:pt>
                <c:pt idx="3">
                  <c:v>Not so aware</c:v>
                </c:pt>
                <c:pt idx="4">
                  <c:v>Not at all aware</c:v>
                </c:pt>
              </c:strCache>
            </c:strRef>
          </c:cat>
          <c:val>
            <c:numRef>
              <c:f>Sheet1!$B$2:$B$6</c:f>
              <c:numCache>
                <c:formatCode>General</c:formatCode>
                <c:ptCount val="5"/>
                <c:pt idx="0">
                  <c:v>3</c:v>
                </c:pt>
                <c:pt idx="1">
                  <c:v>3</c:v>
                </c:pt>
                <c:pt idx="2">
                  <c:v>8</c:v>
                </c:pt>
                <c:pt idx="3">
                  <c:v>6</c:v>
                </c:pt>
                <c:pt idx="4">
                  <c:v>5</c:v>
                </c:pt>
              </c:numCache>
            </c:numRef>
          </c:val>
          <c:extLst>
            <c:ext xmlns:c16="http://schemas.microsoft.com/office/drawing/2014/chart" uri="{C3380CC4-5D6E-409C-BE32-E72D297353CC}">
              <c16:uniqueId val="{00000000-D633-4395-BDE5-EFB63971C30E}"/>
            </c:ext>
          </c:extLst>
        </c:ser>
        <c:dLbls>
          <c:showLegendKey val="0"/>
          <c:showVal val="0"/>
          <c:showCatName val="0"/>
          <c:showSerName val="0"/>
          <c:showPercent val="0"/>
          <c:showBubbleSize val="0"/>
        </c:dLbls>
        <c:gapWidth val="182"/>
        <c:axId val="2091431448"/>
        <c:axId val="2091428568"/>
      </c:barChart>
      <c:catAx>
        <c:axId val="209143144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1428568"/>
        <c:crosses val="autoZero"/>
        <c:auto val="1"/>
        <c:lblAlgn val="ctr"/>
        <c:lblOffset val="100"/>
        <c:noMultiLvlLbl val="0"/>
      </c:catAx>
      <c:valAx>
        <c:axId val="20914285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1431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How effective do you feel current support systems are?</c:v>
                </c:pt>
              </c:strCache>
            </c:strRef>
          </c:tx>
          <c:spPr>
            <a:solidFill>
              <a:schemeClr val="accent1"/>
            </a:solidFill>
            <a:ln>
              <a:noFill/>
            </a:ln>
            <a:effectLst/>
          </c:spPr>
          <c:invertIfNegative val="0"/>
          <c:cat>
            <c:strRef>
              <c:f>Sheet1!$A$2:$A$6</c:f>
              <c:strCache>
                <c:ptCount val="5"/>
                <c:pt idx="0">
                  <c:v>Extremely effective</c:v>
                </c:pt>
                <c:pt idx="1">
                  <c:v>Very effective</c:v>
                </c:pt>
                <c:pt idx="2">
                  <c:v>Somewhat effective</c:v>
                </c:pt>
                <c:pt idx="3">
                  <c:v>Not so effective</c:v>
                </c:pt>
                <c:pt idx="4">
                  <c:v>Not at all effective</c:v>
                </c:pt>
              </c:strCache>
            </c:strRef>
          </c:cat>
          <c:val>
            <c:numRef>
              <c:f>Sheet1!$B$2:$B$6</c:f>
              <c:numCache>
                <c:formatCode>General</c:formatCode>
                <c:ptCount val="5"/>
                <c:pt idx="0">
                  <c:v>1</c:v>
                </c:pt>
                <c:pt idx="1">
                  <c:v>3</c:v>
                </c:pt>
                <c:pt idx="2">
                  <c:v>8</c:v>
                </c:pt>
                <c:pt idx="3">
                  <c:v>9</c:v>
                </c:pt>
                <c:pt idx="4">
                  <c:v>4</c:v>
                </c:pt>
              </c:numCache>
            </c:numRef>
          </c:val>
          <c:extLst>
            <c:ext xmlns:c16="http://schemas.microsoft.com/office/drawing/2014/chart" uri="{C3380CC4-5D6E-409C-BE32-E72D297353CC}">
              <c16:uniqueId val="{00000000-8CB1-4974-A18D-743C3FD0CBEF}"/>
            </c:ext>
          </c:extLst>
        </c:ser>
        <c:dLbls>
          <c:showLegendKey val="0"/>
          <c:showVal val="0"/>
          <c:showCatName val="0"/>
          <c:showSerName val="0"/>
          <c:showPercent val="0"/>
          <c:showBubbleSize val="0"/>
        </c:dLbls>
        <c:gapWidth val="182"/>
        <c:axId val="2104763592"/>
        <c:axId val="2104761792"/>
      </c:barChart>
      <c:catAx>
        <c:axId val="210476359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4761792"/>
        <c:crosses val="autoZero"/>
        <c:auto val="1"/>
        <c:lblAlgn val="ctr"/>
        <c:lblOffset val="100"/>
        <c:noMultiLvlLbl val="0"/>
      </c:catAx>
      <c:valAx>
        <c:axId val="21047617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4763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9</Pages>
  <Words>1128</Words>
  <Characters>6016</Characters>
  <Application>Microsoft Office Word</Application>
  <DocSecurity>0</DocSecurity>
  <Lines>501</Lines>
  <Paragraphs>510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Witcombe, Sophie</dc:creator>
  <cp:keywords/>
  <dc:description/>
  <cp:lastModifiedBy>Witcombe, Sophie</cp:lastModifiedBy>
  <cp:revision>1</cp:revision>
  <dcterms:created xsi:type="dcterms:W3CDTF">2026-01-08T15:42:00Z</dcterms:created>
  <dcterms:modified xsi:type="dcterms:W3CDTF">2026-01-13T01:36:00Z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2026-01-13T01:36:10Z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41adfff2-0cb2-4a40-bffd-2d5eb7b034d9</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