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D4E3D" w14:textId="331E0170" w:rsidR="00042E84" w:rsidRDefault="00042E84" w:rsidP="002D6FEA">
      <w:pPr>
        <w:autoSpaceDE w:val="0"/>
        <w:autoSpaceDN w:val="0"/>
        <w:adjustRightInd w:val="0"/>
        <w:spacing w:after="298" w:line="360" w:lineRule="auto"/>
        <w:jc w:val="center"/>
        <w:rPr>
          <w:rFonts w:ascii="Arial" w:hAnsi="Arial" w:cs="Arial"/>
          <w:b/>
          <w:bCs/>
          <w:color w:val="000000"/>
          <w:kern w:val="0"/>
        </w:rPr>
      </w:pPr>
      <w:r w:rsidRPr="00707750">
        <w:rPr>
          <w:rFonts w:ascii="Arial" w:hAnsi="Arial" w:cs="Arial"/>
          <w:b/>
          <w:bCs/>
          <w:noProof/>
          <w:color w:val="000000"/>
          <w:kern w:val="0"/>
        </w:rPr>
        <w:drawing>
          <wp:inline distT="0" distB="0" distL="0" distR="0" wp14:anchorId="2236029E" wp14:editId="0D0F35B4">
            <wp:extent cx="3373120" cy="1413751"/>
            <wp:effectExtent l="0" t="0" r="5080" b="0"/>
            <wp:docPr id="183082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6"/>
                    <a:stretch>
                      <a:fillRect/>
                    </a:stretch>
                  </pic:blipFill>
                  <pic:spPr>
                    <a:xfrm>
                      <a:off x="0" y="0"/>
                      <a:ext cx="3398651" cy="1424452"/>
                    </a:xfrm>
                    <a:prstGeom prst="rect">
                      <a:avLst/>
                    </a:prstGeom>
                  </pic:spPr>
                </pic:pic>
              </a:graphicData>
            </a:graphic>
          </wp:inline>
        </w:drawing>
      </w:r>
    </w:p>
    <w:p w14:paraId="2D3F4551" w14:textId="77777777" w:rsidR="00042E84" w:rsidRDefault="00042E84" w:rsidP="00042E84">
      <w:pPr>
        <w:autoSpaceDE w:val="0"/>
        <w:autoSpaceDN w:val="0"/>
        <w:adjustRightInd w:val="0"/>
        <w:spacing w:after="373" w:line="560" w:lineRule="atLeast"/>
        <w:rPr>
          <w:rFonts w:ascii="Arial" w:hAnsi="Arial" w:cs="Arial"/>
          <w:b/>
          <w:bCs/>
          <w:color w:val="000000"/>
          <w:kern w:val="0"/>
        </w:rPr>
      </w:pPr>
    </w:p>
    <w:p w14:paraId="6F52EF04" w14:textId="77777777" w:rsidR="00042E84" w:rsidRDefault="00042E84" w:rsidP="00042E84">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Programme: Master of Business Administration</w:t>
      </w:r>
    </w:p>
    <w:p w14:paraId="5BA86E4D" w14:textId="2E66AF72" w:rsidR="00042E84" w:rsidRDefault="00042E84" w:rsidP="00042E84">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Module: </w:t>
      </w:r>
      <w:r w:rsidR="002016BC">
        <w:rPr>
          <w:rFonts w:ascii="Arial" w:hAnsi="Arial" w:cs="Arial"/>
          <w:b/>
          <w:bCs/>
          <w:color w:val="000000"/>
          <w:kern w:val="0"/>
          <w:sz w:val="37"/>
          <w:szCs w:val="37"/>
        </w:rPr>
        <w:t xml:space="preserve">International Marketing: Principals and </w:t>
      </w:r>
      <w:r w:rsidR="006C0151">
        <w:rPr>
          <w:rFonts w:ascii="Arial" w:hAnsi="Arial" w:cs="Arial"/>
          <w:b/>
          <w:bCs/>
          <w:color w:val="000000"/>
          <w:kern w:val="0"/>
          <w:sz w:val="37"/>
          <w:szCs w:val="37"/>
        </w:rPr>
        <w:t>Practices</w:t>
      </w:r>
    </w:p>
    <w:p w14:paraId="5AA7E93B" w14:textId="3DF515FA" w:rsidR="00042E84" w:rsidRDefault="00042E84" w:rsidP="00042E84">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Student Name: </w:t>
      </w:r>
      <w:r w:rsidR="002016BC">
        <w:rPr>
          <w:rFonts w:ascii="Arial" w:hAnsi="Arial" w:cs="Arial"/>
          <w:b/>
          <w:bCs/>
          <w:color w:val="000000"/>
          <w:kern w:val="0"/>
          <w:sz w:val="37"/>
          <w:szCs w:val="37"/>
        </w:rPr>
        <w:t xml:space="preserve">Hani Patel </w:t>
      </w:r>
      <w:r w:rsidR="002016BC">
        <w:rPr>
          <w:rFonts w:ascii="Arial" w:hAnsi="Arial" w:cs="Arial"/>
          <w:b/>
          <w:bCs/>
          <w:color w:val="000000"/>
          <w:kern w:val="0"/>
          <w:sz w:val="37"/>
          <w:szCs w:val="37"/>
        </w:rPr>
        <w:tab/>
      </w:r>
    </w:p>
    <w:p w14:paraId="76AB6E3F" w14:textId="3B708C02" w:rsidR="00042E84" w:rsidRDefault="00042E84" w:rsidP="00042E84">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 xml:space="preserve">Student ID: </w:t>
      </w:r>
      <w:r w:rsidR="002016BC">
        <w:rPr>
          <w:rFonts w:ascii="Arial" w:hAnsi="Arial" w:cs="Arial"/>
          <w:b/>
          <w:bCs/>
          <w:color w:val="000000"/>
          <w:kern w:val="0"/>
          <w:sz w:val="37"/>
          <w:szCs w:val="37"/>
        </w:rPr>
        <w:t>2532566</w:t>
      </w:r>
    </w:p>
    <w:p w14:paraId="29B163B8" w14:textId="77777777" w:rsidR="00042E84" w:rsidRDefault="00042E84" w:rsidP="00042E84">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Group:3</w:t>
      </w:r>
    </w:p>
    <w:p w14:paraId="154B54DA" w14:textId="2C14BCEF" w:rsidR="002D6FEA" w:rsidRDefault="00042E84" w:rsidP="00042E84">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 xml:space="preserve">Lecturer: </w:t>
      </w:r>
      <w:r w:rsidR="002016BC">
        <w:rPr>
          <w:rFonts w:ascii="Arial" w:hAnsi="Arial" w:cs="Arial"/>
          <w:b/>
          <w:bCs/>
          <w:color w:val="000000"/>
          <w:kern w:val="0"/>
          <w:sz w:val="37"/>
          <w:szCs w:val="37"/>
        </w:rPr>
        <w:t xml:space="preserve">Tushara </w:t>
      </w:r>
      <w:proofErr w:type="spellStart"/>
      <w:r w:rsidR="002016BC">
        <w:rPr>
          <w:rFonts w:ascii="Arial" w:hAnsi="Arial" w:cs="Arial"/>
          <w:b/>
          <w:bCs/>
          <w:color w:val="000000"/>
          <w:kern w:val="0"/>
          <w:sz w:val="37"/>
          <w:szCs w:val="37"/>
        </w:rPr>
        <w:t>Balendran</w:t>
      </w:r>
      <w:proofErr w:type="spellEnd"/>
      <w:r w:rsidR="002016BC">
        <w:rPr>
          <w:rFonts w:ascii="Arial" w:hAnsi="Arial" w:cs="Arial"/>
          <w:b/>
          <w:bCs/>
          <w:color w:val="000000"/>
          <w:kern w:val="0"/>
          <w:sz w:val="37"/>
          <w:szCs w:val="37"/>
        </w:rPr>
        <w:t xml:space="preserve"> </w:t>
      </w:r>
    </w:p>
    <w:p w14:paraId="32A0F88A" w14:textId="77777777" w:rsidR="002D6FEA" w:rsidRDefault="002D6FEA">
      <w:pPr>
        <w:rPr>
          <w:rFonts w:ascii="Arial" w:hAnsi="Arial" w:cs="Arial"/>
          <w:b/>
          <w:bCs/>
          <w:color w:val="000000"/>
          <w:kern w:val="0"/>
          <w:sz w:val="37"/>
          <w:szCs w:val="37"/>
        </w:rPr>
      </w:pPr>
      <w:r>
        <w:rPr>
          <w:rFonts w:ascii="Arial" w:hAnsi="Arial" w:cs="Arial"/>
          <w:b/>
          <w:bCs/>
          <w:color w:val="000000"/>
          <w:kern w:val="0"/>
          <w:sz w:val="37"/>
          <w:szCs w:val="37"/>
        </w:rPr>
        <w:br w:type="page"/>
      </w:r>
    </w:p>
    <w:p w14:paraId="646B8632" w14:textId="77777777" w:rsidR="002D6FEA" w:rsidRPr="005D60DD" w:rsidRDefault="002D6FEA" w:rsidP="002D6FEA">
      <w:pPr>
        <w:rPr>
          <w:rFonts w:ascii="Arial" w:hAnsi="Arial" w:cs="Arial"/>
          <w:b/>
          <w:bCs/>
        </w:rPr>
      </w:pPr>
      <w:r>
        <w:rPr>
          <w:rFonts w:ascii="Arial" w:hAnsi="Arial" w:cs="Arial"/>
          <w:b/>
          <w:bCs/>
        </w:rPr>
        <w:lastRenderedPageBreak/>
        <w:t xml:space="preserve">AI acknowledgement </w:t>
      </w:r>
    </w:p>
    <w:tbl>
      <w:tblPr>
        <w:tblpPr w:leftFromText="180" w:rightFromText="180" w:vertAnchor="text" w:horzAnchor="page" w:tblpXSpec="center" w:tblpY="136"/>
        <w:tblW w:w="917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78"/>
        <w:gridCol w:w="5464"/>
        <w:gridCol w:w="1432"/>
      </w:tblGrid>
      <w:tr w:rsidR="002D6FEA" w:rsidRPr="001E2412" w14:paraId="3BD8302D" w14:textId="77777777" w:rsidTr="008E0E15">
        <w:trPr>
          <w:trHeight w:val="817"/>
        </w:trPr>
        <w:tc>
          <w:tcPr>
            <w:tcW w:w="2278" w:type="dxa"/>
            <w:tcBorders>
              <w:top w:val="single" w:sz="6" w:space="0" w:color="000000"/>
              <w:left w:val="single" w:sz="6" w:space="0" w:color="000000"/>
              <w:bottom w:val="single" w:sz="4" w:space="0" w:color="000000"/>
              <w:right w:val="single" w:sz="4" w:space="0" w:color="000000"/>
            </w:tcBorders>
            <w:shd w:val="clear" w:color="auto" w:fill="91CF50"/>
            <w:hideMark/>
          </w:tcPr>
          <w:p w14:paraId="0C08119F" w14:textId="77777777" w:rsidR="002D6FEA" w:rsidRPr="001E2412" w:rsidRDefault="002D6FEA" w:rsidP="008E0E15">
            <w:pPr>
              <w:rPr>
                <w:rFonts w:ascii="Arial" w:hAnsi="Arial" w:cs="Arial"/>
                <w:sz w:val="16"/>
                <w:szCs w:val="16"/>
              </w:rPr>
            </w:pPr>
            <w:r w:rsidRPr="001E2412">
              <w:rPr>
                <w:rFonts w:ascii="Arial" w:hAnsi="Arial" w:cs="Arial"/>
                <w:sz w:val="16"/>
                <w:szCs w:val="16"/>
              </w:rPr>
              <w:t>RESEARCH</w:t>
            </w:r>
          </w:p>
        </w:tc>
        <w:tc>
          <w:tcPr>
            <w:tcW w:w="5464" w:type="dxa"/>
            <w:tcBorders>
              <w:top w:val="single" w:sz="6" w:space="0" w:color="000000"/>
              <w:left w:val="single" w:sz="4" w:space="0" w:color="000000"/>
              <w:bottom w:val="single" w:sz="4" w:space="0" w:color="000000"/>
              <w:right w:val="single" w:sz="4" w:space="0" w:color="000000"/>
            </w:tcBorders>
            <w:shd w:val="clear" w:color="auto" w:fill="91CF50"/>
            <w:hideMark/>
          </w:tcPr>
          <w:p w14:paraId="2C98B1FE"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support you in research and data analysis.</w:t>
            </w:r>
          </w:p>
        </w:tc>
        <w:tc>
          <w:tcPr>
            <w:tcW w:w="1432" w:type="dxa"/>
            <w:tcBorders>
              <w:top w:val="single" w:sz="6" w:space="0" w:color="000000"/>
              <w:left w:val="single" w:sz="4" w:space="0" w:color="000000"/>
              <w:bottom w:val="single" w:sz="4" w:space="0" w:color="000000"/>
              <w:right w:val="single" w:sz="6" w:space="0" w:color="000000"/>
            </w:tcBorders>
            <w:shd w:val="clear" w:color="auto" w:fill="91CF50"/>
          </w:tcPr>
          <w:p w14:paraId="78F11DB5"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550DB10C" w14:textId="77777777" w:rsidR="002D6FEA" w:rsidRPr="001E2412" w:rsidRDefault="002D6FEA" w:rsidP="008E0E15">
            <w:pPr>
              <w:rPr>
                <w:rFonts w:ascii="Arial" w:hAnsi="Arial" w:cs="Arial"/>
                <w:sz w:val="16"/>
                <w:szCs w:val="16"/>
              </w:rPr>
            </w:pPr>
          </w:p>
          <w:p w14:paraId="094E02CA" w14:textId="77777777" w:rsidR="002D6FEA" w:rsidRPr="001E2412" w:rsidRDefault="002D6FEA" w:rsidP="008E0E15">
            <w:pPr>
              <w:rPr>
                <w:rFonts w:ascii="Arial" w:hAnsi="Arial" w:cs="Arial"/>
                <w:sz w:val="16"/>
                <w:szCs w:val="16"/>
              </w:rPr>
            </w:pPr>
          </w:p>
          <w:p w14:paraId="10CDA24D"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28DC07F1" w14:textId="77777777" w:rsidTr="008E0E15">
        <w:trPr>
          <w:trHeight w:val="1003"/>
        </w:trPr>
        <w:tc>
          <w:tcPr>
            <w:tcW w:w="2278" w:type="dxa"/>
            <w:tcBorders>
              <w:top w:val="single" w:sz="4" w:space="0" w:color="000000"/>
              <w:left w:val="single" w:sz="6" w:space="0" w:color="000000"/>
              <w:bottom w:val="single" w:sz="4" w:space="0" w:color="000000"/>
              <w:right w:val="single" w:sz="4" w:space="0" w:color="000000"/>
            </w:tcBorders>
            <w:hideMark/>
          </w:tcPr>
          <w:p w14:paraId="6FBCFDC5" w14:textId="77777777" w:rsidR="002D6FEA" w:rsidRPr="001E2412" w:rsidRDefault="002D6FEA" w:rsidP="008E0E15">
            <w:pPr>
              <w:rPr>
                <w:rFonts w:ascii="Arial" w:hAnsi="Arial" w:cs="Arial"/>
                <w:sz w:val="16"/>
                <w:szCs w:val="16"/>
              </w:rPr>
            </w:pPr>
            <w:r w:rsidRPr="001E2412">
              <w:rPr>
                <w:rFonts w:ascii="Arial" w:hAnsi="Arial" w:cs="Arial"/>
                <w:sz w:val="16"/>
                <w:szCs w:val="16"/>
              </w:rPr>
              <w:t>STRUCTURE</w:t>
            </w:r>
          </w:p>
        </w:tc>
        <w:tc>
          <w:tcPr>
            <w:tcW w:w="5464" w:type="dxa"/>
            <w:tcBorders>
              <w:top w:val="single" w:sz="4" w:space="0" w:color="000000"/>
              <w:left w:val="single" w:sz="4" w:space="0" w:color="000000"/>
              <w:bottom w:val="single" w:sz="4" w:space="0" w:color="000000"/>
              <w:right w:val="single" w:sz="4" w:space="0" w:color="000000"/>
            </w:tcBorders>
            <w:hideMark/>
          </w:tcPr>
          <w:p w14:paraId="40605D16"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support you in structuring your submission, including creating a draft argument structure, identifying parts</w:t>
            </w:r>
          </w:p>
          <w:p w14:paraId="4BDFEBD5" w14:textId="77777777" w:rsidR="002D6FEA" w:rsidRPr="001E2412" w:rsidRDefault="002D6FEA" w:rsidP="008E0E15">
            <w:pPr>
              <w:rPr>
                <w:rFonts w:ascii="Arial" w:hAnsi="Arial" w:cs="Arial"/>
                <w:sz w:val="16"/>
                <w:szCs w:val="16"/>
              </w:rPr>
            </w:pPr>
            <w:r w:rsidRPr="001E2412">
              <w:rPr>
                <w:rFonts w:ascii="Arial" w:hAnsi="Arial" w:cs="Arial"/>
                <w:sz w:val="16"/>
                <w:szCs w:val="16"/>
              </w:rPr>
              <w:t>and headings, etc.</w:t>
            </w:r>
          </w:p>
        </w:tc>
        <w:tc>
          <w:tcPr>
            <w:tcW w:w="1432" w:type="dxa"/>
            <w:tcBorders>
              <w:top w:val="single" w:sz="4" w:space="0" w:color="000000"/>
              <w:left w:val="single" w:sz="4" w:space="0" w:color="000000"/>
              <w:bottom w:val="single" w:sz="4" w:space="0" w:color="000000"/>
              <w:right w:val="single" w:sz="6" w:space="0" w:color="000000"/>
            </w:tcBorders>
          </w:tcPr>
          <w:p w14:paraId="68673839"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5AE4C77C" w14:textId="77777777" w:rsidR="002D6FEA" w:rsidRPr="001E2412" w:rsidRDefault="002D6FEA" w:rsidP="008E0E15">
            <w:pPr>
              <w:rPr>
                <w:rFonts w:ascii="Arial" w:hAnsi="Arial" w:cs="Arial"/>
                <w:sz w:val="16"/>
                <w:szCs w:val="16"/>
              </w:rPr>
            </w:pPr>
          </w:p>
          <w:p w14:paraId="15C5C5A7" w14:textId="77777777" w:rsidR="002D6FEA" w:rsidRPr="001E2412" w:rsidRDefault="002D6FEA" w:rsidP="008E0E15">
            <w:pPr>
              <w:rPr>
                <w:rFonts w:ascii="Arial" w:hAnsi="Arial" w:cs="Arial"/>
                <w:sz w:val="16"/>
                <w:szCs w:val="16"/>
              </w:rPr>
            </w:pPr>
          </w:p>
          <w:p w14:paraId="5F3C56D5"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2F184F39" w14:textId="77777777" w:rsidTr="008E0E15">
        <w:trPr>
          <w:trHeight w:val="1004"/>
        </w:trPr>
        <w:tc>
          <w:tcPr>
            <w:tcW w:w="2278" w:type="dxa"/>
            <w:tcBorders>
              <w:top w:val="single" w:sz="4" w:space="0" w:color="000000"/>
              <w:left w:val="single" w:sz="6" w:space="0" w:color="000000"/>
              <w:bottom w:val="single" w:sz="4" w:space="0" w:color="000000"/>
              <w:right w:val="single" w:sz="4" w:space="0" w:color="000000"/>
            </w:tcBorders>
            <w:shd w:val="clear" w:color="auto" w:fill="91CF50"/>
            <w:hideMark/>
          </w:tcPr>
          <w:p w14:paraId="1C2964DF" w14:textId="77777777" w:rsidR="002D6FEA" w:rsidRPr="001E2412" w:rsidRDefault="002D6FEA" w:rsidP="008E0E15">
            <w:pPr>
              <w:rPr>
                <w:rFonts w:ascii="Arial" w:hAnsi="Arial" w:cs="Arial"/>
                <w:sz w:val="16"/>
                <w:szCs w:val="16"/>
              </w:rPr>
            </w:pPr>
            <w:r w:rsidRPr="001E2412">
              <w:rPr>
                <w:rFonts w:ascii="Arial" w:hAnsi="Arial" w:cs="Arial"/>
                <w:sz w:val="16"/>
                <w:szCs w:val="16"/>
              </w:rPr>
              <w:t>PROOFREADING</w:t>
            </w:r>
          </w:p>
        </w:tc>
        <w:tc>
          <w:tcPr>
            <w:tcW w:w="5464" w:type="dxa"/>
            <w:tcBorders>
              <w:top w:val="single" w:sz="4" w:space="0" w:color="000000"/>
              <w:left w:val="single" w:sz="4" w:space="0" w:color="000000"/>
              <w:bottom w:val="single" w:sz="4" w:space="0" w:color="000000"/>
              <w:right w:val="single" w:sz="4" w:space="0" w:color="000000"/>
            </w:tcBorders>
            <w:shd w:val="clear" w:color="auto" w:fill="91CF50"/>
            <w:hideMark/>
          </w:tcPr>
          <w:p w14:paraId="7B0F7AF3"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check your own text/creation for grammatical and syntactical mistakes, including getting suggestions to</w:t>
            </w:r>
          </w:p>
          <w:p w14:paraId="1BECC879" w14:textId="77777777" w:rsidR="002D6FEA" w:rsidRPr="001E2412" w:rsidRDefault="002D6FEA" w:rsidP="008E0E15">
            <w:pPr>
              <w:rPr>
                <w:rFonts w:ascii="Arial" w:hAnsi="Arial" w:cs="Arial"/>
                <w:sz w:val="16"/>
                <w:szCs w:val="16"/>
              </w:rPr>
            </w:pPr>
            <w:r w:rsidRPr="001E2412">
              <w:rPr>
                <w:rFonts w:ascii="Arial" w:hAnsi="Arial" w:cs="Arial"/>
                <w:sz w:val="16"/>
                <w:szCs w:val="16"/>
              </w:rPr>
              <w:t>rephrase your work.</w:t>
            </w:r>
          </w:p>
        </w:tc>
        <w:tc>
          <w:tcPr>
            <w:tcW w:w="1432" w:type="dxa"/>
            <w:tcBorders>
              <w:top w:val="single" w:sz="4" w:space="0" w:color="000000"/>
              <w:left w:val="single" w:sz="4" w:space="0" w:color="000000"/>
              <w:bottom w:val="single" w:sz="4" w:space="0" w:color="000000"/>
              <w:right w:val="single" w:sz="6" w:space="0" w:color="000000"/>
            </w:tcBorders>
            <w:shd w:val="clear" w:color="auto" w:fill="91CF50"/>
          </w:tcPr>
          <w:p w14:paraId="65D377BC"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7CA566D2" w14:textId="77777777" w:rsidR="002D6FEA" w:rsidRPr="001E2412" w:rsidRDefault="002D6FEA" w:rsidP="008E0E15">
            <w:pPr>
              <w:rPr>
                <w:rFonts w:ascii="Arial" w:hAnsi="Arial" w:cs="Arial"/>
                <w:sz w:val="16"/>
                <w:szCs w:val="16"/>
              </w:rPr>
            </w:pPr>
          </w:p>
          <w:p w14:paraId="70668C55" w14:textId="77777777" w:rsidR="002D6FEA" w:rsidRPr="001E2412" w:rsidRDefault="002D6FEA" w:rsidP="008E0E15">
            <w:pPr>
              <w:rPr>
                <w:rFonts w:ascii="Arial" w:hAnsi="Arial" w:cs="Arial"/>
                <w:sz w:val="16"/>
                <w:szCs w:val="16"/>
              </w:rPr>
            </w:pPr>
          </w:p>
          <w:p w14:paraId="2922976F"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7AF05068" w14:textId="77777777" w:rsidTr="008E0E15">
        <w:trPr>
          <w:trHeight w:val="817"/>
        </w:trPr>
        <w:tc>
          <w:tcPr>
            <w:tcW w:w="2278" w:type="dxa"/>
            <w:tcBorders>
              <w:top w:val="single" w:sz="4" w:space="0" w:color="000000"/>
              <w:left w:val="single" w:sz="6" w:space="0" w:color="000000"/>
              <w:bottom w:val="single" w:sz="4" w:space="0" w:color="000000"/>
              <w:right w:val="single" w:sz="4" w:space="0" w:color="000000"/>
            </w:tcBorders>
            <w:hideMark/>
          </w:tcPr>
          <w:p w14:paraId="52A405A3" w14:textId="77777777" w:rsidR="002D6FEA" w:rsidRPr="001E2412" w:rsidRDefault="002D6FEA" w:rsidP="008E0E15">
            <w:pPr>
              <w:rPr>
                <w:rFonts w:ascii="Arial" w:hAnsi="Arial" w:cs="Arial"/>
                <w:sz w:val="16"/>
                <w:szCs w:val="16"/>
              </w:rPr>
            </w:pPr>
            <w:r w:rsidRPr="001E2412">
              <w:rPr>
                <w:rFonts w:ascii="Arial" w:hAnsi="Arial" w:cs="Arial"/>
                <w:sz w:val="16"/>
                <w:szCs w:val="16"/>
              </w:rPr>
              <w:t>WRITING</w:t>
            </w:r>
          </w:p>
        </w:tc>
        <w:tc>
          <w:tcPr>
            <w:tcW w:w="5464" w:type="dxa"/>
            <w:tcBorders>
              <w:top w:val="single" w:sz="4" w:space="0" w:color="000000"/>
              <w:left w:val="single" w:sz="4" w:space="0" w:color="000000"/>
              <w:bottom w:val="single" w:sz="4" w:space="0" w:color="000000"/>
              <w:right w:val="single" w:sz="4" w:space="0" w:color="000000"/>
            </w:tcBorders>
            <w:hideMark/>
          </w:tcPr>
          <w:p w14:paraId="79792670"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create text for submission.</w:t>
            </w:r>
          </w:p>
        </w:tc>
        <w:tc>
          <w:tcPr>
            <w:tcW w:w="1432" w:type="dxa"/>
            <w:tcBorders>
              <w:top w:val="single" w:sz="4" w:space="0" w:color="000000"/>
              <w:left w:val="single" w:sz="4" w:space="0" w:color="000000"/>
              <w:bottom w:val="single" w:sz="4" w:space="0" w:color="000000"/>
              <w:right w:val="single" w:sz="6" w:space="0" w:color="000000"/>
            </w:tcBorders>
          </w:tcPr>
          <w:p w14:paraId="37C489EE"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09EC3107" w14:textId="77777777" w:rsidR="002D6FEA" w:rsidRPr="001E2412" w:rsidRDefault="002D6FEA" w:rsidP="008E0E15">
            <w:pPr>
              <w:rPr>
                <w:rFonts w:ascii="Arial" w:hAnsi="Arial" w:cs="Arial"/>
                <w:sz w:val="16"/>
                <w:szCs w:val="16"/>
              </w:rPr>
            </w:pPr>
          </w:p>
          <w:p w14:paraId="45218A8C" w14:textId="77777777" w:rsidR="002D6FEA" w:rsidRPr="001E2412" w:rsidRDefault="002D6FEA" w:rsidP="008E0E15">
            <w:pPr>
              <w:rPr>
                <w:rFonts w:ascii="Arial" w:hAnsi="Arial" w:cs="Arial"/>
                <w:sz w:val="16"/>
                <w:szCs w:val="16"/>
              </w:rPr>
            </w:pPr>
          </w:p>
          <w:p w14:paraId="32CCEEC2"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7AE6C6A5" w14:textId="77777777" w:rsidTr="008E0E15">
        <w:trPr>
          <w:trHeight w:val="817"/>
        </w:trPr>
        <w:tc>
          <w:tcPr>
            <w:tcW w:w="2278" w:type="dxa"/>
            <w:tcBorders>
              <w:top w:val="single" w:sz="4" w:space="0" w:color="000000"/>
              <w:left w:val="single" w:sz="6" w:space="0" w:color="000000"/>
              <w:bottom w:val="single" w:sz="4" w:space="0" w:color="000000"/>
              <w:right w:val="single" w:sz="4" w:space="0" w:color="000000"/>
            </w:tcBorders>
            <w:shd w:val="clear" w:color="auto" w:fill="91CF50"/>
            <w:hideMark/>
          </w:tcPr>
          <w:p w14:paraId="70498E01" w14:textId="77777777" w:rsidR="002D6FEA" w:rsidRPr="001E2412" w:rsidRDefault="002D6FEA" w:rsidP="008E0E15">
            <w:pPr>
              <w:rPr>
                <w:rFonts w:ascii="Arial" w:hAnsi="Arial" w:cs="Arial"/>
                <w:sz w:val="16"/>
                <w:szCs w:val="16"/>
              </w:rPr>
            </w:pPr>
            <w:r w:rsidRPr="001E2412">
              <w:rPr>
                <w:rFonts w:ascii="Arial" w:hAnsi="Arial" w:cs="Arial"/>
                <w:sz w:val="16"/>
                <w:szCs w:val="16"/>
              </w:rPr>
              <w:t>CREATIVE</w:t>
            </w:r>
          </w:p>
        </w:tc>
        <w:tc>
          <w:tcPr>
            <w:tcW w:w="5464" w:type="dxa"/>
            <w:tcBorders>
              <w:top w:val="single" w:sz="4" w:space="0" w:color="000000"/>
              <w:left w:val="single" w:sz="4" w:space="0" w:color="000000"/>
              <w:bottom w:val="single" w:sz="4" w:space="0" w:color="000000"/>
              <w:right w:val="single" w:sz="4" w:space="0" w:color="000000"/>
            </w:tcBorders>
            <w:shd w:val="clear" w:color="auto" w:fill="91CF50"/>
            <w:hideMark/>
          </w:tcPr>
          <w:p w14:paraId="50D9AFAD"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create creative materials, such as images.</w:t>
            </w:r>
          </w:p>
        </w:tc>
        <w:tc>
          <w:tcPr>
            <w:tcW w:w="1432" w:type="dxa"/>
            <w:tcBorders>
              <w:top w:val="single" w:sz="4" w:space="0" w:color="000000"/>
              <w:left w:val="single" w:sz="4" w:space="0" w:color="000000"/>
              <w:bottom w:val="single" w:sz="4" w:space="0" w:color="000000"/>
              <w:right w:val="single" w:sz="6" w:space="0" w:color="000000"/>
            </w:tcBorders>
            <w:shd w:val="clear" w:color="auto" w:fill="91CF50"/>
          </w:tcPr>
          <w:p w14:paraId="4A356EAB"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7EE36265" w14:textId="77777777" w:rsidR="002D6FEA" w:rsidRPr="001E2412" w:rsidRDefault="002D6FEA" w:rsidP="008E0E15">
            <w:pPr>
              <w:rPr>
                <w:rFonts w:ascii="Arial" w:hAnsi="Arial" w:cs="Arial"/>
                <w:sz w:val="16"/>
                <w:szCs w:val="16"/>
              </w:rPr>
            </w:pPr>
          </w:p>
          <w:p w14:paraId="7442B972" w14:textId="77777777" w:rsidR="002D6FEA" w:rsidRPr="001E2412" w:rsidRDefault="002D6FEA" w:rsidP="008E0E15">
            <w:pPr>
              <w:rPr>
                <w:rFonts w:ascii="Arial" w:hAnsi="Arial" w:cs="Arial"/>
                <w:sz w:val="16"/>
                <w:szCs w:val="16"/>
              </w:rPr>
            </w:pPr>
          </w:p>
          <w:p w14:paraId="3ED134E3"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3FE58B98" w14:textId="77777777" w:rsidTr="008E0E15">
        <w:trPr>
          <w:trHeight w:val="817"/>
        </w:trPr>
        <w:tc>
          <w:tcPr>
            <w:tcW w:w="2278" w:type="dxa"/>
            <w:tcBorders>
              <w:top w:val="single" w:sz="4" w:space="0" w:color="000000"/>
              <w:left w:val="single" w:sz="6" w:space="0" w:color="000000"/>
              <w:bottom w:val="single" w:sz="4" w:space="0" w:color="000000"/>
              <w:right w:val="single" w:sz="4" w:space="0" w:color="000000"/>
            </w:tcBorders>
            <w:hideMark/>
          </w:tcPr>
          <w:p w14:paraId="025FB483" w14:textId="77777777" w:rsidR="002D6FEA" w:rsidRPr="001E2412" w:rsidRDefault="002D6FEA" w:rsidP="008E0E15">
            <w:pPr>
              <w:rPr>
                <w:rFonts w:ascii="Arial" w:hAnsi="Arial" w:cs="Arial"/>
                <w:sz w:val="16"/>
                <w:szCs w:val="16"/>
              </w:rPr>
            </w:pPr>
            <w:r w:rsidRPr="001E2412">
              <w:rPr>
                <w:rFonts w:ascii="Arial" w:hAnsi="Arial" w:cs="Arial"/>
                <w:sz w:val="16"/>
                <w:szCs w:val="16"/>
              </w:rPr>
              <w:t>PROGRAMING</w:t>
            </w:r>
          </w:p>
        </w:tc>
        <w:tc>
          <w:tcPr>
            <w:tcW w:w="5464" w:type="dxa"/>
            <w:tcBorders>
              <w:top w:val="single" w:sz="4" w:space="0" w:color="000000"/>
              <w:left w:val="single" w:sz="4" w:space="0" w:color="000000"/>
              <w:bottom w:val="single" w:sz="4" w:space="0" w:color="000000"/>
              <w:right w:val="single" w:sz="4" w:space="0" w:color="000000"/>
            </w:tcBorders>
            <w:hideMark/>
          </w:tcPr>
          <w:p w14:paraId="2C9CAFC7" w14:textId="77777777" w:rsidR="002D6FEA" w:rsidRPr="001E2412" w:rsidRDefault="002D6FEA" w:rsidP="008E0E15">
            <w:pPr>
              <w:rPr>
                <w:rFonts w:ascii="Arial" w:hAnsi="Arial" w:cs="Arial"/>
                <w:sz w:val="16"/>
                <w:szCs w:val="16"/>
              </w:rPr>
            </w:pPr>
            <w:r w:rsidRPr="001E2412">
              <w:rPr>
                <w:rFonts w:ascii="Arial" w:hAnsi="Arial" w:cs="Arial"/>
                <w:sz w:val="16"/>
                <w:szCs w:val="16"/>
              </w:rPr>
              <w:t>For this assessment, you can use Generative AI to create and check code.</w:t>
            </w:r>
          </w:p>
        </w:tc>
        <w:tc>
          <w:tcPr>
            <w:tcW w:w="1432" w:type="dxa"/>
            <w:tcBorders>
              <w:top w:val="single" w:sz="4" w:space="0" w:color="000000"/>
              <w:left w:val="single" w:sz="4" w:space="0" w:color="000000"/>
              <w:bottom w:val="single" w:sz="4" w:space="0" w:color="000000"/>
              <w:right w:val="single" w:sz="6" w:space="0" w:color="000000"/>
            </w:tcBorders>
          </w:tcPr>
          <w:p w14:paraId="121022E4"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Yes </w:t>
            </w:r>
            <w:r w:rsidRPr="001E2412">
              <w:rPr>
                <w:rFonts w:ascii="Segoe UI Symbol" w:hAnsi="Segoe UI Symbol" w:cs="Segoe UI Symbol"/>
                <w:sz w:val="16"/>
                <w:szCs w:val="16"/>
              </w:rPr>
              <w:t>☐</w:t>
            </w:r>
          </w:p>
          <w:p w14:paraId="101734C9" w14:textId="77777777" w:rsidR="002D6FEA" w:rsidRPr="001E2412" w:rsidRDefault="002D6FEA" w:rsidP="008E0E15">
            <w:pPr>
              <w:rPr>
                <w:rFonts w:ascii="Arial" w:hAnsi="Arial" w:cs="Arial"/>
                <w:sz w:val="16"/>
                <w:szCs w:val="16"/>
              </w:rPr>
            </w:pPr>
          </w:p>
          <w:p w14:paraId="6550C016" w14:textId="77777777" w:rsidR="002D6FEA" w:rsidRPr="001E2412" w:rsidRDefault="002D6FEA" w:rsidP="008E0E15">
            <w:pPr>
              <w:rPr>
                <w:rFonts w:ascii="Arial" w:hAnsi="Arial" w:cs="Arial"/>
                <w:sz w:val="16"/>
                <w:szCs w:val="16"/>
              </w:rPr>
            </w:pPr>
          </w:p>
          <w:p w14:paraId="65E5E741"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No </w:t>
            </w:r>
            <w:r w:rsidRPr="001E2412">
              <w:rPr>
                <w:rFonts w:ascii="Segoe UI Symbol" w:hAnsi="Segoe UI Symbol" w:cs="Segoe UI Symbol"/>
                <w:sz w:val="16"/>
                <w:szCs w:val="16"/>
              </w:rPr>
              <w:t>☒</w:t>
            </w:r>
          </w:p>
        </w:tc>
      </w:tr>
      <w:tr w:rsidR="002D6FEA" w:rsidRPr="001E2412" w14:paraId="3036CD0F" w14:textId="77777777" w:rsidTr="008E0E15">
        <w:trPr>
          <w:trHeight w:val="1004"/>
        </w:trPr>
        <w:tc>
          <w:tcPr>
            <w:tcW w:w="2278" w:type="dxa"/>
            <w:tcBorders>
              <w:top w:val="single" w:sz="4" w:space="0" w:color="000000"/>
              <w:left w:val="single" w:sz="6" w:space="0" w:color="000000"/>
              <w:bottom w:val="single" w:sz="6" w:space="0" w:color="000000"/>
              <w:right w:val="single" w:sz="4" w:space="0" w:color="000000"/>
            </w:tcBorders>
            <w:hideMark/>
          </w:tcPr>
          <w:p w14:paraId="64291E08" w14:textId="77777777" w:rsidR="002D6FEA" w:rsidRPr="001E2412" w:rsidRDefault="002D6FEA" w:rsidP="008E0E15">
            <w:pPr>
              <w:rPr>
                <w:rFonts w:ascii="Arial" w:hAnsi="Arial" w:cs="Arial"/>
                <w:sz w:val="16"/>
                <w:szCs w:val="16"/>
              </w:rPr>
            </w:pPr>
            <w:r w:rsidRPr="001E2412">
              <w:rPr>
                <w:rFonts w:ascii="Arial" w:hAnsi="Arial" w:cs="Arial"/>
                <w:sz w:val="16"/>
                <w:szCs w:val="16"/>
              </w:rPr>
              <w:t>NONE</w:t>
            </w:r>
          </w:p>
        </w:tc>
        <w:tc>
          <w:tcPr>
            <w:tcW w:w="5464" w:type="dxa"/>
            <w:tcBorders>
              <w:top w:val="single" w:sz="4" w:space="0" w:color="000000"/>
              <w:left w:val="single" w:sz="4" w:space="0" w:color="000000"/>
              <w:bottom w:val="single" w:sz="6" w:space="0" w:color="000000"/>
              <w:right w:val="single" w:sz="4" w:space="0" w:color="000000"/>
            </w:tcBorders>
            <w:hideMark/>
          </w:tcPr>
          <w:p w14:paraId="1872149E" w14:textId="77777777" w:rsidR="002D6FEA" w:rsidRPr="001E2412" w:rsidRDefault="002D6FEA" w:rsidP="008E0E15">
            <w:pPr>
              <w:rPr>
                <w:rFonts w:ascii="Arial" w:hAnsi="Arial" w:cs="Arial"/>
                <w:sz w:val="16"/>
                <w:szCs w:val="16"/>
              </w:rPr>
            </w:pPr>
            <w:r w:rsidRPr="001E2412">
              <w:rPr>
                <w:rFonts w:ascii="Arial" w:hAnsi="Arial" w:cs="Arial"/>
                <w:sz w:val="16"/>
                <w:szCs w:val="16"/>
              </w:rPr>
              <w:t xml:space="preserve">For this assessment, you are not allowed to use </w:t>
            </w:r>
            <w:r w:rsidRPr="001E2412">
              <w:rPr>
                <w:rFonts w:ascii="Arial" w:hAnsi="Arial" w:cs="Arial"/>
                <w:b/>
                <w:sz w:val="16"/>
                <w:szCs w:val="16"/>
              </w:rPr>
              <w:t xml:space="preserve">any </w:t>
            </w:r>
            <w:r w:rsidRPr="001E2412">
              <w:rPr>
                <w:rFonts w:ascii="Arial" w:hAnsi="Arial" w:cs="Arial"/>
                <w:sz w:val="16"/>
                <w:szCs w:val="16"/>
              </w:rPr>
              <w:t>type of Generative AI support. This includes research support, structure support, writing/proofreading</w:t>
            </w:r>
          </w:p>
          <w:p w14:paraId="6B8DA09A" w14:textId="77777777" w:rsidR="002D6FEA" w:rsidRPr="001E2412" w:rsidRDefault="002D6FEA" w:rsidP="008E0E15">
            <w:pPr>
              <w:rPr>
                <w:rFonts w:ascii="Arial" w:hAnsi="Arial" w:cs="Arial"/>
                <w:sz w:val="16"/>
                <w:szCs w:val="16"/>
              </w:rPr>
            </w:pPr>
            <w:r w:rsidRPr="001E2412">
              <w:rPr>
                <w:rFonts w:ascii="Arial" w:hAnsi="Arial" w:cs="Arial"/>
                <w:sz w:val="16"/>
                <w:szCs w:val="16"/>
              </w:rPr>
              <w:t>support and creative support.</w:t>
            </w:r>
          </w:p>
        </w:tc>
        <w:tc>
          <w:tcPr>
            <w:tcW w:w="1432" w:type="dxa"/>
            <w:tcBorders>
              <w:top w:val="single" w:sz="4" w:space="0" w:color="000000"/>
              <w:left w:val="single" w:sz="4" w:space="0" w:color="000000"/>
              <w:bottom w:val="single" w:sz="6" w:space="0" w:color="000000"/>
              <w:right w:val="single" w:sz="6" w:space="0" w:color="000000"/>
            </w:tcBorders>
            <w:hideMark/>
          </w:tcPr>
          <w:p w14:paraId="33571E6B" w14:textId="77777777" w:rsidR="002D6FEA" w:rsidRPr="001E2412" w:rsidRDefault="002D6FEA" w:rsidP="008E0E15">
            <w:pPr>
              <w:rPr>
                <w:rFonts w:ascii="Arial" w:hAnsi="Arial" w:cs="Arial"/>
                <w:sz w:val="16"/>
                <w:szCs w:val="16"/>
              </w:rPr>
            </w:pPr>
            <w:r w:rsidRPr="001E2412">
              <w:rPr>
                <w:rFonts w:ascii="Segoe UI Symbol" w:hAnsi="Segoe UI Symbol" w:cs="Segoe UI Symbol"/>
                <w:sz w:val="16"/>
                <w:szCs w:val="16"/>
              </w:rPr>
              <w:t>☐</w:t>
            </w:r>
          </w:p>
        </w:tc>
      </w:tr>
    </w:tbl>
    <w:p w14:paraId="4165784A" w14:textId="77777777" w:rsidR="002D6FEA" w:rsidRDefault="002D6FEA" w:rsidP="002D6FEA">
      <w:pPr>
        <w:rPr>
          <w:rFonts w:ascii="Arial" w:hAnsi="Arial" w:cs="Arial"/>
        </w:rPr>
      </w:pPr>
    </w:p>
    <w:p w14:paraId="63A42B0F" w14:textId="06F8ADB8" w:rsidR="00042E84" w:rsidRDefault="002D6FEA" w:rsidP="002D6FEA">
      <w:pPr>
        <w:autoSpaceDE w:val="0"/>
        <w:autoSpaceDN w:val="0"/>
        <w:adjustRightInd w:val="0"/>
        <w:spacing w:after="373" w:line="560" w:lineRule="atLeast"/>
        <w:rPr>
          <w:rFonts w:ascii="Arial" w:hAnsi="Arial" w:cs="Arial"/>
          <w:b/>
          <w:bCs/>
          <w:color w:val="000000"/>
          <w:kern w:val="0"/>
          <w:sz w:val="37"/>
          <w:szCs w:val="37"/>
        </w:rPr>
      </w:pPr>
      <w:r>
        <w:rPr>
          <w:rFonts w:ascii="Arial" w:hAnsi="Arial" w:cs="Arial"/>
          <w:b/>
          <w:bCs/>
          <w:color w:val="000000"/>
          <w:kern w:val="0"/>
          <w:sz w:val="37"/>
          <w:szCs w:val="37"/>
        </w:rPr>
        <w:t xml:space="preserve">I used Gemini for image </w:t>
      </w:r>
    </w:p>
    <w:p w14:paraId="0602DBDB" w14:textId="77777777" w:rsidR="00042E84" w:rsidRDefault="00042E84" w:rsidP="00042E84">
      <w:pPr>
        <w:rPr>
          <w:noProof/>
        </w:rPr>
      </w:pPr>
    </w:p>
    <w:p w14:paraId="36B91DED" w14:textId="77777777" w:rsidR="00042E84" w:rsidRDefault="00042E84" w:rsidP="00042E84"/>
    <w:p w14:paraId="76BDDDDE" w14:textId="77777777" w:rsidR="00042E84" w:rsidRDefault="00042E84" w:rsidP="00042E84">
      <w:r>
        <w:br w:type="page"/>
      </w:r>
    </w:p>
    <w:p w14:paraId="08198B6F" w14:textId="6CF58681" w:rsidR="00042E84" w:rsidRDefault="00042E84"/>
    <w:p w14:paraId="2EB23513" w14:textId="77777777" w:rsidR="006F7A77" w:rsidRDefault="006F7A77"/>
    <w:p w14:paraId="754CBC8E" w14:textId="77777777" w:rsidR="006F7A77" w:rsidRDefault="006F7A77">
      <w:pPr>
        <w:rPr>
          <w:rFonts w:ascii="Arial" w:hAnsi="Arial" w:cs="Arial"/>
          <w:b/>
          <w:bCs/>
          <w:color w:val="000000"/>
          <w:kern w:val="0"/>
        </w:rPr>
      </w:pPr>
    </w:p>
    <w:sdt>
      <w:sdtPr>
        <w:rPr>
          <w:rFonts w:asciiTheme="minorHAnsi" w:eastAsiaTheme="minorHAnsi" w:hAnsiTheme="minorHAnsi" w:cstheme="minorBidi"/>
          <w:b w:val="0"/>
          <w:bCs w:val="0"/>
          <w:color w:val="auto"/>
          <w:kern w:val="2"/>
          <w:sz w:val="24"/>
          <w:szCs w:val="24"/>
          <w:lang w:val="en-GB"/>
          <w14:ligatures w14:val="standardContextual"/>
        </w:rPr>
        <w:id w:val="-1384013289"/>
        <w:docPartObj>
          <w:docPartGallery w:val="Table of Contents"/>
          <w:docPartUnique/>
        </w:docPartObj>
      </w:sdtPr>
      <w:sdtEndPr>
        <w:rPr>
          <w:noProof/>
        </w:rPr>
      </w:sdtEndPr>
      <w:sdtContent>
        <w:p w14:paraId="754AD76F" w14:textId="77777777" w:rsidR="00042E84" w:rsidRPr="006F7A77" w:rsidRDefault="00042E84" w:rsidP="00042E84">
          <w:pPr>
            <w:pStyle w:val="TOCHeading"/>
            <w:rPr>
              <w:rFonts w:ascii="Arial" w:hAnsi="Arial" w:cs="Arial"/>
              <w:color w:val="000000" w:themeColor="text1"/>
            </w:rPr>
          </w:pPr>
          <w:r w:rsidRPr="006F7A77">
            <w:rPr>
              <w:rFonts w:ascii="Arial" w:hAnsi="Arial" w:cs="Arial"/>
              <w:color w:val="000000" w:themeColor="text1"/>
            </w:rPr>
            <w:t>Table of Contents</w:t>
          </w:r>
        </w:p>
        <w:p w14:paraId="5337A1E1" w14:textId="77777777" w:rsidR="00042E84" w:rsidRDefault="00042E84" w:rsidP="00042E84">
          <w:pPr>
            <w:pStyle w:val="TOC1"/>
            <w:tabs>
              <w:tab w:val="right" w:leader="dot" w:pos="9016"/>
            </w:tabs>
            <w:rPr>
              <w:rFonts w:eastAsiaTheme="minorEastAsia"/>
              <w:b w:val="0"/>
              <w:bCs w:val="0"/>
              <w:caps/>
              <w:noProof/>
              <w:lang w:eastAsia="en-GB"/>
            </w:rPr>
          </w:pPr>
          <w:r>
            <w:rPr>
              <w:b w:val="0"/>
              <w:bCs w:val="0"/>
            </w:rPr>
            <w:fldChar w:fldCharType="begin"/>
          </w:r>
          <w:r>
            <w:instrText xml:space="preserve"> TOC \o "1-3" \h \z \u </w:instrText>
          </w:r>
          <w:r>
            <w:rPr>
              <w:b w:val="0"/>
              <w:bCs w:val="0"/>
            </w:rPr>
            <w:fldChar w:fldCharType="separate"/>
          </w:r>
          <w:hyperlink w:anchor="_Toc236841344" w:history="1">
            <w:r w:rsidRPr="00746435">
              <w:rPr>
                <w:rStyle w:val="Hyperlink"/>
                <w:noProof/>
              </w:rPr>
              <w:t>Introduction</w:t>
            </w:r>
            <w:r>
              <w:rPr>
                <w:noProof/>
                <w:webHidden/>
              </w:rPr>
              <w:tab/>
            </w:r>
            <w:r>
              <w:rPr>
                <w:noProof/>
                <w:webHidden/>
              </w:rPr>
              <w:fldChar w:fldCharType="begin"/>
            </w:r>
            <w:r>
              <w:rPr>
                <w:noProof/>
                <w:webHidden/>
              </w:rPr>
              <w:instrText xml:space="preserve"> PAGEREF _Toc236841344 \h </w:instrText>
            </w:r>
            <w:r>
              <w:rPr>
                <w:noProof/>
                <w:webHidden/>
              </w:rPr>
            </w:r>
            <w:r>
              <w:rPr>
                <w:noProof/>
                <w:webHidden/>
              </w:rPr>
              <w:fldChar w:fldCharType="separate"/>
            </w:r>
            <w:r>
              <w:rPr>
                <w:noProof/>
                <w:webHidden/>
              </w:rPr>
              <w:t>3</w:t>
            </w:r>
            <w:r>
              <w:rPr>
                <w:noProof/>
                <w:webHidden/>
              </w:rPr>
              <w:fldChar w:fldCharType="end"/>
            </w:r>
          </w:hyperlink>
        </w:p>
        <w:p w14:paraId="184A0570" w14:textId="77777777" w:rsidR="00042E84" w:rsidRDefault="00042E84" w:rsidP="00042E84">
          <w:pPr>
            <w:pStyle w:val="TOC1"/>
            <w:tabs>
              <w:tab w:val="right" w:leader="dot" w:pos="9016"/>
            </w:tabs>
            <w:rPr>
              <w:rFonts w:eastAsiaTheme="minorEastAsia"/>
              <w:b w:val="0"/>
              <w:bCs w:val="0"/>
              <w:caps/>
              <w:noProof/>
              <w:lang w:eastAsia="en-GB"/>
            </w:rPr>
          </w:pPr>
          <w:hyperlink w:anchor="_Toc236841345" w:history="1">
            <w:r w:rsidRPr="00746435">
              <w:rPr>
                <w:rStyle w:val="Hyperlink"/>
                <w:rFonts w:ascii="Arial" w:hAnsi="Arial" w:cs="Arial"/>
                <w:noProof/>
                <w:kern w:val="0"/>
              </w:rPr>
              <w:t>Company Background</w:t>
            </w:r>
            <w:r>
              <w:rPr>
                <w:noProof/>
                <w:webHidden/>
              </w:rPr>
              <w:tab/>
            </w:r>
            <w:r>
              <w:rPr>
                <w:noProof/>
                <w:webHidden/>
              </w:rPr>
              <w:fldChar w:fldCharType="begin"/>
            </w:r>
            <w:r>
              <w:rPr>
                <w:noProof/>
                <w:webHidden/>
              </w:rPr>
              <w:instrText xml:space="preserve"> PAGEREF _Toc236841345 \h </w:instrText>
            </w:r>
            <w:r>
              <w:rPr>
                <w:noProof/>
                <w:webHidden/>
              </w:rPr>
            </w:r>
            <w:r>
              <w:rPr>
                <w:noProof/>
                <w:webHidden/>
              </w:rPr>
              <w:fldChar w:fldCharType="separate"/>
            </w:r>
            <w:r>
              <w:rPr>
                <w:noProof/>
                <w:webHidden/>
              </w:rPr>
              <w:t>3</w:t>
            </w:r>
            <w:r>
              <w:rPr>
                <w:noProof/>
                <w:webHidden/>
              </w:rPr>
              <w:fldChar w:fldCharType="end"/>
            </w:r>
          </w:hyperlink>
        </w:p>
        <w:p w14:paraId="6ABF6537" w14:textId="77777777" w:rsidR="00042E84" w:rsidRDefault="00042E84" w:rsidP="00042E84">
          <w:pPr>
            <w:pStyle w:val="TOC1"/>
            <w:tabs>
              <w:tab w:val="right" w:leader="dot" w:pos="9016"/>
            </w:tabs>
            <w:rPr>
              <w:rFonts w:eastAsiaTheme="minorEastAsia"/>
              <w:b w:val="0"/>
              <w:bCs w:val="0"/>
              <w:caps/>
              <w:noProof/>
              <w:lang w:eastAsia="en-GB"/>
            </w:rPr>
          </w:pPr>
          <w:hyperlink w:anchor="_Toc236841346" w:history="1">
            <w:r w:rsidRPr="00746435">
              <w:rPr>
                <w:rStyle w:val="Hyperlink"/>
                <w:rFonts w:ascii="Arial" w:hAnsi="Arial" w:cs="Arial"/>
                <w:noProof/>
                <w:kern w:val="0"/>
              </w:rPr>
              <w:t>3. PESTEL Analysis</w:t>
            </w:r>
            <w:r>
              <w:rPr>
                <w:noProof/>
                <w:webHidden/>
              </w:rPr>
              <w:tab/>
            </w:r>
            <w:r>
              <w:rPr>
                <w:noProof/>
                <w:webHidden/>
              </w:rPr>
              <w:fldChar w:fldCharType="begin"/>
            </w:r>
            <w:r>
              <w:rPr>
                <w:noProof/>
                <w:webHidden/>
              </w:rPr>
              <w:instrText xml:space="preserve"> PAGEREF _Toc236841346 \h </w:instrText>
            </w:r>
            <w:r>
              <w:rPr>
                <w:noProof/>
                <w:webHidden/>
              </w:rPr>
            </w:r>
            <w:r>
              <w:rPr>
                <w:noProof/>
                <w:webHidden/>
              </w:rPr>
              <w:fldChar w:fldCharType="separate"/>
            </w:r>
            <w:r>
              <w:rPr>
                <w:noProof/>
                <w:webHidden/>
              </w:rPr>
              <w:t>4</w:t>
            </w:r>
            <w:r>
              <w:rPr>
                <w:noProof/>
                <w:webHidden/>
              </w:rPr>
              <w:fldChar w:fldCharType="end"/>
            </w:r>
          </w:hyperlink>
        </w:p>
        <w:p w14:paraId="4B9ACC6A" w14:textId="77777777" w:rsidR="00042E84" w:rsidRDefault="00042E84" w:rsidP="00042E84">
          <w:pPr>
            <w:pStyle w:val="TOC1"/>
            <w:tabs>
              <w:tab w:val="right" w:leader="dot" w:pos="9016"/>
            </w:tabs>
            <w:rPr>
              <w:rFonts w:eastAsiaTheme="minorEastAsia"/>
              <w:b w:val="0"/>
              <w:bCs w:val="0"/>
              <w:caps/>
              <w:noProof/>
              <w:lang w:eastAsia="en-GB"/>
            </w:rPr>
          </w:pPr>
          <w:hyperlink w:anchor="_Toc236841347" w:history="1">
            <w:r w:rsidRPr="00746435">
              <w:rPr>
                <w:rStyle w:val="Hyperlink"/>
                <w:rFonts w:ascii="Arial" w:hAnsi="Arial" w:cs="Arial"/>
                <w:noProof/>
                <w:kern w:val="0"/>
              </w:rPr>
              <w:t>3.1 Political Factors</w:t>
            </w:r>
            <w:r>
              <w:rPr>
                <w:noProof/>
                <w:webHidden/>
              </w:rPr>
              <w:tab/>
            </w:r>
            <w:r>
              <w:rPr>
                <w:noProof/>
                <w:webHidden/>
              </w:rPr>
              <w:fldChar w:fldCharType="begin"/>
            </w:r>
            <w:r>
              <w:rPr>
                <w:noProof/>
                <w:webHidden/>
              </w:rPr>
              <w:instrText xml:space="preserve"> PAGEREF _Toc236841347 \h </w:instrText>
            </w:r>
            <w:r>
              <w:rPr>
                <w:noProof/>
                <w:webHidden/>
              </w:rPr>
            </w:r>
            <w:r>
              <w:rPr>
                <w:noProof/>
                <w:webHidden/>
              </w:rPr>
              <w:fldChar w:fldCharType="separate"/>
            </w:r>
            <w:r>
              <w:rPr>
                <w:noProof/>
                <w:webHidden/>
              </w:rPr>
              <w:t>4</w:t>
            </w:r>
            <w:r>
              <w:rPr>
                <w:noProof/>
                <w:webHidden/>
              </w:rPr>
              <w:fldChar w:fldCharType="end"/>
            </w:r>
          </w:hyperlink>
        </w:p>
        <w:p w14:paraId="0CA0EBC2" w14:textId="77777777" w:rsidR="00042E84" w:rsidRDefault="00042E84" w:rsidP="00042E84">
          <w:pPr>
            <w:pStyle w:val="TOC1"/>
            <w:tabs>
              <w:tab w:val="right" w:leader="dot" w:pos="9016"/>
            </w:tabs>
            <w:rPr>
              <w:rFonts w:eastAsiaTheme="minorEastAsia"/>
              <w:b w:val="0"/>
              <w:bCs w:val="0"/>
              <w:caps/>
              <w:noProof/>
              <w:lang w:eastAsia="en-GB"/>
            </w:rPr>
          </w:pPr>
          <w:hyperlink w:anchor="_Toc236841348" w:history="1">
            <w:r w:rsidRPr="00746435">
              <w:rPr>
                <w:rStyle w:val="Hyperlink"/>
                <w:rFonts w:ascii="Arial" w:hAnsi="Arial" w:cs="Arial"/>
                <w:noProof/>
                <w:kern w:val="0"/>
              </w:rPr>
              <w:t>3.2 Economic Factors</w:t>
            </w:r>
            <w:r>
              <w:rPr>
                <w:noProof/>
                <w:webHidden/>
              </w:rPr>
              <w:tab/>
            </w:r>
            <w:r>
              <w:rPr>
                <w:noProof/>
                <w:webHidden/>
              </w:rPr>
              <w:fldChar w:fldCharType="begin"/>
            </w:r>
            <w:r>
              <w:rPr>
                <w:noProof/>
                <w:webHidden/>
              </w:rPr>
              <w:instrText xml:space="preserve"> PAGEREF _Toc236841348 \h </w:instrText>
            </w:r>
            <w:r>
              <w:rPr>
                <w:noProof/>
                <w:webHidden/>
              </w:rPr>
            </w:r>
            <w:r>
              <w:rPr>
                <w:noProof/>
                <w:webHidden/>
              </w:rPr>
              <w:fldChar w:fldCharType="separate"/>
            </w:r>
            <w:r>
              <w:rPr>
                <w:noProof/>
                <w:webHidden/>
              </w:rPr>
              <w:t>6</w:t>
            </w:r>
            <w:r>
              <w:rPr>
                <w:noProof/>
                <w:webHidden/>
              </w:rPr>
              <w:fldChar w:fldCharType="end"/>
            </w:r>
          </w:hyperlink>
        </w:p>
        <w:p w14:paraId="14811E83" w14:textId="77777777" w:rsidR="00042E84" w:rsidRDefault="00042E84" w:rsidP="00042E84">
          <w:pPr>
            <w:pStyle w:val="TOC1"/>
            <w:tabs>
              <w:tab w:val="right" w:leader="dot" w:pos="9016"/>
            </w:tabs>
            <w:rPr>
              <w:rFonts w:eastAsiaTheme="minorEastAsia"/>
              <w:b w:val="0"/>
              <w:bCs w:val="0"/>
              <w:caps/>
              <w:noProof/>
              <w:lang w:eastAsia="en-GB"/>
            </w:rPr>
          </w:pPr>
          <w:hyperlink w:anchor="_Toc236841349" w:history="1">
            <w:r w:rsidRPr="00746435">
              <w:rPr>
                <w:rStyle w:val="Hyperlink"/>
                <w:rFonts w:ascii="Arial" w:hAnsi="Arial" w:cs="Arial"/>
                <w:noProof/>
                <w:kern w:val="0"/>
              </w:rPr>
              <w:t>3.3 Social Factors</w:t>
            </w:r>
            <w:r>
              <w:rPr>
                <w:noProof/>
                <w:webHidden/>
              </w:rPr>
              <w:tab/>
            </w:r>
            <w:r>
              <w:rPr>
                <w:noProof/>
                <w:webHidden/>
              </w:rPr>
              <w:fldChar w:fldCharType="begin"/>
            </w:r>
            <w:r>
              <w:rPr>
                <w:noProof/>
                <w:webHidden/>
              </w:rPr>
              <w:instrText xml:space="preserve"> PAGEREF _Toc236841349 \h </w:instrText>
            </w:r>
            <w:r>
              <w:rPr>
                <w:noProof/>
                <w:webHidden/>
              </w:rPr>
            </w:r>
            <w:r>
              <w:rPr>
                <w:noProof/>
                <w:webHidden/>
              </w:rPr>
              <w:fldChar w:fldCharType="separate"/>
            </w:r>
            <w:r>
              <w:rPr>
                <w:noProof/>
                <w:webHidden/>
              </w:rPr>
              <w:t>7</w:t>
            </w:r>
            <w:r>
              <w:rPr>
                <w:noProof/>
                <w:webHidden/>
              </w:rPr>
              <w:fldChar w:fldCharType="end"/>
            </w:r>
          </w:hyperlink>
        </w:p>
        <w:p w14:paraId="387C416F" w14:textId="77777777" w:rsidR="00042E84" w:rsidRDefault="00042E84" w:rsidP="00042E84">
          <w:pPr>
            <w:pStyle w:val="TOC1"/>
            <w:tabs>
              <w:tab w:val="right" w:leader="dot" w:pos="9016"/>
            </w:tabs>
            <w:rPr>
              <w:rFonts w:eastAsiaTheme="minorEastAsia"/>
              <w:b w:val="0"/>
              <w:bCs w:val="0"/>
              <w:caps/>
              <w:noProof/>
              <w:lang w:eastAsia="en-GB"/>
            </w:rPr>
          </w:pPr>
          <w:hyperlink w:anchor="_Toc236841350" w:history="1">
            <w:r w:rsidRPr="00746435">
              <w:rPr>
                <w:rStyle w:val="Hyperlink"/>
                <w:rFonts w:ascii="Arial" w:hAnsi="Arial" w:cs="Arial"/>
                <w:noProof/>
                <w:kern w:val="0"/>
              </w:rPr>
              <w:t>4. Hofstede's Cultural Dimensions Framework</w:t>
            </w:r>
            <w:r>
              <w:rPr>
                <w:noProof/>
                <w:webHidden/>
              </w:rPr>
              <w:tab/>
            </w:r>
            <w:r>
              <w:rPr>
                <w:noProof/>
                <w:webHidden/>
              </w:rPr>
              <w:fldChar w:fldCharType="begin"/>
            </w:r>
            <w:r>
              <w:rPr>
                <w:noProof/>
                <w:webHidden/>
              </w:rPr>
              <w:instrText xml:space="preserve"> PAGEREF _Toc236841350 \h </w:instrText>
            </w:r>
            <w:r>
              <w:rPr>
                <w:noProof/>
                <w:webHidden/>
              </w:rPr>
            </w:r>
            <w:r>
              <w:rPr>
                <w:noProof/>
                <w:webHidden/>
              </w:rPr>
              <w:fldChar w:fldCharType="separate"/>
            </w:r>
            <w:r>
              <w:rPr>
                <w:noProof/>
                <w:webHidden/>
              </w:rPr>
              <w:t>8</w:t>
            </w:r>
            <w:r>
              <w:rPr>
                <w:noProof/>
                <w:webHidden/>
              </w:rPr>
              <w:fldChar w:fldCharType="end"/>
            </w:r>
          </w:hyperlink>
        </w:p>
        <w:p w14:paraId="11E721DC" w14:textId="77777777" w:rsidR="00042E84" w:rsidRDefault="00042E84" w:rsidP="00042E84">
          <w:pPr>
            <w:pStyle w:val="TOC1"/>
            <w:tabs>
              <w:tab w:val="right" w:leader="dot" w:pos="9016"/>
            </w:tabs>
            <w:rPr>
              <w:rFonts w:eastAsiaTheme="minorEastAsia"/>
              <w:b w:val="0"/>
              <w:bCs w:val="0"/>
              <w:caps/>
              <w:noProof/>
              <w:lang w:eastAsia="en-GB"/>
            </w:rPr>
          </w:pPr>
          <w:hyperlink w:anchor="_Toc236841351" w:history="1">
            <w:r w:rsidRPr="00746435">
              <w:rPr>
                <w:rStyle w:val="Hyperlink"/>
                <w:rFonts w:ascii="Arial" w:hAnsi="Arial" w:cs="Arial"/>
                <w:noProof/>
                <w:kern w:val="0"/>
              </w:rPr>
              <w:t>Hofstede's Cultural Dimensions Framework for India and the United States</w:t>
            </w:r>
            <w:r>
              <w:rPr>
                <w:noProof/>
                <w:webHidden/>
              </w:rPr>
              <w:tab/>
            </w:r>
            <w:r>
              <w:rPr>
                <w:noProof/>
                <w:webHidden/>
              </w:rPr>
              <w:fldChar w:fldCharType="begin"/>
            </w:r>
            <w:r>
              <w:rPr>
                <w:noProof/>
                <w:webHidden/>
              </w:rPr>
              <w:instrText xml:space="preserve"> PAGEREF _Toc236841351 \h </w:instrText>
            </w:r>
            <w:r>
              <w:rPr>
                <w:noProof/>
                <w:webHidden/>
              </w:rPr>
            </w:r>
            <w:r>
              <w:rPr>
                <w:noProof/>
                <w:webHidden/>
              </w:rPr>
              <w:fldChar w:fldCharType="separate"/>
            </w:r>
            <w:r>
              <w:rPr>
                <w:noProof/>
                <w:webHidden/>
              </w:rPr>
              <w:t>9</w:t>
            </w:r>
            <w:r>
              <w:rPr>
                <w:noProof/>
                <w:webHidden/>
              </w:rPr>
              <w:fldChar w:fldCharType="end"/>
            </w:r>
          </w:hyperlink>
        </w:p>
        <w:p w14:paraId="6B0AA2ED" w14:textId="77777777" w:rsidR="00042E84" w:rsidRDefault="00042E84" w:rsidP="00042E84">
          <w:pPr>
            <w:pStyle w:val="TOC1"/>
            <w:tabs>
              <w:tab w:val="right" w:leader="dot" w:pos="9016"/>
            </w:tabs>
            <w:rPr>
              <w:rFonts w:eastAsiaTheme="minorEastAsia"/>
              <w:b w:val="0"/>
              <w:bCs w:val="0"/>
              <w:caps/>
              <w:noProof/>
              <w:lang w:eastAsia="en-GB"/>
            </w:rPr>
          </w:pPr>
          <w:hyperlink w:anchor="_Toc236841352" w:history="1">
            <w:r w:rsidRPr="00746435">
              <w:rPr>
                <w:rStyle w:val="Hyperlink"/>
                <w:noProof/>
              </w:rPr>
              <w:t>Advantages and Disadvantages of Hofstede's Cultural Dimensions Framework</w:t>
            </w:r>
            <w:r>
              <w:rPr>
                <w:noProof/>
                <w:webHidden/>
              </w:rPr>
              <w:tab/>
            </w:r>
            <w:r>
              <w:rPr>
                <w:noProof/>
                <w:webHidden/>
              </w:rPr>
              <w:fldChar w:fldCharType="begin"/>
            </w:r>
            <w:r>
              <w:rPr>
                <w:noProof/>
                <w:webHidden/>
              </w:rPr>
              <w:instrText xml:space="preserve"> PAGEREF _Toc236841352 \h </w:instrText>
            </w:r>
            <w:r>
              <w:rPr>
                <w:noProof/>
                <w:webHidden/>
              </w:rPr>
            </w:r>
            <w:r>
              <w:rPr>
                <w:noProof/>
                <w:webHidden/>
              </w:rPr>
              <w:fldChar w:fldCharType="separate"/>
            </w:r>
            <w:r>
              <w:rPr>
                <w:noProof/>
                <w:webHidden/>
              </w:rPr>
              <w:t>12</w:t>
            </w:r>
            <w:r>
              <w:rPr>
                <w:noProof/>
                <w:webHidden/>
              </w:rPr>
              <w:fldChar w:fldCharType="end"/>
            </w:r>
          </w:hyperlink>
        </w:p>
        <w:p w14:paraId="12194C2C" w14:textId="77777777" w:rsidR="00042E84" w:rsidRDefault="00042E84" w:rsidP="00042E84">
          <w:pPr>
            <w:pStyle w:val="TOC1"/>
            <w:tabs>
              <w:tab w:val="right" w:leader="dot" w:pos="9016"/>
            </w:tabs>
            <w:rPr>
              <w:rFonts w:eastAsiaTheme="minorEastAsia"/>
              <w:b w:val="0"/>
              <w:bCs w:val="0"/>
              <w:caps/>
              <w:noProof/>
              <w:lang w:eastAsia="en-GB"/>
            </w:rPr>
          </w:pPr>
          <w:hyperlink w:anchor="_Toc236841353" w:history="1">
            <w:r w:rsidRPr="00746435">
              <w:rPr>
                <w:rStyle w:val="Hyperlink"/>
                <w:noProof/>
              </w:rPr>
              <w:t>1.1 Advantages of Hofstede's Cultural Dimensions Framework</w:t>
            </w:r>
            <w:r>
              <w:rPr>
                <w:noProof/>
                <w:webHidden/>
              </w:rPr>
              <w:tab/>
            </w:r>
            <w:r>
              <w:rPr>
                <w:noProof/>
                <w:webHidden/>
              </w:rPr>
              <w:fldChar w:fldCharType="begin"/>
            </w:r>
            <w:r>
              <w:rPr>
                <w:noProof/>
                <w:webHidden/>
              </w:rPr>
              <w:instrText xml:space="preserve"> PAGEREF _Toc236841353 \h </w:instrText>
            </w:r>
            <w:r>
              <w:rPr>
                <w:noProof/>
                <w:webHidden/>
              </w:rPr>
            </w:r>
            <w:r>
              <w:rPr>
                <w:noProof/>
                <w:webHidden/>
              </w:rPr>
              <w:fldChar w:fldCharType="separate"/>
            </w:r>
            <w:r>
              <w:rPr>
                <w:noProof/>
                <w:webHidden/>
              </w:rPr>
              <w:t>12</w:t>
            </w:r>
            <w:r>
              <w:rPr>
                <w:noProof/>
                <w:webHidden/>
              </w:rPr>
              <w:fldChar w:fldCharType="end"/>
            </w:r>
          </w:hyperlink>
        </w:p>
        <w:p w14:paraId="6F8BE104" w14:textId="77777777" w:rsidR="00042E84" w:rsidRDefault="00042E84" w:rsidP="00042E84">
          <w:pPr>
            <w:pStyle w:val="TOC1"/>
            <w:tabs>
              <w:tab w:val="right" w:leader="dot" w:pos="9016"/>
            </w:tabs>
            <w:rPr>
              <w:rFonts w:eastAsiaTheme="minorEastAsia"/>
              <w:b w:val="0"/>
              <w:bCs w:val="0"/>
              <w:caps/>
              <w:noProof/>
              <w:lang w:eastAsia="en-GB"/>
            </w:rPr>
          </w:pPr>
          <w:hyperlink w:anchor="_Toc236841354" w:history="1">
            <w:r w:rsidRPr="00746435">
              <w:rPr>
                <w:rStyle w:val="Hyperlink"/>
                <w:noProof/>
              </w:rPr>
              <w:t>1.2Disadvantages of Hofstede's Cultural Dimensions Framework</w:t>
            </w:r>
            <w:r>
              <w:rPr>
                <w:noProof/>
                <w:webHidden/>
              </w:rPr>
              <w:tab/>
            </w:r>
            <w:r>
              <w:rPr>
                <w:noProof/>
                <w:webHidden/>
              </w:rPr>
              <w:fldChar w:fldCharType="begin"/>
            </w:r>
            <w:r>
              <w:rPr>
                <w:noProof/>
                <w:webHidden/>
              </w:rPr>
              <w:instrText xml:space="preserve"> PAGEREF _Toc236841354 \h </w:instrText>
            </w:r>
            <w:r>
              <w:rPr>
                <w:noProof/>
                <w:webHidden/>
              </w:rPr>
            </w:r>
            <w:r>
              <w:rPr>
                <w:noProof/>
                <w:webHidden/>
              </w:rPr>
              <w:fldChar w:fldCharType="separate"/>
            </w:r>
            <w:r>
              <w:rPr>
                <w:noProof/>
                <w:webHidden/>
              </w:rPr>
              <w:t>13</w:t>
            </w:r>
            <w:r>
              <w:rPr>
                <w:noProof/>
                <w:webHidden/>
              </w:rPr>
              <w:fldChar w:fldCharType="end"/>
            </w:r>
          </w:hyperlink>
        </w:p>
        <w:p w14:paraId="644436A9" w14:textId="77777777" w:rsidR="00042E84" w:rsidRDefault="00042E84" w:rsidP="00042E84">
          <w:pPr>
            <w:pStyle w:val="TOC1"/>
            <w:tabs>
              <w:tab w:val="right" w:leader="dot" w:pos="9016"/>
            </w:tabs>
            <w:rPr>
              <w:rFonts w:eastAsiaTheme="minorEastAsia"/>
              <w:b w:val="0"/>
              <w:bCs w:val="0"/>
              <w:caps/>
              <w:noProof/>
              <w:lang w:eastAsia="en-GB"/>
            </w:rPr>
          </w:pPr>
          <w:hyperlink w:anchor="_Toc236841355" w:history="1">
            <w:r w:rsidRPr="00746435">
              <w:rPr>
                <w:rStyle w:val="Hyperlink"/>
                <w:rFonts w:ascii="Arial" w:hAnsi="Arial" w:cs="Arial"/>
                <w:noProof/>
                <w:kern w:val="0"/>
              </w:rPr>
              <w:t>3.4 Technological Factors</w:t>
            </w:r>
            <w:r>
              <w:rPr>
                <w:noProof/>
                <w:webHidden/>
              </w:rPr>
              <w:tab/>
            </w:r>
            <w:r>
              <w:rPr>
                <w:noProof/>
                <w:webHidden/>
              </w:rPr>
              <w:fldChar w:fldCharType="begin"/>
            </w:r>
            <w:r>
              <w:rPr>
                <w:noProof/>
                <w:webHidden/>
              </w:rPr>
              <w:instrText xml:space="preserve"> PAGEREF _Toc236841355 \h </w:instrText>
            </w:r>
            <w:r>
              <w:rPr>
                <w:noProof/>
                <w:webHidden/>
              </w:rPr>
            </w:r>
            <w:r>
              <w:rPr>
                <w:noProof/>
                <w:webHidden/>
              </w:rPr>
              <w:fldChar w:fldCharType="separate"/>
            </w:r>
            <w:r>
              <w:rPr>
                <w:noProof/>
                <w:webHidden/>
              </w:rPr>
              <w:t>13</w:t>
            </w:r>
            <w:r>
              <w:rPr>
                <w:noProof/>
                <w:webHidden/>
              </w:rPr>
              <w:fldChar w:fldCharType="end"/>
            </w:r>
          </w:hyperlink>
        </w:p>
        <w:p w14:paraId="27F1D3ED" w14:textId="77777777" w:rsidR="00042E84" w:rsidRDefault="00042E84" w:rsidP="00042E84">
          <w:pPr>
            <w:pStyle w:val="TOC1"/>
            <w:tabs>
              <w:tab w:val="right" w:leader="dot" w:pos="9016"/>
            </w:tabs>
            <w:rPr>
              <w:rFonts w:eastAsiaTheme="minorEastAsia"/>
              <w:b w:val="0"/>
              <w:bCs w:val="0"/>
              <w:caps/>
              <w:noProof/>
              <w:lang w:eastAsia="en-GB"/>
            </w:rPr>
          </w:pPr>
          <w:hyperlink w:anchor="_Toc236841356" w:history="1">
            <w:r w:rsidRPr="00746435">
              <w:rPr>
                <w:rStyle w:val="Hyperlink"/>
                <w:rFonts w:ascii="Arial" w:hAnsi="Arial" w:cs="Arial"/>
                <w:noProof/>
                <w:kern w:val="0"/>
              </w:rPr>
              <w:t>3.5 Environmental Factors</w:t>
            </w:r>
            <w:r>
              <w:rPr>
                <w:noProof/>
                <w:webHidden/>
              </w:rPr>
              <w:tab/>
            </w:r>
            <w:r>
              <w:rPr>
                <w:noProof/>
                <w:webHidden/>
              </w:rPr>
              <w:fldChar w:fldCharType="begin"/>
            </w:r>
            <w:r>
              <w:rPr>
                <w:noProof/>
                <w:webHidden/>
              </w:rPr>
              <w:instrText xml:space="preserve"> PAGEREF _Toc236841356 \h </w:instrText>
            </w:r>
            <w:r>
              <w:rPr>
                <w:noProof/>
                <w:webHidden/>
              </w:rPr>
            </w:r>
            <w:r>
              <w:rPr>
                <w:noProof/>
                <w:webHidden/>
              </w:rPr>
              <w:fldChar w:fldCharType="separate"/>
            </w:r>
            <w:r>
              <w:rPr>
                <w:noProof/>
                <w:webHidden/>
              </w:rPr>
              <w:t>15</w:t>
            </w:r>
            <w:r>
              <w:rPr>
                <w:noProof/>
                <w:webHidden/>
              </w:rPr>
              <w:fldChar w:fldCharType="end"/>
            </w:r>
          </w:hyperlink>
        </w:p>
        <w:p w14:paraId="035BFF79" w14:textId="77777777" w:rsidR="00042E84" w:rsidRDefault="00042E84" w:rsidP="00042E84">
          <w:pPr>
            <w:pStyle w:val="TOC1"/>
            <w:tabs>
              <w:tab w:val="right" w:leader="dot" w:pos="9016"/>
            </w:tabs>
            <w:rPr>
              <w:rFonts w:eastAsiaTheme="minorEastAsia"/>
              <w:b w:val="0"/>
              <w:bCs w:val="0"/>
              <w:caps/>
              <w:noProof/>
              <w:lang w:eastAsia="en-GB"/>
            </w:rPr>
          </w:pPr>
          <w:hyperlink w:anchor="_Toc236841357" w:history="1">
            <w:r w:rsidRPr="00746435">
              <w:rPr>
                <w:rStyle w:val="Hyperlink"/>
                <w:rFonts w:ascii="Arial" w:hAnsi="Arial" w:cs="Arial"/>
                <w:noProof/>
                <w:kern w:val="0"/>
              </w:rPr>
              <w:t>3.6 Legal Factors</w:t>
            </w:r>
            <w:r>
              <w:rPr>
                <w:noProof/>
                <w:webHidden/>
              </w:rPr>
              <w:tab/>
            </w:r>
            <w:r>
              <w:rPr>
                <w:noProof/>
                <w:webHidden/>
              </w:rPr>
              <w:fldChar w:fldCharType="begin"/>
            </w:r>
            <w:r>
              <w:rPr>
                <w:noProof/>
                <w:webHidden/>
              </w:rPr>
              <w:instrText xml:space="preserve"> PAGEREF _Toc236841357 \h </w:instrText>
            </w:r>
            <w:r>
              <w:rPr>
                <w:noProof/>
                <w:webHidden/>
              </w:rPr>
            </w:r>
            <w:r>
              <w:rPr>
                <w:noProof/>
                <w:webHidden/>
              </w:rPr>
              <w:fldChar w:fldCharType="separate"/>
            </w:r>
            <w:r>
              <w:rPr>
                <w:noProof/>
                <w:webHidden/>
              </w:rPr>
              <w:t>16</w:t>
            </w:r>
            <w:r>
              <w:rPr>
                <w:noProof/>
                <w:webHidden/>
              </w:rPr>
              <w:fldChar w:fldCharType="end"/>
            </w:r>
          </w:hyperlink>
        </w:p>
        <w:p w14:paraId="7B64664C" w14:textId="77777777" w:rsidR="00042E84" w:rsidRDefault="00042E84" w:rsidP="00042E84">
          <w:pPr>
            <w:pStyle w:val="TOC1"/>
            <w:tabs>
              <w:tab w:val="right" w:leader="dot" w:pos="9016"/>
            </w:tabs>
            <w:rPr>
              <w:rFonts w:eastAsiaTheme="minorEastAsia"/>
              <w:b w:val="0"/>
              <w:bCs w:val="0"/>
              <w:caps/>
              <w:noProof/>
              <w:lang w:eastAsia="en-GB"/>
            </w:rPr>
          </w:pPr>
          <w:hyperlink w:anchor="_Toc236841358" w:history="1">
            <w:r w:rsidRPr="00746435">
              <w:rPr>
                <w:rStyle w:val="Hyperlink"/>
                <w:rFonts w:ascii="Arial" w:hAnsi="Arial" w:cs="Arial"/>
                <w:noProof/>
                <w:kern w:val="0"/>
              </w:rPr>
              <w:t>4.3 Comparison of PESTEL Factors between India and the United States</w:t>
            </w:r>
            <w:r>
              <w:rPr>
                <w:noProof/>
                <w:webHidden/>
              </w:rPr>
              <w:tab/>
            </w:r>
            <w:r>
              <w:rPr>
                <w:noProof/>
                <w:webHidden/>
              </w:rPr>
              <w:fldChar w:fldCharType="begin"/>
            </w:r>
            <w:r>
              <w:rPr>
                <w:noProof/>
                <w:webHidden/>
              </w:rPr>
              <w:instrText xml:space="preserve"> PAGEREF _Toc236841358 \h </w:instrText>
            </w:r>
            <w:r>
              <w:rPr>
                <w:noProof/>
                <w:webHidden/>
              </w:rPr>
            </w:r>
            <w:r>
              <w:rPr>
                <w:noProof/>
                <w:webHidden/>
              </w:rPr>
              <w:fldChar w:fldCharType="separate"/>
            </w:r>
            <w:r>
              <w:rPr>
                <w:noProof/>
                <w:webHidden/>
              </w:rPr>
              <w:t>17</w:t>
            </w:r>
            <w:r>
              <w:rPr>
                <w:noProof/>
                <w:webHidden/>
              </w:rPr>
              <w:fldChar w:fldCharType="end"/>
            </w:r>
          </w:hyperlink>
        </w:p>
        <w:p w14:paraId="55B56B4B" w14:textId="77777777" w:rsidR="00042E84" w:rsidRDefault="00042E84" w:rsidP="00042E84">
          <w:pPr>
            <w:pStyle w:val="TOC1"/>
            <w:tabs>
              <w:tab w:val="right" w:leader="dot" w:pos="9016"/>
            </w:tabs>
            <w:rPr>
              <w:rFonts w:eastAsiaTheme="minorEastAsia"/>
              <w:b w:val="0"/>
              <w:bCs w:val="0"/>
              <w:caps/>
              <w:noProof/>
              <w:lang w:eastAsia="en-GB"/>
            </w:rPr>
          </w:pPr>
          <w:hyperlink w:anchor="_Toc236841359" w:history="1">
            <w:r w:rsidRPr="00746435">
              <w:rPr>
                <w:rStyle w:val="Hyperlink"/>
                <w:rFonts w:ascii="Arial" w:hAnsi="Arial" w:cs="Arial"/>
                <w:noProof/>
                <w:kern w:val="0"/>
              </w:rPr>
              <w:t>5. Comparative STP Analysis of Cadbury in India and the United States</w:t>
            </w:r>
            <w:r>
              <w:rPr>
                <w:noProof/>
                <w:webHidden/>
              </w:rPr>
              <w:tab/>
            </w:r>
            <w:r>
              <w:rPr>
                <w:noProof/>
                <w:webHidden/>
              </w:rPr>
              <w:fldChar w:fldCharType="begin"/>
            </w:r>
            <w:r>
              <w:rPr>
                <w:noProof/>
                <w:webHidden/>
              </w:rPr>
              <w:instrText xml:space="preserve"> PAGEREF _Toc236841359 \h </w:instrText>
            </w:r>
            <w:r>
              <w:rPr>
                <w:noProof/>
                <w:webHidden/>
              </w:rPr>
            </w:r>
            <w:r>
              <w:rPr>
                <w:noProof/>
                <w:webHidden/>
              </w:rPr>
              <w:fldChar w:fldCharType="separate"/>
            </w:r>
            <w:r>
              <w:rPr>
                <w:noProof/>
                <w:webHidden/>
              </w:rPr>
              <w:t>18</w:t>
            </w:r>
            <w:r>
              <w:rPr>
                <w:noProof/>
                <w:webHidden/>
              </w:rPr>
              <w:fldChar w:fldCharType="end"/>
            </w:r>
          </w:hyperlink>
        </w:p>
        <w:p w14:paraId="2BE1F57D" w14:textId="77777777" w:rsidR="00042E84" w:rsidRDefault="00042E84" w:rsidP="00042E84">
          <w:pPr>
            <w:pStyle w:val="TOC1"/>
            <w:tabs>
              <w:tab w:val="right" w:leader="dot" w:pos="9016"/>
            </w:tabs>
            <w:rPr>
              <w:rFonts w:eastAsiaTheme="minorEastAsia"/>
              <w:b w:val="0"/>
              <w:bCs w:val="0"/>
              <w:caps/>
              <w:noProof/>
              <w:lang w:eastAsia="en-GB"/>
            </w:rPr>
          </w:pPr>
          <w:hyperlink w:anchor="_Toc236841360" w:history="1">
            <w:r w:rsidRPr="00746435">
              <w:rPr>
                <w:rStyle w:val="Hyperlink"/>
                <w:rFonts w:ascii="Arial" w:hAnsi="Arial" w:cs="Arial"/>
                <w:noProof/>
                <w:kern w:val="0"/>
              </w:rPr>
              <w:t>6. Comparative 7Ps Marketing Mix of Cadbury in India and the United States</w:t>
            </w:r>
            <w:r>
              <w:rPr>
                <w:noProof/>
                <w:webHidden/>
              </w:rPr>
              <w:tab/>
            </w:r>
            <w:r>
              <w:rPr>
                <w:noProof/>
                <w:webHidden/>
              </w:rPr>
              <w:fldChar w:fldCharType="begin"/>
            </w:r>
            <w:r>
              <w:rPr>
                <w:noProof/>
                <w:webHidden/>
              </w:rPr>
              <w:instrText xml:space="preserve"> PAGEREF _Toc236841360 \h </w:instrText>
            </w:r>
            <w:r>
              <w:rPr>
                <w:noProof/>
                <w:webHidden/>
              </w:rPr>
            </w:r>
            <w:r>
              <w:rPr>
                <w:noProof/>
                <w:webHidden/>
              </w:rPr>
              <w:fldChar w:fldCharType="separate"/>
            </w:r>
            <w:r>
              <w:rPr>
                <w:noProof/>
                <w:webHidden/>
              </w:rPr>
              <w:t>23</w:t>
            </w:r>
            <w:r>
              <w:rPr>
                <w:noProof/>
                <w:webHidden/>
              </w:rPr>
              <w:fldChar w:fldCharType="end"/>
            </w:r>
          </w:hyperlink>
        </w:p>
        <w:p w14:paraId="16937CB4" w14:textId="77777777" w:rsidR="00042E84" w:rsidRDefault="00042E84" w:rsidP="00042E84">
          <w:pPr>
            <w:pStyle w:val="TOC1"/>
            <w:tabs>
              <w:tab w:val="right" w:leader="dot" w:pos="9016"/>
            </w:tabs>
            <w:rPr>
              <w:rFonts w:eastAsiaTheme="minorEastAsia"/>
              <w:b w:val="0"/>
              <w:bCs w:val="0"/>
              <w:caps/>
              <w:noProof/>
              <w:lang w:eastAsia="en-GB"/>
            </w:rPr>
          </w:pPr>
          <w:hyperlink w:anchor="_Toc236841361" w:history="1">
            <w:r w:rsidRPr="00746435">
              <w:rPr>
                <w:rStyle w:val="Hyperlink"/>
                <w:rFonts w:ascii="Arial" w:hAnsi="Arial" w:cs="Arial"/>
                <w:noProof/>
                <w:kern w:val="0"/>
              </w:rPr>
              <w:t>Similarities and Differences between India and the United States</w:t>
            </w:r>
            <w:r>
              <w:rPr>
                <w:noProof/>
                <w:webHidden/>
              </w:rPr>
              <w:tab/>
            </w:r>
            <w:r>
              <w:rPr>
                <w:noProof/>
                <w:webHidden/>
              </w:rPr>
              <w:fldChar w:fldCharType="begin"/>
            </w:r>
            <w:r>
              <w:rPr>
                <w:noProof/>
                <w:webHidden/>
              </w:rPr>
              <w:instrText xml:space="preserve"> PAGEREF _Toc236841361 \h </w:instrText>
            </w:r>
            <w:r>
              <w:rPr>
                <w:noProof/>
                <w:webHidden/>
              </w:rPr>
            </w:r>
            <w:r>
              <w:rPr>
                <w:noProof/>
                <w:webHidden/>
              </w:rPr>
              <w:fldChar w:fldCharType="separate"/>
            </w:r>
            <w:r>
              <w:rPr>
                <w:noProof/>
                <w:webHidden/>
              </w:rPr>
              <w:t>28</w:t>
            </w:r>
            <w:r>
              <w:rPr>
                <w:noProof/>
                <w:webHidden/>
              </w:rPr>
              <w:fldChar w:fldCharType="end"/>
            </w:r>
          </w:hyperlink>
        </w:p>
        <w:p w14:paraId="3323B306" w14:textId="77777777" w:rsidR="00042E84" w:rsidRDefault="00042E84" w:rsidP="00042E84">
          <w:pPr>
            <w:pStyle w:val="TOC1"/>
            <w:tabs>
              <w:tab w:val="right" w:leader="dot" w:pos="9016"/>
            </w:tabs>
            <w:rPr>
              <w:rFonts w:eastAsiaTheme="minorEastAsia"/>
              <w:b w:val="0"/>
              <w:bCs w:val="0"/>
              <w:caps/>
              <w:noProof/>
              <w:lang w:eastAsia="en-GB"/>
            </w:rPr>
          </w:pPr>
          <w:hyperlink w:anchor="_Toc236841362" w:history="1">
            <w:r w:rsidRPr="00746435">
              <w:rPr>
                <w:rStyle w:val="Hyperlink"/>
                <w:rFonts w:ascii="Arial" w:hAnsi="Arial" w:cs="Arial"/>
                <w:noProof/>
                <w:kern w:val="0"/>
              </w:rPr>
              <w:t>7. Market Entry Strategy: Cadbury in the United States</w:t>
            </w:r>
            <w:r>
              <w:rPr>
                <w:noProof/>
                <w:webHidden/>
              </w:rPr>
              <w:tab/>
            </w:r>
            <w:r>
              <w:rPr>
                <w:noProof/>
                <w:webHidden/>
              </w:rPr>
              <w:fldChar w:fldCharType="begin"/>
            </w:r>
            <w:r>
              <w:rPr>
                <w:noProof/>
                <w:webHidden/>
              </w:rPr>
              <w:instrText xml:space="preserve"> PAGEREF _Toc236841362 \h </w:instrText>
            </w:r>
            <w:r>
              <w:rPr>
                <w:noProof/>
                <w:webHidden/>
              </w:rPr>
            </w:r>
            <w:r>
              <w:rPr>
                <w:noProof/>
                <w:webHidden/>
              </w:rPr>
              <w:fldChar w:fldCharType="separate"/>
            </w:r>
            <w:r>
              <w:rPr>
                <w:noProof/>
                <w:webHidden/>
              </w:rPr>
              <w:t>28</w:t>
            </w:r>
            <w:r>
              <w:rPr>
                <w:noProof/>
                <w:webHidden/>
              </w:rPr>
              <w:fldChar w:fldCharType="end"/>
            </w:r>
          </w:hyperlink>
        </w:p>
        <w:p w14:paraId="7B97B868" w14:textId="77777777" w:rsidR="00042E84" w:rsidRDefault="00042E84" w:rsidP="00042E84">
          <w:pPr>
            <w:pStyle w:val="TOC1"/>
            <w:tabs>
              <w:tab w:val="right" w:leader="dot" w:pos="9016"/>
            </w:tabs>
            <w:rPr>
              <w:rFonts w:eastAsiaTheme="minorEastAsia"/>
              <w:b w:val="0"/>
              <w:bCs w:val="0"/>
              <w:caps/>
              <w:noProof/>
              <w:lang w:eastAsia="en-GB"/>
            </w:rPr>
          </w:pPr>
          <w:hyperlink w:anchor="_Toc236841363" w:history="1">
            <w:r w:rsidRPr="00746435">
              <w:rPr>
                <w:rStyle w:val="Hyperlink"/>
                <w:rFonts w:ascii="Arial" w:hAnsi="Arial" w:cs="Arial"/>
                <w:noProof/>
                <w:kern w:val="0"/>
              </w:rPr>
              <w:t>8. Ethical Issues Related to Cadbury's Marketing</w:t>
            </w:r>
            <w:r>
              <w:rPr>
                <w:noProof/>
                <w:webHidden/>
              </w:rPr>
              <w:tab/>
            </w:r>
            <w:r>
              <w:rPr>
                <w:noProof/>
                <w:webHidden/>
              </w:rPr>
              <w:fldChar w:fldCharType="begin"/>
            </w:r>
            <w:r>
              <w:rPr>
                <w:noProof/>
                <w:webHidden/>
              </w:rPr>
              <w:instrText xml:space="preserve"> PAGEREF _Toc236841363 \h </w:instrText>
            </w:r>
            <w:r>
              <w:rPr>
                <w:noProof/>
                <w:webHidden/>
              </w:rPr>
            </w:r>
            <w:r>
              <w:rPr>
                <w:noProof/>
                <w:webHidden/>
              </w:rPr>
              <w:fldChar w:fldCharType="separate"/>
            </w:r>
            <w:r>
              <w:rPr>
                <w:noProof/>
                <w:webHidden/>
              </w:rPr>
              <w:t>30</w:t>
            </w:r>
            <w:r>
              <w:rPr>
                <w:noProof/>
                <w:webHidden/>
              </w:rPr>
              <w:fldChar w:fldCharType="end"/>
            </w:r>
          </w:hyperlink>
        </w:p>
        <w:p w14:paraId="068A55B6" w14:textId="77777777" w:rsidR="00042E84" w:rsidRDefault="00042E84" w:rsidP="00042E84">
          <w:pPr>
            <w:pStyle w:val="TOC1"/>
            <w:tabs>
              <w:tab w:val="right" w:leader="dot" w:pos="9016"/>
            </w:tabs>
            <w:rPr>
              <w:rFonts w:eastAsiaTheme="minorEastAsia"/>
              <w:b w:val="0"/>
              <w:bCs w:val="0"/>
              <w:caps/>
              <w:noProof/>
              <w:lang w:eastAsia="en-GB"/>
            </w:rPr>
          </w:pPr>
          <w:hyperlink w:anchor="_Toc236841364" w:history="1">
            <w:r w:rsidRPr="00746435">
              <w:rPr>
                <w:rStyle w:val="Hyperlink"/>
                <w:rFonts w:ascii="Arial" w:hAnsi="Arial" w:cs="Arial"/>
                <w:noProof/>
                <w:kern w:val="0"/>
              </w:rPr>
              <w:t>9. Recommendations</w:t>
            </w:r>
            <w:r>
              <w:rPr>
                <w:noProof/>
                <w:webHidden/>
              </w:rPr>
              <w:tab/>
            </w:r>
            <w:r>
              <w:rPr>
                <w:noProof/>
                <w:webHidden/>
              </w:rPr>
              <w:fldChar w:fldCharType="begin"/>
            </w:r>
            <w:r>
              <w:rPr>
                <w:noProof/>
                <w:webHidden/>
              </w:rPr>
              <w:instrText xml:space="preserve"> PAGEREF _Toc236841364 \h </w:instrText>
            </w:r>
            <w:r>
              <w:rPr>
                <w:noProof/>
                <w:webHidden/>
              </w:rPr>
            </w:r>
            <w:r>
              <w:rPr>
                <w:noProof/>
                <w:webHidden/>
              </w:rPr>
              <w:fldChar w:fldCharType="separate"/>
            </w:r>
            <w:r>
              <w:rPr>
                <w:noProof/>
                <w:webHidden/>
              </w:rPr>
              <w:t>32</w:t>
            </w:r>
            <w:r>
              <w:rPr>
                <w:noProof/>
                <w:webHidden/>
              </w:rPr>
              <w:fldChar w:fldCharType="end"/>
            </w:r>
          </w:hyperlink>
        </w:p>
        <w:p w14:paraId="0406D833" w14:textId="77777777" w:rsidR="00042E84" w:rsidRDefault="00042E84" w:rsidP="00042E84">
          <w:pPr>
            <w:pStyle w:val="TOC1"/>
            <w:tabs>
              <w:tab w:val="right" w:leader="dot" w:pos="9016"/>
            </w:tabs>
            <w:rPr>
              <w:rFonts w:eastAsiaTheme="minorEastAsia"/>
              <w:b w:val="0"/>
              <w:bCs w:val="0"/>
              <w:caps/>
              <w:noProof/>
              <w:lang w:eastAsia="en-GB"/>
            </w:rPr>
          </w:pPr>
          <w:hyperlink w:anchor="_Toc236841365" w:history="1">
            <w:r w:rsidRPr="00746435">
              <w:rPr>
                <w:rStyle w:val="Hyperlink"/>
                <w:rFonts w:ascii="Arial" w:hAnsi="Arial" w:cs="Arial"/>
                <w:noProof/>
                <w:kern w:val="0"/>
              </w:rPr>
              <w:t>10. Conclusion</w:t>
            </w:r>
            <w:r>
              <w:rPr>
                <w:noProof/>
                <w:webHidden/>
              </w:rPr>
              <w:tab/>
            </w:r>
            <w:r>
              <w:rPr>
                <w:noProof/>
                <w:webHidden/>
              </w:rPr>
              <w:fldChar w:fldCharType="begin"/>
            </w:r>
            <w:r>
              <w:rPr>
                <w:noProof/>
                <w:webHidden/>
              </w:rPr>
              <w:instrText xml:space="preserve"> PAGEREF _Toc236841365 \h </w:instrText>
            </w:r>
            <w:r>
              <w:rPr>
                <w:noProof/>
                <w:webHidden/>
              </w:rPr>
            </w:r>
            <w:r>
              <w:rPr>
                <w:noProof/>
                <w:webHidden/>
              </w:rPr>
              <w:fldChar w:fldCharType="separate"/>
            </w:r>
            <w:r>
              <w:rPr>
                <w:noProof/>
                <w:webHidden/>
              </w:rPr>
              <w:t>33</w:t>
            </w:r>
            <w:r>
              <w:rPr>
                <w:noProof/>
                <w:webHidden/>
              </w:rPr>
              <w:fldChar w:fldCharType="end"/>
            </w:r>
          </w:hyperlink>
        </w:p>
        <w:p w14:paraId="15A0CF08" w14:textId="77777777" w:rsidR="00042E84" w:rsidRDefault="00042E84" w:rsidP="00042E84">
          <w:pPr>
            <w:pStyle w:val="TOC1"/>
            <w:tabs>
              <w:tab w:val="right" w:leader="dot" w:pos="9016"/>
            </w:tabs>
            <w:rPr>
              <w:rFonts w:eastAsiaTheme="minorEastAsia"/>
              <w:b w:val="0"/>
              <w:bCs w:val="0"/>
              <w:caps/>
              <w:noProof/>
              <w:lang w:eastAsia="en-GB"/>
            </w:rPr>
          </w:pPr>
          <w:hyperlink w:anchor="_Toc236841366" w:history="1">
            <w:r w:rsidRPr="00746435">
              <w:rPr>
                <w:rStyle w:val="Hyperlink"/>
                <w:rFonts w:ascii="Arial" w:hAnsi="Arial" w:cs="Arial"/>
                <w:noProof/>
                <w:kern w:val="0"/>
              </w:rPr>
              <w:t>11. Gibbs Reflective Model</w:t>
            </w:r>
            <w:r>
              <w:rPr>
                <w:noProof/>
                <w:webHidden/>
              </w:rPr>
              <w:tab/>
            </w:r>
            <w:r>
              <w:rPr>
                <w:noProof/>
                <w:webHidden/>
              </w:rPr>
              <w:fldChar w:fldCharType="begin"/>
            </w:r>
            <w:r>
              <w:rPr>
                <w:noProof/>
                <w:webHidden/>
              </w:rPr>
              <w:instrText xml:space="preserve"> PAGEREF _Toc236841366 \h </w:instrText>
            </w:r>
            <w:r>
              <w:rPr>
                <w:noProof/>
                <w:webHidden/>
              </w:rPr>
            </w:r>
            <w:r>
              <w:rPr>
                <w:noProof/>
                <w:webHidden/>
              </w:rPr>
              <w:fldChar w:fldCharType="separate"/>
            </w:r>
            <w:r>
              <w:rPr>
                <w:noProof/>
                <w:webHidden/>
              </w:rPr>
              <w:t>34</w:t>
            </w:r>
            <w:r>
              <w:rPr>
                <w:noProof/>
                <w:webHidden/>
              </w:rPr>
              <w:fldChar w:fldCharType="end"/>
            </w:r>
          </w:hyperlink>
        </w:p>
        <w:p w14:paraId="553329B7" w14:textId="77777777" w:rsidR="00042E84" w:rsidRDefault="00042E84" w:rsidP="00042E84">
          <w:pPr>
            <w:rPr>
              <w:noProof/>
            </w:rPr>
          </w:pPr>
          <w:r>
            <w:rPr>
              <w:b/>
              <w:bCs/>
              <w:noProof/>
            </w:rPr>
            <w:fldChar w:fldCharType="end"/>
          </w:r>
        </w:p>
      </w:sdtContent>
    </w:sdt>
    <w:p w14:paraId="1096652C" w14:textId="77777777" w:rsidR="006F7A77" w:rsidRDefault="006F7A77">
      <w:pPr>
        <w:rPr>
          <w:rFonts w:ascii="Arial" w:hAnsi="Arial" w:cs="Arial"/>
          <w:b/>
          <w:bCs/>
          <w:color w:val="000000"/>
          <w:kern w:val="0"/>
        </w:rPr>
      </w:pPr>
      <w:r>
        <w:rPr>
          <w:rFonts w:ascii="Arial" w:hAnsi="Arial" w:cs="Arial"/>
          <w:b/>
          <w:bCs/>
          <w:color w:val="000000"/>
          <w:kern w:val="0"/>
        </w:rPr>
        <w:br w:type="page"/>
      </w:r>
    </w:p>
    <w:p w14:paraId="1B349B6A" w14:textId="1BEA8FAB"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0" w:name="_Toc236841344"/>
      <w:r w:rsidRPr="006C0151">
        <w:rPr>
          <w:rFonts w:ascii="Arial" w:hAnsi="Arial" w:cs="Arial"/>
          <w:b/>
          <w:bCs/>
          <w:color w:val="000000" w:themeColor="text1"/>
          <w:sz w:val="24"/>
          <w:szCs w:val="24"/>
        </w:rPr>
        <w:lastRenderedPageBreak/>
        <w:t>Introduction</w:t>
      </w:r>
      <w:bookmarkEnd w:id="0"/>
    </w:p>
    <w:p w14:paraId="198F6C88" w14:textId="16EE8958" w:rsidR="002C6328" w:rsidRDefault="002C6328" w:rsidP="007B6DB6">
      <w:pPr>
        <w:tabs>
          <w:tab w:val="left" w:pos="20"/>
          <w:tab w:val="left" w:pos="392"/>
        </w:tabs>
        <w:autoSpaceDE w:val="0"/>
        <w:autoSpaceDN w:val="0"/>
        <w:adjustRightInd w:val="0"/>
        <w:spacing w:after="280" w:line="360" w:lineRule="auto"/>
        <w:jc w:val="both"/>
        <w:rPr>
          <w:rFonts w:ascii="Arial" w:hAnsi="Arial" w:cs="Arial"/>
          <w:color w:val="000000"/>
          <w:kern w:val="0"/>
        </w:rPr>
      </w:pPr>
      <w:r>
        <w:rPr>
          <w:rFonts w:ascii="Arial" w:hAnsi="Arial" w:cs="Arial"/>
          <w:color w:val="000000"/>
          <w:kern w:val="0"/>
        </w:rPr>
        <w:t>This report critically analyses Cadbury's international marketing strategies by comparing its operations in India and the United States, two strategically important markets with distinct economic, cultural, and competitive environments. The report examines the macro-environment using the PESTEL and Hofstede frameworks, followed by a comparative evaluation of Cadbury's Segmentation, Targeting and Positioning (STP) strategy and international marketing mix (7Ps). It further analyses the company's market entry strategy in one selected market, evaluates a key ethical issue related to its marketing practices, and concludes with strategic recommendations to strengthen Cadbury's future international marketing performance. And Gibbs reflection model.</w:t>
      </w:r>
    </w:p>
    <w:p w14:paraId="7A2A8135"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5E697426" w14:textId="77777777"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1" w:name="_Toc236841345"/>
      <w:r w:rsidRPr="006C0151">
        <w:rPr>
          <w:rFonts w:ascii="Arial" w:hAnsi="Arial" w:cs="Arial"/>
          <w:b/>
          <w:bCs/>
          <w:color w:val="000000" w:themeColor="text1"/>
          <w:sz w:val="24"/>
          <w:szCs w:val="24"/>
        </w:rPr>
        <w:t>Company Background</w:t>
      </w:r>
      <w:bookmarkEnd w:id="1"/>
    </w:p>
    <w:p w14:paraId="0ADCE9E3"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is one of the world's most iconic confectionery brands, founded in </w:t>
      </w:r>
      <w:r>
        <w:rPr>
          <w:rFonts w:ascii="Arial" w:hAnsi="Arial" w:cs="Arial"/>
          <w:b/>
          <w:bCs/>
          <w:color w:val="000000"/>
          <w:kern w:val="0"/>
        </w:rPr>
        <w:t>1824</w:t>
      </w:r>
      <w:r>
        <w:rPr>
          <w:rFonts w:ascii="Arial" w:hAnsi="Arial" w:cs="Arial"/>
          <w:color w:val="000000"/>
          <w:kern w:val="0"/>
        </w:rPr>
        <w:t xml:space="preserve"> by </w:t>
      </w:r>
      <w:r>
        <w:rPr>
          <w:rFonts w:ascii="Arial" w:hAnsi="Arial" w:cs="Arial"/>
          <w:b/>
          <w:bCs/>
          <w:color w:val="000000"/>
          <w:kern w:val="0"/>
        </w:rPr>
        <w:t>John Cadbury</w:t>
      </w:r>
      <w:r>
        <w:rPr>
          <w:rFonts w:ascii="Arial" w:hAnsi="Arial" w:cs="Arial"/>
          <w:color w:val="000000"/>
          <w:kern w:val="0"/>
        </w:rPr>
        <w:t xml:space="preserve">, a Quaker businessman, in Birmingham, England. Initially established as a grocery shop selling tea, coffee and drinking chocolate, the company was built on Quaker values of integrity, quality, fairness and social responsibility. These principles later shaped Cadbury's corporate culture and business philosophy, particularly under the leadership of John Cadbury's sons, </w:t>
      </w:r>
      <w:r>
        <w:rPr>
          <w:rFonts w:ascii="Arial" w:hAnsi="Arial" w:cs="Arial"/>
          <w:b/>
          <w:bCs/>
          <w:color w:val="000000"/>
          <w:kern w:val="0"/>
        </w:rPr>
        <w:t>Richard and George Cadbury</w:t>
      </w:r>
      <w:r>
        <w:rPr>
          <w:rFonts w:ascii="Arial" w:hAnsi="Arial" w:cs="Arial"/>
          <w:color w:val="000000"/>
          <w:kern w:val="0"/>
        </w:rPr>
        <w:t xml:space="preserve">, who expanded the business and established the Bournville manufacturing village to improve employees' living and working conditions (Keegan and Green, 2023; Mondelēz International, 2025). Today, Cadbury is owned by </w:t>
      </w:r>
      <w:r>
        <w:rPr>
          <w:rFonts w:ascii="Arial" w:hAnsi="Arial" w:cs="Arial"/>
          <w:b/>
          <w:bCs/>
          <w:color w:val="000000"/>
          <w:kern w:val="0"/>
        </w:rPr>
        <w:t>Mondelēz International</w:t>
      </w:r>
      <w:r>
        <w:rPr>
          <w:rFonts w:ascii="Arial" w:hAnsi="Arial" w:cs="Arial"/>
          <w:color w:val="000000"/>
          <w:kern w:val="0"/>
        </w:rPr>
        <w:t xml:space="preserve">, following its acquisition in 2010, and has grown into one of the world's leading chocolate brands with operations in more than 150 countries (Mondelēz International, 2025a). The organisation operates with the corporate purpose of </w:t>
      </w:r>
      <w:r>
        <w:rPr>
          <w:rFonts w:ascii="Arial" w:hAnsi="Arial" w:cs="Arial"/>
          <w:b/>
          <w:bCs/>
          <w:color w:val="000000"/>
          <w:kern w:val="0"/>
        </w:rPr>
        <w:t>"Empowering People to Snack Right"</w:t>
      </w:r>
      <w:r>
        <w:rPr>
          <w:rFonts w:ascii="Arial" w:hAnsi="Arial" w:cs="Arial"/>
          <w:color w:val="000000"/>
          <w:kern w:val="0"/>
        </w:rPr>
        <w:t xml:space="preserve"> and the vision of </w:t>
      </w:r>
      <w:r>
        <w:rPr>
          <w:rFonts w:ascii="Arial" w:hAnsi="Arial" w:cs="Arial"/>
          <w:b/>
          <w:bCs/>
          <w:color w:val="000000"/>
          <w:kern w:val="0"/>
        </w:rPr>
        <w:t>"Leading the Future of Snacking,"</w:t>
      </w:r>
      <w:r>
        <w:rPr>
          <w:rFonts w:ascii="Arial" w:hAnsi="Arial" w:cs="Arial"/>
          <w:color w:val="000000"/>
          <w:kern w:val="0"/>
        </w:rPr>
        <w:t xml:space="preserve"> focusing on sustainable growth, product innovation and responsible sourcing throughout its global value chain (Mondelēz International, 2025b). </w:t>
      </w:r>
    </w:p>
    <w:p w14:paraId="5805560C"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Cadbury's long-standing brand proposition, </w:t>
      </w:r>
      <w:r>
        <w:rPr>
          <w:rFonts w:ascii="Arial" w:hAnsi="Arial" w:cs="Arial"/>
          <w:b/>
          <w:bCs/>
          <w:color w:val="000000"/>
          <w:kern w:val="0"/>
        </w:rPr>
        <w:t>"There's a Glass and a Half in Everyone,"</w:t>
      </w:r>
      <w:r>
        <w:rPr>
          <w:rFonts w:ascii="Arial" w:hAnsi="Arial" w:cs="Arial"/>
          <w:color w:val="000000"/>
          <w:kern w:val="0"/>
        </w:rPr>
        <w:t xml:space="preserve"> symbolises generosity, happiness and emotional connection, enabling the brand to establish strong consumer loyalty across culturally diverse markets. </w:t>
      </w:r>
      <w:r>
        <w:rPr>
          <w:rFonts w:ascii="Arial" w:hAnsi="Arial" w:cs="Arial"/>
          <w:color w:val="000000"/>
          <w:kern w:val="0"/>
        </w:rPr>
        <w:lastRenderedPageBreak/>
        <w:t xml:space="preserve">Contemporary marketing literature suggests that Cadbury's competitive advantage lies in its ability to balance global brand consistency with local market adaptation by tailoring products, promotional campaigns and customer engagement strategies to different cultural and economic environments (Kotler, Keller and Chernev, 2022; </w:t>
      </w:r>
      <w:proofErr w:type="spellStart"/>
      <w:r>
        <w:rPr>
          <w:rFonts w:ascii="Arial" w:hAnsi="Arial" w:cs="Arial"/>
          <w:color w:val="000000"/>
          <w:kern w:val="0"/>
        </w:rPr>
        <w:t>Czinkota</w:t>
      </w:r>
      <w:proofErr w:type="spellEnd"/>
      <w:r>
        <w:rPr>
          <w:rFonts w:ascii="Arial" w:hAnsi="Arial" w:cs="Arial"/>
          <w:color w:val="000000"/>
          <w:kern w:val="0"/>
        </w:rPr>
        <w:t xml:space="preserve">, Ronkainen and Cui, 2021). Furthermore, recent sustainability research highlights that investments in ethical cocoa sourcing, responsible supply chain management and the </w:t>
      </w:r>
      <w:r>
        <w:rPr>
          <w:rFonts w:ascii="Arial" w:hAnsi="Arial" w:cs="Arial"/>
          <w:b/>
          <w:bCs/>
          <w:color w:val="000000"/>
          <w:kern w:val="0"/>
        </w:rPr>
        <w:t>Cocoa Life</w:t>
      </w:r>
      <w:r>
        <w:rPr>
          <w:rFonts w:ascii="Arial" w:hAnsi="Arial" w:cs="Arial"/>
          <w:color w:val="000000"/>
          <w:kern w:val="0"/>
        </w:rPr>
        <w:t xml:space="preserve"> programme have strengthened Cadbury's corporate reputation while addressing growing stakeholder expectations regarding environmental and social responsibility (Mondelēz International, 2025c). </w:t>
      </w:r>
    </w:p>
    <w:p w14:paraId="1EB44E71"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1775DE6F" w14:textId="77777777"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2" w:name="_Toc236841346"/>
      <w:r w:rsidRPr="006C0151">
        <w:rPr>
          <w:rFonts w:ascii="Arial" w:hAnsi="Arial" w:cs="Arial"/>
          <w:b/>
          <w:bCs/>
          <w:color w:val="000000" w:themeColor="text1"/>
          <w:sz w:val="24"/>
          <w:szCs w:val="24"/>
        </w:rPr>
        <w:t>3. PESTEL Analysis</w:t>
      </w:r>
      <w:bookmarkEnd w:id="2"/>
    </w:p>
    <w:p w14:paraId="164417D0"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PESTEL analysis is a strategic framework used to evaluate the external macro-environmental factors that influence an organisation's business operations and strategic decision-making. The framework examines six key dimensions: </w:t>
      </w:r>
      <w:r>
        <w:rPr>
          <w:rFonts w:ascii="Arial" w:hAnsi="Arial" w:cs="Arial"/>
          <w:b/>
          <w:bCs/>
          <w:color w:val="000000"/>
          <w:kern w:val="0"/>
        </w:rPr>
        <w:t>Political, Economic, Social, Technological, Environmental and Legal</w:t>
      </w:r>
      <w:r>
        <w:rPr>
          <w:rFonts w:ascii="Arial" w:hAnsi="Arial" w:cs="Arial"/>
          <w:color w:val="000000"/>
          <w:kern w:val="0"/>
        </w:rPr>
        <w:t xml:space="preserve"> factors, enabling organisations to identify potential opportunities and threats within international markets (Johnson et al., 2020). In the context of Cadbury, PESTEL analysis provides a comprehensive understanding of the external business environments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highlighting how these factors influence the company's international marketing strategies, product adaptation, investment decisions and competitive position. By analysing these external conditions, Cadbury can respond effectively to changing market dynamics, strengthen its global competitiveness and achieve sustainable long-term growth (Kotler, Keller and Chernev, 2022; Keegan and Green, 2023).</w:t>
      </w:r>
    </w:p>
    <w:p w14:paraId="71EE3BAC" w14:textId="371BC548" w:rsidR="002016BC" w:rsidRDefault="002016BC" w:rsidP="002016BC">
      <w:pPr>
        <w:autoSpaceDE w:val="0"/>
        <w:autoSpaceDN w:val="0"/>
        <w:adjustRightInd w:val="0"/>
        <w:spacing w:after="240" w:line="360" w:lineRule="auto"/>
        <w:jc w:val="center"/>
        <w:rPr>
          <w:rFonts w:ascii="Arial" w:hAnsi="Arial" w:cs="Arial"/>
          <w:color w:val="000000"/>
          <w:kern w:val="0"/>
        </w:rPr>
      </w:pPr>
      <w:r>
        <w:rPr>
          <w:noProof/>
        </w:rPr>
        <w:lastRenderedPageBreak/>
        <w:drawing>
          <wp:inline distT="0" distB="0" distL="0" distR="0" wp14:anchorId="4F114CF1" wp14:editId="75E396C4">
            <wp:extent cx="4914900" cy="3688080"/>
            <wp:effectExtent l="0" t="0" r="0" b="7620"/>
            <wp:docPr id="110989536" name="Picture 1" descr="Marketing Theories – PESTEL Analysis Terms and Cond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 PESTEL Analysis Terms and Cond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00" cy="3688080"/>
                    </a:xfrm>
                    <a:prstGeom prst="rect">
                      <a:avLst/>
                    </a:prstGeom>
                    <a:noFill/>
                    <a:ln>
                      <a:noFill/>
                    </a:ln>
                  </pic:spPr>
                </pic:pic>
              </a:graphicData>
            </a:graphic>
          </wp:inline>
        </w:drawing>
      </w:r>
    </w:p>
    <w:p w14:paraId="4BB14F69" w14:textId="34BFB7E0" w:rsidR="002016BC" w:rsidRDefault="002016BC" w:rsidP="002016BC">
      <w:pPr>
        <w:autoSpaceDE w:val="0"/>
        <w:autoSpaceDN w:val="0"/>
        <w:adjustRightInd w:val="0"/>
        <w:spacing w:after="240" w:line="360" w:lineRule="auto"/>
        <w:jc w:val="center"/>
        <w:rPr>
          <w:rFonts w:ascii="Arial" w:hAnsi="Arial" w:cs="Arial"/>
          <w:color w:val="000000"/>
          <w:kern w:val="0"/>
        </w:rPr>
      </w:pPr>
      <w:r>
        <w:rPr>
          <w:rFonts w:ascii="Arial" w:hAnsi="Arial" w:cs="Arial"/>
          <w:color w:val="000000"/>
          <w:kern w:val="0"/>
        </w:rPr>
        <w:t xml:space="preserve">Source from Google </w:t>
      </w:r>
    </w:p>
    <w:p w14:paraId="3134DA9C" w14:textId="7EC7B46D" w:rsidR="002016BC" w:rsidRPr="002016BC" w:rsidRDefault="002016BC" w:rsidP="002016BC">
      <w:pPr>
        <w:autoSpaceDE w:val="0"/>
        <w:autoSpaceDN w:val="0"/>
        <w:adjustRightInd w:val="0"/>
        <w:spacing w:after="240" w:line="360" w:lineRule="auto"/>
        <w:jc w:val="center"/>
        <w:rPr>
          <w:rFonts w:ascii="Arial" w:hAnsi="Arial" w:cs="Arial"/>
          <w:color w:val="000000"/>
          <w:kern w:val="0"/>
          <w:sz w:val="4"/>
          <w:szCs w:val="4"/>
        </w:rPr>
      </w:pPr>
      <w:r w:rsidRPr="002016BC">
        <w:rPr>
          <w:rFonts w:ascii="Arial" w:hAnsi="Arial" w:cs="Arial"/>
          <w:color w:val="000000"/>
          <w:kern w:val="0"/>
          <w:sz w:val="4"/>
          <w:szCs w:val="4"/>
        </w:rPr>
        <w:t>https://www.google.com/search?q=pestel+analysis+diagram&amp;rlz=1C1CHBF_enIN974IN974&amp;oq=Pestel+&amp;gs_lcrp=EgZjaHJvbWUqCAgBEEUYJxg7MgYIABBFGDkyCAgBEEUYJxg7MgoIAhAAGLEDGIAEMgcIAxAAGIAEMgcIBBAAGIAEMgcIBRAAGIAEMgcIBhAAGIAEMgcIBxAAGIAEMgcICBAAGIAEMgkICRAAGAoYgATSAQk3NDc1ajBqMTWoAgiwAgHxBWzE3pGHrL-X8QVsxN6Rh6y_lw&amp;sourceid=chrome&amp;source=chrome.rb&amp;ie=UTF-8#sv=CAMSZxowKg5yRTdnRWlPem5kM3pNTTIOckU3Z0VpT3puZDN6TU06Dkk1TVJQckdjQW5LQVFNIAQqLwobX19fVjZhbzM3Q05pNmhiSVAxX0tPZ1FzXzQ4Eg5yRTdnRWlPem5kM3pNTRgAMAEYByDpsuetD0oIEAEYASABKAE</w:t>
      </w:r>
    </w:p>
    <w:p w14:paraId="601010FB" w14:textId="77777777"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3" w:name="_Toc236841347"/>
      <w:r w:rsidRPr="006C0151">
        <w:rPr>
          <w:rFonts w:ascii="Arial" w:hAnsi="Arial" w:cs="Arial"/>
          <w:b/>
          <w:bCs/>
          <w:color w:val="000000" w:themeColor="text1"/>
          <w:sz w:val="24"/>
          <w:szCs w:val="24"/>
        </w:rPr>
        <w:t>3.1 Political Factors</w:t>
      </w:r>
      <w:bookmarkEnd w:id="3"/>
    </w:p>
    <w:p w14:paraId="383D3448" w14:textId="5DA0B5C5" w:rsidR="002C6328" w:rsidRDefault="002C6328" w:rsidP="002C6328">
      <w:pPr>
        <w:tabs>
          <w:tab w:val="left" w:pos="20"/>
          <w:tab w:val="left" w:pos="392"/>
        </w:tabs>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India – Favourable</w:t>
      </w:r>
    </w:p>
    <w:p w14:paraId="11E21637"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India provides a </w:t>
      </w:r>
      <w:r>
        <w:rPr>
          <w:rFonts w:ascii="Arial" w:hAnsi="Arial" w:cs="Arial"/>
          <w:b/>
          <w:bCs/>
          <w:color w:val="000000"/>
          <w:kern w:val="0"/>
        </w:rPr>
        <w:t>favourable political environment</w:t>
      </w:r>
      <w:r>
        <w:rPr>
          <w:rFonts w:ascii="Arial" w:hAnsi="Arial" w:cs="Arial"/>
          <w:color w:val="000000"/>
          <w:kern w:val="0"/>
        </w:rPr>
        <w:t xml:space="preserve"> for Cadbury due to its stable democratic governance, pro-business reforms and continuous government support for the food processing and manufacturing sectors. Initiatives such as </w:t>
      </w:r>
      <w:r>
        <w:rPr>
          <w:rFonts w:ascii="Arial" w:hAnsi="Arial" w:cs="Arial"/>
          <w:b/>
          <w:bCs/>
          <w:color w:val="000000"/>
          <w:kern w:val="0"/>
        </w:rPr>
        <w:t>Make in India</w:t>
      </w:r>
      <w:r>
        <w:rPr>
          <w:rFonts w:ascii="Arial" w:hAnsi="Arial" w:cs="Arial"/>
          <w:color w:val="000000"/>
          <w:kern w:val="0"/>
        </w:rPr>
        <w:t xml:space="preserve"> and the liberalisation of </w:t>
      </w:r>
      <w:r>
        <w:rPr>
          <w:rFonts w:ascii="Arial" w:hAnsi="Arial" w:cs="Arial"/>
          <w:b/>
          <w:bCs/>
          <w:color w:val="000000"/>
          <w:kern w:val="0"/>
        </w:rPr>
        <w:t>Foreign Direct Investment (FDI)</w:t>
      </w:r>
      <w:r>
        <w:rPr>
          <w:rFonts w:ascii="Arial" w:hAnsi="Arial" w:cs="Arial"/>
          <w:color w:val="000000"/>
          <w:kern w:val="0"/>
        </w:rPr>
        <w:t xml:space="preserve"> policies have encouraged multinational companies, including Mondelēz India, to expand local production and strengthen domestic supply chains. Furthermore, the Indian government's investment in transport infrastructure and digital logistics has improved product distribution across urban and rural markets, enabling Cadbury to increase market penetration. The </w:t>
      </w:r>
      <w:r>
        <w:rPr>
          <w:rFonts w:ascii="Arial" w:hAnsi="Arial" w:cs="Arial"/>
          <w:b/>
          <w:bCs/>
          <w:color w:val="000000"/>
          <w:kern w:val="0"/>
        </w:rPr>
        <w:t>Food Safety and Standards Authority of India (FSSAI)</w:t>
      </w:r>
      <w:r>
        <w:rPr>
          <w:rFonts w:ascii="Arial" w:hAnsi="Arial" w:cs="Arial"/>
          <w:color w:val="000000"/>
          <w:kern w:val="0"/>
        </w:rPr>
        <w:t xml:space="preserve"> also maintains clear food safety and labelling regulations, enhancing consumer confidence in branded confectionery products. However, frequent policy amendments relating to food packaging, sugar content and taxation require continuous regulatory compliance, increasing operational costs. Overall, India's supportive political framework encourages investment, </w:t>
      </w:r>
      <w:r>
        <w:rPr>
          <w:rFonts w:ascii="Arial" w:hAnsi="Arial" w:cs="Arial"/>
          <w:color w:val="000000"/>
          <w:kern w:val="0"/>
        </w:rPr>
        <w:lastRenderedPageBreak/>
        <w:t>innovation and long-term business expansion, making it an attractive market for Cadbury's international marketing strategy (Government of India, 2025; FSSAI, 2025; Mondelēz International, 2025).</w:t>
      </w:r>
    </w:p>
    <w:p w14:paraId="2A7B250A" w14:textId="7EE184DF" w:rsidR="002C6328" w:rsidRDefault="002C6328" w:rsidP="002C6328">
      <w:pPr>
        <w:tabs>
          <w:tab w:val="left" w:pos="20"/>
          <w:tab w:val="left" w:pos="392"/>
        </w:tabs>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United States – Favourable</w:t>
      </w:r>
    </w:p>
    <w:p w14:paraId="42CD5C14"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also provides a </w:t>
      </w:r>
      <w:r>
        <w:rPr>
          <w:rFonts w:ascii="Arial" w:hAnsi="Arial" w:cs="Arial"/>
          <w:b/>
          <w:bCs/>
          <w:color w:val="000000"/>
          <w:kern w:val="0"/>
        </w:rPr>
        <w:t>favourable political environment</w:t>
      </w:r>
      <w:r>
        <w:rPr>
          <w:rFonts w:ascii="Arial" w:hAnsi="Arial" w:cs="Arial"/>
          <w:color w:val="000000"/>
          <w:kern w:val="0"/>
        </w:rPr>
        <w:t xml:space="preserve"> for Cadbury because of its stable political institutions, transparent regulatory system and strong protection of intellectual property rights. These factors create a predictable business climate that supports long-term investment and brand development. Regulatory authorities such as the </w:t>
      </w:r>
      <w:r>
        <w:rPr>
          <w:rFonts w:ascii="Arial" w:hAnsi="Arial" w:cs="Arial"/>
          <w:b/>
          <w:bCs/>
          <w:color w:val="000000"/>
          <w:kern w:val="0"/>
        </w:rPr>
        <w:t>U.S. Food and Drug Administration (FDA)</w:t>
      </w:r>
      <w:r>
        <w:rPr>
          <w:rFonts w:ascii="Arial" w:hAnsi="Arial" w:cs="Arial"/>
          <w:color w:val="000000"/>
          <w:kern w:val="0"/>
        </w:rPr>
        <w:t xml:space="preserve"> enforce strict food safety, nutritional labelling and quality standards, helping to maintain consumer trust and fair market competition. In addition, government support for innovation, advanced manufacturing and digital commerce strengthens the operating environment for multinational food companies. Nevertheless, evolving food regulations, public health policies and trade-related measures can increase compliance costs and influence product formulation and marketing strategies. Despite these challenges, the United States remains an attractive political environment due to its policy stability, efficient legal institutions and strong support for business innovation, allowing Cadbury to compete effectively within one of the world's largest confectionery markets (U.S. Food and Drug Administration, 2025; U.S. Department of Commerce, 2025; Mondelēz International, 2025).</w:t>
      </w:r>
    </w:p>
    <w:p w14:paraId="3FBAF5AF"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7177E664" w14:textId="77777777"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4" w:name="_Toc236841348"/>
      <w:r w:rsidRPr="006C0151">
        <w:rPr>
          <w:rFonts w:ascii="Arial" w:hAnsi="Arial" w:cs="Arial"/>
          <w:b/>
          <w:bCs/>
          <w:color w:val="000000" w:themeColor="text1"/>
          <w:sz w:val="24"/>
          <w:szCs w:val="24"/>
        </w:rPr>
        <w:t>3.2 Economic Factors</w:t>
      </w:r>
      <w:bookmarkEnd w:id="4"/>
    </w:p>
    <w:p w14:paraId="2801700E" w14:textId="77777777" w:rsidR="002C6328" w:rsidRDefault="002C6328" w:rsidP="002C6328">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India – Favourable</w:t>
      </w:r>
    </w:p>
    <w:p w14:paraId="4323EE57"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India provides a </w:t>
      </w:r>
      <w:r>
        <w:rPr>
          <w:rFonts w:ascii="Arial" w:hAnsi="Arial" w:cs="Arial"/>
          <w:b/>
          <w:bCs/>
          <w:color w:val="000000"/>
          <w:kern w:val="0"/>
        </w:rPr>
        <w:t>favourable economic environment</w:t>
      </w:r>
      <w:r>
        <w:rPr>
          <w:rFonts w:ascii="Arial" w:hAnsi="Arial" w:cs="Arial"/>
          <w:color w:val="000000"/>
          <w:kern w:val="0"/>
        </w:rPr>
        <w:t xml:space="preserve"> for Cadbury due to its rapidly expanding economy, rising disposable incomes and growing middle-class population, which continue to increase demand for branded confectionery products. According to the International Monetary Fund (IMF, 2025), India's GDP growth remained among the highest globally at approximately </w:t>
      </w:r>
      <w:r>
        <w:rPr>
          <w:rFonts w:ascii="Arial" w:hAnsi="Arial" w:cs="Arial"/>
          <w:b/>
          <w:bCs/>
          <w:color w:val="000000"/>
          <w:kern w:val="0"/>
        </w:rPr>
        <w:t>6.5% in 2025</w:t>
      </w:r>
      <w:r>
        <w:rPr>
          <w:rFonts w:ascii="Arial" w:hAnsi="Arial" w:cs="Arial"/>
          <w:color w:val="000000"/>
          <w:kern w:val="0"/>
        </w:rPr>
        <w:t xml:space="preserve">, supported by strong domestic consumption and private investment. This economic expansion has enabled Cadbury, operated by Mondelēz India, to strengthen its market leadership by introducing </w:t>
      </w:r>
      <w:r>
        <w:rPr>
          <w:rFonts w:ascii="Arial" w:hAnsi="Arial" w:cs="Arial"/>
          <w:color w:val="000000"/>
          <w:kern w:val="0"/>
        </w:rPr>
        <w:lastRenderedPageBreak/>
        <w:t>products across multiple price segments, ranging from affordable chocolates for rural consumers to premium gift packs for urban markets. Furthermore, the rapid growth of organised retail and e-commerce platforms has expanded Cadbury's distribution network, improving product accessibility across metropolitan and semi-urban regions. However, inflationary pressures and fluctuations in cocoa and sugar prices continue to increase production costs, requiring Cadbury to adopt strategic pricing and smaller packaging formats to maintain affordability. Overall, India's strong economic fundamentals provide significant opportunities for Cadbury to expand its customer base and achieve sustainable long-term growth (IMF, 2025; World Bank, 2025; Mondelēz International, 2025).</w:t>
      </w:r>
    </w:p>
    <w:p w14:paraId="5693D32F" w14:textId="6C8499A0" w:rsidR="002C6328" w:rsidRDefault="002C6328" w:rsidP="002C6328">
      <w:pPr>
        <w:tabs>
          <w:tab w:val="left" w:pos="20"/>
          <w:tab w:val="left" w:pos="392"/>
        </w:tabs>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United States – Favourable</w:t>
      </w:r>
    </w:p>
    <w:p w14:paraId="36A4F114"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also offers a </w:t>
      </w:r>
      <w:r>
        <w:rPr>
          <w:rFonts w:ascii="Arial" w:hAnsi="Arial" w:cs="Arial"/>
          <w:b/>
          <w:bCs/>
          <w:color w:val="000000"/>
          <w:kern w:val="0"/>
        </w:rPr>
        <w:t>favourable economic environment</w:t>
      </w:r>
      <w:r>
        <w:rPr>
          <w:rFonts w:ascii="Arial" w:hAnsi="Arial" w:cs="Arial"/>
          <w:color w:val="000000"/>
          <w:kern w:val="0"/>
        </w:rPr>
        <w:t xml:space="preserve"> as it possesses one of the world's largest consumer markets, characterised by high purchasing power, advanced retail infrastructure and stable financial systems. Despite moderate GDP growth of around </w:t>
      </w:r>
      <w:r>
        <w:rPr>
          <w:rFonts w:ascii="Arial" w:hAnsi="Arial" w:cs="Arial"/>
          <w:b/>
          <w:bCs/>
          <w:color w:val="000000"/>
          <w:kern w:val="0"/>
        </w:rPr>
        <w:t>2% in 2025</w:t>
      </w:r>
      <w:r>
        <w:rPr>
          <w:rFonts w:ascii="Arial" w:hAnsi="Arial" w:cs="Arial"/>
          <w:color w:val="000000"/>
          <w:kern w:val="0"/>
        </w:rPr>
        <w:t>, consumer spending on premium confectionery and convenience foods remains resilient, creating valuable opportunities for Cadbury within the highly competitive chocolate industry (IMF, 2025). The country's mature supermarket chains, digital retail platforms and efficient logistics networks enable Cadbury to distribute products effectively and reach a broad customer base. Nevertheless, persistent inflation, higher labour costs and volatility in cocoa prices have increased operational expenses for confectionery manufacturers, placing pressure on profit margins. Additionally, intense competition from established brands such as Hershey and Mars requires Cadbury to invest continuously in product innovation, premium positioning and marketing campaigns to sustain market share. Despite these challenges, the United States remains an economically attractive market because of its high consumer expenditure and well-developed commercial infrastructure, supporting Cadbury's long-term international marketing strategy (U.S. Bureau of Economic Analysis, 2025; IMF, 2025; Mondelēz International, 2025).</w:t>
      </w:r>
    </w:p>
    <w:p w14:paraId="3B7099B0"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2CBCF0C6" w14:textId="676D9925" w:rsidR="002C6328" w:rsidRPr="006C0151" w:rsidRDefault="002C6328" w:rsidP="006C0151">
      <w:pPr>
        <w:pStyle w:val="Heading1"/>
        <w:spacing w:line="360" w:lineRule="auto"/>
        <w:jc w:val="both"/>
        <w:rPr>
          <w:rFonts w:ascii="Arial" w:hAnsi="Arial" w:cs="Arial"/>
          <w:b/>
          <w:bCs/>
          <w:color w:val="000000" w:themeColor="text1"/>
          <w:sz w:val="24"/>
          <w:szCs w:val="24"/>
        </w:rPr>
      </w:pPr>
      <w:bookmarkStart w:id="5" w:name="_Toc236841349"/>
      <w:r w:rsidRPr="006C0151">
        <w:rPr>
          <w:rFonts w:ascii="Arial" w:hAnsi="Arial" w:cs="Arial"/>
          <w:b/>
          <w:bCs/>
          <w:color w:val="000000" w:themeColor="text1"/>
          <w:sz w:val="24"/>
          <w:szCs w:val="24"/>
        </w:rPr>
        <w:t>3.3 Social Factors</w:t>
      </w:r>
      <w:bookmarkEnd w:id="5"/>
    </w:p>
    <w:p w14:paraId="2A7AB998" w14:textId="50293FD8" w:rsidR="002C6328" w:rsidRDefault="002C6328" w:rsidP="002C6328">
      <w:pPr>
        <w:tabs>
          <w:tab w:val="left" w:pos="20"/>
          <w:tab w:val="left" w:pos="392"/>
        </w:tabs>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India – Favourable</w:t>
      </w:r>
    </w:p>
    <w:p w14:paraId="1265F348"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India provides a </w:t>
      </w:r>
      <w:r>
        <w:rPr>
          <w:rFonts w:ascii="Arial" w:hAnsi="Arial" w:cs="Arial"/>
          <w:b/>
          <w:bCs/>
          <w:color w:val="000000"/>
          <w:kern w:val="0"/>
        </w:rPr>
        <w:t>favourable social environment</w:t>
      </w:r>
      <w:r>
        <w:rPr>
          <w:rFonts w:ascii="Arial" w:hAnsi="Arial" w:cs="Arial"/>
          <w:color w:val="000000"/>
          <w:kern w:val="0"/>
        </w:rPr>
        <w:t xml:space="preserve"> for Cadbury due to its large and youthful population, rising disposable incomes and strong cultural association between chocolates and celebrations. Unlike many Western markets where chocolate is primarily viewed as a snack, Cadbury has successfully positioned its products as symbols of happiness, gifting and family bonding during festivals such as </w:t>
      </w:r>
      <w:r>
        <w:rPr>
          <w:rFonts w:ascii="Arial" w:hAnsi="Arial" w:cs="Arial"/>
          <w:b/>
          <w:bCs/>
          <w:color w:val="000000"/>
          <w:kern w:val="0"/>
        </w:rPr>
        <w:t>Diwali, Raksha Bandhan and Holi</w:t>
      </w:r>
      <w:r>
        <w:rPr>
          <w:rFonts w:ascii="Arial" w:hAnsi="Arial" w:cs="Arial"/>
          <w:color w:val="000000"/>
          <w:kern w:val="0"/>
        </w:rPr>
        <w:t xml:space="preserve">. This localisation strategy has enabled Cadbury to build strong emotional connections with Indian consumers through campaigns such as </w:t>
      </w:r>
      <w:r>
        <w:rPr>
          <w:rFonts w:ascii="Arial" w:hAnsi="Arial" w:cs="Arial"/>
          <w:i/>
          <w:iCs/>
          <w:color w:val="000000"/>
          <w:kern w:val="0"/>
        </w:rPr>
        <w:t xml:space="preserve">"Kuch Meetha Ho </w:t>
      </w:r>
      <w:proofErr w:type="spellStart"/>
      <w:r>
        <w:rPr>
          <w:rFonts w:ascii="Arial" w:hAnsi="Arial" w:cs="Arial"/>
          <w:i/>
          <w:iCs/>
          <w:color w:val="000000"/>
          <w:kern w:val="0"/>
        </w:rPr>
        <w:t>Jaaye</w:t>
      </w:r>
      <w:proofErr w:type="spellEnd"/>
      <w:r>
        <w:rPr>
          <w:rFonts w:ascii="Arial" w:hAnsi="Arial" w:cs="Arial"/>
          <w:i/>
          <w:iCs/>
          <w:color w:val="000000"/>
          <w:kern w:val="0"/>
        </w:rPr>
        <w:t>"</w:t>
      </w:r>
      <w:r>
        <w:rPr>
          <w:rFonts w:ascii="Arial" w:hAnsi="Arial" w:cs="Arial"/>
          <w:color w:val="000000"/>
          <w:kern w:val="0"/>
        </w:rPr>
        <w:t xml:space="preserve"> ("Let's Have Something Sweet"), which aligns chocolate consumption with traditional customs. Furthermore, increasing urbanisation, changing lifestyles and growing demand for premium confectionery have encouraged Cadbury to diversify its product portfolio while maintaining affordable options for price-sensitive consumers. However, rising health consciousness and increasing concerns regarding sugar consumption have encouraged consumers to seek healthier snack alternatives, requiring Cadbury to invest in product innovation and responsible marketing. Overall, India's evolving social trends continue to support Cadbury's market leadership and long-term brand growth (Kotler, Keller and Chernev, 2022; Mondelēz International, 2025; Euromonitor International, 2025).</w:t>
      </w:r>
    </w:p>
    <w:p w14:paraId="5E0EC63F" w14:textId="77777777" w:rsidR="002C6328" w:rsidRDefault="002C6328" w:rsidP="002C6328">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United States – Favourable</w:t>
      </w:r>
    </w:p>
    <w:p w14:paraId="364BA71A"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presents a </w:t>
      </w:r>
      <w:r>
        <w:rPr>
          <w:rFonts w:ascii="Arial" w:hAnsi="Arial" w:cs="Arial"/>
          <w:b/>
          <w:bCs/>
          <w:color w:val="000000"/>
          <w:kern w:val="0"/>
        </w:rPr>
        <w:t>moderately favourable social environment</w:t>
      </w:r>
      <w:r>
        <w:rPr>
          <w:rFonts w:ascii="Arial" w:hAnsi="Arial" w:cs="Arial"/>
          <w:color w:val="000000"/>
          <w:kern w:val="0"/>
        </w:rPr>
        <w:t xml:space="preserve"> for Cadbury because consumers have high purchasing power and well-established chocolate consumption habits. Demand remains strong for premium confectionery products, particularly during seasonal occasions such as Halloween, Easter, Christmas and Valentine's Day. However, the U.S. confectionery market is characterised by intense competition from dominant domestic brands such as Hershey and Mars, making it more challenging for Cadbury to strengthen its market position. In addition, changing consumer preferences towards healthier lifestyles, lower-sugar products and clean-label ingredients have significantly influenced purchasing behaviour. Consumers increasingly expect transparency regarding nutritional information, sustainable sourcing and corporate responsibility when choosing confectionery brands. Consequently, Cadbury must continuously adapt its product portfolio and marketing communications to meet evolving consumer expectations while maintaining its premium British heritage and emotional brand identity. These </w:t>
      </w:r>
      <w:r>
        <w:rPr>
          <w:rFonts w:ascii="Arial" w:hAnsi="Arial" w:cs="Arial"/>
          <w:color w:val="000000"/>
          <w:kern w:val="0"/>
        </w:rPr>
        <w:lastRenderedPageBreak/>
        <w:t>social trends create opportunities for innovation but also require continuous investment in consumer engagement and healthier product development (NCA, 2025; Kotler, Keller and Chernev, 2022; Mondelēz International, 2025).</w:t>
      </w:r>
    </w:p>
    <w:p w14:paraId="08E9459B" w14:textId="77777777" w:rsidR="002C6328" w:rsidRPr="006C0151" w:rsidRDefault="002C6328" w:rsidP="006C0151">
      <w:pPr>
        <w:pStyle w:val="Heading1"/>
        <w:spacing w:line="360" w:lineRule="auto"/>
        <w:jc w:val="both"/>
        <w:rPr>
          <w:rFonts w:ascii="Arial" w:hAnsi="Arial" w:cs="Arial"/>
          <w:b/>
          <w:bCs/>
          <w:color w:val="000000"/>
          <w:kern w:val="0"/>
          <w:sz w:val="24"/>
          <w:szCs w:val="24"/>
        </w:rPr>
      </w:pPr>
      <w:bookmarkStart w:id="6" w:name="_Toc236841350"/>
      <w:r w:rsidRPr="006C0151">
        <w:rPr>
          <w:rFonts w:ascii="Arial" w:hAnsi="Arial" w:cs="Arial"/>
          <w:b/>
          <w:bCs/>
          <w:color w:val="000000"/>
          <w:kern w:val="0"/>
          <w:sz w:val="24"/>
          <w:szCs w:val="24"/>
        </w:rPr>
        <w:t>4. Hofstede's Cultural Dimensions Framework</w:t>
      </w:r>
      <w:bookmarkEnd w:id="6"/>
    </w:p>
    <w:p w14:paraId="47436D2D" w14:textId="77777777" w:rsidR="002C6328" w:rsidRDefault="002C6328" w:rsidP="002C6328">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Hofstede's Cultural Dimensions Framework is a widely recognised model for analysing how cultural values influence consumer behaviour, communication, decision-making and business practices across international markets. The framework evaluates six cultural dimensions that help multinational organisations understand differences in national cultures and develop market-specific strategies (Hofstede, 2011). In this report, the framework is applied to compare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to examine how cultural variations influence Cadbury's consumer preferences, branding, promotional activities and product adaptation. Understanding these cultural differences enables Cadbury to design effective international marketing strategies, strengthen customer relationships and achieve sustainable competitive advantage in both markets (Kotler, Keller and Chernev, 2022; Keegan and Green, 2023).</w:t>
      </w:r>
    </w:p>
    <w:p w14:paraId="55543346"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68959766" w14:textId="358D6EE5"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r w:rsidRPr="002C6328">
        <w:rPr>
          <w:rFonts w:ascii="Arial" w:hAnsi="Arial" w:cs="Arial"/>
          <w:noProof/>
          <w:color w:val="000000"/>
          <w:kern w:val="0"/>
        </w:rPr>
        <w:drawing>
          <wp:inline distT="0" distB="0" distL="0" distR="0" wp14:anchorId="0DE41E7C" wp14:editId="3FFEE425">
            <wp:extent cx="5731510" cy="2578971"/>
            <wp:effectExtent l="0" t="0" r="0" b="0"/>
            <wp:docPr id="190480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806062" name=""/>
                    <pic:cNvPicPr/>
                  </pic:nvPicPr>
                  <pic:blipFill>
                    <a:blip r:embed="rId8"/>
                    <a:stretch>
                      <a:fillRect/>
                    </a:stretch>
                  </pic:blipFill>
                  <pic:spPr>
                    <a:xfrm>
                      <a:off x="0" y="0"/>
                      <a:ext cx="5786593" cy="2603756"/>
                    </a:xfrm>
                    <a:prstGeom prst="rect">
                      <a:avLst/>
                    </a:prstGeom>
                  </pic:spPr>
                </pic:pic>
              </a:graphicData>
            </a:graphic>
          </wp:inline>
        </w:drawing>
      </w:r>
    </w:p>
    <w:p w14:paraId="0E2C255A" w14:textId="77777777" w:rsidR="0050538C" w:rsidRDefault="00BD2A57" w:rsidP="0050538C">
      <w:pPr>
        <w:tabs>
          <w:tab w:val="left" w:pos="20"/>
          <w:tab w:val="left" w:pos="392"/>
        </w:tabs>
        <w:autoSpaceDE w:val="0"/>
        <w:autoSpaceDN w:val="0"/>
        <w:adjustRightInd w:val="0"/>
        <w:spacing w:after="280" w:line="360" w:lineRule="auto"/>
        <w:jc w:val="center"/>
        <w:rPr>
          <w:rFonts w:ascii="Arial" w:hAnsi="Arial" w:cs="Arial"/>
          <w:color w:val="000000"/>
          <w:kern w:val="0"/>
        </w:rPr>
      </w:pPr>
      <w:r>
        <w:rPr>
          <w:rFonts w:ascii="Arial" w:hAnsi="Arial" w:cs="Arial"/>
          <w:color w:val="000000"/>
          <w:kern w:val="0"/>
        </w:rPr>
        <w:t>Source from google</w:t>
      </w:r>
    </w:p>
    <w:p w14:paraId="538BB371" w14:textId="4EA1B866" w:rsidR="00E61236" w:rsidRDefault="00BD2A57" w:rsidP="0050538C">
      <w:pPr>
        <w:tabs>
          <w:tab w:val="left" w:pos="20"/>
          <w:tab w:val="left" w:pos="392"/>
        </w:tabs>
        <w:autoSpaceDE w:val="0"/>
        <w:autoSpaceDN w:val="0"/>
        <w:adjustRightInd w:val="0"/>
        <w:spacing w:after="280" w:line="360" w:lineRule="auto"/>
        <w:jc w:val="center"/>
        <w:rPr>
          <w:rFonts w:ascii="Arial" w:hAnsi="Arial" w:cs="Arial"/>
          <w:color w:val="000000"/>
          <w:kern w:val="0"/>
        </w:rPr>
      </w:pPr>
      <w:r>
        <w:rPr>
          <w:rFonts w:ascii="Arial" w:hAnsi="Arial" w:cs="Arial"/>
          <w:color w:val="000000"/>
          <w:kern w:val="0"/>
        </w:rPr>
        <w:t>(</w:t>
      </w:r>
      <w:hyperlink r:id="rId9" w:history="1">
        <w:r w:rsidR="0050538C" w:rsidRPr="00B62AC6">
          <w:rPr>
            <w:rStyle w:val="Hyperlink"/>
            <w:rFonts w:ascii="Arial" w:hAnsi="Arial" w:cs="Arial"/>
            <w:kern w:val="0"/>
          </w:rPr>
          <w:t>https://www.theculturefactor.com/country-comparison-tool</w:t>
        </w:r>
      </w:hyperlink>
      <w:r w:rsidR="0050538C">
        <w:rPr>
          <w:rFonts w:ascii="Arial" w:hAnsi="Arial" w:cs="Arial"/>
          <w:color w:val="000000"/>
          <w:kern w:val="0"/>
        </w:rPr>
        <w:t xml:space="preserve"> </w:t>
      </w:r>
      <w:r>
        <w:rPr>
          <w:rFonts w:ascii="Arial" w:hAnsi="Arial" w:cs="Arial"/>
          <w:color w:val="000000"/>
          <w:kern w:val="0"/>
        </w:rPr>
        <w:t>)</w:t>
      </w:r>
    </w:p>
    <w:p w14:paraId="62F8BE51" w14:textId="0B983F17" w:rsidR="00E73A14" w:rsidRPr="006C0151" w:rsidRDefault="00E73A14" w:rsidP="006C0151">
      <w:pPr>
        <w:pStyle w:val="Heading1"/>
        <w:spacing w:line="360" w:lineRule="auto"/>
        <w:jc w:val="both"/>
        <w:rPr>
          <w:rFonts w:ascii="Arial" w:hAnsi="Arial" w:cs="Arial"/>
          <w:b/>
          <w:bCs/>
          <w:color w:val="000000"/>
          <w:kern w:val="0"/>
          <w:sz w:val="24"/>
          <w:szCs w:val="24"/>
        </w:rPr>
      </w:pPr>
      <w:bookmarkStart w:id="7" w:name="_Toc236841351"/>
      <w:r w:rsidRPr="006C0151">
        <w:rPr>
          <w:rFonts w:ascii="Arial" w:hAnsi="Arial" w:cs="Arial"/>
          <w:b/>
          <w:bCs/>
          <w:color w:val="000000"/>
          <w:kern w:val="0"/>
          <w:sz w:val="24"/>
          <w:szCs w:val="24"/>
        </w:rPr>
        <w:lastRenderedPageBreak/>
        <w:t>Hofstede's Cultural Dimensions Framework for India and the United States</w:t>
      </w:r>
      <w:bookmarkEnd w:id="7"/>
    </w:p>
    <w:p w14:paraId="48B026D7" w14:textId="77777777" w:rsidR="002C6328" w:rsidRDefault="002C6328" w:rsidP="002C6328">
      <w:pPr>
        <w:tabs>
          <w:tab w:val="left" w:pos="20"/>
          <w:tab w:val="left" w:pos="392"/>
        </w:tabs>
        <w:autoSpaceDE w:val="0"/>
        <w:autoSpaceDN w:val="0"/>
        <w:adjustRightInd w:val="0"/>
        <w:spacing w:after="280" w:line="360" w:lineRule="auto"/>
        <w:jc w:val="both"/>
        <w:rPr>
          <w:rFonts w:ascii="Arial" w:hAnsi="Arial" w:cs="Arial"/>
          <w:color w:val="000000"/>
          <w:kern w:val="0"/>
        </w:rPr>
      </w:pPr>
    </w:p>
    <w:p w14:paraId="51378212" w14:textId="4C6DDC3D" w:rsidR="002C6328" w:rsidRPr="00EC22F3" w:rsidRDefault="00EC22F3" w:rsidP="00EC22F3">
      <w:pPr>
        <w:jc w:val="both"/>
        <w:rPr>
          <w:rFonts w:ascii="Arial" w:hAnsi="Arial" w:cs="Arial"/>
          <w:b/>
          <w:bCs/>
          <w:color w:val="000000"/>
          <w:kern w:val="0"/>
        </w:rPr>
      </w:pPr>
      <w:r>
        <w:rPr>
          <w:rFonts w:ascii="Arial" w:hAnsi="Arial" w:cs="Arial"/>
          <w:b/>
          <w:bCs/>
          <w:color w:val="000000"/>
          <w:kern w:val="0"/>
        </w:rPr>
        <w:t>1.</w:t>
      </w:r>
      <w:r w:rsidR="00E73A14" w:rsidRPr="00EC22F3">
        <w:rPr>
          <w:rFonts w:ascii="Arial" w:hAnsi="Arial" w:cs="Arial"/>
          <w:b/>
          <w:bCs/>
          <w:color w:val="000000"/>
          <w:kern w:val="0"/>
        </w:rPr>
        <w:t>Power Distance</w:t>
      </w:r>
    </w:p>
    <w:p w14:paraId="701F1FF1" w14:textId="77777777" w:rsidR="00E73A14" w:rsidRPr="00EC22F3" w:rsidRDefault="00E73A14" w:rsidP="00EC22F3">
      <w:pPr>
        <w:autoSpaceDE w:val="0"/>
        <w:autoSpaceDN w:val="0"/>
        <w:adjustRightInd w:val="0"/>
        <w:spacing w:after="240" w:line="360" w:lineRule="auto"/>
        <w:jc w:val="both"/>
        <w:rPr>
          <w:rFonts w:ascii="Arial" w:hAnsi="Arial" w:cs="Arial"/>
          <w:color w:val="000000"/>
          <w:kern w:val="0"/>
        </w:rPr>
      </w:pPr>
      <w:r w:rsidRPr="00EC22F3">
        <w:rPr>
          <w:rFonts w:ascii="Arial" w:hAnsi="Arial" w:cs="Arial"/>
          <w:b/>
          <w:bCs/>
          <w:color w:val="000000"/>
          <w:kern w:val="0"/>
        </w:rPr>
        <w:t>India (77):</w:t>
      </w:r>
      <w:r w:rsidRPr="00EC22F3">
        <w:rPr>
          <w:rFonts w:ascii="Times-Roman" w:hAnsi="Times-Roman" w:cs="Times-Roman"/>
          <w:color w:val="000000"/>
          <w:kern w:val="0"/>
        </w:rPr>
        <w:t xml:space="preserve"> </w:t>
      </w:r>
      <w:r w:rsidRPr="00EC22F3">
        <w:rPr>
          <w:rFonts w:ascii="Arial" w:hAnsi="Arial" w:cs="Arial"/>
          <w:color w:val="000000"/>
          <w:kern w:val="0"/>
        </w:rPr>
        <w:t xml:space="preserve">India scores </w:t>
      </w:r>
      <w:r w:rsidRPr="00EC22F3">
        <w:rPr>
          <w:rFonts w:ascii="Arial" w:hAnsi="Arial" w:cs="Arial"/>
          <w:b/>
          <w:bCs/>
          <w:color w:val="000000"/>
          <w:kern w:val="0"/>
        </w:rPr>
        <w:t>77</w:t>
      </w:r>
      <w:r w:rsidRPr="00EC22F3">
        <w:rPr>
          <w:rFonts w:ascii="Arial" w:hAnsi="Arial" w:cs="Arial"/>
          <w:color w:val="000000"/>
          <w:kern w:val="0"/>
        </w:rPr>
        <w:t>, indicating a high Power Distance culture where hierarchy, authority and centralised decision-making are widely accepted. Employees generally expect clear guidance from managers, while consumers place greater trust in established brands and respected organisations. For Cadbury, this cultural characteristic supports marketing campaigns that emphasise trust, family values and long-standing brand heritage. Strong leadership and consistent brand communication enhance customer confidence, particularly during traditional festivals and celebrations (Hofstede Insights, 2025).</w:t>
      </w:r>
    </w:p>
    <w:p w14:paraId="75194B05" w14:textId="77777777" w:rsidR="00E73A14" w:rsidRPr="00EC22F3" w:rsidRDefault="00E73A14" w:rsidP="00EC22F3">
      <w:pPr>
        <w:autoSpaceDE w:val="0"/>
        <w:autoSpaceDN w:val="0"/>
        <w:adjustRightInd w:val="0"/>
        <w:spacing w:after="240" w:line="360" w:lineRule="auto"/>
        <w:jc w:val="both"/>
        <w:rPr>
          <w:rFonts w:ascii="Arial" w:hAnsi="Arial" w:cs="Arial"/>
          <w:color w:val="000000"/>
          <w:kern w:val="0"/>
        </w:rPr>
      </w:pPr>
      <w:r w:rsidRPr="00EC22F3">
        <w:rPr>
          <w:rFonts w:ascii="Arial" w:hAnsi="Arial" w:cs="Arial"/>
          <w:b/>
          <w:bCs/>
          <w:color w:val="000000"/>
          <w:kern w:val="0"/>
        </w:rPr>
        <w:t>United States (40):</w:t>
      </w:r>
      <w:r w:rsidRPr="00EC22F3">
        <w:rPr>
          <w:rFonts w:ascii="Times-Roman" w:hAnsi="Times-Roman" w:cs="Times-Roman"/>
          <w:color w:val="000000"/>
          <w:kern w:val="0"/>
        </w:rPr>
        <w:t xml:space="preserve"> </w:t>
      </w:r>
      <w:r w:rsidRPr="00EC22F3">
        <w:rPr>
          <w:rFonts w:ascii="Arial" w:hAnsi="Arial" w:cs="Arial"/>
          <w:color w:val="000000"/>
          <w:kern w:val="0"/>
        </w:rPr>
        <w:t xml:space="preserve">The United States scores </w:t>
      </w:r>
      <w:r w:rsidRPr="00EC22F3">
        <w:rPr>
          <w:rFonts w:ascii="Arial" w:hAnsi="Arial" w:cs="Arial"/>
          <w:b/>
          <w:bCs/>
          <w:color w:val="000000"/>
          <w:kern w:val="0"/>
        </w:rPr>
        <w:t>40</w:t>
      </w:r>
      <w:r w:rsidRPr="00EC22F3">
        <w:rPr>
          <w:rFonts w:ascii="Arial" w:hAnsi="Arial" w:cs="Arial"/>
          <w:color w:val="000000"/>
          <w:kern w:val="0"/>
        </w:rPr>
        <w:t>, reflecting a low Power Distance culture that values equality, open communication and employee participation. Organisations encourage collaboration, and consumers appreciate transparent and authentic brand communication. Cadbury therefore benefits from interactive digital marketing, consumer engagement and customer feedback initiatives that build long-term relationships within the highly competitive confectionery market (Hofstede Insights, 2025).</w:t>
      </w:r>
    </w:p>
    <w:p w14:paraId="01C2B6B7" w14:textId="77777777" w:rsidR="00E73A14" w:rsidRDefault="00E73A14" w:rsidP="00EC22F3">
      <w:pPr>
        <w:pStyle w:val="ListParagraph"/>
        <w:autoSpaceDE w:val="0"/>
        <w:autoSpaceDN w:val="0"/>
        <w:adjustRightInd w:val="0"/>
        <w:spacing w:after="240" w:line="360" w:lineRule="auto"/>
        <w:jc w:val="both"/>
        <w:rPr>
          <w:rFonts w:ascii="Arial" w:hAnsi="Arial" w:cs="Arial"/>
          <w:color w:val="000000"/>
          <w:kern w:val="0"/>
        </w:rPr>
      </w:pPr>
    </w:p>
    <w:p w14:paraId="21B20E21" w14:textId="77777777" w:rsidR="00EC22F3" w:rsidRDefault="00EC22F3" w:rsidP="00EC22F3">
      <w:pPr>
        <w:autoSpaceDE w:val="0"/>
        <w:autoSpaceDN w:val="0"/>
        <w:adjustRightInd w:val="0"/>
        <w:spacing w:after="298" w:line="240" w:lineRule="auto"/>
        <w:jc w:val="both"/>
        <w:rPr>
          <w:rFonts w:ascii="Arial" w:hAnsi="Arial" w:cs="Arial"/>
          <w:b/>
          <w:bCs/>
          <w:color w:val="000000"/>
          <w:kern w:val="0"/>
        </w:rPr>
      </w:pPr>
    </w:p>
    <w:p w14:paraId="028DEA8F" w14:textId="215A566B" w:rsidR="00EC22F3" w:rsidRDefault="00EC22F3" w:rsidP="00EC22F3">
      <w:pPr>
        <w:autoSpaceDE w:val="0"/>
        <w:autoSpaceDN w:val="0"/>
        <w:adjustRightInd w:val="0"/>
        <w:spacing w:after="298" w:line="240" w:lineRule="auto"/>
        <w:jc w:val="both"/>
        <w:rPr>
          <w:rFonts w:ascii="Arial" w:hAnsi="Arial" w:cs="Arial"/>
          <w:b/>
          <w:bCs/>
          <w:color w:val="000000"/>
          <w:kern w:val="0"/>
        </w:rPr>
      </w:pPr>
      <w:r>
        <w:rPr>
          <w:rFonts w:ascii="Arial" w:hAnsi="Arial" w:cs="Arial"/>
          <w:b/>
          <w:bCs/>
          <w:color w:val="000000"/>
          <w:kern w:val="0"/>
        </w:rPr>
        <w:t>2. Individualism</w:t>
      </w:r>
    </w:p>
    <w:p w14:paraId="196C1B56"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India (24):</w:t>
      </w:r>
      <w:r>
        <w:rPr>
          <w:rFonts w:ascii="Times-Roman" w:hAnsi="Times-Roman" w:cs="Times-Roman"/>
          <w:color w:val="000000"/>
          <w:kern w:val="0"/>
        </w:rPr>
        <w:t xml:space="preserve"> </w:t>
      </w:r>
      <w:r>
        <w:rPr>
          <w:rFonts w:ascii="Arial" w:hAnsi="Arial" w:cs="Arial"/>
          <w:color w:val="000000"/>
          <w:kern w:val="0"/>
        </w:rPr>
        <w:t xml:space="preserve">With a score of </w:t>
      </w:r>
      <w:r>
        <w:rPr>
          <w:rFonts w:ascii="Arial" w:hAnsi="Arial" w:cs="Arial"/>
          <w:b/>
          <w:bCs/>
          <w:color w:val="000000"/>
          <w:kern w:val="0"/>
        </w:rPr>
        <w:t>24</w:t>
      </w:r>
      <w:r>
        <w:rPr>
          <w:rFonts w:ascii="Arial" w:hAnsi="Arial" w:cs="Arial"/>
          <w:color w:val="000000"/>
          <w:kern w:val="0"/>
        </w:rPr>
        <w:t xml:space="preserve">, India demonstrates strong collectivist characteristics where family, community and social relationships significantly influence purchasing decisions. Chocolates are commonly associated with festivals, gifting and celebrations, allowing Cadbury to position its products around emotional connections and shared experiences. This cultural orientation has contributed to successful campaigns such as </w:t>
      </w:r>
      <w:r>
        <w:rPr>
          <w:rFonts w:ascii="Arial" w:hAnsi="Arial" w:cs="Arial"/>
          <w:i/>
          <w:iCs/>
          <w:color w:val="000000"/>
          <w:kern w:val="0"/>
        </w:rPr>
        <w:t xml:space="preserve">Kuch Meetha Ho </w:t>
      </w:r>
      <w:proofErr w:type="spellStart"/>
      <w:r>
        <w:rPr>
          <w:rFonts w:ascii="Arial" w:hAnsi="Arial" w:cs="Arial"/>
          <w:i/>
          <w:iCs/>
          <w:color w:val="000000"/>
          <w:kern w:val="0"/>
        </w:rPr>
        <w:t>Jaaye</w:t>
      </w:r>
      <w:proofErr w:type="spellEnd"/>
      <w:r>
        <w:rPr>
          <w:rFonts w:ascii="Arial" w:hAnsi="Arial" w:cs="Arial"/>
          <w:color w:val="000000"/>
          <w:kern w:val="0"/>
        </w:rPr>
        <w:t>, reinforcing Cadbury's strong emotional appeal (Kotler, Keller and Chernev, 2022).</w:t>
      </w:r>
    </w:p>
    <w:p w14:paraId="63616C3D"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lastRenderedPageBreak/>
        <w:t>United States (60):</w:t>
      </w:r>
      <w:r>
        <w:rPr>
          <w:rFonts w:ascii="Arial" w:hAnsi="Arial" w:cs="Arial"/>
          <w:color w:val="000000"/>
          <w:kern w:val="0"/>
        </w:rPr>
        <w:t xml:space="preserve"> The United States scores </w:t>
      </w:r>
      <w:r>
        <w:rPr>
          <w:rFonts w:ascii="Arial" w:hAnsi="Arial" w:cs="Arial"/>
          <w:b/>
          <w:bCs/>
          <w:color w:val="000000"/>
          <w:kern w:val="0"/>
        </w:rPr>
        <w:t>60</w:t>
      </w:r>
      <w:r>
        <w:rPr>
          <w:rFonts w:ascii="Arial" w:hAnsi="Arial" w:cs="Arial"/>
          <w:color w:val="000000"/>
          <w:kern w:val="0"/>
        </w:rPr>
        <w:t>, indicating an individualistic society where consumers prioritise personal preferences, independence and self-expression. Chocolate purchases are often driven by self-consumption, convenience and personal enjoyment rather than collective occasions. Consequently, Cadbury focuses on premium quality, personal indulgence and innovative product offerings to appeal to individual consumer needs (Keegan and Green, 2023).</w:t>
      </w:r>
    </w:p>
    <w:p w14:paraId="2B824145" w14:textId="77777777" w:rsidR="00EC22F3" w:rsidRDefault="00EC22F3" w:rsidP="00EC22F3">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3. Motivation towards Achievement and Success</w:t>
      </w:r>
    </w:p>
    <w:p w14:paraId="3F0EB721"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India (56):</w:t>
      </w:r>
      <w:r>
        <w:rPr>
          <w:rFonts w:ascii="Arial" w:hAnsi="Arial" w:cs="Arial"/>
          <w:color w:val="000000"/>
          <w:kern w:val="0"/>
        </w:rPr>
        <w:t xml:space="preserve"> India scores </w:t>
      </w:r>
      <w:r>
        <w:rPr>
          <w:rFonts w:ascii="Arial" w:hAnsi="Arial" w:cs="Arial"/>
          <w:b/>
          <w:bCs/>
          <w:color w:val="000000"/>
          <w:kern w:val="0"/>
        </w:rPr>
        <w:t>56</w:t>
      </w:r>
      <w:r>
        <w:rPr>
          <w:rFonts w:ascii="Arial" w:hAnsi="Arial" w:cs="Arial"/>
          <w:color w:val="000000"/>
          <w:kern w:val="0"/>
        </w:rPr>
        <w:t>, indicating a moderately achievement-oriented culture where professional success and social status are valued alongside humility and traditional beliefs. Consumers increasingly associate premium confectionery with quality and status, particularly in urban markets. Cadbury responds by offering premium gifting ranges while maintaining products that remain accessible to a broad customer base (Hofstede Insights, 2025).</w:t>
      </w:r>
    </w:p>
    <w:p w14:paraId="32943645"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United States (62):</w:t>
      </w:r>
      <w:r>
        <w:rPr>
          <w:rFonts w:ascii="Arial" w:hAnsi="Arial" w:cs="Arial"/>
          <w:color w:val="000000"/>
          <w:kern w:val="0"/>
        </w:rPr>
        <w:t xml:space="preserve"> The United States scores </w:t>
      </w:r>
      <w:r>
        <w:rPr>
          <w:rFonts w:ascii="Arial" w:hAnsi="Arial" w:cs="Arial"/>
          <w:b/>
          <w:bCs/>
          <w:color w:val="000000"/>
          <w:kern w:val="0"/>
        </w:rPr>
        <w:t>62</w:t>
      </w:r>
      <w:r>
        <w:rPr>
          <w:rFonts w:ascii="Arial" w:hAnsi="Arial" w:cs="Arial"/>
          <w:color w:val="000000"/>
          <w:kern w:val="0"/>
        </w:rPr>
        <w:t>, reflecting a highly achievement-oriented culture where success, competition and personal accomplishment are openly recognised. Consumers are more willing to purchase premium products that reflect lifestyle and personal achievement. Cadbury therefore promotes premium chocolates, seasonal gift collections and innovative products that align with consumers' aspirations and lifestyle preferences (Kotler, Keller and Chernev, 2022).</w:t>
      </w:r>
    </w:p>
    <w:p w14:paraId="7AF2C144" w14:textId="77777777" w:rsidR="00EC22F3" w:rsidRDefault="00EC22F3" w:rsidP="00EC22F3">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4. Uncertainty Avoidance</w:t>
      </w:r>
    </w:p>
    <w:p w14:paraId="4DED437D"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India (40):</w:t>
      </w:r>
      <w:r>
        <w:rPr>
          <w:rFonts w:ascii="Arial" w:hAnsi="Arial" w:cs="Arial"/>
          <w:color w:val="000000"/>
          <w:kern w:val="0"/>
        </w:rPr>
        <w:t xml:space="preserve"> India records a score of </w:t>
      </w:r>
      <w:r>
        <w:rPr>
          <w:rFonts w:ascii="Arial" w:hAnsi="Arial" w:cs="Arial"/>
          <w:b/>
          <w:bCs/>
          <w:color w:val="000000"/>
          <w:kern w:val="0"/>
        </w:rPr>
        <w:t>40</w:t>
      </w:r>
      <w:r>
        <w:rPr>
          <w:rFonts w:ascii="Arial" w:hAnsi="Arial" w:cs="Arial"/>
          <w:color w:val="000000"/>
          <w:kern w:val="0"/>
        </w:rPr>
        <w:t>, indicating relatively low uncertainty avoidance. Consumers generally accept change and are willing to try new products, flavours and promotional campaigns. This flexibility enables Cadbury to introduce innovative chocolate variants and limited-edition products while responding quickly to changing consumer preferences (Hofstede Insights, 2025).</w:t>
      </w:r>
    </w:p>
    <w:p w14:paraId="224300EE"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United States (46):</w:t>
      </w:r>
      <w:r>
        <w:rPr>
          <w:rFonts w:ascii="Arial" w:hAnsi="Arial" w:cs="Arial"/>
          <w:color w:val="000000"/>
          <w:kern w:val="0"/>
        </w:rPr>
        <w:t xml:space="preserve"> The United States scores </w:t>
      </w:r>
      <w:r>
        <w:rPr>
          <w:rFonts w:ascii="Arial" w:hAnsi="Arial" w:cs="Arial"/>
          <w:b/>
          <w:bCs/>
          <w:color w:val="000000"/>
          <w:kern w:val="0"/>
        </w:rPr>
        <w:t>46</w:t>
      </w:r>
      <w:r>
        <w:rPr>
          <w:rFonts w:ascii="Arial" w:hAnsi="Arial" w:cs="Arial"/>
          <w:color w:val="000000"/>
          <w:kern w:val="0"/>
        </w:rPr>
        <w:t>, also indicating low uncertainty avoidance. American consumers readily adopt innovative products and new food trends, supporting Cadbury's investment in product development, digital marketing and seasonal product launches. This openness enables the company to remain competitive within the dynamic confectionery industry (Keegan and Green, 2023).</w:t>
      </w:r>
    </w:p>
    <w:p w14:paraId="7F878139" w14:textId="77777777" w:rsidR="00EC22F3" w:rsidRDefault="00EC22F3" w:rsidP="00EC22F3">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lastRenderedPageBreak/>
        <w:t>5. Long-Term Orientation</w:t>
      </w:r>
    </w:p>
    <w:p w14:paraId="0C7574F3"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India (51):</w:t>
      </w:r>
      <w:r>
        <w:rPr>
          <w:rFonts w:ascii="Times-Roman" w:hAnsi="Times-Roman" w:cs="Times-Roman"/>
          <w:color w:val="000000"/>
          <w:kern w:val="0"/>
        </w:rPr>
        <w:t xml:space="preserve"> </w:t>
      </w:r>
      <w:r>
        <w:rPr>
          <w:rFonts w:ascii="Arial" w:hAnsi="Arial" w:cs="Arial"/>
          <w:color w:val="000000"/>
          <w:kern w:val="0"/>
        </w:rPr>
        <w:t xml:space="preserve">India scores </w:t>
      </w:r>
      <w:r>
        <w:rPr>
          <w:rFonts w:ascii="Arial" w:hAnsi="Arial" w:cs="Arial"/>
          <w:b/>
          <w:bCs/>
          <w:color w:val="000000"/>
          <w:kern w:val="0"/>
        </w:rPr>
        <w:t>51</w:t>
      </w:r>
      <w:r>
        <w:rPr>
          <w:rFonts w:ascii="Arial" w:hAnsi="Arial" w:cs="Arial"/>
          <w:color w:val="000000"/>
          <w:kern w:val="0"/>
        </w:rPr>
        <w:t>, suggesting a balanced approach between respecting traditions and embracing future opportunities. Consumers appreciate established brands while remaining open to innovation. Cadbury effectively combines traditional festival-based marketing with continuous product innovation to strengthen long-term customer loyalty (Hofstede Insights, 2025).</w:t>
      </w:r>
    </w:p>
    <w:p w14:paraId="111450E4"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United States (50):</w:t>
      </w:r>
      <w:r>
        <w:rPr>
          <w:rFonts w:ascii="Arial" w:hAnsi="Arial" w:cs="Arial"/>
          <w:color w:val="000000"/>
          <w:kern w:val="0"/>
        </w:rPr>
        <w:t xml:space="preserve"> The United States scores </w:t>
      </w:r>
      <w:r>
        <w:rPr>
          <w:rFonts w:ascii="Arial" w:hAnsi="Arial" w:cs="Arial"/>
          <w:b/>
          <w:bCs/>
          <w:color w:val="000000"/>
          <w:kern w:val="0"/>
        </w:rPr>
        <w:t>50</w:t>
      </w:r>
      <w:r>
        <w:rPr>
          <w:rFonts w:ascii="Arial" w:hAnsi="Arial" w:cs="Arial"/>
          <w:color w:val="000000"/>
          <w:kern w:val="0"/>
        </w:rPr>
        <w:t>, reflecting a balanced cultural orientation. Although businesses often focus on short-term performance, consumers continue to value innovation and practical product benefits. Cadbury supports this culture through regular product development, seasonal campaigns and continuous investment in consumer-focused innovation (Kotler, Keller and Chernev, 2022).</w:t>
      </w:r>
    </w:p>
    <w:p w14:paraId="537000A9" w14:textId="77777777" w:rsidR="00EC22F3" w:rsidRDefault="00EC22F3" w:rsidP="00EC22F3">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6. Indulgence</w:t>
      </w:r>
    </w:p>
    <w:p w14:paraId="0AD63854"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India (26):</w:t>
      </w:r>
      <w:r>
        <w:rPr>
          <w:rFonts w:ascii="Arial" w:hAnsi="Arial" w:cs="Arial"/>
          <w:color w:val="000000"/>
          <w:kern w:val="0"/>
        </w:rPr>
        <w:t xml:space="preserve"> India scores </w:t>
      </w:r>
      <w:r>
        <w:rPr>
          <w:rFonts w:ascii="Arial" w:hAnsi="Arial" w:cs="Arial"/>
          <w:b/>
          <w:bCs/>
          <w:color w:val="000000"/>
          <w:kern w:val="0"/>
        </w:rPr>
        <w:t>26</w:t>
      </w:r>
      <w:r>
        <w:rPr>
          <w:rFonts w:ascii="Arial" w:hAnsi="Arial" w:cs="Arial"/>
          <w:color w:val="000000"/>
          <w:kern w:val="0"/>
        </w:rPr>
        <w:t>, representing a restrained culture where self-control, social norms and traditional values influence consumption behaviour. Chocolate purchases are often linked to festivals, family occasions and gifting rather than everyday indulgence. Consequently, Cadbury's marketing focuses on emotional storytelling, celebrations and cultural traditions to strengthen consumer engagement (Hofstede Insights, 2025).</w:t>
      </w:r>
    </w:p>
    <w:p w14:paraId="573B9554"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t>United States (68):</w:t>
      </w:r>
      <w:r>
        <w:rPr>
          <w:rFonts w:ascii="Times-Roman" w:hAnsi="Times-Roman" w:cs="Times-Roman"/>
          <w:color w:val="000000"/>
          <w:kern w:val="0"/>
        </w:rPr>
        <w:t xml:space="preserve"> </w:t>
      </w:r>
      <w:r>
        <w:rPr>
          <w:rFonts w:ascii="Arial" w:hAnsi="Arial" w:cs="Arial"/>
          <w:color w:val="000000"/>
          <w:kern w:val="0"/>
        </w:rPr>
        <w:t xml:space="preserve">The United States scores </w:t>
      </w:r>
      <w:r>
        <w:rPr>
          <w:rFonts w:ascii="Arial" w:hAnsi="Arial" w:cs="Arial"/>
          <w:b/>
          <w:bCs/>
          <w:color w:val="000000"/>
          <w:kern w:val="0"/>
        </w:rPr>
        <w:t>68</w:t>
      </w:r>
      <w:r>
        <w:rPr>
          <w:rFonts w:ascii="Arial" w:hAnsi="Arial" w:cs="Arial"/>
          <w:color w:val="000000"/>
          <w:kern w:val="0"/>
        </w:rPr>
        <w:t>, indicating an indulgent culture where leisure, enjoyment and personal satisfaction strongly influence purchasing decisions. Consumers frequently purchase chocolates for self-reward, entertainment and seasonal celebrations. Cadbury therefore emphasises personal indulgence, premium quality and lifestyle-oriented advertising to attract American consumers and maintain competitiveness in the mature confectionery market (Keegan and Green, 2023).</w:t>
      </w:r>
    </w:p>
    <w:p w14:paraId="2A9CE5CE"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8" w:name="_Toc236841352"/>
      <w:r w:rsidRPr="006C0151">
        <w:rPr>
          <w:rFonts w:ascii="Arial" w:hAnsi="Arial" w:cs="Arial"/>
          <w:b/>
          <w:bCs/>
          <w:color w:val="000000" w:themeColor="text1"/>
          <w:sz w:val="24"/>
          <w:szCs w:val="24"/>
        </w:rPr>
        <w:lastRenderedPageBreak/>
        <w:t>Advantages and Disadvantages of Hofstede's Cultural Dimensions Framework</w:t>
      </w:r>
      <w:bookmarkEnd w:id="8"/>
    </w:p>
    <w:p w14:paraId="18652446"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9" w:name="_Toc236841353"/>
      <w:r w:rsidRPr="006C0151">
        <w:rPr>
          <w:rFonts w:ascii="Arial" w:hAnsi="Arial" w:cs="Arial"/>
          <w:b/>
          <w:bCs/>
          <w:color w:val="000000" w:themeColor="text1"/>
          <w:sz w:val="24"/>
          <w:szCs w:val="24"/>
        </w:rPr>
        <w:t>1.1 Advantages of Hofstede's Cultural Dimensions Framework</w:t>
      </w:r>
      <w:bookmarkEnd w:id="9"/>
    </w:p>
    <w:p w14:paraId="363DB68C"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One of the key strengths of Hofstede's Cultural Dimensions Framework is that it simplifies complex cultural differences into measurable dimensions, enabling multinational organisations to compare national cultures and understand how cultural values influence consumer behaviour, workplace practices and marketing decisions (Hofstede, Hofstede and Minkov, 2010). The framework provides an effective foundation for analysing cultural variations in communication, leadership, purchasing behaviour and customer expectations, allowing international businesses to design market-specific strategies while maintaining a consistent global brand identity (Minkov and Kaasa, 2022).</w:t>
      </w:r>
    </w:p>
    <w:p w14:paraId="7890DD0A"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For </w:t>
      </w:r>
      <w:r>
        <w:rPr>
          <w:rFonts w:ascii="Arial" w:hAnsi="Arial" w:cs="Arial"/>
          <w:b/>
          <w:bCs/>
          <w:color w:val="000000"/>
          <w:kern w:val="0"/>
        </w:rPr>
        <w:t>Cadbury</w:t>
      </w:r>
      <w:r>
        <w:rPr>
          <w:rFonts w:ascii="Arial" w:hAnsi="Arial" w:cs="Arial"/>
          <w:color w:val="000000"/>
          <w:kern w:val="0"/>
        </w:rPr>
        <w:t xml:space="preserve">, Hofstede's framework is particularly valuable when comparing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as both markets differ significantly in terms of collectivism, individualism, power distance and indulgence. These cultural insights enable Cadbury to tailor its international marketing strategy by promoting chocolates as symbols of family celebrations and festivals in India, while positioning them as products for personal enjoyment, convenience and seasonal gifting in the United States. The framework also assists Cadbury in adapting advertising messages, product positioning, promotional campaigns and customer engagement strategies according to local cultural values, thereby strengthening customer relationships and improving market competitiveness. Consequently, Hofstede's model remains a valuable strategic tool for supporting Cadbury's international marketing decisions and sustainable global growth (Kotler, Keller and Chernev, 2022; Keegan and Green, 2023).</w:t>
      </w:r>
    </w:p>
    <w:p w14:paraId="34B3745F"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0" w:name="_Toc236841354"/>
      <w:r w:rsidRPr="006C0151">
        <w:rPr>
          <w:rFonts w:ascii="Arial" w:hAnsi="Arial" w:cs="Arial"/>
          <w:b/>
          <w:bCs/>
          <w:color w:val="000000" w:themeColor="text1"/>
          <w:sz w:val="24"/>
          <w:szCs w:val="24"/>
        </w:rPr>
        <w:t>1.2Disadvantages of Hofstede's Cultural Dimensions Framework</w:t>
      </w:r>
      <w:bookmarkEnd w:id="10"/>
    </w:p>
    <w:p w14:paraId="19B13E0B"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Despite its widespread application, Hofstede's Cultural Dimensions Framework has several limitations. One major criticism is that it assumes people within the same country share similar cultural values, which may oversimplify cultural diversity. Both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consist of highly diverse populations with significant regional, ethnic, religious and generational differences that cannot be fully represented by national cultural scores alone (</w:t>
      </w:r>
      <w:proofErr w:type="spellStart"/>
      <w:r>
        <w:rPr>
          <w:rFonts w:ascii="Arial" w:hAnsi="Arial" w:cs="Arial"/>
          <w:color w:val="000000"/>
          <w:kern w:val="0"/>
        </w:rPr>
        <w:t>Beugelsdijk</w:t>
      </w:r>
      <w:proofErr w:type="spellEnd"/>
      <w:r>
        <w:rPr>
          <w:rFonts w:ascii="Arial" w:hAnsi="Arial" w:cs="Arial"/>
          <w:color w:val="000000"/>
          <w:kern w:val="0"/>
        </w:rPr>
        <w:t xml:space="preserve"> and Welzel, 2023). For example, </w:t>
      </w:r>
      <w:r>
        <w:rPr>
          <w:rFonts w:ascii="Arial" w:hAnsi="Arial" w:cs="Arial"/>
          <w:color w:val="000000"/>
          <w:kern w:val="0"/>
        </w:rPr>
        <w:lastRenderedPageBreak/>
        <w:t>consumer purchasing behaviour in metropolitan cities such as Mumbai or New York may differ considerably from that in smaller towns or rural areas.</w:t>
      </w:r>
    </w:p>
    <w:p w14:paraId="3FA5F487"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Another limitation is that Hofstede's original research was conducted primarily among </w:t>
      </w:r>
      <w:r>
        <w:rPr>
          <w:rFonts w:ascii="Arial" w:hAnsi="Arial" w:cs="Arial"/>
          <w:b/>
          <w:bCs/>
          <w:color w:val="000000"/>
          <w:kern w:val="0"/>
        </w:rPr>
        <w:t>IBM employees</w:t>
      </w:r>
      <w:r>
        <w:rPr>
          <w:rFonts w:ascii="Arial" w:hAnsi="Arial" w:cs="Arial"/>
          <w:color w:val="000000"/>
          <w:kern w:val="0"/>
        </w:rPr>
        <w:t>, raising concerns about whether the findings accurately represent the broader population or current consumer behaviour (Hofstede, Hofstede and Minkov, 2010). Furthermore, globalisation, digital transformation, migration and changing consumer lifestyles have continuously reshaped cultural values, particularly among younger consumers who increasingly share similar global consumption patterns. Therefore, while Hofstede's framework provides a useful starting point for understanding cultural differences, Cadbury should complement it with current market research, consumer insights and local market intelligence to develop effective international marketing strategies and respond to evolving customer expectations in both India and the United States (Minkov and Kaasa, 2022; Kotler, Keller and Chernev, 2022).</w:t>
      </w:r>
    </w:p>
    <w:p w14:paraId="75B9C732" w14:textId="77777777" w:rsidR="00EC22F3" w:rsidRDefault="00EC22F3" w:rsidP="00EC22F3">
      <w:pPr>
        <w:autoSpaceDE w:val="0"/>
        <w:autoSpaceDN w:val="0"/>
        <w:adjustRightInd w:val="0"/>
        <w:spacing w:after="240" w:line="360" w:lineRule="auto"/>
        <w:jc w:val="both"/>
        <w:rPr>
          <w:rFonts w:ascii="Arial" w:hAnsi="Arial" w:cs="Arial"/>
          <w:color w:val="000000"/>
          <w:kern w:val="0"/>
        </w:rPr>
      </w:pPr>
    </w:p>
    <w:p w14:paraId="774A757A"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1" w:name="_Toc236841355"/>
      <w:r w:rsidRPr="006C0151">
        <w:rPr>
          <w:rFonts w:ascii="Arial" w:hAnsi="Arial" w:cs="Arial"/>
          <w:b/>
          <w:bCs/>
          <w:color w:val="000000" w:themeColor="text1"/>
          <w:sz w:val="24"/>
          <w:szCs w:val="24"/>
        </w:rPr>
        <w:t>3.4 Technological Factors</w:t>
      </w:r>
      <w:bookmarkEnd w:id="11"/>
    </w:p>
    <w:p w14:paraId="6359765A" w14:textId="6DFF0EDC" w:rsidR="00EC22F3" w:rsidRDefault="00EC22F3" w:rsidP="00EC22F3">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India – Favourable</w:t>
      </w:r>
    </w:p>
    <w:p w14:paraId="774AA6B2"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India provides a </w:t>
      </w:r>
      <w:r>
        <w:rPr>
          <w:rFonts w:ascii="Arial" w:hAnsi="Arial" w:cs="Arial"/>
          <w:b/>
          <w:bCs/>
          <w:color w:val="000000"/>
          <w:kern w:val="0"/>
        </w:rPr>
        <w:t>favourable technological environment</w:t>
      </w:r>
      <w:r>
        <w:rPr>
          <w:rFonts w:ascii="Arial" w:hAnsi="Arial" w:cs="Arial"/>
          <w:color w:val="000000"/>
          <w:kern w:val="0"/>
        </w:rPr>
        <w:t xml:space="preserve"> for Cadbury due to rapid digital transformation, expanding internet penetration and increasing adoption of e-commerce platforms. Government initiatives such as </w:t>
      </w:r>
      <w:r>
        <w:rPr>
          <w:rFonts w:ascii="Arial" w:hAnsi="Arial" w:cs="Arial"/>
          <w:b/>
          <w:bCs/>
          <w:color w:val="000000"/>
          <w:kern w:val="0"/>
        </w:rPr>
        <w:t>Digital India</w:t>
      </w:r>
      <w:r>
        <w:rPr>
          <w:rFonts w:ascii="Arial" w:hAnsi="Arial" w:cs="Arial"/>
          <w:color w:val="000000"/>
          <w:kern w:val="0"/>
        </w:rPr>
        <w:t xml:space="preserve"> have accelerated digital infrastructure, encouraging businesses to adopt advanced technologies in manufacturing, supply chain management and customer engagement. Cadbury has leveraged digital marketing, artificial intelligence and data analytics to understand consumer preferences and personalise promotional campaigns, particularly during festive seasons. The growth of online grocery platforms such as </w:t>
      </w:r>
      <w:proofErr w:type="spellStart"/>
      <w:r>
        <w:rPr>
          <w:rFonts w:ascii="Arial" w:hAnsi="Arial" w:cs="Arial"/>
          <w:color w:val="000000"/>
          <w:kern w:val="0"/>
        </w:rPr>
        <w:t>Blinkit</w:t>
      </w:r>
      <w:proofErr w:type="spellEnd"/>
      <w:r>
        <w:rPr>
          <w:rFonts w:ascii="Arial" w:hAnsi="Arial" w:cs="Arial"/>
          <w:color w:val="000000"/>
          <w:kern w:val="0"/>
        </w:rPr>
        <w:t xml:space="preserve">, </w:t>
      </w:r>
      <w:proofErr w:type="spellStart"/>
      <w:r>
        <w:rPr>
          <w:rFonts w:ascii="Arial" w:hAnsi="Arial" w:cs="Arial"/>
          <w:color w:val="000000"/>
          <w:kern w:val="0"/>
        </w:rPr>
        <w:t>Zepto</w:t>
      </w:r>
      <w:proofErr w:type="spellEnd"/>
      <w:r>
        <w:rPr>
          <w:rFonts w:ascii="Arial" w:hAnsi="Arial" w:cs="Arial"/>
          <w:color w:val="000000"/>
          <w:kern w:val="0"/>
        </w:rPr>
        <w:t xml:space="preserve"> and </w:t>
      </w:r>
      <w:proofErr w:type="spellStart"/>
      <w:r>
        <w:rPr>
          <w:rFonts w:ascii="Arial" w:hAnsi="Arial" w:cs="Arial"/>
          <w:color w:val="000000"/>
          <w:kern w:val="0"/>
        </w:rPr>
        <w:t>BigBasket</w:t>
      </w:r>
      <w:proofErr w:type="spellEnd"/>
      <w:r>
        <w:rPr>
          <w:rFonts w:ascii="Arial" w:hAnsi="Arial" w:cs="Arial"/>
          <w:color w:val="000000"/>
          <w:kern w:val="0"/>
        </w:rPr>
        <w:t xml:space="preserve"> has also enhanced product accessibility, allowing Cadbury to reach urban and semi-urban consumers more efficiently. Furthermore, investments in automated manufacturing and digital supply chain management have improved production efficiency and inventory control. However, technological disparities between urban and rural regions continue to limit digital penetration in some markets. Nevertheless, India's rapidly developing technological ecosystem provides significant opportunities </w:t>
      </w:r>
      <w:r>
        <w:rPr>
          <w:rFonts w:ascii="Arial" w:hAnsi="Arial" w:cs="Arial"/>
          <w:color w:val="000000"/>
          <w:kern w:val="0"/>
        </w:rPr>
        <w:lastRenderedPageBreak/>
        <w:t>for Cadbury to enhance innovation, improve customer experience and strengthen its competitive advantage (World Bank, 2025; Government of India, 2025; Mondelēz International, 2025).</w:t>
      </w:r>
    </w:p>
    <w:p w14:paraId="24217923" w14:textId="77777777" w:rsidR="00EC22F3" w:rsidRDefault="00EC22F3" w:rsidP="00EC22F3">
      <w:pPr>
        <w:autoSpaceDE w:val="0"/>
        <w:autoSpaceDN w:val="0"/>
        <w:adjustRightInd w:val="0"/>
        <w:spacing w:after="240" w:line="360" w:lineRule="auto"/>
        <w:jc w:val="both"/>
        <w:rPr>
          <w:rFonts w:ascii="Arial" w:hAnsi="Arial" w:cs="Arial"/>
          <w:color w:val="000000"/>
          <w:kern w:val="0"/>
        </w:rPr>
      </w:pPr>
    </w:p>
    <w:p w14:paraId="4DFEDC72" w14:textId="77777777" w:rsidR="00EC22F3" w:rsidRDefault="00EC22F3" w:rsidP="00EC22F3">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United States – Favourable</w:t>
      </w:r>
    </w:p>
    <w:p w14:paraId="00082E90"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offers a </w:t>
      </w:r>
      <w:r>
        <w:rPr>
          <w:rFonts w:ascii="Arial" w:hAnsi="Arial" w:cs="Arial"/>
          <w:b/>
          <w:bCs/>
          <w:color w:val="000000"/>
          <w:kern w:val="0"/>
        </w:rPr>
        <w:t>highly favourable technological environment</w:t>
      </w:r>
      <w:r>
        <w:rPr>
          <w:rFonts w:ascii="Arial" w:hAnsi="Arial" w:cs="Arial"/>
          <w:color w:val="000000"/>
          <w:kern w:val="0"/>
        </w:rPr>
        <w:t xml:space="preserve"> supported by advanced digital infrastructure, high internet penetration and strong innovation capabilities. Consumers actively engage with brands through digital platforms, encouraging Cadbury to utilise data-driven marketing, social media campaigns and artificial intelligence to enhance customer engagement and brand loyalty. The country's sophisticated retail technologies, automated warehousing systems and advanced logistics networks enable efficient product distribution and inventory management. In addition, the widespread adoption of e-commerce platforms such as Amazon and Walmart strengthens Cadbury's market reach and supports omnichannel retail strategies. The United States also leads in food technology research, enabling confectionery companies to develop healthier formulations, sustainable packaging and innovative production processes. Although continuous technological innovation requires substantial investment, the country's advanced digital ecosystem enables Cadbury to improve operational efficiency, product innovation and customer satisfaction, thereby strengthening its long-term international marketing strategy (OECD, 2025; Deloitte, 2024; Mondelēz International, 2025).</w:t>
      </w:r>
    </w:p>
    <w:p w14:paraId="478CCB97" w14:textId="77777777" w:rsidR="00EC22F3" w:rsidRDefault="00EC22F3" w:rsidP="00EC22F3">
      <w:pPr>
        <w:autoSpaceDE w:val="0"/>
        <w:autoSpaceDN w:val="0"/>
        <w:adjustRightInd w:val="0"/>
        <w:spacing w:after="240" w:line="360" w:lineRule="auto"/>
        <w:jc w:val="both"/>
        <w:rPr>
          <w:rFonts w:ascii="Arial" w:hAnsi="Arial" w:cs="Arial"/>
          <w:color w:val="000000"/>
          <w:kern w:val="0"/>
        </w:rPr>
      </w:pPr>
    </w:p>
    <w:p w14:paraId="51F8B187" w14:textId="77777777" w:rsidR="007B6DB6" w:rsidRDefault="007B6DB6" w:rsidP="00EC22F3">
      <w:pPr>
        <w:autoSpaceDE w:val="0"/>
        <w:autoSpaceDN w:val="0"/>
        <w:adjustRightInd w:val="0"/>
        <w:spacing w:after="240" w:line="360" w:lineRule="auto"/>
        <w:jc w:val="both"/>
        <w:rPr>
          <w:rFonts w:ascii="Arial" w:hAnsi="Arial" w:cs="Arial"/>
          <w:color w:val="000000"/>
          <w:kern w:val="0"/>
        </w:rPr>
      </w:pPr>
    </w:p>
    <w:p w14:paraId="383EF272" w14:textId="61E7DCD9"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2" w:name="_Toc236841356"/>
      <w:r w:rsidRPr="006C0151">
        <w:rPr>
          <w:rFonts w:ascii="Arial" w:hAnsi="Arial" w:cs="Arial"/>
          <w:b/>
          <w:bCs/>
          <w:color w:val="000000" w:themeColor="text1"/>
          <w:sz w:val="24"/>
          <w:szCs w:val="24"/>
        </w:rPr>
        <w:t>3.5 Environmental Factors</w:t>
      </w:r>
      <w:bookmarkEnd w:id="12"/>
    </w:p>
    <w:p w14:paraId="5A17CD71" w14:textId="26572FDC" w:rsidR="00EC22F3" w:rsidRDefault="00EC22F3" w:rsidP="00EC22F3">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India – Favourable</w:t>
      </w:r>
    </w:p>
    <w:p w14:paraId="6416991A"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India presents a </w:t>
      </w:r>
      <w:r>
        <w:rPr>
          <w:rFonts w:ascii="Arial" w:hAnsi="Arial" w:cs="Arial"/>
          <w:b/>
          <w:bCs/>
          <w:color w:val="000000"/>
          <w:kern w:val="0"/>
        </w:rPr>
        <w:t>moderately favourable environmental environment</w:t>
      </w:r>
      <w:r>
        <w:rPr>
          <w:rFonts w:ascii="Arial" w:hAnsi="Arial" w:cs="Arial"/>
          <w:color w:val="000000"/>
          <w:kern w:val="0"/>
        </w:rPr>
        <w:t xml:space="preserve"> for Cadbury. Growing public awareness of climate change, plastic waste and sustainable consumption has encouraged businesses to adopt environmentally responsible practices. The Indian government has introduced regulations promoting plastic waste </w:t>
      </w:r>
      <w:r>
        <w:rPr>
          <w:rFonts w:ascii="Arial" w:hAnsi="Arial" w:cs="Arial"/>
          <w:color w:val="000000"/>
          <w:kern w:val="0"/>
        </w:rPr>
        <w:lastRenderedPageBreak/>
        <w:t xml:space="preserve">management, sustainable packaging and renewable energy, encouraging multinational companies to reduce their environmental footprint. Cadbury, through Mondelēz International's </w:t>
      </w:r>
      <w:r>
        <w:rPr>
          <w:rFonts w:ascii="Arial" w:hAnsi="Arial" w:cs="Arial"/>
          <w:b/>
          <w:bCs/>
          <w:color w:val="000000"/>
          <w:kern w:val="0"/>
        </w:rPr>
        <w:t>Cocoa Life</w:t>
      </w:r>
      <w:r>
        <w:rPr>
          <w:rFonts w:ascii="Arial" w:hAnsi="Arial" w:cs="Arial"/>
          <w:color w:val="000000"/>
          <w:kern w:val="0"/>
        </w:rPr>
        <w:t xml:space="preserve"> programme, supports sustainable cocoa farming, biodiversity conservation and farmer livelihoods, contributing to responsible sourcing across its supply chain. However, environmental challenges such as rising temperatures, irregular rainfall and water scarcity may affect cocoa production and agricultural supply chains, increasing operational risks and raw material costs. Consequently, Cadbury must continue investing in sustainable sourcing, recyclable packaging and climate-resilient supply chains to meet evolving consumer expectations and regulatory requirements. These initiatives strengthen the company's reputation while supporting long-term business sustainability (Mondelēz International, 2025; UNEP, 2024; Government of India, 2025).</w:t>
      </w:r>
    </w:p>
    <w:p w14:paraId="12F11BC9" w14:textId="2C34B809" w:rsidR="00EC22F3" w:rsidRDefault="00EC22F3" w:rsidP="00EC22F3">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United States – Favourable</w:t>
      </w:r>
    </w:p>
    <w:p w14:paraId="548C2CDA"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provides a </w:t>
      </w:r>
      <w:r>
        <w:rPr>
          <w:rFonts w:ascii="Arial" w:hAnsi="Arial" w:cs="Arial"/>
          <w:b/>
          <w:bCs/>
          <w:color w:val="000000"/>
          <w:kern w:val="0"/>
        </w:rPr>
        <w:t>favourable environmental environment</w:t>
      </w:r>
      <w:r>
        <w:rPr>
          <w:rFonts w:ascii="Arial" w:hAnsi="Arial" w:cs="Arial"/>
          <w:color w:val="000000"/>
          <w:kern w:val="0"/>
        </w:rPr>
        <w:t xml:space="preserve"> as sustainability has become an important purchasing consideration for consumers and regulators. Customers increasingly expect food manufacturers to minimise carbon emissions, reduce plastic packaging and source raw materials responsibly. Consequently, Cadbury has strengthened its environmental initiatives through sustainable cocoa sourcing, renewable energy investments and recyclable packaging under Mondelēz International's sustainability strategy. At the same time, stricter environmental regulations regarding waste management, greenhouse gas emissions and packaging disposal increase compliance costs for confectionery manufacturers. Climate change also presents long-term risks to global cocoa production, potentially affecting supply stability and raw material prices. Nevertheless, the United States offers strong technological capabilities and consumer support for sustainable products, enabling Cadbury to differentiate itself through responsible business practices while enhancing brand reputation and long-term competitiveness (U.S. Environmental Protection Agency, 2025; Mondelēz International, 2025; Deloitte, 2024).</w:t>
      </w:r>
    </w:p>
    <w:p w14:paraId="59BDD708" w14:textId="053231B1"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3" w:name="_Toc236841357"/>
      <w:r w:rsidRPr="006C0151">
        <w:rPr>
          <w:rFonts w:ascii="Arial" w:hAnsi="Arial" w:cs="Arial"/>
          <w:b/>
          <w:bCs/>
          <w:color w:val="000000" w:themeColor="text1"/>
          <w:sz w:val="24"/>
          <w:szCs w:val="24"/>
        </w:rPr>
        <w:t>3.6 Legal Factors</w:t>
      </w:r>
      <w:bookmarkEnd w:id="13"/>
    </w:p>
    <w:p w14:paraId="43C658C1" w14:textId="21F47FA3" w:rsidR="00EC22F3" w:rsidRDefault="00EC22F3" w:rsidP="00EC22F3">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India – Favourable</w:t>
      </w:r>
    </w:p>
    <w:p w14:paraId="36CBFF30"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India provides a </w:t>
      </w:r>
      <w:r>
        <w:rPr>
          <w:rFonts w:ascii="Arial" w:hAnsi="Arial" w:cs="Arial"/>
          <w:b/>
          <w:bCs/>
          <w:color w:val="000000"/>
          <w:kern w:val="0"/>
        </w:rPr>
        <w:t>favourable legal environment</w:t>
      </w:r>
      <w:r>
        <w:rPr>
          <w:rFonts w:ascii="Arial" w:hAnsi="Arial" w:cs="Arial"/>
          <w:color w:val="000000"/>
          <w:kern w:val="0"/>
        </w:rPr>
        <w:t xml:space="preserve"> for Cadbury through an established regulatory framework governing food safety, consumer protection and intellectual property rights. The </w:t>
      </w:r>
      <w:r>
        <w:rPr>
          <w:rFonts w:ascii="Arial" w:hAnsi="Arial" w:cs="Arial"/>
          <w:b/>
          <w:bCs/>
          <w:color w:val="000000"/>
          <w:kern w:val="0"/>
        </w:rPr>
        <w:t>Food Safety and Standards Authority of India (FSSAI)</w:t>
      </w:r>
      <w:r>
        <w:rPr>
          <w:rFonts w:ascii="Arial" w:hAnsi="Arial" w:cs="Arial"/>
          <w:color w:val="000000"/>
          <w:kern w:val="0"/>
        </w:rPr>
        <w:t xml:space="preserve"> ensures that confectionery manufacturers comply with strict standards relating to product quality, ingredient disclosure and food labelling, thereby enhancing consumer confidence. In addition, intellectual property legislation protects Cadbury's trademarks, packaging designs and product innovations from imitation. Nevertheless, periodic amendments to food regulations, packaging requirements and sugar labelling policies require continuous monitoring and compliance, increasing operational costs. Consumer protection legislation also places greater responsibility on manufacturers to maintain product quality and transparent marketing communications. Despite these regulatory obligations, India's legal framework provides a stable business environment that supports Cadbury's long-term investment and market expansion strategies (FSSAI, 2025; Government of India, 2025; World Bank, 2025).</w:t>
      </w:r>
    </w:p>
    <w:p w14:paraId="553A1B24" w14:textId="298FC509" w:rsidR="00EC22F3" w:rsidRDefault="00EC22F3" w:rsidP="00EC22F3">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United States –</w:t>
      </w:r>
      <w:r w:rsidR="006C0151">
        <w:rPr>
          <w:rFonts w:ascii="Arial" w:hAnsi="Arial" w:cs="Arial"/>
          <w:b/>
          <w:bCs/>
          <w:color w:val="000000"/>
          <w:kern w:val="0"/>
        </w:rPr>
        <w:t xml:space="preserve"> </w:t>
      </w:r>
      <w:r>
        <w:rPr>
          <w:rFonts w:ascii="Arial" w:hAnsi="Arial" w:cs="Arial"/>
          <w:b/>
          <w:bCs/>
          <w:color w:val="000000"/>
          <w:kern w:val="0"/>
        </w:rPr>
        <w:t>Favourable</w:t>
      </w:r>
    </w:p>
    <w:p w14:paraId="51109C6C"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United States offers a </w:t>
      </w:r>
      <w:r>
        <w:rPr>
          <w:rFonts w:ascii="Arial" w:hAnsi="Arial" w:cs="Arial"/>
          <w:b/>
          <w:bCs/>
          <w:color w:val="000000"/>
          <w:kern w:val="0"/>
        </w:rPr>
        <w:t>highly favourable legal environment</w:t>
      </w:r>
      <w:r>
        <w:rPr>
          <w:rFonts w:ascii="Arial" w:hAnsi="Arial" w:cs="Arial"/>
          <w:color w:val="000000"/>
          <w:kern w:val="0"/>
        </w:rPr>
        <w:t xml:space="preserve"> characterised by strong regulatory institutions, transparent legislation and robust enforcement of intellectual property rights. The </w:t>
      </w:r>
      <w:r>
        <w:rPr>
          <w:rFonts w:ascii="Arial" w:hAnsi="Arial" w:cs="Arial"/>
          <w:b/>
          <w:bCs/>
          <w:color w:val="000000"/>
          <w:kern w:val="0"/>
        </w:rPr>
        <w:t>U.S. Food and Drug Administration (FDA)</w:t>
      </w:r>
      <w:r>
        <w:rPr>
          <w:rFonts w:ascii="Arial" w:hAnsi="Arial" w:cs="Arial"/>
          <w:color w:val="000000"/>
          <w:kern w:val="0"/>
        </w:rPr>
        <w:t xml:space="preserve"> regulates food safety, nutritional labelling and ingredient standards, ensuring high levels of consumer protection and market transparency. Strong trademark and patent protection also enable Cadbury to safeguard its brand identity and product innovations within the highly competitive confectionery market. However, the company must comply with increasingly stringent legal requirements regarding nutritional disclosures, advertising practices and food ingredient regulations, particularly in response to growing public health concerns related to sugar consumption. Product liability laws and consumer protection legislation further require manufacturers to maintain high quality standards and transparent communication. Despite these compliance obligations, the United States provides a predictable legal framework that supports investment, innovation and sustainable business growth (U.S. FDA, 2025; U.S. Department of Commerce, 2025; Mondelēz International, 2025).</w:t>
      </w:r>
    </w:p>
    <w:p w14:paraId="2F0039DE"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4" w:name="_Toc236841358"/>
      <w:r w:rsidRPr="006C0151">
        <w:rPr>
          <w:rFonts w:ascii="Arial" w:hAnsi="Arial" w:cs="Arial"/>
          <w:b/>
          <w:bCs/>
          <w:color w:val="000000" w:themeColor="text1"/>
          <w:sz w:val="24"/>
          <w:szCs w:val="24"/>
        </w:rPr>
        <w:lastRenderedPageBreak/>
        <w:t>4.3 Comparison of PESTEL Factors between India and the United States</w:t>
      </w:r>
      <w:bookmarkEnd w:id="14"/>
    </w:p>
    <w:p w14:paraId="36B8B6B7"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PESTEL analysis demonstrates that both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provide favourable business environments for Cadbury, although each market presents different strategic opportunities. Politically, India supports manufacturing expansion through initiatives such as </w:t>
      </w:r>
      <w:r>
        <w:rPr>
          <w:rFonts w:ascii="Arial" w:hAnsi="Arial" w:cs="Arial"/>
          <w:b/>
          <w:bCs/>
          <w:color w:val="000000"/>
          <w:kern w:val="0"/>
        </w:rPr>
        <w:t>Make in India</w:t>
      </w:r>
      <w:r>
        <w:rPr>
          <w:rFonts w:ascii="Arial" w:hAnsi="Arial" w:cs="Arial"/>
          <w:color w:val="000000"/>
          <w:kern w:val="0"/>
        </w:rPr>
        <w:t>, while the United States offers a stable regulatory environment with stringent food safety standards (Government of India, 2025; U.S. FDA, 2025). Economically, India's rapidly growing middle-class population and rising disposable incomes create significant growth opportunities, whereas the United States provides a mature market with high consumer purchasing power (IMF, 2025). Socially, Indian consumers associate chocolates with festivals and gifting, while American consumers primarily purchase confectionery for personal indulgence and seasonal occasions. Both countries benefit from advanced technological developments, sustainability initiatives and strong legal frameworks that support food quality and consumer protection. Therefore, Cadbury must adapt its international marketing strategy to local cultural, economic and regulatory conditions to strengthen its competitive advantage and achieve sustainable growth (Kotler, Keller and Chernev, 2022; Mondelēz International, 2025).</w:t>
      </w:r>
    </w:p>
    <w:p w14:paraId="744FC93B" w14:textId="77777777" w:rsidR="00EC22F3" w:rsidRPr="006C0151" w:rsidRDefault="00EC22F3" w:rsidP="006C0151">
      <w:pPr>
        <w:pStyle w:val="Heading1"/>
        <w:spacing w:line="360" w:lineRule="auto"/>
        <w:jc w:val="both"/>
        <w:rPr>
          <w:rFonts w:ascii="Arial" w:hAnsi="Arial" w:cs="Arial"/>
          <w:b/>
          <w:bCs/>
          <w:color w:val="000000" w:themeColor="text1"/>
          <w:sz w:val="24"/>
          <w:szCs w:val="24"/>
        </w:rPr>
      </w:pPr>
      <w:bookmarkStart w:id="15" w:name="_Toc236841359"/>
      <w:r w:rsidRPr="006C0151">
        <w:rPr>
          <w:rFonts w:ascii="Arial" w:hAnsi="Arial" w:cs="Arial"/>
          <w:b/>
          <w:bCs/>
          <w:color w:val="000000"/>
          <w:kern w:val="0"/>
          <w:sz w:val="24"/>
          <w:szCs w:val="24"/>
        </w:rPr>
        <w:t>5</w:t>
      </w:r>
      <w:r w:rsidRPr="006C0151">
        <w:rPr>
          <w:rFonts w:ascii="Arial" w:hAnsi="Arial" w:cs="Arial"/>
          <w:b/>
          <w:bCs/>
          <w:color w:val="000000" w:themeColor="text1"/>
          <w:sz w:val="24"/>
          <w:szCs w:val="24"/>
        </w:rPr>
        <w:t>. Comparative STP Analysis of Cadbury in India and the United States</w:t>
      </w:r>
      <w:bookmarkEnd w:id="15"/>
    </w:p>
    <w:p w14:paraId="33E7D9A4" w14:textId="77777777" w:rsidR="00EC22F3" w:rsidRDefault="00EC22F3" w:rsidP="00EC22F3">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Segmentation, Targeting and Positioning (STP) is one of the most important strategic marketing frameworks used by multinational organisations to identify customer groups, select attractive target markets and develop a distinctive market position. By understanding differences in consumer demographics, lifestyles, purchasing behaviour and cultural values, businesses can design marketing strategies that effectively satisfy customer needs while strengthening their competitive advantage (Kotler, Keller and Chernev, 2022). For Cadbury, the STP framework plays a vital role in balancing global brand consistency with local market adaptation across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Although Cadbury maintains a globally recognised brand associated with quality, happiness and emotional connections, its marketing strategies are adapted to reflect cultural traditions, consumer preferences and competitive conditions in each country. This enables the company to increase customer satisfaction, strengthen brand loyalty and achieve sustainable growth in both emerging and mature markets (Solomon, 2024; Mondelēz International, 2025).</w:t>
      </w:r>
    </w:p>
    <w:p w14:paraId="0EF9323B" w14:textId="77777777" w:rsidR="002A498B" w:rsidRDefault="002A498B" w:rsidP="002A498B">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lastRenderedPageBreak/>
        <w:t>Segmentation</w:t>
      </w:r>
    </w:p>
    <w:p w14:paraId="0908CA7E"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segments the markets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using </w:t>
      </w:r>
      <w:r>
        <w:rPr>
          <w:rFonts w:ascii="Arial" w:hAnsi="Arial" w:cs="Arial"/>
          <w:b/>
          <w:bCs/>
          <w:color w:val="000000"/>
          <w:kern w:val="0"/>
        </w:rPr>
        <w:t>demographic, geographic, psychographic and behavioural</w:t>
      </w:r>
      <w:r>
        <w:rPr>
          <w:rFonts w:ascii="Arial" w:hAnsi="Arial" w:cs="Arial"/>
          <w:color w:val="000000"/>
          <w:kern w:val="0"/>
        </w:rPr>
        <w:t xml:space="preserve"> variables to address the diverse needs of consumers in both countries. This segmentation strategy enables the company to develop products, promotional campaigns and pricing strategies that align with local consumer expectations while maintaining a consistent global brand image.</w:t>
      </w:r>
    </w:p>
    <w:p w14:paraId="314CFB12" w14:textId="77777777" w:rsidR="002A498B" w:rsidRDefault="002A498B" w:rsidP="002A498B">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Demographic Segmentation</w:t>
      </w:r>
    </w:p>
    <w:p w14:paraId="7148BD53"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targets consumers across different age groups, income levels and family structures in both markets. In </w:t>
      </w:r>
      <w:r>
        <w:rPr>
          <w:rFonts w:ascii="Arial" w:hAnsi="Arial" w:cs="Arial"/>
          <w:b/>
          <w:bCs/>
          <w:color w:val="000000"/>
          <w:kern w:val="0"/>
        </w:rPr>
        <w:t>India</w:t>
      </w:r>
      <w:r>
        <w:rPr>
          <w:rFonts w:ascii="Arial" w:hAnsi="Arial" w:cs="Arial"/>
          <w:color w:val="000000"/>
          <w:kern w:val="0"/>
        </w:rPr>
        <w:t xml:space="preserve">, the company primarily focuses on </w:t>
      </w:r>
      <w:r>
        <w:rPr>
          <w:rFonts w:ascii="Arial" w:hAnsi="Arial" w:cs="Arial"/>
          <w:b/>
          <w:bCs/>
          <w:color w:val="000000"/>
          <w:kern w:val="0"/>
        </w:rPr>
        <w:t>children, teenagers, young adults, working professionals and families</w:t>
      </w:r>
      <w:r>
        <w:rPr>
          <w:rFonts w:ascii="Arial" w:hAnsi="Arial" w:cs="Arial"/>
          <w:color w:val="000000"/>
          <w:kern w:val="0"/>
        </w:rPr>
        <w:t xml:space="preserve">, offering products that range from affordable chocolates such as </w:t>
      </w:r>
      <w:r>
        <w:rPr>
          <w:rFonts w:ascii="Arial" w:hAnsi="Arial" w:cs="Arial"/>
          <w:b/>
          <w:bCs/>
          <w:color w:val="000000"/>
          <w:kern w:val="0"/>
        </w:rPr>
        <w:t>Cadbury Dairy Milk</w:t>
      </w:r>
      <w:r>
        <w:rPr>
          <w:rFonts w:ascii="Arial" w:hAnsi="Arial" w:cs="Arial"/>
          <w:color w:val="000000"/>
          <w:kern w:val="0"/>
        </w:rPr>
        <w:t xml:space="preserve"> and </w:t>
      </w:r>
      <w:r>
        <w:rPr>
          <w:rFonts w:ascii="Arial" w:hAnsi="Arial" w:cs="Arial"/>
          <w:b/>
          <w:bCs/>
          <w:color w:val="000000"/>
          <w:kern w:val="0"/>
        </w:rPr>
        <w:t>5 Star</w:t>
      </w:r>
      <w:r>
        <w:rPr>
          <w:rFonts w:ascii="Arial" w:hAnsi="Arial" w:cs="Arial"/>
          <w:color w:val="000000"/>
          <w:kern w:val="0"/>
        </w:rPr>
        <w:t xml:space="preserve"> to premium gifting products including </w:t>
      </w:r>
      <w:r>
        <w:rPr>
          <w:rFonts w:ascii="Arial" w:hAnsi="Arial" w:cs="Arial"/>
          <w:b/>
          <w:bCs/>
          <w:color w:val="000000"/>
          <w:kern w:val="0"/>
        </w:rPr>
        <w:t>Cadbury Celebrations</w:t>
      </w:r>
      <w:r>
        <w:rPr>
          <w:rFonts w:ascii="Arial" w:hAnsi="Arial" w:cs="Arial"/>
          <w:color w:val="000000"/>
          <w:kern w:val="0"/>
        </w:rPr>
        <w:t>. The growing middle-class population and increasing disposable income have significantly expanded demand for premium chocolate products, particularly during festivals and family celebrations (Euromonitor International, 2025).</w:t>
      </w:r>
    </w:p>
    <w:p w14:paraId="0E94068D"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contrast, the </w:t>
      </w:r>
      <w:r>
        <w:rPr>
          <w:rFonts w:ascii="Arial" w:hAnsi="Arial" w:cs="Arial"/>
          <w:b/>
          <w:bCs/>
          <w:color w:val="000000"/>
          <w:kern w:val="0"/>
        </w:rPr>
        <w:t>United States</w:t>
      </w:r>
      <w:r>
        <w:rPr>
          <w:rFonts w:ascii="Arial" w:hAnsi="Arial" w:cs="Arial"/>
          <w:color w:val="000000"/>
          <w:kern w:val="0"/>
        </w:rPr>
        <w:t xml:space="preserve"> targets a broader demographic comprising </w:t>
      </w:r>
      <w:r>
        <w:rPr>
          <w:rFonts w:ascii="Arial" w:hAnsi="Arial" w:cs="Arial"/>
          <w:b/>
          <w:bCs/>
          <w:color w:val="000000"/>
          <w:kern w:val="0"/>
        </w:rPr>
        <w:t>young professionals, millennials, families and premium chocolate consumers</w:t>
      </w:r>
      <w:r>
        <w:rPr>
          <w:rFonts w:ascii="Arial" w:hAnsi="Arial" w:cs="Arial"/>
          <w:color w:val="000000"/>
          <w:kern w:val="0"/>
        </w:rPr>
        <w:t xml:space="preserve">. The mature confectionery market encourages Cadbury to position its products for consumers seeking premium quality, British heritage and seasonal confectionery. Products are frequently promoted during occasions such as </w:t>
      </w:r>
      <w:r>
        <w:rPr>
          <w:rFonts w:ascii="Arial" w:hAnsi="Arial" w:cs="Arial"/>
          <w:b/>
          <w:bCs/>
          <w:color w:val="000000"/>
          <w:kern w:val="0"/>
        </w:rPr>
        <w:t>Halloween, Easter, Christmas and Valentine's Day</w:t>
      </w:r>
      <w:r>
        <w:rPr>
          <w:rFonts w:ascii="Arial" w:hAnsi="Arial" w:cs="Arial"/>
          <w:color w:val="000000"/>
          <w:kern w:val="0"/>
        </w:rPr>
        <w:t>, where gift purchases and seasonal consumption significantly increase chocolate sales (National Confectioners Association, 2025; Mondelēz International, 2025).</w:t>
      </w:r>
    </w:p>
    <w:p w14:paraId="5FCC0A31" w14:textId="77777777" w:rsidR="002A498B" w:rsidRDefault="002A498B" w:rsidP="002A498B">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Geographic Segmentation</w:t>
      </w:r>
    </w:p>
    <w:p w14:paraId="31AFD1C5"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adapts its product portfolio according to geographical differences within both countries. In </w:t>
      </w:r>
      <w:r>
        <w:rPr>
          <w:rFonts w:ascii="Arial" w:hAnsi="Arial" w:cs="Arial"/>
          <w:b/>
          <w:bCs/>
          <w:color w:val="000000"/>
          <w:kern w:val="0"/>
        </w:rPr>
        <w:t>India</w:t>
      </w:r>
      <w:r>
        <w:rPr>
          <w:rFonts w:ascii="Arial" w:hAnsi="Arial" w:cs="Arial"/>
          <w:color w:val="000000"/>
          <w:kern w:val="0"/>
        </w:rPr>
        <w:t xml:space="preserve">, demand varies considerably between urban and rural markets. Metropolitan cities such as </w:t>
      </w:r>
      <w:r>
        <w:rPr>
          <w:rFonts w:ascii="Arial" w:hAnsi="Arial" w:cs="Arial"/>
          <w:b/>
          <w:bCs/>
          <w:color w:val="000000"/>
          <w:kern w:val="0"/>
        </w:rPr>
        <w:t xml:space="preserve">Mumbai, Delhi, Bengaluru and </w:t>
      </w:r>
      <w:proofErr w:type="spellStart"/>
      <w:r>
        <w:rPr>
          <w:rFonts w:ascii="Arial" w:hAnsi="Arial" w:cs="Arial"/>
          <w:b/>
          <w:bCs/>
          <w:color w:val="000000"/>
          <w:kern w:val="0"/>
        </w:rPr>
        <w:t>Hyderabad</w:t>
      </w:r>
      <w:r>
        <w:rPr>
          <w:rFonts w:ascii="Arial" w:hAnsi="Arial" w:cs="Arial"/>
          <w:color w:val="000000"/>
          <w:kern w:val="0"/>
        </w:rPr>
        <w:t>demonstrate</w:t>
      </w:r>
      <w:proofErr w:type="spellEnd"/>
      <w:r>
        <w:rPr>
          <w:rFonts w:ascii="Arial" w:hAnsi="Arial" w:cs="Arial"/>
          <w:color w:val="000000"/>
          <w:kern w:val="0"/>
        </w:rPr>
        <w:t xml:space="preserve"> higher demand for premium chocolates, sugar-free variants and innovative flavours due to higher income levels and modern retail development. Conversely, consumers in rural and semi-urban regions remain more price-sensitive, encouraging Cadbury to </w:t>
      </w:r>
      <w:r>
        <w:rPr>
          <w:rFonts w:ascii="Arial" w:hAnsi="Arial" w:cs="Arial"/>
          <w:color w:val="000000"/>
          <w:kern w:val="0"/>
        </w:rPr>
        <w:lastRenderedPageBreak/>
        <w:t>market smaller packaging sizes and affordable products through an extensive distribution network. This geographical adaptation allows the company to maximise market penetration across India's diverse consumer landscape (Kotler, Keller and Chernev, 2022).</w:t>
      </w:r>
    </w:p>
    <w:p w14:paraId="410F2F7C"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Cadbury's geographical segmentation is influenced by regional purchasing behaviour and retail accessibility. Premium confectionery products experience stronger demand in metropolitan areas where consumers have greater purchasing power and wider access to supermarkets, speciality retailers and online platforms. Seasonal purchasing also differs across regions, with chocolate sales increasing significantly during national celebrations and holidays. The company's strong presence across supermarkets, convenience stores and e-commerce platforms enables Cadbury to reach consumers efficiently throughout the country (Statista, 2025).</w:t>
      </w:r>
    </w:p>
    <w:p w14:paraId="7E9D755F" w14:textId="77777777" w:rsidR="002A498B" w:rsidRDefault="002A498B" w:rsidP="002A498B">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Psychographic Segmentation</w:t>
      </w:r>
    </w:p>
    <w:p w14:paraId="79ACA8BB"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also segments consumers according to their lifestyles, values and purchasing motivations. In </w:t>
      </w:r>
      <w:r>
        <w:rPr>
          <w:rFonts w:ascii="Arial" w:hAnsi="Arial" w:cs="Arial"/>
          <w:b/>
          <w:bCs/>
          <w:color w:val="000000"/>
          <w:kern w:val="0"/>
        </w:rPr>
        <w:t>India</w:t>
      </w:r>
      <w:r>
        <w:rPr>
          <w:rFonts w:ascii="Arial" w:hAnsi="Arial" w:cs="Arial"/>
          <w:color w:val="000000"/>
          <w:kern w:val="0"/>
        </w:rPr>
        <w:t xml:space="preserve">, the company appeals to consumers who value </w:t>
      </w:r>
      <w:r>
        <w:rPr>
          <w:rFonts w:ascii="Arial" w:hAnsi="Arial" w:cs="Arial"/>
          <w:b/>
          <w:bCs/>
          <w:color w:val="000000"/>
          <w:kern w:val="0"/>
        </w:rPr>
        <w:t>family relationships, celebrations, emotional connections and cultural traditions</w:t>
      </w:r>
      <w:r>
        <w:rPr>
          <w:rFonts w:ascii="Arial" w:hAnsi="Arial" w:cs="Arial"/>
          <w:color w:val="000000"/>
          <w:kern w:val="0"/>
        </w:rPr>
        <w:t xml:space="preserve">. Many purchasing decisions are influenced by festivals and social occasions, making chocolates an important symbol of gifting and togetherness. Cadbury has successfully strengthened this emotional positioning through campaigns such as </w:t>
      </w:r>
      <w:r>
        <w:rPr>
          <w:rFonts w:ascii="Arial" w:hAnsi="Arial" w:cs="Arial"/>
          <w:b/>
          <w:bCs/>
          <w:color w:val="000000"/>
          <w:kern w:val="0"/>
        </w:rPr>
        <w:t xml:space="preserve">"Kuch Meetha Ho </w:t>
      </w:r>
      <w:proofErr w:type="spellStart"/>
      <w:r>
        <w:rPr>
          <w:rFonts w:ascii="Arial" w:hAnsi="Arial" w:cs="Arial"/>
          <w:b/>
          <w:bCs/>
          <w:color w:val="000000"/>
          <w:kern w:val="0"/>
        </w:rPr>
        <w:t>Jaaye</w:t>
      </w:r>
      <w:proofErr w:type="spellEnd"/>
      <w:r>
        <w:rPr>
          <w:rFonts w:ascii="Arial" w:hAnsi="Arial" w:cs="Arial"/>
          <w:b/>
          <w:bCs/>
          <w:color w:val="000000"/>
          <w:kern w:val="0"/>
        </w:rPr>
        <w:t>"</w:t>
      </w:r>
      <w:r>
        <w:rPr>
          <w:rFonts w:ascii="Arial" w:hAnsi="Arial" w:cs="Arial"/>
          <w:color w:val="000000"/>
          <w:kern w:val="0"/>
        </w:rPr>
        <w:t>, encouraging consumers to associate chocolates with moments of happiness and celebration (Kotler, Keller and Chernev, 2022).</w:t>
      </w:r>
    </w:p>
    <w:p w14:paraId="6FD20B70"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psychographic segmentation focuses on consumers seeking </w:t>
      </w:r>
      <w:r>
        <w:rPr>
          <w:rFonts w:ascii="Arial" w:hAnsi="Arial" w:cs="Arial"/>
          <w:b/>
          <w:bCs/>
          <w:color w:val="000000"/>
          <w:kern w:val="0"/>
        </w:rPr>
        <w:t>premium quality, convenience, personal indulgence and ethical consumption</w:t>
      </w:r>
      <w:r>
        <w:rPr>
          <w:rFonts w:ascii="Arial" w:hAnsi="Arial" w:cs="Arial"/>
          <w:color w:val="000000"/>
          <w:kern w:val="0"/>
        </w:rPr>
        <w:t>. Increasing awareness of sustainability, healthier lifestyles and responsible sourcing has encouraged Cadbury to emphasise quality ingredients, sustainable cocoa sourcing and premium product experiences. Consumers also respond positively to innovative packaging and limited-edition seasonal products, reinforcing Cadbury's premium positioning within the competitive confectionery market (Solomon, 2024; Mondelēz International, 2025).</w:t>
      </w:r>
    </w:p>
    <w:p w14:paraId="680DAB1D" w14:textId="77777777" w:rsidR="002A498B" w:rsidRDefault="002A498B" w:rsidP="002A498B">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Behavioural Segmentation</w:t>
      </w:r>
    </w:p>
    <w:p w14:paraId="6F6A793C"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Cadbury's behavioural segmentation is based on </w:t>
      </w:r>
      <w:r>
        <w:rPr>
          <w:rFonts w:ascii="Arial" w:hAnsi="Arial" w:cs="Arial"/>
          <w:b/>
          <w:bCs/>
          <w:color w:val="000000"/>
          <w:kern w:val="0"/>
        </w:rPr>
        <w:t>purchase occasions, product benefits, brand loyalty and consumption patterns</w:t>
      </w:r>
      <w:r>
        <w:rPr>
          <w:rFonts w:ascii="Arial" w:hAnsi="Arial" w:cs="Arial"/>
          <w:color w:val="000000"/>
          <w:kern w:val="0"/>
        </w:rPr>
        <w:t xml:space="preserve">. In </w:t>
      </w:r>
      <w:r>
        <w:rPr>
          <w:rFonts w:ascii="Arial" w:hAnsi="Arial" w:cs="Arial"/>
          <w:b/>
          <w:bCs/>
          <w:color w:val="000000"/>
          <w:kern w:val="0"/>
        </w:rPr>
        <w:t>India</w:t>
      </w:r>
      <w:r>
        <w:rPr>
          <w:rFonts w:ascii="Arial" w:hAnsi="Arial" w:cs="Arial"/>
          <w:color w:val="000000"/>
          <w:kern w:val="0"/>
        </w:rPr>
        <w:t>, chocolates are frequently purchased during festivals, religious celebrations, birthdays and family gatherings. Consumers seek products that offer affordability, quality and emotional value, resulting in strong brand loyalty towards Cadbury. The company continues to introduce festive gift packs and promotional offers that encourage repeat purchases during peak celebration periods (Euromonitor International, 2025).</w:t>
      </w:r>
    </w:p>
    <w:p w14:paraId="62B9DCBE"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purchasing behaviour is primarily influenced by </w:t>
      </w:r>
      <w:r>
        <w:rPr>
          <w:rFonts w:ascii="Arial" w:hAnsi="Arial" w:cs="Arial"/>
          <w:b/>
          <w:bCs/>
          <w:color w:val="000000"/>
          <w:kern w:val="0"/>
        </w:rPr>
        <w:t>seasonal events, convenience and self-indulgence</w:t>
      </w:r>
      <w:r>
        <w:rPr>
          <w:rFonts w:ascii="Arial" w:hAnsi="Arial" w:cs="Arial"/>
          <w:color w:val="000000"/>
          <w:kern w:val="0"/>
        </w:rPr>
        <w:t>. Consumers purchase chocolates for personal enjoyment as well as gifting during occasions such as Halloween, Easter and Christmas. Behavioural segmentation also reflects increasing demand for premium products, healthier snack alternatives and sustainably sourced confectionery. Cadbury responds by developing innovative product variants and strengthening digital engagement to maintain customer loyalty within a highly competitive marketplace (National Confectioners Association, 2025).</w:t>
      </w:r>
    </w:p>
    <w:p w14:paraId="0F565F16"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Overall, Cadbury's segmentation strategy demonstrates that a </w:t>
      </w:r>
      <w:r>
        <w:rPr>
          <w:rFonts w:ascii="Arial" w:hAnsi="Arial" w:cs="Arial"/>
          <w:b/>
          <w:bCs/>
          <w:color w:val="000000"/>
          <w:kern w:val="0"/>
        </w:rPr>
        <w:t>standardised global approach is insufficient</w:t>
      </w:r>
      <w:r>
        <w:rPr>
          <w:rFonts w:ascii="Arial" w:hAnsi="Arial" w:cs="Arial"/>
          <w:color w:val="000000"/>
          <w:kern w:val="0"/>
        </w:rPr>
        <w:t xml:space="preserve"> for international markets. Instead, the company combines global brand consistency with local market adaptation by recognising differences in demographic characteristics, purchasing behaviour, cultural traditions and consumer lifestyles. This customer-centric segmentation strategy enables Cadbury to maintain strong market positions in both India and the United States while effectively responding to evolving consumer expectations and competitive market conditions (Kotler, Keller and Chernev, 2022; Keegan and Green, 2023).</w:t>
      </w:r>
    </w:p>
    <w:p w14:paraId="72FFEBEC"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Targeting</w:t>
      </w:r>
    </w:p>
    <w:p w14:paraId="5F0AC028"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adopts </w:t>
      </w:r>
      <w:r>
        <w:rPr>
          <w:rFonts w:ascii="Arial" w:hAnsi="Arial" w:cs="Arial"/>
          <w:b/>
          <w:bCs/>
          <w:color w:val="000000"/>
          <w:kern w:val="0"/>
        </w:rPr>
        <w:t>different targeting strategies</w:t>
      </w:r>
      <w:r>
        <w:rPr>
          <w:rFonts w:ascii="Arial" w:hAnsi="Arial" w:cs="Arial"/>
          <w:color w:val="000000"/>
          <w:kern w:val="0"/>
        </w:rPr>
        <w:t xml:space="preserve">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to address variations in consumer behaviour, purchasing power and cultural preferences. In </w:t>
      </w:r>
      <w:r>
        <w:rPr>
          <w:rFonts w:ascii="Arial" w:hAnsi="Arial" w:cs="Arial"/>
          <w:b/>
          <w:bCs/>
          <w:color w:val="000000"/>
          <w:kern w:val="0"/>
        </w:rPr>
        <w:t>India</w:t>
      </w:r>
      <w:r>
        <w:rPr>
          <w:rFonts w:ascii="Arial" w:hAnsi="Arial" w:cs="Arial"/>
          <w:color w:val="000000"/>
          <w:kern w:val="0"/>
        </w:rPr>
        <w:t xml:space="preserve">, Cadbury primarily follows a </w:t>
      </w:r>
      <w:r>
        <w:rPr>
          <w:rFonts w:ascii="Arial" w:hAnsi="Arial" w:cs="Arial"/>
          <w:b/>
          <w:bCs/>
          <w:color w:val="000000"/>
          <w:kern w:val="0"/>
        </w:rPr>
        <w:t>differentiated targeting strategy</w:t>
      </w:r>
      <w:r>
        <w:rPr>
          <w:rFonts w:ascii="Arial" w:hAnsi="Arial" w:cs="Arial"/>
          <w:color w:val="000000"/>
          <w:kern w:val="0"/>
        </w:rPr>
        <w:t xml:space="preserve">, serving multiple customer segments including children, teenagers, young professionals, families and festive gift buyers. The company offers an extensive product portfolio ranging from affordable chocolates such as </w:t>
      </w:r>
      <w:r>
        <w:rPr>
          <w:rFonts w:ascii="Arial" w:hAnsi="Arial" w:cs="Arial"/>
          <w:b/>
          <w:bCs/>
          <w:color w:val="000000"/>
          <w:kern w:val="0"/>
        </w:rPr>
        <w:t>Dairy Milk, 5 Star and Perk</w:t>
      </w:r>
      <w:r>
        <w:rPr>
          <w:rFonts w:ascii="Arial" w:hAnsi="Arial" w:cs="Arial"/>
          <w:color w:val="000000"/>
          <w:kern w:val="0"/>
        </w:rPr>
        <w:t xml:space="preserve"> to premium products including </w:t>
      </w:r>
      <w:r>
        <w:rPr>
          <w:rFonts w:ascii="Arial" w:hAnsi="Arial" w:cs="Arial"/>
          <w:b/>
          <w:bCs/>
          <w:color w:val="000000"/>
          <w:kern w:val="0"/>
        </w:rPr>
        <w:t xml:space="preserve">Cadbury Silk, Bournville and Cadbury </w:t>
      </w:r>
      <w:r>
        <w:rPr>
          <w:rFonts w:ascii="Arial" w:hAnsi="Arial" w:cs="Arial"/>
          <w:b/>
          <w:bCs/>
          <w:color w:val="000000"/>
          <w:kern w:val="0"/>
        </w:rPr>
        <w:lastRenderedPageBreak/>
        <w:t>Celebrations</w:t>
      </w:r>
      <w:r>
        <w:rPr>
          <w:rFonts w:ascii="Arial" w:hAnsi="Arial" w:cs="Arial"/>
          <w:color w:val="000000"/>
          <w:kern w:val="0"/>
        </w:rPr>
        <w:t>. This strategy enables Cadbury to cater to consumers across different income groups while capitalising on the country's strong gifting culture during festivals such as Diwali, Raksha Bandhan and Eid. By combining affordable pricing with emotionally driven marketing campaigns, Cadbury has established itself as the leading chocolate brand in India (Mondelēz International, 2025; Euromonitor International, 2025).</w:t>
      </w:r>
    </w:p>
    <w:p w14:paraId="3A7AAF4D"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Cadbury also adopts a </w:t>
      </w:r>
      <w:r>
        <w:rPr>
          <w:rFonts w:ascii="Arial" w:hAnsi="Arial" w:cs="Arial"/>
          <w:b/>
          <w:bCs/>
          <w:color w:val="000000"/>
          <w:kern w:val="0"/>
        </w:rPr>
        <w:t>differentiated targeting strategy</w:t>
      </w:r>
      <w:r>
        <w:rPr>
          <w:rFonts w:ascii="Arial" w:hAnsi="Arial" w:cs="Arial"/>
          <w:color w:val="000000"/>
          <w:kern w:val="0"/>
        </w:rPr>
        <w:t>, focusing on premium chocolate consumers, families, millennials, young professionals and seasonal buyers. Unlike India, where chocolates are commonly purchased for celebrations, American consumers often purchase confectionery for personal indulgence and seasonal occasions such as Easter, Halloween, Christmas and Valentine's Day. Consequently, Cadbury targets consumers seeking premium quality, British heritage and innovative confectionery products, while competing with established brands such as Hershey and Mars. The company strengthens its market position through seasonal product launches, premium packaging and digital marketing campaigns designed to attract younger consumers. This market-specific targeting strategy enables Cadbury to satisfy diverse customer needs while strengthening its competitiveness in both emerging and mature confectionery markets (Kotler, Keller and Chernev, 2022; National Confectioners Association, 2025).</w:t>
      </w:r>
    </w:p>
    <w:p w14:paraId="0FA3DE9D" w14:textId="77777777" w:rsidR="00C2222F" w:rsidRDefault="00C2222F" w:rsidP="00C2222F">
      <w:pPr>
        <w:autoSpaceDE w:val="0"/>
        <w:autoSpaceDN w:val="0"/>
        <w:adjustRightInd w:val="0"/>
        <w:spacing w:after="0" w:line="360" w:lineRule="auto"/>
        <w:jc w:val="both"/>
        <w:rPr>
          <w:rFonts w:ascii="Arial" w:hAnsi="Arial" w:cs="Arial"/>
          <w:color w:val="6D6D6D"/>
          <w:kern w:val="0"/>
        </w:rPr>
      </w:pPr>
    </w:p>
    <w:p w14:paraId="1C9FE502"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Positioning</w:t>
      </w:r>
    </w:p>
    <w:p w14:paraId="3D214B81"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maintains a </w:t>
      </w:r>
      <w:r>
        <w:rPr>
          <w:rFonts w:ascii="Arial" w:hAnsi="Arial" w:cs="Arial"/>
          <w:b/>
          <w:bCs/>
          <w:color w:val="000000"/>
          <w:kern w:val="0"/>
        </w:rPr>
        <w:t>consistent global brand identity</w:t>
      </w:r>
      <w:r>
        <w:rPr>
          <w:rFonts w:ascii="Arial" w:hAnsi="Arial" w:cs="Arial"/>
          <w:color w:val="000000"/>
          <w:kern w:val="0"/>
        </w:rPr>
        <w:t xml:space="preserve"> centred on </w:t>
      </w:r>
      <w:r>
        <w:rPr>
          <w:rFonts w:ascii="Arial" w:hAnsi="Arial" w:cs="Arial"/>
          <w:b/>
          <w:bCs/>
          <w:color w:val="000000"/>
          <w:kern w:val="0"/>
        </w:rPr>
        <w:t>quality, trust, happiness and emotional connection</w:t>
      </w:r>
      <w:r>
        <w:rPr>
          <w:rFonts w:ascii="Arial" w:hAnsi="Arial" w:cs="Arial"/>
          <w:color w:val="000000"/>
          <w:kern w:val="0"/>
        </w:rPr>
        <w:t xml:space="preserve">, while adapting its positioning strategy to meet the expectations of consumers in India and the United States. In </w:t>
      </w:r>
      <w:r>
        <w:rPr>
          <w:rFonts w:ascii="Arial" w:hAnsi="Arial" w:cs="Arial"/>
          <w:b/>
          <w:bCs/>
          <w:color w:val="000000"/>
          <w:kern w:val="0"/>
        </w:rPr>
        <w:t>India</w:t>
      </w:r>
      <w:r>
        <w:rPr>
          <w:rFonts w:ascii="Arial" w:hAnsi="Arial" w:cs="Arial"/>
          <w:color w:val="000000"/>
          <w:kern w:val="0"/>
        </w:rPr>
        <w:t xml:space="preserve">, Cadbury positions itself as a brand that celebrates relationships, family values and cultural traditions. Marketing campaigns such as </w:t>
      </w:r>
      <w:r>
        <w:rPr>
          <w:rFonts w:ascii="Arial" w:hAnsi="Arial" w:cs="Arial"/>
          <w:b/>
          <w:bCs/>
          <w:color w:val="000000"/>
          <w:kern w:val="0"/>
        </w:rPr>
        <w:t xml:space="preserve">"Kuch Meetha Ho </w:t>
      </w:r>
      <w:proofErr w:type="spellStart"/>
      <w:r>
        <w:rPr>
          <w:rFonts w:ascii="Arial" w:hAnsi="Arial" w:cs="Arial"/>
          <w:b/>
          <w:bCs/>
          <w:color w:val="000000"/>
          <w:kern w:val="0"/>
        </w:rPr>
        <w:t>Jaaye</w:t>
      </w:r>
      <w:proofErr w:type="spellEnd"/>
      <w:r>
        <w:rPr>
          <w:rFonts w:ascii="Arial" w:hAnsi="Arial" w:cs="Arial"/>
          <w:b/>
          <w:bCs/>
          <w:color w:val="000000"/>
          <w:kern w:val="0"/>
        </w:rPr>
        <w:t>"</w:t>
      </w:r>
      <w:r>
        <w:rPr>
          <w:rFonts w:ascii="Arial" w:hAnsi="Arial" w:cs="Arial"/>
          <w:color w:val="000000"/>
          <w:kern w:val="0"/>
        </w:rPr>
        <w:t xml:space="preserve"> successfully transformed chocolates from an occasional treat into an essential part of festivals, gifting and everyday celebrations. This emotional positioning has enabled Cadbury to build strong customer loyalty and maintain its leadership within the Indian chocolate market by connecting the brand with memorable life moments and shared experiences (Mondelēz India, 2025).</w:t>
      </w:r>
    </w:p>
    <w:p w14:paraId="415A5C2B"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In the </w:t>
      </w:r>
      <w:r>
        <w:rPr>
          <w:rFonts w:ascii="Arial" w:hAnsi="Arial" w:cs="Arial"/>
          <w:b/>
          <w:bCs/>
          <w:color w:val="000000"/>
          <w:kern w:val="0"/>
        </w:rPr>
        <w:t>United States</w:t>
      </w:r>
      <w:r>
        <w:rPr>
          <w:rFonts w:ascii="Arial" w:hAnsi="Arial" w:cs="Arial"/>
          <w:color w:val="000000"/>
          <w:kern w:val="0"/>
        </w:rPr>
        <w:t xml:space="preserve">, Cadbury positions itself as a </w:t>
      </w:r>
      <w:r>
        <w:rPr>
          <w:rFonts w:ascii="Arial" w:hAnsi="Arial" w:cs="Arial"/>
          <w:b/>
          <w:bCs/>
          <w:color w:val="000000"/>
          <w:kern w:val="0"/>
        </w:rPr>
        <w:t>premium British chocolate brand</w:t>
      </w:r>
      <w:r>
        <w:rPr>
          <w:rFonts w:ascii="Arial" w:hAnsi="Arial" w:cs="Arial"/>
          <w:color w:val="000000"/>
          <w:kern w:val="0"/>
        </w:rPr>
        <w:t xml:space="preserve">, differentiating itself through superior taste, heritage and seasonal confectionery. Products such as </w:t>
      </w:r>
      <w:r>
        <w:rPr>
          <w:rFonts w:ascii="Arial" w:hAnsi="Arial" w:cs="Arial"/>
          <w:b/>
          <w:bCs/>
          <w:color w:val="000000"/>
          <w:kern w:val="0"/>
        </w:rPr>
        <w:t>Cadbury Creme Egg</w:t>
      </w:r>
      <w:r>
        <w:rPr>
          <w:rFonts w:ascii="Arial" w:hAnsi="Arial" w:cs="Arial"/>
          <w:color w:val="000000"/>
          <w:kern w:val="0"/>
        </w:rPr>
        <w:t xml:space="preserve"> and </w:t>
      </w:r>
      <w:r>
        <w:rPr>
          <w:rFonts w:ascii="Arial" w:hAnsi="Arial" w:cs="Arial"/>
          <w:b/>
          <w:bCs/>
          <w:color w:val="000000"/>
          <w:kern w:val="0"/>
        </w:rPr>
        <w:t>Cadbury Mini Eggs</w:t>
      </w:r>
      <w:r>
        <w:rPr>
          <w:rFonts w:ascii="Arial" w:hAnsi="Arial" w:cs="Arial"/>
          <w:color w:val="000000"/>
          <w:kern w:val="0"/>
        </w:rPr>
        <w:t xml:space="preserve"> are strongly associated with Easter celebrations, while premium packaging and innovative product variants reinforce perceptions of quality and authenticity. Furthermore, Cadbury increasingly incorporates sustainability, ethical cocoa sourcing and responsible business practices into its brand communication, responding to growing consumer interest in environmentally and socially responsible products. By combining global brand consistency with local market adaptation, Cadbury effectively strengthens its brand equity, enhances customer loyalty and maintains a sustainable competitive advantage across both markets (Keegan and Green, 2023; Mondelēz International, 2025).</w:t>
      </w:r>
    </w:p>
    <w:p w14:paraId="79C85BE5" w14:textId="6BD1D973" w:rsidR="00C2222F" w:rsidRDefault="002016BC" w:rsidP="002016BC">
      <w:pPr>
        <w:autoSpaceDE w:val="0"/>
        <w:autoSpaceDN w:val="0"/>
        <w:adjustRightInd w:val="0"/>
        <w:spacing w:after="240" w:line="360" w:lineRule="auto"/>
        <w:jc w:val="center"/>
        <w:rPr>
          <w:rFonts w:ascii="Arial" w:hAnsi="Arial" w:cs="Arial"/>
          <w:color w:val="000000"/>
          <w:kern w:val="0"/>
        </w:rPr>
      </w:pPr>
      <w:r>
        <w:rPr>
          <w:noProof/>
        </w:rPr>
        <w:drawing>
          <wp:inline distT="0" distB="0" distL="0" distR="0" wp14:anchorId="4B2F65E2" wp14:editId="210DB99A">
            <wp:extent cx="5731510" cy="4298950"/>
            <wp:effectExtent l="0" t="0" r="2540" b="6350"/>
            <wp:docPr id="854076162" name="Picture 2" descr="Brand Positioning &amp; Competitor Analysis | The Cadbu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and Positioning &amp; Competitor Analysis | The Cadbur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848901F" w14:textId="68375A6B" w:rsidR="002016BC" w:rsidRDefault="002016BC" w:rsidP="002016BC">
      <w:pPr>
        <w:autoSpaceDE w:val="0"/>
        <w:autoSpaceDN w:val="0"/>
        <w:adjustRightInd w:val="0"/>
        <w:spacing w:after="240" w:line="360" w:lineRule="auto"/>
        <w:jc w:val="center"/>
        <w:rPr>
          <w:rFonts w:ascii="Arial" w:hAnsi="Arial" w:cs="Arial"/>
          <w:color w:val="000000"/>
          <w:kern w:val="0"/>
        </w:rPr>
      </w:pPr>
      <w:r>
        <w:rPr>
          <w:rFonts w:ascii="Arial" w:hAnsi="Arial" w:cs="Arial"/>
          <w:color w:val="000000"/>
          <w:kern w:val="0"/>
        </w:rPr>
        <w:t>Brand Positioning and Perceptual map</w:t>
      </w:r>
      <w:r>
        <w:rPr>
          <w:rFonts w:ascii="Arial" w:hAnsi="Arial" w:cs="Arial"/>
          <w:color w:val="000000"/>
          <w:kern w:val="0"/>
        </w:rPr>
        <w:br/>
        <w:t xml:space="preserve">Source from Google </w:t>
      </w:r>
      <w:r>
        <w:rPr>
          <w:rFonts w:ascii="Arial" w:hAnsi="Arial" w:cs="Arial"/>
          <w:color w:val="000000"/>
          <w:kern w:val="0"/>
        </w:rPr>
        <w:br/>
      </w:r>
      <w:hyperlink r:id="rId11" w:anchor="sv=CAMSZxowKg5vX0Mzd1lnNUQ5R1MyTTIOb19DM3dZZzVEOUdTMk06Dk9xc283OHM3ajRWWC1NIAQqLwobXzJQWjZhdm04STZpWmhiSVA3SmU5b1FZXzQ4Eg5vX0Mzd1lnNUQ5R1MyTRgAMAEYByCEjdrCDUoIEAEYASABKAE" w:history="1">
        <w:r w:rsidRPr="00354DBF">
          <w:rPr>
            <w:rStyle w:val="Hyperlink"/>
            <w:rFonts w:ascii="Arial" w:hAnsi="Arial" w:cs="Arial"/>
            <w:kern w:val="0"/>
            <w:sz w:val="4"/>
            <w:szCs w:val="4"/>
          </w:rPr>
          <w:t>https://www.google.com/search?q=paceptual+map+of+cadbury+&amp;sca_esv=b90884f24ac4e82c&amp;rlz=1C1CHBF_enIN974IN974&amp;sxsrf=APpeQntaqrTQ2rljr1fE_BE6ZR9mUXJSOA%3A1786443263154&amp;ei=__V6ao37CNi6hbIP1_KOgQs&amp;biw=767&amp;bih=695&amp;ved=0ahUKEwjN9vHgq5iWAxVYXUEAHVe5I7AQ4dUDCBA&amp;uact=5&amp;oq=paceptual+map+of+cadbury+&amp;gs_lp=Egxnd3Mtd2l6LXNlcnAiGXBhY2VwdHVhbCBtYXAgb2YgY2FkYnVyeSBI12FQoQlY2F1wBngBkAEEmAHaAaABiC6qAQYzLjQyLjG4AQPIAQD4AQGYAhygAuMcqAIKwgIKEAAYRxjWBBiwA8ICDRAAGIAEGIoFGEMYsAPCAgQQIxgnwgIKEAAYgAQYigUYQ8ICBhAAGBYYHsICEBAjGJ0GGOgGGN0FGOoCGCfCAgcQIxjqAhgnwgIKECMYyQIY8AUYJ8ICCxAAGIAEGIoFGJECwgIIEAAYgAQYsQPCAg0QLhiABBiKBRhDGLEDwgIFEAAYgATCAgsQABiABBixAxiDAcICCBAuGIAEGLEDwgIUEC4YgwEYrwEYxwEYsQMYgAQYjgXCAg0QABiABBiKBRhDGLEDwgIFEC4YgATCAhAQLhiABBjHARivARiOBRgKwgIEEAAYHsICDRAjGPAFGMkCGLACGCfCAgcQABiABBgNwgINECMYyQIY8AUYsAIYJ8ICBhAAGB4YDcICCBAAGB4YDRgKwgIIEAAYFhgeGArCAgsQABiABBiKBRiGA8ICBBAhGBWYAxXxBaR3QMckpFUOiAYBkAYJkgcGNS4yMS4yoAfIsAKyBwYwLjIwLjK4B4obwgcOMC4zLjcuMTMuNC4wLjHIB40DgAgB&amp;sclient=gws-wiz-serp#sv=CAMSZxowKg5vX0Mzd1lnNUQ5R1MyTTIOb19DM3dZZzVEOUdTMk06Dk9xc283OHM3ajRWWC1NIAQqLwobXzJQWjZhdm04STZpWmhiSVA3SmU5b1FZXzQ4Eg5vX0Mzd1lnNUQ5R1MyTRgAMAEYByCEjdrCDUoIEAEYASABKAE</w:t>
        </w:r>
      </w:hyperlink>
      <w:r>
        <w:rPr>
          <w:rFonts w:ascii="Arial" w:hAnsi="Arial" w:cs="Arial"/>
          <w:color w:val="000000"/>
          <w:kern w:val="0"/>
          <w:sz w:val="4"/>
          <w:szCs w:val="4"/>
        </w:rPr>
        <w:t xml:space="preserve"> </w:t>
      </w:r>
    </w:p>
    <w:p w14:paraId="682029FC" w14:textId="77777777" w:rsidR="007B6DB6" w:rsidRDefault="007B6DB6" w:rsidP="002A498B">
      <w:pPr>
        <w:autoSpaceDE w:val="0"/>
        <w:autoSpaceDN w:val="0"/>
        <w:adjustRightInd w:val="0"/>
        <w:spacing w:after="321" w:line="360" w:lineRule="auto"/>
        <w:jc w:val="both"/>
        <w:rPr>
          <w:rFonts w:ascii="Arial" w:hAnsi="Arial" w:cs="Arial"/>
          <w:b/>
          <w:bCs/>
          <w:color w:val="000000"/>
          <w:kern w:val="0"/>
        </w:rPr>
      </w:pPr>
    </w:p>
    <w:p w14:paraId="40E3844C" w14:textId="4CBF760A" w:rsidR="002A498B" w:rsidRPr="006C0151" w:rsidRDefault="002A498B" w:rsidP="006C0151">
      <w:pPr>
        <w:pStyle w:val="Heading1"/>
        <w:spacing w:line="360" w:lineRule="auto"/>
        <w:jc w:val="both"/>
        <w:rPr>
          <w:rFonts w:ascii="Arial" w:hAnsi="Arial" w:cs="Arial"/>
          <w:b/>
          <w:bCs/>
          <w:color w:val="000000"/>
          <w:kern w:val="0"/>
          <w:sz w:val="24"/>
          <w:szCs w:val="24"/>
        </w:rPr>
      </w:pPr>
      <w:bookmarkStart w:id="16" w:name="_Toc236841360"/>
      <w:r w:rsidRPr="006C0151">
        <w:rPr>
          <w:rFonts w:ascii="Arial" w:hAnsi="Arial" w:cs="Arial"/>
          <w:b/>
          <w:bCs/>
          <w:color w:val="000000"/>
          <w:kern w:val="0"/>
          <w:sz w:val="24"/>
          <w:szCs w:val="24"/>
        </w:rPr>
        <w:t>6. Comparative 7Ps Marketing Mix of Cadbury in India and the United States</w:t>
      </w:r>
      <w:bookmarkEnd w:id="16"/>
    </w:p>
    <w:p w14:paraId="73571C9E"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adopts a balanced international marketing strategy by maintaining a globally recognised brand while adapting its marketing mix to meet the diverse needs of consumers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As a flagship brand of </w:t>
      </w:r>
      <w:r>
        <w:rPr>
          <w:rFonts w:ascii="Arial" w:hAnsi="Arial" w:cs="Arial"/>
          <w:b/>
          <w:bCs/>
          <w:color w:val="000000"/>
          <w:kern w:val="0"/>
        </w:rPr>
        <w:t>Mondelēz International</w:t>
      </w:r>
      <w:r>
        <w:rPr>
          <w:rFonts w:ascii="Arial" w:hAnsi="Arial" w:cs="Arial"/>
          <w:color w:val="000000"/>
          <w:kern w:val="0"/>
        </w:rPr>
        <w:t xml:space="preserve">, Cadbury consistently emphasises quality, innovation, emotional connection and sustainability across global markets. However, differences in consumer behaviour, purchasing power, cultural preferences and competitive conditions require the company to modify elements of its </w:t>
      </w:r>
      <w:r>
        <w:rPr>
          <w:rFonts w:ascii="Arial" w:hAnsi="Arial" w:cs="Arial"/>
          <w:b/>
          <w:bCs/>
          <w:color w:val="000000"/>
          <w:kern w:val="0"/>
        </w:rPr>
        <w:t>7Ps marketing mix</w:t>
      </w:r>
      <w:r>
        <w:rPr>
          <w:rFonts w:ascii="Arial" w:hAnsi="Arial" w:cs="Arial"/>
          <w:color w:val="000000"/>
          <w:kern w:val="0"/>
        </w:rPr>
        <w:t xml:space="preserve"> to remain competitive. Through local product adaptation, market-specific pricing, diversified distribution channels and integrated promotional strategies, Cadbury successfully balances global brand consistency with local responsiveness. This approach enables the company to strengthen customer loyalty, improve market penetration and sustain long-term competitive advantage in both emerging and developed markets (Kotler, Keller and Chernev, 2022; Keegan and Green, 2023).</w:t>
      </w:r>
    </w:p>
    <w:p w14:paraId="6FF1BE66" w14:textId="77777777" w:rsidR="002A498B" w:rsidRDefault="002A498B" w:rsidP="002A498B">
      <w:pPr>
        <w:autoSpaceDE w:val="0"/>
        <w:autoSpaceDN w:val="0"/>
        <w:adjustRightInd w:val="0"/>
        <w:spacing w:after="240" w:line="360" w:lineRule="auto"/>
        <w:jc w:val="both"/>
        <w:rPr>
          <w:rFonts w:ascii="Arial" w:hAnsi="Arial" w:cs="Arial"/>
          <w:color w:val="000000"/>
          <w:kern w:val="0"/>
        </w:rPr>
      </w:pPr>
    </w:p>
    <w:p w14:paraId="28224990" w14:textId="77777777" w:rsidR="002A498B" w:rsidRDefault="002A498B" w:rsidP="002A498B">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Product</w:t>
      </w:r>
    </w:p>
    <w:p w14:paraId="466CF28D"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offers an extensive portfolio of chocolate and confectionery products in both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although its product strategy is adapted to local consumer preferences and purchasing behaviour. In </w:t>
      </w:r>
      <w:r>
        <w:rPr>
          <w:rFonts w:ascii="Arial" w:hAnsi="Arial" w:cs="Arial"/>
          <w:b/>
          <w:bCs/>
          <w:color w:val="000000"/>
          <w:kern w:val="0"/>
        </w:rPr>
        <w:t>India</w:t>
      </w:r>
      <w:r>
        <w:rPr>
          <w:rFonts w:ascii="Arial" w:hAnsi="Arial" w:cs="Arial"/>
          <w:color w:val="000000"/>
          <w:kern w:val="0"/>
        </w:rPr>
        <w:t xml:space="preserve">, the company focuses on affordable everyday chocolates alongside festive gifting products. Popular brands include </w:t>
      </w:r>
      <w:r>
        <w:rPr>
          <w:rFonts w:ascii="Arial" w:hAnsi="Arial" w:cs="Arial"/>
          <w:b/>
          <w:bCs/>
          <w:color w:val="000000"/>
          <w:kern w:val="0"/>
        </w:rPr>
        <w:t>Cadbury Dairy Milk, 5 Star, Perk, Gems, Bournville, Silk and Cadbury Celebrations</w:t>
      </w:r>
      <w:r>
        <w:rPr>
          <w:rFonts w:ascii="Arial" w:hAnsi="Arial" w:cs="Arial"/>
          <w:color w:val="000000"/>
          <w:kern w:val="0"/>
        </w:rPr>
        <w:t>, which are specifically designed to meet the country's strong gifting culture and festival demand. Cadbury also introduces local flavours and limited-edition packaging during festivals such as Diwali and Raksha Bandhan to strengthen emotional engagement with consumers (Mondelēz India, 2025).</w:t>
      </w:r>
    </w:p>
    <w:p w14:paraId="5CA1F1DF"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Cadbury positions itself as a premium British chocolate brand. The product portfolio includes </w:t>
      </w:r>
      <w:r>
        <w:rPr>
          <w:rFonts w:ascii="Arial" w:hAnsi="Arial" w:cs="Arial"/>
          <w:b/>
          <w:bCs/>
          <w:color w:val="000000"/>
          <w:kern w:val="0"/>
        </w:rPr>
        <w:t>Cadbury Dairy Milk, Cadbury Creme Egg, Cadbury Mini Eggs, Caramello and seasonal confectionery</w:t>
      </w:r>
      <w:r>
        <w:rPr>
          <w:rFonts w:ascii="Arial" w:hAnsi="Arial" w:cs="Arial"/>
          <w:color w:val="000000"/>
          <w:kern w:val="0"/>
        </w:rPr>
        <w:t xml:space="preserve">, with sales increasing significantly during Easter, Halloween and Christmas. American consumers place </w:t>
      </w:r>
      <w:r>
        <w:rPr>
          <w:rFonts w:ascii="Arial" w:hAnsi="Arial" w:cs="Arial"/>
          <w:color w:val="000000"/>
          <w:kern w:val="0"/>
        </w:rPr>
        <w:lastRenderedPageBreak/>
        <w:t>greater emphasis on premium quality, convenience and seasonal products, encouraging Cadbury to develop innovative flavours and premium packaging (National Confectioners Association, 2025).</w:t>
      </w:r>
    </w:p>
    <w:p w14:paraId="4BC8F25F"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Cadbury's product strategy demonstrates both </w:t>
      </w:r>
      <w:r>
        <w:rPr>
          <w:rFonts w:ascii="Arial" w:hAnsi="Arial" w:cs="Arial"/>
          <w:b/>
          <w:bCs/>
          <w:color w:val="000000"/>
          <w:kern w:val="0"/>
        </w:rPr>
        <w:t>product width</w:t>
      </w:r>
      <w:r>
        <w:rPr>
          <w:rFonts w:ascii="Arial" w:hAnsi="Arial" w:cs="Arial"/>
          <w:color w:val="000000"/>
          <w:kern w:val="0"/>
        </w:rPr>
        <w:t xml:space="preserve"> and </w:t>
      </w:r>
      <w:r>
        <w:rPr>
          <w:rFonts w:ascii="Arial" w:hAnsi="Arial" w:cs="Arial"/>
          <w:b/>
          <w:bCs/>
          <w:color w:val="000000"/>
          <w:kern w:val="0"/>
        </w:rPr>
        <w:t>product depth</w:t>
      </w:r>
      <w:r>
        <w:rPr>
          <w:rFonts w:ascii="Arial" w:hAnsi="Arial" w:cs="Arial"/>
          <w:color w:val="000000"/>
          <w:kern w:val="0"/>
        </w:rPr>
        <w:t>. Product width refers to the variety of confectionery categories offered, while product depth reflects multiple variants within each product line to satisfy different consumer preferences.</w:t>
      </w:r>
    </w:p>
    <w:p w14:paraId="6BFE816A" w14:textId="701AED40" w:rsidR="002016BC" w:rsidRDefault="002016BC" w:rsidP="002016BC">
      <w:pPr>
        <w:autoSpaceDE w:val="0"/>
        <w:autoSpaceDN w:val="0"/>
        <w:adjustRightInd w:val="0"/>
        <w:spacing w:after="240" w:line="360" w:lineRule="auto"/>
        <w:jc w:val="center"/>
        <w:rPr>
          <w:rFonts w:ascii="Arial" w:hAnsi="Arial" w:cs="Arial"/>
          <w:color w:val="000000"/>
          <w:kern w:val="0"/>
        </w:rPr>
      </w:pPr>
      <w:r w:rsidRPr="002016BC">
        <w:rPr>
          <w:rFonts w:ascii="Arial" w:hAnsi="Arial" w:cs="Arial"/>
          <w:noProof/>
          <w:color w:val="000000"/>
          <w:kern w:val="0"/>
        </w:rPr>
        <w:drawing>
          <wp:inline distT="0" distB="0" distL="0" distR="0" wp14:anchorId="6374052B" wp14:editId="46C11769">
            <wp:extent cx="5731510" cy="3201670"/>
            <wp:effectExtent l="0" t="0" r="2540" b="0"/>
            <wp:docPr id="15683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1995" name=""/>
                    <pic:cNvPicPr/>
                  </pic:nvPicPr>
                  <pic:blipFill>
                    <a:blip r:embed="rId12"/>
                    <a:stretch>
                      <a:fillRect/>
                    </a:stretch>
                  </pic:blipFill>
                  <pic:spPr>
                    <a:xfrm>
                      <a:off x="0" y="0"/>
                      <a:ext cx="5731510" cy="3201670"/>
                    </a:xfrm>
                    <a:prstGeom prst="rect">
                      <a:avLst/>
                    </a:prstGeom>
                  </pic:spPr>
                </pic:pic>
              </a:graphicData>
            </a:graphic>
          </wp:inline>
        </w:drawing>
      </w:r>
      <w:r>
        <w:rPr>
          <w:rFonts w:ascii="Arial" w:hAnsi="Arial" w:cs="Arial"/>
          <w:color w:val="000000"/>
          <w:kern w:val="0"/>
        </w:rPr>
        <w:br/>
      </w:r>
      <w:r w:rsidRPr="002016BC">
        <w:rPr>
          <w:rFonts w:ascii="Arial" w:hAnsi="Arial" w:cs="Arial"/>
          <w:b/>
          <w:bCs/>
          <w:color w:val="000000"/>
          <w:kern w:val="0"/>
        </w:rPr>
        <w:t>Source from Gemini</w:t>
      </w:r>
    </w:p>
    <w:p w14:paraId="7706F1BD" w14:textId="77777777" w:rsidR="002A498B" w:rsidRDefault="002A498B" w:rsidP="002A498B">
      <w:pPr>
        <w:autoSpaceDE w:val="0"/>
        <w:autoSpaceDN w:val="0"/>
        <w:adjustRightInd w:val="0"/>
        <w:spacing w:after="240" w:line="360" w:lineRule="auto"/>
        <w:jc w:val="both"/>
        <w:rPr>
          <w:rFonts w:ascii="Arial" w:hAnsi="Arial" w:cs="Arial"/>
          <w:color w:val="000000"/>
          <w:kern w:val="0"/>
        </w:rPr>
      </w:pPr>
    </w:p>
    <w:p w14:paraId="6074C796" w14:textId="77777777" w:rsidR="002A498B" w:rsidRDefault="002A498B" w:rsidP="002A498B">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Price</w:t>
      </w:r>
    </w:p>
    <w:p w14:paraId="7B199CEE"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follows a </w:t>
      </w:r>
      <w:r>
        <w:rPr>
          <w:rFonts w:ascii="Arial" w:hAnsi="Arial" w:cs="Arial"/>
          <w:b/>
          <w:bCs/>
          <w:color w:val="000000"/>
          <w:kern w:val="0"/>
        </w:rPr>
        <w:t>value-based pricing strategy</w:t>
      </w:r>
      <w:r>
        <w:rPr>
          <w:rFonts w:ascii="Arial" w:hAnsi="Arial" w:cs="Arial"/>
          <w:color w:val="000000"/>
          <w:kern w:val="0"/>
        </w:rPr>
        <w:t xml:space="preserve"> in both India and the United States, but pricing decisions vary according to market conditions, consumer purchasing power and competitive intensity. In </w:t>
      </w:r>
      <w:r>
        <w:rPr>
          <w:rFonts w:ascii="Arial" w:hAnsi="Arial" w:cs="Arial"/>
          <w:b/>
          <w:bCs/>
          <w:color w:val="000000"/>
          <w:kern w:val="0"/>
        </w:rPr>
        <w:t>India</w:t>
      </w:r>
      <w:r>
        <w:rPr>
          <w:rFonts w:ascii="Arial" w:hAnsi="Arial" w:cs="Arial"/>
          <w:color w:val="000000"/>
          <w:kern w:val="0"/>
        </w:rPr>
        <w:t xml:space="preserve">, the company adopts a </w:t>
      </w:r>
      <w:r>
        <w:rPr>
          <w:rFonts w:ascii="Arial" w:hAnsi="Arial" w:cs="Arial"/>
          <w:b/>
          <w:bCs/>
          <w:color w:val="000000"/>
          <w:kern w:val="0"/>
        </w:rPr>
        <w:t>tiered pricing strategy</w:t>
      </w:r>
      <w:r>
        <w:rPr>
          <w:rFonts w:ascii="Arial" w:hAnsi="Arial" w:cs="Arial"/>
          <w:color w:val="000000"/>
          <w:kern w:val="0"/>
        </w:rPr>
        <w:t>, offering chocolates across multiple price points to serve price-sensitive consumers while also catering to premium buyers. Small pack sizes, value packs and festive gift boxes enable Cadbury to reach different income groups without compromising brand accessibility. Product prices are influenced by raw material costs, inflation, taxation, cocoa prices and changing consumer demand (Euromonitor International, 2025).</w:t>
      </w:r>
    </w:p>
    <w:p w14:paraId="20A655B1"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In the </w:t>
      </w:r>
      <w:r>
        <w:rPr>
          <w:rFonts w:ascii="Arial" w:hAnsi="Arial" w:cs="Arial"/>
          <w:b/>
          <w:bCs/>
          <w:color w:val="000000"/>
          <w:kern w:val="0"/>
        </w:rPr>
        <w:t>United States</w:t>
      </w:r>
      <w:r>
        <w:rPr>
          <w:rFonts w:ascii="Arial" w:hAnsi="Arial" w:cs="Arial"/>
          <w:color w:val="000000"/>
          <w:kern w:val="0"/>
        </w:rPr>
        <w:t xml:space="preserve">, Cadbury adopts a </w:t>
      </w:r>
      <w:r>
        <w:rPr>
          <w:rFonts w:ascii="Arial" w:hAnsi="Arial" w:cs="Arial"/>
          <w:b/>
          <w:bCs/>
          <w:color w:val="000000"/>
          <w:kern w:val="0"/>
        </w:rPr>
        <w:t>premium pricing strategy</w:t>
      </w:r>
      <w:r>
        <w:rPr>
          <w:rFonts w:ascii="Arial" w:hAnsi="Arial" w:cs="Arial"/>
          <w:color w:val="000000"/>
          <w:kern w:val="0"/>
        </w:rPr>
        <w:t>, reflecting its British heritage and imported brand image. Prices are influenced by import costs, exchange rate fluctuations, labour costs, inflation and strong competition from established brands such as Hershey and Mars. Seasonal demand during Easter, Halloween and Christmas also affects promotional pricing and product availability. Despite higher prices, consumers perceive Cadbury as a premium-quality chocolate brand, supporting its long-term positioning within the American confectionery market (Statista, 2025; Mondelēz International, 2025).</w:t>
      </w:r>
    </w:p>
    <w:p w14:paraId="28322B1D" w14:textId="77777777" w:rsidR="002A498B" w:rsidRDefault="002A498B" w:rsidP="002A498B">
      <w:pPr>
        <w:autoSpaceDE w:val="0"/>
        <w:autoSpaceDN w:val="0"/>
        <w:adjustRightInd w:val="0"/>
        <w:spacing w:after="0" w:line="360" w:lineRule="auto"/>
        <w:jc w:val="both"/>
        <w:rPr>
          <w:rFonts w:ascii="Arial" w:hAnsi="Arial" w:cs="Arial"/>
          <w:color w:val="6D6D6D"/>
          <w:kern w:val="0"/>
        </w:rPr>
      </w:pPr>
    </w:p>
    <w:p w14:paraId="16D8FB90" w14:textId="77777777" w:rsidR="007B6DB6" w:rsidRDefault="007B6DB6" w:rsidP="002A498B">
      <w:pPr>
        <w:autoSpaceDE w:val="0"/>
        <w:autoSpaceDN w:val="0"/>
        <w:adjustRightInd w:val="0"/>
        <w:spacing w:after="298" w:line="360" w:lineRule="auto"/>
        <w:jc w:val="both"/>
        <w:rPr>
          <w:rFonts w:ascii="Arial" w:hAnsi="Arial" w:cs="Arial"/>
          <w:b/>
          <w:bCs/>
          <w:color w:val="000000"/>
          <w:kern w:val="0"/>
        </w:rPr>
      </w:pPr>
    </w:p>
    <w:p w14:paraId="737BD910" w14:textId="77777777" w:rsidR="007B6DB6" w:rsidRDefault="007B6DB6" w:rsidP="002A498B">
      <w:pPr>
        <w:autoSpaceDE w:val="0"/>
        <w:autoSpaceDN w:val="0"/>
        <w:adjustRightInd w:val="0"/>
        <w:spacing w:after="298" w:line="360" w:lineRule="auto"/>
        <w:jc w:val="both"/>
        <w:rPr>
          <w:rFonts w:ascii="Arial" w:hAnsi="Arial" w:cs="Arial"/>
          <w:b/>
          <w:bCs/>
          <w:color w:val="000000"/>
          <w:kern w:val="0"/>
        </w:rPr>
      </w:pPr>
    </w:p>
    <w:p w14:paraId="3750A743" w14:textId="77777777" w:rsidR="007B6DB6" w:rsidRDefault="007B6DB6" w:rsidP="002A498B">
      <w:pPr>
        <w:autoSpaceDE w:val="0"/>
        <w:autoSpaceDN w:val="0"/>
        <w:adjustRightInd w:val="0"/>
        <w:spacing w:after="298" w:line="360" w:lineRule="auto"/>
        <w:jc w:val="both"/>
        <w:rPr>
          <w:rFonts w:ascii="Arial" w:hAnsi="Arial" w:cs="Arial"/>
          <w:b/>
          <w:bCs/>
          <w:color w:val="000000"/>
          <w:kern w:val="0"/>
        </w:rPr>
      </w:pPr>
    </w:p>
    <w:p w14:paraId="27ACB9C6" w14:textId="714320DD" w:rsidR="002A498B" w:rsidRDefault="002A498B" w:rsidP="002A498B">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Place</w:t>
      </w:r>
    </w:p>
    <w:p w14:paraId="285FAA49"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has established an extensive distribution network in both countries to ensure widespread product availability and customer convenience. In </w:t>
      </w:r>
      <w:r>
        <w:rPr>
          <w:rFonts w:ascii="Arial" w:hAnsi="Arial" w:cs="Arial"/>
          <w:b/>
          <w:bCs/>
          <w:color w:val="000000"/>
          <w:kern w:val="0"/>
        </w:rPr>
        <w:t>India</w:t>
      </w:r>
      <w:r>
        <w:rPr>
          <w:rFonts w:ascii="Arial" w:hAnsi="Arial" w:cs="Arial"/>
          <w:color w:val="000000"/>
          <w:kern w:val="0"/>
        </w:rPr>
        <w:t>, the company utilises a multi-channel distribution strategy that includes supermarkets, hypermarkets, convenience stores, traditional neighbourhood retailers (</w:t>
      </w:r>
      <w:proofErr w:type="spellStart"/>
      <w:r>
        <w:rPr>
          <w:rFonts w:ascii="Arial" w:hAnsi="Arial" w:cs="Arial"/>
          <w:color w:val="000000"/>
          <w:kern w:val="0"/>
        </w:rPr>
        <w:t>kirana</w:t>
      </w:r>
      <w:proofErr w:type="spellEnd"/>
      <w:r>
        <w:rPr>
          <w:rFonts w:ascii="Arial" w:hAnsi="Arial" w:cs="Arial"/>
          <w:color w:val="000000"/>
          <w:kern w:val="0"/>
        </w:rPr>
        <w:t xml:space="preserve"> stores), wholesalers and rapidly growing e-commerce platforms such as </w:t>
      </w:r>
      <w:r>
        <w:rPr>
          <w:rFonts w:ascii="Arial" w:hAnsi="Arial" w:cs="Arial"/>
          <w:b/>
          <w:bCs/>
          <w:color w:val="000000"/>
          <w:kern w:val="0"/>
        </w:rPr>
        <w:t xml:space="preserve">Amazon India, </w:t>
      </w:r>
      <w:proofErr w:type="spellStart"/>
      <w:r>
        <w:rPr>
          <w:rFonts w:ascii="Arial" w:hAnsi="Arial" w:cs="Arial"/>
          <w:b/>
          <w:bCs/>
          <w:color w:val="000000"/>
          <w:kern w:val="0"/>
        </w:rPr>
        <w:t>Blinkit</w:t>
      </w:r>
      <w:proofErr w:type="spellEnd"/>
      <w:r>
        <w:rPr>
          <w:rFonts w:ascii="Arial" w:hAnsi="Arial" w:cs="Arial"/>
          <w:b/>
          <w:bCs/>
          <w:color w:val="000000"/>
          <w:kern w:val="0"/>
        </w:rPr>
        <w:t xml:space="preserve">, </w:t>
      </w:r>
      <w:proofErr w:type="spellStart"/>
      <w:r>
        <w:rPr>
          <w:rFonts w:ascii="Arial" w:hAnsi="Arial" w:cs="Arial"/>
          <w:b/>
          <w:bCs/>
          <w:color w:val="000000"/>
          <w:kern w:val="0"/>
        </w:rPr>
        <w:t>Zepto</w:t>
      </w:r>
      <w:proofErr w:type="spellEnd"/>
      <w:r>
        <w:rPr>
          <w:rFonts w:ascii="Arial" w:hAnsi="Arial" w:cs="Arial"/>
          <w:b/>
          <w:bCs/>
          <w:color w:val="000000"/>
          <w:kern w:val="0"/>
        </w:rPr>
        <w:t xml:space="preserve"> and </w:t>
      </w:r>
      <w:proofErr w:type="spellStart"/>
      <w:r>
        <w:rPr>
          <w:rFonts w:ascii="Arial" w:hAnsi="Arial" w:cs="Arial"/>
          <w:b/>
          <w:bCs/>
          <w:color w:val="000000"/>
          <w:kern w:val="0"/>
        </w:rPr>
        <w:t>BigBasket</w:t>
      </w:r>
      <w:proofErr w:type="spellEnd"/>
      <w:r>
        <w:rPr>
          <w:rFonts w:ascii="Arial" w:hAnsi="Arial" w:cs="Arial"/>
          <w:color w:val="000000"/>
          <w:kern w:val="0"/>
        </w:rPr>
        <w:t>. This extensive distribution network enables Cadbury to reach consumers across urban, semi-urban and rural markets efficiently (Mondelēz India, 2025).</w:t>
      </w:r>
    </w:p>
    <w:p w14:paraId="791485B0"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Cadbury products are distributed through major retail chains including </w:t>
      </w:r>
      <w:r>
        <w:rPr>
          <w:rFonts w:ascii="Arial" w:hAnsi="Arial" w:cs="Arial"/>
          <w:b/>
          <w:bCs/>
          <w:color w:val="000000"/>
          <w:kern w:val="0"/>
        </w:rPr>
        <w:t>Walmart, Target, Kroger, Costco and CVS</w:t>
      </w:r>
      <w:r>
        <w:rPr>
          <w:rFonts w:ascii="Arial" w:hAnsi="Arial" w:cs="Arial"/>
          <w:color w:val="000000"/>
          <w:kern w:val="0"/>
        </w:rPr>
        <w:t>, alongside convenience stores and online platforms such as Amazon. The company also benefits from advanced logistics infrastructure and omnichannel retailing, allowing consumers to purchase products through both physical stores and digital platforms. This integrated distribution strategy improves accessibility and enhances the overall customer experience (National Confectioners Association, 2025).</w:t>
      </w:r>
    </w:p>
    <w:p w14:paraId="5EFF4E9A" w14:textId="77777777" w:rsidR="002A498B" w:rsidRDefault="002A498B" w:rsidP="002A498B">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Promotion</w:t>
      </w:r>
    </w:p>
    <w:p w14:paraId="037756F8"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b/>
          <w:bCs/>
          <w:color w:val="000000"/>
          <w:kern w:val="0"/>
        </w:rPr>
        <w:lastRenderedPageBreak/>
        <w:t>Integrated Marketing Communication (IMC)</w:t>
      </w:r>
      <w:r>
        <w:rPr>
          <w:rFonts w:ascii="Arial" w:hAnsi="Arial" w:cs="Arial"/>
          <w:color w:val="000000"/>
          <w:kern w:val="0"/>
        </w:rPr>
        <w:t xml:space="preserve"> refers to the coordinated use of multiple communication channels to deliver a consistent brand message and strengthen customer relationships across different markets (Kotler, Keller and Chernev, 2022). Cadbury adopts an Integrated Marketing Communication (IMC) strategy by combining television advertising, digital marketing, social media, public relations, influencer collaborations, sales promotions and seasonal campaigns to enhance brand awareness and customer engagement in both India and the United States.</w:t>
      </w:r>
    </w:p>
    <w:p w14:paraId="14502696"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w:t>
      </w:r>
      <w:r>
        <w:rPr>
          <w:rFonts w:ascii="Arial" w:hAnsi="Arial" w:cs="Arial"/>
          <w:b/>
          <w:bCs/>
          <w:color w:val="000000"/>
          <w:kern w:val="0"/>
        </w:rPr>
        <w:t>India</w:t>
      </w:r>
      <w:r>
        <w:rPr>
          <w:rFonts w:ascii="Arial" w:hAnsi="Arial" w:cs="Arial"/>
          <w:color w:val="000000"/>
          <w:kern w:val="0"/>
        </w:rPr>
        <w:t xml:space="preserve">, Cadbury's promotional strategy focuses on </w:t>
      </w:r>
      <w:r>
        <w:rPr>
          <w:rFonts w:ascii="Arial" w:hAnsi="Arial" w:cs="Arial"/>
          <w:b/>
          <w:bCs/>
          <w:color w:val="000000"/>
          <w:kern w:val="0"/>
        </w:rPr>
        <w:t>emotional storytelling, family relationships and cultural celebrations</w:t>
      </w:r>
      <w:r>
        <w:rPr>
          <w:rFonts w:ascii="Arial" w:hAnsi="Arial" w:cs="Arial"/>
          <w:color w:val="000000"/>
          <w:kern w:val="0"/>
        </w:rPr>
        <w:t xml:space="preserve">. Campaigns such as </w:t>
      </w:r>
      <w:r>
        <w:rPr>
          <w:rFonts w:ascii="Arial" w:hAnsi="Arial" w:cs="Arial"/>
          <w:b/>
          <w:bCs/>
          <w:color w:val="000000"/>
          <w:kern w:val="0"/>
        </w:rPr>
        <w:t xml:space="preserve">"Kuch Meetha Ho </w:t>
      </w:r>
      <w:proofErr w:type="spellStart"/>
      <w:r>
        <w:rPr>
          <w:rFonts w:ascii="Arial" w:hAnsi="Arial" w:cs="Arial"/>
          <w:b/>
          <w:bCs/>
          <w:color w:val="000000"/>
          <w:kern w:val="0"/>
        </w:rPr>
        <w:t>Jaaye</w:t>
      </w:r>
      <w:proofErr w:type="spellEnd"/>
      <w:r>
        <w:rPr>
          <w:rFonts w:ascii="Arial" w:hAnsi="Arial" w:cs="Arial"/>
          <w:b/>
          <w:bCs/>
          <w:color w:val="000000"/>
          <w:kern w:val="0"/>
        </w:rPr>
        <w:t>"</w:t>
      </w:r>
      <w:r>
        <w:rPr>
          <w:rFonts w:ascii="Arial" w:hAnsi="Arial" w:cs="Arial"/>
          <w:color w:val="000000"/>
          <w:kern w:val="0"/>
        </w:rPr>
        <w:t xml:space="preserve"> and </w:t>
      </w:r>
      <w:r>
        <w:rPr>
          <w:rFonts w:ascii="Arial" w:hAnsi="Arial" w:cs="Arial"/>
          <w:b/>
          <w:bCs/>
          <w:color w:val="000000"/>
          <w:kern w:val="0"/>
        </w:rPr>
        <w:t>"Not Just a Cadbury Ad"</w:t>
      </w:r>
      <w:r>
        <w:rPr>
          <w:rFonts w:ascii="Arial" w:hAnsi="Arial" w:cs="Arial"/>
          <w:color w:val="000000"/>
          <w:kern w:val="0"/>
        </w:rPr>
        <w:t xml:space="preserve"> successfully associate chocolates with happiness, gifting and festivals including Diwali and Raksha Bandhan. The company also uses digital platforms such as YouTube, Instagram and Facebook alongside celebrity endorsements and influencer marketing to engage younger consumers. During festive seasons, Cadbury strengthens customer engagement through personalised gifting campaigns, limited-edition packaging and promotional offers, reinforcing its position as India's leading chocolate brand (Mondelēz India, 2025).</w:t>
      </w:r>
    </w:p>
    <w:p w14:paraId="61E50EB3"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xml:space="preserve">, Cadbury's promotional strategy focuses on </w:t>
      </w:r>
      <w:r>
        <w:rPr>
          <w:rFonts w:ascii="Arial" w:hAnsi="Arial" w:cs="Arial"/>
          <w:b/>
          <w:bCs/>
          <w:color w:val="000000"/>
          <w:kern w:val="0"/>
        </w:rPr>
        <w:t>premium quality, British heritage and seasonal celebrations</w:t>
      </w:r>
      <w:r>
        <w:rPr>
          <w:rFonts w:ascii="Arial" w:hAnsi="Arial" w:cs="Arial"/>
          <w:color w:val="000000"/>
          <w:kern w:val="0"/>
        </w:rPr>
        <w:t xml:space="preserve">. Products such as </w:t>
      </w:r>
      <w:r>
        <w:rPr>
          <w:rFonts w:ascii="Arial" w:hAnsi="Arial" w:cs="Arial"/>
          <w:b/>
          <w:bCs/>
          <w:color w:val="000000"/>
          <w:kern w:val="0"/>
        </w:rPr>
        <w:t>Cadbury Creme Egg</w:t>
      </w:r>
      <w:r>
        <w:rPr>
          <w:rFonts w:ascii="Arial" w:hAnsi="Arial" w:cs="Arial"/>
          <w:color w:val="000000"/>
          <w:kern w:val="0"/>
        </w:rPr>
        <w:t xml:space="preserve"> and </w:t>
      </w:r>
      <w:r>
        <w:rPr>
          <w:rFonts w:ascii="Arial" w:hAnsi="Arial" w:cs="Arial"/>
          <w:b/>
          <w:bCs/>
          <w:color w:val="000000"/>
          <w:kern w:val="0"/>
        </w:rPr>
        <w:t>Mini Eggs</w:t>
      </w:r>
      <w:r>
        <w:rPr>
          <w:rFonts w:ascii="Arial" w:hAnsi="Arial" w:cs="Arial"/>
          <w:color w:val="000000"/>
          <w:kern w:val="0"/>
        </w:rPr>
        <w:t xml:space="preserve"> are heavily promoted during Easter, while Halloween and Christmas campaigns encourage seasonal purchases. Digital advertising, social media marketing, retail promotions and partnerships with major retailers play an important role in increasing product visibility. Cadbury also invests in experiential marketing and online campaigns to engage younger consumers, while sustainability messaging strengthens its corporate image among environmentally conscious customers (National Confectioners Association, 2025; </w:t>
      </w:r>
      <w:proofErr w:type="spellStart"/>
      <w:r>
        <w:rPr>
          <w:rFonts w:ascii="Arial" w:hAnsi="Arial" w:cs="Arial"/>
          <w:color w:val="000000"/>
          <w:kern w:val="0"/>
        </w:rPr>
        <w:t>NielsenIQ</w:t>
      </w:r>
      <w:proofErr w:type="spellEnd"/>
      <w:r>
        <w:rPr>
          <w:rFonts w:ascii="Arial" w:hAnsi="Arial" w:cs="Arial"/>
          <w:color w:val="000000"/>
          <w:kern w:val="0"/>
        </w:rPr>
        <w:t>, 2024)</w:t>
      </w:r>
    </w:p>
    <w:p w14:paraId="2B71CA70" w14:textId="77777777" w:rsidR="002A498B" w:rsidRDefault="002A498B" w:rsidP="002A498B">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People</w:t>
      </w:r>
    </w:p>
    <w:p w14:paraId="476FE342"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recognises that employees play a critical role in delivering product quality, customer satisfaction and long-term business success. As part of </w:t>
      </w:r>
      <w:r>
        <w:rPr>
          <w:rFonts w:ascii="Arial" w:hAnsi="Arial" w:cs="Arial"/>
          <w:b/>
          <w:bCs/>
          <w:color w:val="000000"/>
          <w:kern w:val="0"/>
        </w:rPr>
        <w:t>Mondelēz International</w:t>
      </w:r>
      <w:r>
        <w:rPr>
          <w:rFonts w:ascii="Arial" w:hAnsi="Arial" w:cs="Arial"/>
          <w:color w:val="000000"/>
          <w:kern w:val="0"/>
        </w:rPr>
        <w:t xml:space="preserve">, the company employs approximately </w:t>
      </w:r>
      <w:r>
        <w:rPr>
          <w:rFonts w:ascii="Arial" w:hAnsi="Arial" w:cs="Arial"/>
          <w:b/>
          <w:bCs/>
          <w:color w:val="000000"/>
          <w:kern w:val="0"/>
        </w:rPr>
        <w:t xml:space="preserve">91,000 people </w:t>
      </w:r>
      <w:proofErr w:type="spellStart"/>
      <w:r>
        <w:rPr>
          <w:rFonts w:ascii="Arial" w:hAnsi="Arial" w:cs="Arial"/>
          <w:b/>
          <w:bCs/>
          <w:color w:val="000000"/>
          <w:kern w:val="0"/>
        </w:rPr>
        <w:t>globally</w:t>
      </w:r>
      <w:r>
        <w:rPr>
          <w:rFonts w:ascii="Arial" w:hAnsi="Arial" w:cs="Arial"/>
          <w:color w:val="000000"/>
          <w:kern w:val="0"/>
        </w:rPr>
        <w:t>across</w:t>
      </w:r>
      <w:proofErr w:type="spellEnd"/>
      <w:r>
        <w:rPr>
          <w:rFonts w:ascii="Arial" w:hAnsi="Arial" w:cs="Arial"/>
          <w:color w:val="000000"/>
          <w:kern w:val="0"/>
        </w:rPr>
        <w:t xml:space="preserve"> manufacturing, sales, marketing, research and corporate functions (Mondelēz International, 2025). In </w:t>
      </w:r>
      <w:r>
        <w:rPr>
          <w:rFonts w:ascii="Arial" w:hAnsi="Arial" w:cs="Arial"/>
          <w:b/>
          <w:bCs/>
          <w:color w:val="000000"/>
          <w:kern w:val="0"/>
        </w:rPr>
        <w:t>India</w:t>
      </w:r>
      <w:r>
        <w:rPr>
          <w:rFonts w:ascii="Arial" w:hAnsi="Arial" w:cs="Arial"/>
          <w:color w:val="000000"/>
          <w:kern w:val="0"/>
        </w:rPr>
        <w:t xml:space="preserve">, Cadbury places strong emphasis on employee </w:t>
      </w:r>
      <w:r>
        <w:rPr>
          <w:rFonts w:ascii="Arial" w:hAnsi="Arial" w:cs="Arial"/>
          <w:color w:val="000000"/>
          <w:kern w:val="0"/>
        </w:rPr>
        <w:lastRenderedPageBreak/>
        <w:t>development, manufacturing excellence and community engagement through continuous training programmes and inclusive workplace initiatives. Customer-facing teams work closely with retailers and distributors to maintain high service standards and strong market relationships.</w:t>
      </w:r>
    </w:p>
    <w:p w14:paraId="2A6E3A23"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Cadbury focuses on employee empowerment, innovation and diversity within a highly competitive confectionery industry. Staff receive regular training in customer engagement, digital marketing and sustainable business practices to enhance organisational performance. By investing in employee wellbeing, leadership development and diversity initiatives, Cadbury strengthens customer trust, operational efficiency and long-term brand loyalty across both markets (Mondelēz International, 2025).</w:t>
      </w:r>
    </w:p>
    <w:p w14:paraId="61B91E6A" w14:textId="77777777" w:rsidR="002A498B" w:rsidRDefault="002A498B" w:rsidP="002A498B">
      <w:pPr>
        <w:autoSpaceDE w:val="0"/>
        <w:autoSpaceDN w:val="0"/>
        <w:adjustRightInd w:val="0"/>
        <w:spacing w:after="0" w:line="360" w:lineRule="auto"/>
        <w:jc w:val="both"/>
        <w:rPr>
          <w:rFonts w:ascii="Arial" w:hAnsi="Arial" w:cs="Arial"/>
          <w:color w:val="6D6D6D"/>
          <w:kern w:val="0"/>
        </w:rPr>
      </w:pPr>
    </w:p>
    <w:p w14:paraId="15D0B036" w14:textId="77777777" w:rsidR="002A498B" w:rsidRDefault="002A498B" w:rsidP="002A498B">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Process</w:t>
      </w:r>
    </w:p>
    <w:p w14:paraId="0204CA15"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implements efficient operational processes to ensure consistent product quality, timely distribution and customer satisfaction in both India and the United States. The company integrates advanced manufacturing technologies, quality assurance systems and digital supply chain management to improve operational efficiency. In </w:t>
      </w:r>
      <w:r>
        <w:rPr>
          <w:rFonts w:ascii="Arial" w:hAnsi="Arial" w:cs="Arial"/>
          <w:b/>
          <w:bCs/>
          <w:color w:val="000000"/>
          <w:kern w:val="0"/>
        </w:rPr>
        <w:t>India</w:t>
      </w:r>
      <w:r>
        <w:rPr>
          <w:rFonts w:ascii="Arial" w:hAnsi="Arial" w:cs="Arial"/>
          <w:color w:val="000000"/>
          <w:kern w:val="0"/>
        </w:rPr>
        <w:t>, strong relationships with suppliers, distributors and retailers enable Cadbury to distribute products efficiently across urban and rural markets while maintaining product freshness and availability.</w:t>
      </w:r>
    </w:p>
    <w:p w14:paraId="0CC93F87"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Cadbury benefits from highly advanced logistics infrastructure, automated warehousing and omnichannel retailing. Customers can purchase products through supermarkets, convenience stores and online platforms with fast delivery options. The company also operates structured customer service and complaint resolution systems through dedicated customer support channels, websites and social media platforms, allowing consumer concerns to be addressed promptly while improving overall customer satisfaction (Mondelēz International, 2025; Kotler, Keller and Chernev, 2022).</w:t>
      </w:r>
    </w:p>
    <w:p w14:paraId="1F96E4DB" w14:textId="77777777" w:rsidR="002A498B" w:rsidRDefault="002A498B" w:rsidP="002A498B">
      <w:pPr>
        <w:autoSpaceDE w:val="0"/>
        <w:autoSpaceDN w:val="0"/>
        <w:adjustRightInd w:val="0"/>
        <w:spacing w:after="0" w:line="360" w:lineRule="auto"/>
        <w:jc w:val="both"/>
        <w:rPr>
          <w:rFonts w:ascii="Arial" w:hAnsi="Arial" w:cs="Arial"/>
          <w:color w:val="6D6D6D"/>
          <w:kern w:val="0"/>
        </w:rPr>
      </w:pPr>
    </w:p>
    <w:p w14:paraId="7AD6629D" w14:textId="77777777" w:rsidR="002A498B" w:rsidRDefault="002A498B" w:rsidP="002A498B">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Physical Evidence</w:t>
      </w:r>
    </w:p>
    <w:p w14:paraId="0D92136B"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Physical evidence plays an important role in reinforcing Cadbury's premium yet approachable brand image. In </w:t>
      </w:r>
      <w:r>
        <w:rPr>
          <w:rFonts w:ascii="Arial" w:hAnsi="Arial" w:cs="Arial"/>
          <w:b/>
          <w:bCs/>
          <w:color w:val="000000"/>
          <w:kern w:val="0"/>
        </w:rPr>
        <w:t>India</w:t>
      </w:r>
      <w:r>
        <w:rPr>
          <w:rFonts w:ascii="Arial" w:hAnsi="Arial" w:cs="Arial"/>
          <w:color w:val="000000"/>
          <w:kern w:val="0"/>
        </w:rPr>
        <w:t>, attractive purple packaging, festive gift boxes, retail displays and branded promotional materials create strong visual recognition and emotional appeal. Seasonal packaging designed for Diwali, Raksha Bandhan and weddings further strengthens Cadbury's association with celebrations and gifting.</w:t>
      </w:r>
    </w:p>
    <w:p w14:paraId="37FF9AA8" w14:textId="77777777"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w:t>
      </w:r>
      <w:r>
        <w:rPr>
          <w:rFonts w:ascii="Arial" w:hAnsi="Arial" w:cs="Arial"/>
          <w:b/>
          <w:bCs/>
          <w:color w:val="000000"/>
          <w:kern w:val="0"/>
        </w:rPr>
        <w:t>United States</w:t>
      </w:r>
      <w:r>
        <w:rPr>
          <w:rFonts w:ascii="Arial" w:hAnsi="Arial" w:cs="Arial"/>
          <w:color w:val="000000"/>
          <w:kern w:val="0"/>
        </w:rPr>
        <w:t>, Cadbury enhances its brand image through premium packaging, distinctive British branding and professionally designed retail displays during Easter, Halloween and Christmas. The company's official websites, digital platforms and e-commerce stores provide consistent brand communication, product information and customer support. These physical and digital touchpoints strengthen customer trust while delivering a seamless shopping experience across both markets (Kotler, Keller and Chernev, 2022; Mondelēz International, 2025).</w:t>
      </w:r>
    </w:p>
    <w:p w14:paraId="514BCB60" w14:textId="5AB50D79" w:rsidR="00885979" w:rsidRDefault="00885979" w:rsidP="002A498B">
      <w:pPr>
        <w:autoSpaceDE w:val="0"/>
        <w:autoSpaceDN w:val="0"/>
        <w:adjustRightInd w:val="0"/>
        <w:spacing w:after="240" w:line="360" w:lineRule="auto"/>
        <w:jc w:val="both"/>
        <w:rPr>
          <w:rFonts w:ascii="Arial" w:hAnsi="Arial" w:cs="Arial"/>
          <w:color w:val="000000"/>
          <w:kern w:val="0"/>
        </w:rPr>
      </w:pPr>
      <w:r w:rsidRPr="00885979">
        <w:rPr>
          <w:rFonts w:ascii="Arial" w:hAnsi="Arial" w:cs="Arial"/>
          <w:noProof/>
          <w:color w:val="000000"/>
          <w:kern w:val="0"/>
        </w:rPr>
        <w:lastRenderedPageBreak/>
        <w:drawing>
          <wp:inline distT="0" distB="0" distL="0" distR="0" wp14:anchorId="6ED2C9D9" wp14:editId="5D66E6C6">
            <wp:extent cx="5731510" cy="5731510"/>
            <wp:effectExtent l="0" t="0" r="2540" b="2540"/>
            <wp:docPr id="1463854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54524" name=""/>
                    <pic:cNvPicPr/>
                  </pic:nvPicPr>
                  <pic:blipFill>
                    <a:blip r:embed="rId13"/>
                    <a:stretch>
                      <a:fillRect/>
                    </a:stretch>
                  </pic:blipFill>
                  <pic:spPr>
                    <a:xfrm>
                      <a:off x="0" y="0"/>
                      <a:ext cx="5731510" cy="5731510"/>
                    </a:xfrm>
                    <a:prstGeom prst="rect">
                      <a:avLst/>
                    </a:prstGeom>
                  </pic:spPr>
                </pic:pic>
              </a:graphicData>
            </a:graphic>
          </wp:inline>
        </w:drawing>
      </w:r>
    </w:p>
    <w:p w14:paraId="359F0871" w14:textId="74005893" w:rsidR="00885979" w:rsidRDefault="00885979" w:rsidP="00885979">
      <w:pPr>
        <w:autoSpaceDE w:val="0"/>
        <w:autoSpaceDN w:val="0"/>
        <w:adjustRightInd w:val="0"/>
        <w:spacing w:after="240" w:line="360" w:lineRule="auto"/>
        <w:jc w:val="center"/>
        <w:rPr>
          <w:rFonts w:ascii="Arial" w:hAnsi="Arial" w:cs="Arial"/>
          <w:color w:val="000000"/>
          <w:kern w:val="0"/>
        </w:rPr>
      </w:pPr>
      <w:r>
        <w:rPr>
          <w:rFonts w:ascii="Arial" w:hAnsi="Arial" w:cs="Arial"/>
          <w:color w:val="000000"/>
          <w:kern w:val="0"/>
        </w:rPr>
        <w:t>Source from Gemini</w:t>
      </w:r>
    </w:p>
    <w:p w14:paraId="262A9868" w14:textId="77777777" w:rsidR="00885979" w:rsidRDefault="00885979" w:rsidP="00885979">
      <w:pPr>
        <w:autoSpaceDE w:val="0"/>
        <w:autoSpaceDN w:val="0"/>
        <w:adjustRightInd w:val="0"/>
        <w:spacing w:after="240" w:line="360" w:lineRule="auto"/>
        <w:jc w:val="center"/>
        <w:rPr>
          <w:rFonts w:ascii="Arial" w:hAnsi="Arial" w:cs="Arial"/>
          <w:color w:val="000000"/>
          <w:kern w:val="0"/>
        </w:rPr>
      </w:pPr>
    </w:p>
    <w:p w14:paraId="58515812" w14:textId="77777777" w:rsidR="00885979" w:rsidRDefault="00885979" w:rsidP="00885979">
      <w:pPr>
        <w:autoSpaceDE w:val="0"/>
        <w:autoSpaceDN w:val="0"/>
        <w:adjustRightInd w:val="0"/>
        <w:spacing w:after="240" w:line="360" w:lineRule="auto"/>
        <w:jc w:val="center"/>
        <w:rPr>
          <w:rFonts w:ascii="Arial" w:hAnsi="Arial" w:cs="Arial"/>
          <w:color w:val="000000"/>
          <w:kern w:val="0"/>
        </w:rPr>
      </w:pPr>
    </w:p>
    <w:p w14:paraId="4FD4A714" w14:textId="77777777" w:rsidR="00885979" w:rsidRDefault="00885979" w:rsidP="00885979">
      <w:pPr>
        <w:autoSpaceDE w:val="0"/>
        <w:autoSpaceDN w:val="0"/>
        <w:adjustRightInd w:val="0"/>
        <w:spacing w:after="240" w:line="360" w:lineRule="auto"/>
        <w:jc w:val="center"/>
        <w:rPr>
          <w:rFonts w:ascii="Arial" w:hAnsi="Arial" w:cs="Arial"/>
          <w:color w:val="000000"/>
          <w:kern w:val="0"/>
        </w:rPr>
      </w:pPr>
    </w:p>
    <w:p w14:paraId="0FBB17F3" w14:textId="75AC879C" w:rsidR="00885979" w:rsidRPr="00885979" w:rsidRDefault="00885979" w:rsidP="00885979">
      <w:pPr>
        <w:autoSpaceDE w:val="0"/>
        <w:autoSpaceDN w:val="0"/>
        <w:adjustRightInd w:val="0"/>
        <w:spacing w:after="240" w:line="360" w:lineRule="auto"/>
        <w:rPr>
          <w:rFonts w:ascii="Arial" w:hAnsi="Arial" w:cs="Arial"/>
          <w:b/>
          <w:bCs/>
          <w:i/>
          <w:iCs/>
          <w:color w:val="000000"/>
          <w:kern w:val="0"/>
        </w:rPr>
      </w:pPr>
      <w:r w:rsidRPr="00885979">
        <w:rPr>
          <w:rFonts w:ascii="Arial" w:hAnsi="Arial" w:cs="Arial"/>
          <w:b/>
          <w:bCs/>
          <w:i/>
          <w:iCs/>
          <w:color w:val="000000"/>
          <w:kern w:val="0"/>
        </w:rPr>
        <w:t xml:space="preserve">Cadbury website in </w:t>
      </w:r>
      <w:r w:rsidR="00795CE2">
        <w:rPr>
          <w:rFonts w:ascii="Arial" w:hAnsi="Arial" w:cs="Arial"/>
          <w:b/>
          <w:bCs/>
          <w:i/>
          <w:iCs/>
          <w:color w:val="000000"/>
          <w:kern w:val="0"/>
        </w:rPr>
        <w:t>USA</w:t>
      </w:r>
      <w:r w:rsidRPr="00885979">
        <w:rPr>
          <w:rFonts w:ascii="Arial" w:hAnsi="Arial" w:cs="Arial"/>
          <w:b/>
          <w:bCs/>
          <w:i/>
          <w:iCs/>
          <w:color w:val="000000"/>
          <w:kern w:val="0"/>
        </w:rPr>
        <w:t xml:space="preserve"> and India </w:t>
      </w:r>
    </w:p>
    <w:p w14:paraId="63DCEE01" w14:textId="4FDC9199" w:rsidR="002A498B" w:rsidRDefault="00885979" w:rsidP="002A498B">
      <w:pPr>
        <w:autoSpaceDE w:val="0"/>
        <w:autoSpaceDN w:val="0"/>
        <w:adjustRightInd w:val="0"/>
        <w:spacing w:after="240" w:line="360" w:lineRule="auto"/>
        <w:jc w:val="both"/>
        <w:rPr>
          <w:rFonts w:ascii="Arial" w:hAnsi="Arial" w:cs="Arial"/>
          <w:color w:val="000000"/>
          <w:kern w:val="0"/>
        </w:rPr>
      </w:pPr>
      <w:r>
        <w:rPr>
          <w:rFonts w:ascii="Arial" w:hAnsi="Arial" w:cs="Arial"/>
          <w:noProof/>
          <w:color w:val="000000"/>
          <w:kern w:val="0"/>
        </w:rPr>
        <w:lastRenderedPageBreak/>
        <w:drawing>
          <wp:anchor distT="0" distB="0" distL="114300" distR="114300" simplePos="0" relativeHeight="251659264" behindDoc="0" locked="0" layoutInCell="1" allowOverlap="1" wp14:anchorId="02D6E3F7" wp14:editId="787496FF">
            <wp:simplePos x="0" y="0"/>
            <wp:positionH relativeFrom="page">
              <wp:posOffset>4404360</wp:posOffset>
            </wp:positionH>
            <wp:positionV relativeFrom="paragraph">
              <wp:posOffset>0</wp:posOffset>
            </wp:positionV>
            <wp:extent cx="2781300" cy="3330575"/>
            <wp:effectExtent l="0" t="0" r="0" b="3175"/>
            <wp:wrapThrough wrapText="bothSides">
              <wp:wrapPolygon edited="0">
                <wp:start x="0" y="0"/>
                <wp:lineTo x="0" y="21497"/>
                <wp:lineTo x="21452" y="21497"/>
                <wp:lineTo x="21452" y="0"/>
                <wp:lineTo x="0" y="0"/>
              </wp:wrapPolygon>
            </wp:wrapThrough>
            <wp:docPr id="1171779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79042" name="Picture 1171779042"/>
                    <pic:cNvPicPr/>
                  </pic:nvPicPr>
                  <pic:blipFill rotWithShape="1">
                    <a:blip r:embed="rId14">
                      <a:extLst>
                        <a:ext uri="{28A0092B-C50C-407E-A947-70E740481C1C}">
                          <a14:useLocalDpi xmlns:a14="http://schemas.microsoft.com/office/drawing/2010/main" val="0"/>
                        </a:ext>
                      </a:extLst>
                    </a:blip>
                    <a:srcRect l="-1093" t="3769" r="1093" b="22468"/>
                    <a:stretch>
                      <a:fillRect/>
                    </a:stretch>
                  </pic:blipFill>
                  <pic:spPr bwMode="auto">
                    <a:xfrm>
                      <a:off x="0" y="0"/>
                      <a:ext cx="2781300" cy="3330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kern w:val="0"/>
        </w:rPr>
        <w:drawing>
          <wp:anchor distT="0" distB="0" distL="114300" distR="114300" simplePos="0" relativeHeight="251658240" behindDoc="0" locked="0" layoutInCell="1" allowOverlap="1" wp14:anchorId="6B539DF5" wp14:editId="4252553D">
            <wp:simplePos x="0" y="0"/>
            <wp:positionH relativeFrom="column">
              <wp:posOffset>0</wp:posOffset>
            </wp:positionH>
            <wp:positionV relativeFrom="paragraph">
              <wp:posOffset>0</wp:posOffset>
            </wp:positionV>
            <wp:extent cx="2987040" cy="3510913"/>
            <wp:effectExtent l="0" t="0" r="3810" b="0"/>
            <wp:wrapThrough wrapText="bothSides">
              <wp:wrapPolygon edited="0">
                <wp:start x="0" y="0"/>
                <wp:lineTo x="0" y="21452"/>
                <wp:lineTo x="21490" y="21452"/>
                <wp:lineTo x="21490" y="0"/>
                <wp:lineTo x="0" y="0"/>
              </wp:wrapPolygon>
            </wp:wrapThrough>
            <wp:docPr id="18950060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006078" name="Picture 189500607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87040" cy="3510913"/>
                    </a:xfrm>
                    <a:prstGeom prst="rect">
                      <a:avLst/>
                    </a:prstGeom>
                  </pic:spPr>
                </pic:pic>
              </a:graphicData>
            </a:graphic>
          </wp:anchor>
        </w:drawing>
      </w:r>
    </w:p>
    <w:p w14:paraId="50C31F7E" w14:textId="77777777" w:rsidR="00885979" w:rsidRDefault="00885979" w:rsidP="006F7A77">
      <w:pPr>
        <w:pStyle w:val="Heading1"/>
        <w:rPr>
          <w:rFonts w:ascii="Arial" w:hAnsi="Arial" w:cs="Arial"/>
          <w:b/>
          <w:bCs/>
          <w:color w:val="000000"/>
          <w:kern w:val="0"/>
        </w:rPr>
      </w:pPr>
      <w:bookmarkStart w:id="17" w:name="_Toc236841361"/>
    </w:p>
    <w:p w14:paraId="48E3CF6D" w14:textId="77777777" w:rsidR="006C0151" w:rsidRDefault="006C0151" w:rsidP="006C0151">
      <w:pPr>
        <w:pStyle w:val="Heading1"/>
        <w:spacing w:line="360" w:lineRule="auto"/>
        <w:jc w:val="both"/>
        <w:rPr>
          <w:rFonts w:ascii="Arial" w:hAnsi="Arial" w:cs="Arial"/>
          <w:b/>
          <w:bCs/>
          <w:color w:val="000000"/>
          <w:kern w:val="0"/>
          <w:sz w:val="24"/>
          <w:szCs w:val="24"/>
        </w:rPr>
      </w:pPr>
    </w:p>
    <w:p w14:paraId="2DA38770" w14:textId="53B459BF" w:rsidR="002A498B" w:rsidRPr="006C0151" w:rsidRDefault="002A498B" w:rsidP="006C0151">
      <w:pPr>
        <w:pStyle w:val="Heading1"/>
        <w:spacing w:line="360" w:lineRule="auto"/>
        <w:jc w:val="both"/>
        <w:rPr>
          <w:rFonts w:ascii="Arial" w:hAnsi="Arial" w:cs="Arial"/>
          <w:b/>
          <w:bCs/>
          <w:color w:val="000000"/>
          <w:kern w:val="0"/>
          <w:sz w:val="24"/>
          <w:szCs w:val="24"/>
        </w:rPr>
      </w:pPr>
      <w:r w:rsidRPr="006C0151">
        <w:rPr>
          <w:rFonts w:ascii="Arial" w:hAnsi="Arial" w:cs="Arial"/>
          <w:b/>
          <w:bCs/>
          <w:color w:val="000000"/>
          <w:kern w:val="0"/>
          <w:sz w:val="24"/>
          <w:szCs w:val="24"/>
        </w:rPr>
        <w:t>Similarities and Differences between India and the United States</w:t>
      </w:r>
      <w:bookmarkEnd w:id="17"/>
    </w:p>
    <w:p w14:paraId="758F9CD1" w14:textId="3F3C3F3E" w:rsidR="002A498B" w:rsidRDefault="002A498B" w:rsidP="002A498B">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maintains a </w:t>
      </w:r>
      <w:r>
        <w:rPr>
          <w:rFonts w:ascii="Arial" w:hAnsi="Arial" w:cs="Arial"/>
          <w:b/>
          <w:bCs/>
          <w:color w:val="000000"/>
          <w:kern w:val="0"/>
        </w:rPr>
        <w:t>consistent global brand identity</w:t>
      </w:r>
      <w:r>
        <w:rPr>
          <w:rFonts w:ascii="Arial" w:hAnsi="Arial" w:cs="Arial"/>
          <w:color w:val="000000"/>
          <w:kern w:val="0"/>
        </w:rPr>
        <w:t xml:space="preserve"> in both India and the United States by emphasising quality, trust, innovation and emotional connections. Across both markets, the company offers a diverse product portfolio, utilises integrated marketing communications and invests in sustainable business practices and customer engagement. However, significant differences exist in the implementation of the </w:t>
      </w:r>
      <w:r>
        <w:rPr>
          <w:rFonts w:ascii="Arial" w:hAnsi="Arial" w:cs="Arial"/>
          <w:b/>
          <w:bCs/>
          <w:color w:val="000000"/>
          <w:kern w:val="0"/>
        </w:rPr>
        <w:t>7Ps marketing mix</w:t>
      </w:r>
      <w:r>
        <w:rPr>
          <w:rFonts w:ascii="Arial" w:hAnsi="Arial" w:cs="Arial"/>
          <w:color w:val="000000"/>
          <w:kern w:val="0"/>
        </w:rPr>
        <w:t xml:space="preserve">. In </w:t>
      </w:r>
      <w:r>
        <w:rPr>
          <w:rFonts w:ascii="Arial" w:hAnsi="Arial" w:cs="Arial"/>
          <w:b/>
          <w:bCs/>
          <w:color w:val="000000"/>
          <w:kern w:val="0"/>
        </w:rPr>
        <w:t>India</w:t>
      </w:r>
      <w:r>
        <w:rPr>
          <w:rFonts w:ascii="Arial" w:hAnsi="Arial" w:cs="Arial"/>
          <w:color w:val="000000"/>
          <w:kern w:val="0"/>
        </w:rPr>
        <w:t xml:space="preserve">, marketing strategies focus on affordability, festivals, family celebrations and extensive distribution through both traditional and modern retail channels. Conversely, the </w:t>
      </w:r>
      <w:r>
        <w:rPr>
          <w:rFonts w:ascii="Arial" w:hAnsi="Arial" w:cs="Arial"/>
          <w:b/>
          <w:bCs/>
          <w:color w:val="000000"/>
          <w:kern w:val="0"/>
        </w:rPr>
        <w:t>United States</w:t>
      </w:r>
      <w:r>
        <w:rPr>
          <w:rFonts w:ascii="Arial" w:hAnsi="Arial" w:cs="Arial"/>
          <w:color w:val="000000"/>
          <w:kern w:val="0"/>
        </w:rPr>
        <w:t xml:space="preserve"> emphasises premium positioning, seasonal consumption, digital engagement and convenience through advanced retail and e-commerce platforms. Pricing strategies also differ, with India adopting tiered pricing to serve diverse income groups, while the United States follows premium pricing aligned with consumer purchasing power. These market-specific adaptations enable Cadbury to respond effectively to local consumer preferences while maintaining a strong global brand image and competitive advantage (Keegan and Green, 2023; Kotler, Keller and Chernev, 2022).</w:t>
      </w:r>
    </w:p>
    <w:p w14:paraId="72AC96AC" w14:textId="77777777" w:rsidR="00C2222F" w:rsidRPr="006C0151" w:rsidRDefault="00C2222F" w:rsidP="006C0151">
      <w:pPr>
        <w:pStyle w:val="Heading1"/>
        <w:spacing w:line="360" w:lineRule="auto"/>
        <w:jc w:val="both"/>
        <w:rPr>
          <w:rFonts w:ascii="Arial" w:hAnsi="Arial" w:cs="Arial"/>
          <w:b/>
          <w:bCs/>
          <w:color w:val="000000"/>
          <w:kern w:val="0"/>
          <w:sz w:val="24"/>
          <w:szCs w:val="24"/>
        </w:rPr>
      </w:pPr>
      <w:bookmarkStart w:id="18" w:name="_Toc236841362"/>
      <w:r w:rsidRPr="006C0151">
        <w:rPr>
          <w:rFonts w:ascii="Arial" w:hAnsi="Arial" w:cs="Arial"/>
          <w:b/>
          <w:bCs/>
          <w:color w:val="000000"/>
          <w:kern w:val="0"/>
          <w:sz w:val="24"/>
          <w:szCs w:val="24"/>
        </w:rPr>
        <w:lastRenderedPageBreak/>
        <w:t>7. Market Entry Strategy: Cadbury in the United States</w:t>
      </w:r>
      <w:bookmarkEnd w:id="18"/>
    </w:p>
    <w:p w14:paraId="621D2C68"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Cadbury's entry into the </w:t>
      </w:r>
      <w:r>
        <w:rPr>
          <w:rFonts w:ascii="Arial" w:hAnsi="Arial" w:cs="Arial"/>
          <w:b/>
          <w:bCs/>
          <w:color w:val="000000"/>
          <w:kern w:val="0"/>
        </w:rPr>
        <w:t>United States</w:t>
      </w:r>
      <w:r>
        <w:rPr>
          <w:rFonts w:ascii="Arial" w:hAnsi="Arial" w:cs="Arial"/>
          <w:color w:val="000000"/>
          <w:kern w:val="0"/>
        </w:rPr>
        <w:t xml:space="preserve"> has primarily been achieved through a combination of </w:t>
      </w:r>
      <w:r>
        <w:rPr>
          <w:rFonts w:ascii="Arial" w:hAnsi="Arial" w:cs="Arial"/>
          <w:b/>
          <w:bCs/>
          <w:color w:val="000000"/>
          <w:kern w:val="0"/>
        </w:rPr>
        <w:t>strategic licensing, acquisitions and distribution partnerships</w:t>
      </w:r>
      <w:r>
        <w:rPr>
          <w:rFonts w:ascii="Arial" w:hAnsi="Arial" w:cs="Arial"/>
          <w:color w:val="000000"/>
          <w:kern w:val="0"/>
        </w:rPr>
        <w:t xml:space="preserve"> under its parent company, </w:t>
      </w:r>
      <w:r>
        <w:rPr>
          <w:rFonts w:ascii="Arial" w:hAnsi="Arial" w:cs="Arial"/>
          <w:b/>
          <w:bCs/>
          <w:color w:val="000000"/>
          <w:kern w:val="0"/>
        </w:rPr>
        <w:t>Mondelēz International</w:t>
      </w:r>
      <w:r>
        <w:rPr>
          <w:rFonts w:ascii="Arial" w:hAnsi="Arial" w:cs="Arial"/>
          <w:color w:val="000000"/>
          <w:kern w:val="0"/>
        </w:rPr>
        <w:t xml:space="preserve">. Unlike its dominant position in India, Cadbury operates in the United States as a premium chocolate brand within one of the world's most mature and competitive confectionery markets. Historically, Cadbury entered the U.S. market through licensing agreements, with </w:t>
      </w:r>
      <w:r>
        <w:rPr>
          <w:rFonts w:ascii="Arial" w:hAnsi="Arial" w:cs="Arial"/>
          <w:b/>
          <w:bCs/>
          <w:color w:val="000000"/>
          <w:kern w:val="0"/>
        </w:rPr>
        <w:t>The Hershey Company</w:t>
      </w:r>
      <w:r>
        <w:rPr>
          <w:rFonts w:ascii="Arial" w:hAnsi="Arial" w:cs="Arial"/>
          <w:color w:val="000000"/>
          <w:kern w:val="0"/>
        </w:rPr>
        <w:t xml:space="preserve"> obtaining rights to manufacture and distribute Cadbury-branded products within the United States. Following the acquisition of Cadbury by </w:t>
      </w:r>
      <w:r>
        <w:rPr>
          <w:rFonts w:ascii="Arial" w:hAnsi="Arial" w:cs="Arial"/>
          <w:b/>
          <w:bCs/>
          <w:color w:val="000000"/>
          <w:kern w:val="0"/>
        </w:rPr>
        <w:t>Mondelēz International</w:t>
      </w:r>
      <w:r>
        <w:rPr>
          <w:rFonts w:ascii="Arial" w:hAnsi="Arial" w:cs="Arial"/>
          <w:color w:val="000000"/>
          <w:kern w:val="0"/>
        </w:rPr>
        <w:t xml:space="preserve"> in 2010, the company strengthened its global operations while continuing to utilise established distribution networks to expand product availability and maintain brand recognition in the American market (Mondelēz International, 2025; Hershey, 2025).</w:t>
      </w:r>
    </w:p>
    <w:p w14:paraId="143D8F97"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This market entry strategy provides several strategic advantages. By leveraging existing manufacturing capabilities and well-established distribution channels, Cadbury reduces operational risks and gains immediate access to extensive retail networks, including supermarkets, convenience stores and e-commerce platforms. The strategy also allows the company to benefit from local market knowledge, efficient logistics and established relationships with retailers, enabling faster market penetration and improved customer accessibility. Furthermore, partnerships and licensing arrangements reduce the need for significant capital investment compared with establishing wholly owned manufacturing subsidiaries, allowing Cadbury to focus resources on product innovation, brand development and integrated marketing campaigns (Hill, 2022; Keegan and Green, 2023).</w:t>
      </w:r>
    </w:p>
    <w:p w14:paraId="18BA465C"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However, the strategy also presents several challenges. Licensing agreements reduce Cadbury's direct control over product manufacturing, pricing and marketing decisions, potentially limiting its ability to maintain complete consistency with its global brand positioning. The company also faces intense competition from dominant domestic brands such as </w:t>
      </w:r>
      <w:r>
        <w:rPr>
          <w:rFonts w:ascii="Arial" w:hAnsi="Arial" w:cs="Arial"/>
          <w:b/>
          <w:bCs/>
          <w:color w:val="000000"/>
          <w:kern w:val="0"/>
        </w:rPr>
        <w:t>Hershey</w:t>
      </w:r>
      <w:r>
        <w:rPr>
          <w:rFonts w:ascii="Arial" w:hAnsi="Arial" w:cs="Arial"/>
          <w:color w:val="000000"/>
          <w:kern w:val="0"/>
        </w:rPr>
        <w:t xml:space="preserve"> and </w:t>
      </w:r>
      <w:r>
        <w:rPr>
          <w:rFonts w:ascii="Arial" w:hAnsi="Arial" w:cs="Arial"/>
          <w:b/>
          <w:bCs/>
          <w:color w:val="000000"/>
          <w:kern w:val="0"/>
        </w:rPr>
        <w:t>Mars</w:t>
      </w:r>
      <w:r>
        <w:rPr>
          <w:rFonts w:ascii="Arial" w:hAnsi="Arial" w:cs="Arial"/>
          <w:color w:val="000000"/>
          <w:kern w:val="0"/>
        </w:rPr>
        <w:t xml:space="preserve">, which possess strong consumer loyalty, extensive product portfolios and significant marketing budgets. In addition, evolving consumer preferences towards healthier snacks, premium confectionery and sustainably sourced ingredients require Cadbury to continuously innovate its products and </w:t>
      </w:r>
      <w:r>
        <w:rPr>
          <w:rFonts w:ascii="Arial" w:hAnsi="Arial" w:cs="Arial"/>
          <w:color w:val="000000"/>
          <w:kern w:val="0"/>
        </w:rPr>
        <w:lastRenderedPageBreak/>
        <w:t>marketing strategies to remain competitive. Regulatory compliance relating to food safety, nutritional labelling and ingredient standards further increases operational complexity within the U.S. confectionery industry (U.S. Food and Drug Administration, 2025; Kotler, Keller and Chernev, 2022).</w:t>
      </w:r>
    </w:p>
    <w:p w14:paraId="3D29FB3C"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Overall, Cadbury's market entry strategy has enabled the company to establish a sustainable presence in the United States while minimising investment risk and benefiting from established market infrastructure. Although licensing arrangements limit operational control, they have supported long-term market growth, strengthened product availability and enhanced brand visibility. To maintain future competitiveness, Cadbury should continue investing in product innovation, digital marketing, sustainable sourcing and premium product development while adapting its marketing strategy to evolving consumer preferences within the United States (Mondelēz International, 2025; Solomon, 2024).</w:t>
      </w:r>
    </w:p>
    <w:p w14:paraId="271264DB" w14:textId="77777777" w:rsidR="00C2222F" w:rsidRPr="006C0151" w:rsidRDefault="00C2222F" w:rsidP="006C0151">
      <w:pPr>
        <w:pStyle w:val="Heading1"/>
        <w:spacing w:line="360" w:lineRule="auto"/>
        <w:jc w:val="both"/>
        <w:rPr>
          <w:rFonts w:ascii="Arial" w:hAnsi="Arial" w:cs="Arial"/>
          <w:b/>
          <w:bCs/>
          <w:color w:val="000000"/>
          <w:kern w:val="0"/>
          <w:sz w:val="24"/>
          <w:szCs w:val="24"/>
        </w:rPr>
      </w:pPr>
      <w:bookmarkStart w:id="19" w:name="_Toc236841363"/>
      <w:r w:rsidRPr="006C0151">
        <w:rPr>
          <w:rFonts w:ascii="Arial" w:hAnsi="Arial" w:cs="Arial"/>
          <w:b/>
          <w:bCs/>
          <w:color w:val="000000"/>
          <w:kern w:val="0"/>
          <w:sz w:val="24"/>
          <w:szCs w:val="24"/>
        </w:rPr>
        <w:t>8. Ethical Issues Related to Cadbury's Marketing</w:t>
      </w:r>
      <w:bookmarkEnd w:id="19"/>
    </w:p>
    <w:p w14:paraId="07B3F5BC"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Ethical marketing refers to the application of honesty, transparency, social responsibility and sustainability in marketing activities while protecting the interests of consumers, employees and wider society (Kotler, Keller and Chernev, 2022). As one of the world's leading confectionery brands, Cadbury has adopted several responsible marketing initiatives through its parent company, </w:t>
      </w:r>
      <w:r>
        <w:rPr>
          <w:rFonts w:ascii="Arial" w:hAnsi="Arial" w:cs="Arial"/>
          <w:b/>
          <w:bCs/>
          <w:color w:val="000000"/>
          <w:kern w:val="0"/>
        </w:rPr>
        <w:t>Mondelēz International</w:t>
      </w:r>
      <w:r>
        <w:rPr>
          <w:rFonts w:ascii="Arial" w:hAnsi="Arial" w:cs="Arial"/>
          <w:color w:val="000000"/>
          <w:kern w:val="0"/>
        </w:rPr>
        <w:t>. However, despite significant progress in sustainability and responsible sourcing, the company has also faced criticism regarding ethical challenges within its cocoa supply chain and the marketing of confectionery products. Evaluating both ethical and unethical marketing practices provides a balanced understanding of Cadbury's international marketing performance.</w:t>
      </w:r>
    </w:p>
    <w:p w14:paraId="1DE6EE69"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Ethical Marketing Practice 1: Sustainable Cocoa Sourcing (Product and Process)</w:t>
      </w:r>
    </w:p>
    <w:p w14:paraId="3F550611"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One of Cadbury's strongest ethical initiatives is its </w:t>
      </w:r>
      <w:r>
        <w:rPr>
          <w:rFonts w:ascii="Arial" w:hAnsi="Arial" w:cs="Arial"/>
          <w:b/>
          <w:bCs/>
          <w:color w:val="000000"/>
          <w:kern w:val="0"/>
        </w:rPr>
        <w:t>Cocoa Life</w:t>
      </w:r>
      <w:r>
        <w:rPr>
          <w:rFonts w:ascii="Arial" w:hAnsi="Arial" w:cs="Arial"/>
          <w:color w:val="000000"/>
          <w:kern w:val="0"/>
        </w:rPr>
        <w:t xml:space="preserve"> programme, launched by Mondelēz International to improve the sustainability of cocoa production. The programme focuses on supporting cocoa farmers, increasing household incomes, promoting responsible farming practices and reducing environmental impacts across cocoa-growing communities. By 2025, Mondelēz reported that approximately </w:t>
      </w:r>
      <w:r>
        <w:rPr>
          <w:rFonts w:ascii="Arial" w:hAnsi="Arial" w:cs="Arial"/>
          <w:b/>
          <w:bCs/>
          <w:color w:val="000000"/>
          <w:kern w:val="0"/>
        </w:rPr>
        <w:t xml:space="preserve">100% of </w:t>
      </w:r>
      <w:r>
        <w:rPr>
          <w:rFonts w:ascii="Arial" w:hAnsi="Arial" w:cs="Arial"/>
          <w:b/>
          <w:bCs/>
          <w:color w:val="000000"/>
          <w:kern w:val="0"/>
        </w:rPr>
        <w:lastRenderedPageBreak/>
        <w:t>the cocoa volume</w:t>
      </w:r>
      <w:r>
        <w:rPr>
          <w:rFonts w:ascii="Arial" w:hAnsi="Arial" w:cs="Arial"/>
          <w:color w:val="000000"/>
          <w:kern w:val="0"/>
        </w:rPr>
        <w:t xml:space="preserve"> used for its chocolate brands was sourced through the Cocoa Life programme, alongside expanded child labour monitoring and remediation systems across Cocoa Life communities. These initiatives demonstrate Cadbury's commitment to ethical sourcing, environmental sustainability and long-term supply chain resilience while strengthening consumer trust and corporate reputation. </w:t>
      </w:r>
    </w:p>
    <w:p w14:paraId="3BD67E70"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Ethical Marketing Practice 2: Human Rights and Supply Chain Transparency (People and Process)</w:t>
      </w:r>
    </w:p>
    <w:p w14:paraId="2EBD545F"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Cadbury has also strengthened its ethical marketing by improving </w:t>
      </w:r>
      <w:r>
        <w:rPr>
          <w:rFonts w:ascii="Arial" w:hAnsi="Arial" w:cs="Arial"/>
          <w:b/>
          <w:bCs/>
          <w:color w:val="000000"/>
          <w:kern w:val="0"/>
        </w:rPr>
        <w:t>human rights due diligence</w:t>
      </w:r>
      <w:r>
        <w:rPr>
          <w:rFonts w:ascii="Arial" w:hAnsi="Arial" w:cs="Arial"/>
          <w:color w:val="000000"/>
          <w:kern w:val="0"/>
        </w:rPr>
        <w:t xml:space="preserve"> throughout its global supply chain. Mondelēz International has introduced supplier audits, employee training programmes and human rights monitoring systems to improve labour standards and transparency. The company reports comprehensive audits of manufacturing facilities and priority suppliers, alongside expanded monitoring systems designed to identify and address child labour risks within cocoa-producing communities. These initiatives demonstrate Cadbury's commitment to responsible business practices and enhance stakeholder confidence by integrating ethical values into its marketing and corporate communications. </w:t>
      </w:r>
    </w:p>
    <w:p w14:paraId="305A9781"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Unethical Marketing Practice 1: Child Labour Concerns in the Cocoa Supply Chain (Process and Product)</w:t>
      </w:r>
    </w:p>
    <w:p w14:paraId="1E730549"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Despite significant investment in sustainability programmes, Cadbury has faced criticism regarding the continued presence of </w:t>
      </w:r>
      <w:r>
        <w:rPr>
          <w:rFonts w:ascii="Arial" w:hAnsi="Arial" w:cs="Arial"/>
          <w:b/>
          <w:bCs/>
          <w:color w:val="000000"/>
          <w:kern w:val="0"/>
        </w:rPr>
        <w:t>child labour</w:t>
      </w:r>
      <w:r>
        <w:rPr>
          <w:rFonts w:ascii="Arial" w:hAnsi="Arial" w:cs="Arial"/>
          <w:color w:val="000000"/>
          <w:kern w:val="0"/>
        </w:rPr>
        <w:t xml:space="preserve"> within parts of the West African cocoa supply chain. Independent investigations and advocacy organisations have argued that child labour remains a systemic issue affecting cocoa production in Ghana and Côte d'Ivoire, where a substantial proportion of the world's cocoa is produced. Although Mondelēz International acknowledges these challenges and has expanded monitoring and remediation systems, the existence of child labour risks has raised concerns about whether ethical sourcing claims fully reflect conditions throughout the supply chain. This issue can affect consumer trust and damage brand reputation if not effectively addressed. </w:t>
      </w:r>
    </w:p>
    <w:p w14:paraId="3D9E77B1"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Unethical Marketing Practice 2: Marketing High-Sugar Products to Children (Promotion and Product)</w:t>
      </w:r>
    </w:p>
    <w:p w14:paraId="0362A7A8"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Another ethical concern relates to the promotion of chocolate products to children. Cadbury's colourful packaging, emotional advertising and digital marketing campaigns have been criticised by public health organisations because they may encourage excessive consumption of high-sugar confectionery among younger consumers. As governments increasingly focus on reducing childhood obesity and improving nutritional awareness, confectionery companies face growing pressure to promote products responsibly and avoid marketing practices that disproportionately influence children. Although Cadbury has introduced clearer nutritional labelling and responsible marketing commitments, balancing commercial objectives with public health responsibilities remains an ongoing ethical challenge within the confectionery industry (</w:t>
      </w:r>
      <w:proofErr w:type="spellStart"/>
      <w:r>
        <w:rPr>
          <w:rFonts w:ascii="Arial" w:hAnsi="Arial" w:cs="Arial"/>
          <w:color w:val="000000"/>
          <w:kern w:val="0"/>
        </w:rPr>
        <w:t>Medjkoune</w:t>
      </w:r>
      <w:proofErr w:type="spellEnd"/>
      <w:r>
        <w:rPr>
          <w:rFonts w:ascii="Arial" w:hAnsi="Arial" w:cs="Arial"/>
          <w:color w:val="000000"/>
          <w:kern w:val="0"/>
        </w:rPr>
        <w:t xml:space="preserve">, Goga and Senechal, 2023; Kotler, Keller and Chernev, 2022). </w:t>
      </w:r>
    </w:p>
    <w:p w14:paraId="7AC69026" w14:textId="77777777" w:rsidR="00C2222F" w:rsidRDefault="00C2222F" w:rsidP="00C2222F">
      <w:pPr>
        <w:autoSpaceDE w:val="0"/>
        <w:autoSpaceDN w:val="0"/>
        <w:adjustRightInd w:val="0"/>
        <w:spacing w:after="280" w:line="360" w:lineRule="auto"/>
        <w:jc w:val="both"/>
        <w:rPr>
          <w:rFonts w:ascii="Arial" w:hAnsi="Arial" w:cs="Arial"/>
          <w:b/>
          <w:bCs/>
          <w:color w:val="000000"/>
          <w:kern w:val="0"/>
        </w:rPr>
      </w:pPr>
      <w:r>
        <w:rPr>
          <w:rFonts w:ascii="Arial" w:hAnsi="Arial" w:cs="Arial"/>
          <w:b/>
          <w:bCs/>
          <w:color w:val="000000"/>
          <w:kern w:val="0"/>
        </w:rPr>
        <w:t>Critical Evaluation</w:t>
      </w:r>
    </w:p>
    <w:p w14:paraId="2E9503E2"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Overall, Cadbury demonstrates a strong commitment to ethical marketing through sustainable sourcing, human rights initiatives and transparent supply chain management. Nevertheless, persistent concerns regarding child labour risks within global cocoa production and the responsible marketing of confectionery products highlight the complexity of operating within an international supply chain. To strengthen stakeholder confidence and maintain long-term brand credibility, Cadbury should continue investing in independent supply chain monitoring, community development programmes, healthier product innovation and responsible marketing practices that balance commercial success with social responsibility. </w:t>
      </w:r>
    </w:p>
    <w:p w14:paraId="35085F25" w14:textId="77777777" w:rsidR="00C2222F" w:rsidRPr="006C0151" w:rsidRDefault="00C2222F" w:rsidP="006C0151">
      <w:pPr>
        <w:pStyle w:val="Heading1"/>
        <w:spacing w:line="360" w:lineRule="auto"/>
        <w:jc w:val="both"/>
        <w:rPr>
          <w:rFonts w:ascii="Arial" w:hAnsi="Arial" w:cs="Arial"/>
          <w:b/>
          <w:bCs/>
          <w:color w:val="000000"/>
          <w:kern w:val="0"/>
          <w:sz w:val="24"/>
          <w:szCs w:val="24"/>
        </w:rPr>
      </w:pPr>
      <w:bookmarkStart w:id="20" w:name="_Toc236841364"/>
      <w:r w:rsidRPr="006C0151">
        <w:rPr>
          <w:rFonts w:ascii="Arial" w:hAnsi="Arial" w:cs="Arial"/>
          <w:b/>
          <w:bCs/>
          <w:color w:val="000000"/>
          <w:kern w:val="0"/>
          <w:sz w:val="24"/>
          <w:szCs w:val="24"/>
        </w:rPr>
        <w:t>9. Recommendations</w:t>
      </w:r>
      <w:bookmarkEnd w:id="20"/>
    </w:p>
    <w:p w14:paraId="1D36D0E8"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9.1 Recommendations for India</w:t>
      </w:r>
    </w:p>
    <w:p w14:paraId="5AF90C2D"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analysis indicates that Cadbury should continue strengthening its market leadership in India by expanding its portfolio of </w:t>
      </w:r>
      <w:r>
        <w:rPr>
          <w:rFonts w:ascii="Arial" w:hAnsi="Arial" w:cs="Arial"/>
          <w:b/>
          <w:bCs/>
          <w:color w:val="000000"/>
          <w:kern w:val="0"/>
        </w:rPr>
        <w:t>healthier and premium chocolate products</w:t>
      </w:r>
      <w:r>
        <w:rPr>
          <w:rFonts w:ascii="Arial" w:hAnsi="Arial" w:cs="Arial"/>
          <w:color w:val="000000"/>
          <w:kern w:val="0"/>
        </w:rPr>
        <w:t xml:space="preserve">. Growing health awareness among Indian consumers has increased demand for products with reduced sugar, organic ingredients and portion-controlled packaging. Investing in healthier product innovation would enable Cadbury to attract health-conscious consumers while maintaining its strong market position (Euromonitor International, 2025). Furthermore, the company should continue leveraging India's cultural diversity by developing </w:t>
      </w:r>
      <w:r>
        <w:rPr>
          <w:rFonts w:ascii="Arial" w:hAnsi="Arial" w:cs="Arial"/>
          <w:b/>
          <w:bCs/>
          <w:color w:val="000000"/>
          <w:kern w:val="0"/>
        </w:rPr>
        <w:t>localised marketing campaigns</w:t>
      </w:r>
      <w:r>
        <w:rPr>
          <w:rFonts w:ascii="Arial" w:hAnsi="Arial" w:cs="Arial"/>
          <w:color w:val="000000"/>
          <w:kern w:val="0"/>
        </w:rPr>
        <w:t xml:space="preserve"> linked to regional </w:t>
      </w:r>
      <w:r>
        <w:rPr>
          <w:rFonts w:ascii="Arial" w:hAnsi="Arial" w:cs="Arial"/>
          <w:color w:val="000000"/>
          <w:kern w:val="0"/>
        </w:rPr>
        <w:lastRenderedPageBreak/>
        <w:t xml:space="preserve">festivals and traditions. Personalised digital campaigns, limited-edition festive packaging and region-specific flavours can further strengthen emotional connections with consumers and increase brand loyalty. Cadbury should also expand its presence in </w:t>
      </w:r>
      <w:r>
        <w:rPr>
          <w:rFonts w:ascii="Arial" w:hAnsi="Arial" w:cs="Arial"/>
          <w:b/>
          <w:bCs/>
          <w:color w:val="000000"/>
          <w:kern w:val="0"/>
        </w:rPr>
        <w:t>Tier-2 and Tier-3 cities</w:t>
      </w:r>
      <w:r>
        <w:rPr>
          <w:rFonts w:ascii="Arial" w:hAnsi="Arial" w:cs="Arial"/>
          <w:color w:val="000000"/>
          <w:kern w:val="0"/>
        </w:rPr>
        <w:t xml:space="preserve"> by strengthening partnerships with modern retail chains, e-commerce platforms and traditional retailers. Increasing investment in digital technologies, data analytics and artificial intelligence will improve customer insights, demand forecasting and personalised marketing, supporting sustainable long-term growth in India's rapidly evolving confectionery market (Kotler, Keller and Chernev, 2022; Mondelēz International, 2025).</w:t>
      </w:r>
    </w:p>
    <w:p w14:paraId="1F550785" w14:textId="77777777" w:rsidR="00C2222F" w:rsidRDefault="00C2222F" w:rsidP="00C2222F">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9.2 Recommendations for the United States</w:t>
      </w:r>
    </w:p>
    <w:p w14:paraId="1C0E45BF"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In the United States, Cadbury should strengthen its competitive position by increasing investment in </w:t>
      </w:r>
      <w:r>
        <w:rPr>
          <w:rFonts w:ascii="Arial" w:hAnsi="Arial" w:cs="Arial"/>
          <w:b/>
          <w:bCs/>
          <w:color w:val="000000"/>
          <w:kern w:val="0"/>
        </w:rPr>
        <w:t>premium product innovation and sustainable branding</w:t>
      </w:r>
      <w:r>
        <w:rPr>
          <w:rFonts w:ascii="Arial" w:hAnsi="Arial" w:cs="Arial"/>
          <w:color w:val="000000"/>
          <w:kern w:val="0"/>
        </w:rPr>
        <w:t xml:space="preserve">. As American consumers increasingly value ethical sourcing, healthier ingredients and premium-quality confectionery, Cadbury should expand its range of low-sugar, organic and sustainably sourced chocolate products while communicating these initiatives more transparently through its marketing campaigns. The company should also strengthen its digital marketing strategy by collaborating with influencers, utilising artificial intelligence for personalised promotions and expanding omnichannel retail partnerships to improve customer engagement. In addition, Cadbury should capitalise on seasonal purchasing occasions such as </w:t>
      </w:r>
      <w:r>
        <w:rPr>
          <w:rFonts w:ascii="Arial" w:hAnsi="Arial" w:cs="Arial"/>
          <w:b/>
          <w:bCs/>
          <w:color w:val="000000"/>
          <w:kern w:val="0"/>
        </w:rPr>
        <w:t>Easter, Halloween, Christmas and Valentine's Day</w:t>
      </w:r>
      <w:r>
        <w:rPr>
          <w:rFonts w:ascii="Arial" w:hAnsi="Arial" w:cs="Arial"/>
          <w:color w:val="000000"/>
          <w:kern w:val="0"/>
        </w:rPr>
        <w:t xml:space="preserve"> by introducing innovative limited-edition products and personalised gifting experiences. Finally, strengthening supply chain transparency through independent sustainability reporting and continued investment in the </w:t>
      </w:r>
      <w:r>
        <w:rPr>
          <w:rFonts w:ascii="Arial" w:hAnsi="Arial" w:cs="Arial"/>
          <w:b/>
          <w:bCs/>
          <w:color w:val="000000"/>
          <w:kern w:val="0"/>
        </w:rPr>
        <w:t>Cocoa Life</w:t>
      </w:r>
      <w:r>
        <w:rPr>
          <w:rFonts w:ascii="Arial" w:hAnsi="Arial" w:cs="Arial"/>
          <w:color w:val="000000"/>
          <w:kern w:val="0"/>
        </w:rPr>
        <w:t xml:space="preserve"> programme will further enhance consumer trust, reinforce Cadbury's premium brand image and improve long-term competitiveness within the highly competitive U.S. confectionery market (Keegan and Green, 2023; Mondelēz International, 2025; National Confectioners Association, 2025).</w:t>
      </w:r>
    </w:p>
    <w:p w14:paraId="07358906" w14:textId="77777777" w:rsidR="00C2222F" w:rsidRPr="006C0151" w:rsidRDefault="00C2222F" w:rsidP="006C0151">
      <w:pPr>
        <w:pStyle w:val="Heading1"/>
        <w:spacing w:line="360" w:lineRule="auto"/>
        <w:jc w:val="both"/>
        <w:rPr>
          <w:rFonts w:ascii="Arial" w:hAnsi="Arial" w:cs="Arial"/>
          <w:b/>
          <w:bCs/>
          <w:color w:val="000000"/>
          <w:kern w:val="0"/>
          <w:sz w:val="24"/>
          <w:szCs w:val="24"/>
        </w:rPr>
      </w:pPr>
      <w:bookmarkStart w:id="21" w:name="_Toc236841365"/>
      <w:r w:rsidRPr="006C0151">
        <w:rPr>
          <w:rFonts w:ascii="Arial" w:hAnsi="Arial" w:cs="Arial"/>
          <w:b/>
          <w:bCs/>
          <w:color w:val="000000"/>
          <w:kern w:val="0"/>
          <w:sz w:val="24"/>
          <w:szCs w:val="24"/>
        </w:rPr>
        <w:t>10. Conclusion</w:t>
      </w:r>
      <w:bookmarkEnd w:id="21"/>
    </w:p>
    <w:p w14:paraId="2BD650DF"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This report critically evaluated Cadbury's international marketing strategy by comparing its operations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using key strategic frameworks, including </w:t>
      </w:r>
      <w:r>
        <w:rPr>
          <w:rFonts w:ascii="Arial" w:hAnsi="Arial" w:cs="Arial"/>
          <w:b/>
          <w:bCs/>
          <w:color w:val="000000"/>
          <w:kern w:val="0"/>
        </w:rPr>
        <w:t xml:space="preserve">PESTEL analysis, Hofstede's Cultural Dimensions, STP </w:t>
      </w:r>
      <w:r>
        <w:rPr>
          <w:rFonts w:ascii="Arial" w:hAnsi="Arial" w:cs="Arial"/>
          <w:b/>
          <w:bCs/>
          <w:color w:val="000000"/>
          <w:kern w:val="0"/>
        </w:rPr>
        <w:lastRenderedPageBreak/>
        <w:t>analysis and the 7Ps Marketing Mix</w:t>
      </w:r>
      <w:r>
        <w:rPr>
          <w:rFonts w:ascii="Arial" w:hAnsi="Arial" w:cs="Arial"/>
          <w:color w:val="000000"/>
          <w:kern w:val="0"/>
        </w:rPr>
        <w:t xml:space="preserve">. The findings indicate that although both markets provide significant growth opportunities, they differ considerably in terms of economic conditions, cultural values, consumer behaviour and competitive dynamics. Cadbury has successfully maintained a strong global brand identity while adapting its products, pricing, promotional activities and distribution strategies to meet local market needs. The report also highlighted the importance of ethical marketing, sustainable cocoa sourcing and responsible business practices in strengthening long-term brand reputation. Overall, Cadbury's ability to balance </w:t>
      </w:r>
      <w:r>
        <w:rPr>
          <w:rFonts w:ascii="Arial" w:hAnsi="Arial" w:cs="Arial"/>
          <w:b/>
          <w:bCs/>
          <w:color w:val="000000"/>
          <w:kern w:val="0"/>
        </w:rPr>
        <w:t>global standardisation with local adaptation</w:t>
      </w:r>
      <w:r>
        <w:rPr>
          <w:rFonts w:ascii="Arial" w:hAnsi="Arial" w:cs="Arial"/>
          <w:color w:val="000000"/>
          <w:kern w:val="0"/>
        </w:rPr>
        <w:t xml:space="preserve"> enables the company to remain competitive in both emerging and mature markets. Continued investment in product innovation, digital transformation and sustainability will further strengthen Cadbury's international market position and support sustainable long-term growth.</w:t>
      </w:r>
    </w:p>
    <w:p w14:paraId="4A3CF9D0" w14:textId="77777777" w:rsidR="00C2222F" w:rsidRPr="006C0151" w:rsidRDefault="00C2222F" w:rsidP="006C0151">
      <w:pPr>
        <w:pStyle w:val="Heading1"/>
        <w:spacing w:line="360" w:lineRule="auto"/>
        <w:jc w:val="both"/>
        <w:rPr>
          <w:rFonts w:ascii="Arial" w:hAnsi="Arial" w:cs="Arial"/>
          <w:b/>
          <w:bCs/>
          <w:color w:val="000000"/>
          <w:kern w:val="0"/>
          <w:sz w:val="24"/>
          <w:szCs w:val="24"/>
        </w:rPr>
      </w:pPr>
      <w:bookmarkStart w:id="22" w:name="_Toc236841366"/>
      <w:r w:rsidRPr="006C0151">
        <w:rPr>
          <w:rFonts w:ascii="Arial" w:hAnsi="Arial" w:cs="Arial"/>
          <w:b/>
          <w:bCs/>
          <w:color w:val="000000"/>
          <w:kern w:val="0"/>
          <w:sz w:val="24"/>
          <w:szCs w:val="24"/>
        </w:rPr>
        <w:t>11. Gibbs Reflective Model</w:t>
      </w:r>
      <w:bookmarkEnd w:id="22"/>
    </w:p>
    <w:p w14:paraId="204875FC" w14:textId="77777777" w:rsidR="00C2222F" w:rsidRDefault="00C2222F" w:rsidP="00C2222F">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Applying </w:t>
      </w:r>
      <w:r>
        <w:rPr>
          <w:rFonts w:ascii="Arial" w:hAnsi="Arial" w:cs="Arial"/>
          <w:b/>
          <w:bCs/>
          <w:color w:val="000000"/>
          <w:kern w:val="0"/>
        </w:rPr>
        <w:t>Gibbs' Reflective Cycle (1988)</w:t>
      </w:r>
      <w:r>
        <w:rPr>
          <w:rFonts w:ascii="Arial" w:hAnsi="Arial" w:cs="Arial"/>
          <w:color w:val="000000"/>
          <w:kern w:val="0"/>
        </w:rPr>
        <w:t xml:space="preserve"> enabled me to critically evaluate my learning throughout this assignment on Cadbury's international marketing strategies in </w:t>
      </w:r>
      <w:r>
        <w:rPr>
          <w:rFonts w:ascii="Arial" w:hAnsi="Arial" w:cs="Arial"/>
          <w:b/>
          <w:bCs/>
          <w:color w:val="000000"/>
          <w:kern w:val="0"/>
        </w:rPr>
        <w:t>India</w:t>
      </w:r>
      <w:r>
        <w:rPr>
          <w:rFonts w:ascii="Arial" w:hAnsi="Arial" w:cs="Arial"/>
          <w:color w:val="000000"/>
          <w:kern w:val="0"/>
        </w:rPr>
        <w:t xml:space="preserve"> and the </w:t>
      </w:r>
      <w:r>
        <w:rPr>
          <w:rFonts w:ascii="Arial" w:hAnsi="Arial" w:cs="Arial"/>
          <w:b/>
          <w:bCs/>
          <w:color w:val="000000"/>
          <w:kern w:val="0"/>
        </w:rPr>
        <w:t>United States</w:t>
      </w:r>
      <w:r>
        <w:rPr>
          <w:rFonts w:ascii="Arial" w:hAnsi="Arial" w:cs="Arial"/>
          <w:color w:val="000000"/>
          <w:kern w:val="0"/>
        </w:rPr>
        <w:t xml:space="preserve">. Initially, I recognised the complexity of comparing two culturally and economically different markets using strategic frameworks such as </w:t>
      </w:r>
      <w:r>
        <w:rPr>
          <w:rFonts w:ascii="Arial" w:hAnsi="Arial" w:cs="Arial"/>
          <w:b/>
          <w:bCs/>
          <w:color w:val="000000"/>
          <w:kern w:val="0"/>
        </w:rPr>
        <w:t>PESTEL, Hofstede's Cultural Dimensions, STP analysis and the 7Ps Marketing Mix</w:t>
      </w:r>
      <w:r>
        <w:rPr>
          <w:rFonts w:ascii="Arial" w:hAnsi="Arial" w:cs="Arial"/>
          <w:color w:val="000000"/>
          <w:kern w:val="0"/>
        </w:rPr>
        <w:t>. During the analysis, I developed a deeper understanding of how multinational organisations adapt their marketing strategies to different consumer behaviours, cultural values and competitive environments. I found that integrating academic theories with real business practices enhanced my ability to critically analyse international marketing decisions rather than simply describing them. One of the key lessons learned was the importance of balancing global brand consistency with local market adaptation to achieve sustainable competitive advantage. Reflecting on this experience, I have improved my research, critical thinking and analytical writing skills while strengthening my ability to apply marketing theories to real-world business situations. In future academic and professional work, I will continue using reflective practice to enhance decision-making, develop evidence-based recommendations and improve my understanding of global marketing challenges (Gibbs, 1988; Kolb, 2015; Kotler, Keller and Chernev, 2022).</w:t>
      </w:r>
    </w:p>
    <w:p w14:paraId="70432EF7" w14:textId="77777777" w:rsidR="006F7A77" w:rsidRDefault="006F7A77" w:rsidP="002A498B">
      <w:pPr>
        <w:autoSpaceDE w:val="0"/>
        <w:autoSpaceDN w:val="0"/>
        <w:adjustRightInd w:val="0"/>
        <w:spacing w:after="240" w:line="360" w:lineRule="auto"/>
        <w:jc w:val="both"/>
        <w:rPr>
          <w:rFonts w:ascii="Times-Bold" w:hAnsi="Times-Bold" w:cs="Times-Bold"/>
          <w:b/>
          <w:bCs/>
          <w:color w:val="000000"/>
          <w:kern w:val="0"/>
          <w:sz w:val="36"/>
          <w:szCs w:val="36"/>
        </w:rPr>
      </w:pPr>
    </w:p>
    <w:p w14:paraId="2A8C9646" w14:textId="297E605A" w:rsidR="001F0133" w:rsidRDefault="001F0133" w:rsidP="002A498B">
      <w:pPr>
        <w:autoSpaceDE w:val="0"/>
        <w:autoSpaceDN w:val="0"/>
        <w:adjustRightInd w:val="0"/>
        <w:spacing w:after="240" w:line="360" w:lineRule="auto"/>
        <w:jc w:val="both"/>
        <w:rPr>
          <w:rFonts w:ascii="Times-Bold" w:hAnsi="Times-Bold" w:cs="Times-Bold"/>
          <w:b/>
          <w:bCs/>
          <w:color w:val="000000"/>
          <w:kern w:val="0"/>
          <w:sz w:val="36"/>
          <w:szCs w:val="36"/>
        </w:rPr>
      </w:pPr>
      <w:r>
        <w:rPr>
          <w:rFonts w:ascii="Times-Bold" w:hAnsi="Times-Bold" w:cs="Times-Bold"/>
          <w:b/>
          <w:bCs/>
          <w:color w:val="000000"/>
          <w:kern w:val="0"/>
          <w:sz w:val="36"/>
          <w:szCs w:val="36"/>
        </w:rPr>
        <w:lastRenderedPageBreak/>
        <w:t>Reference</w:t>
      </w:r>
    </w:p>
    <w:p w14:paraId="6FAB949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proofErr w:type="spellStart"/>
      <w:r>
        <w:rPr>
          <w:rFonts w:ascii="Times-Roman" w:hAnsi="Times-Roman" w:cs="Times-Roman"/>
          <w:color w:val="000000"/>
          <w:kern w:val="0"/>
        </w:rPr>
        <w:t>Czinkota</w:t>
      </w:r>
      <w:proofErr w:type="spellEnd"/>
      <w:r>
        <w:rPr>
          <w:rFonts w:ascii="Times-Roman" w:hAnsi="Times-Roman" w:cs="Times-Roman"/>
          <w:color w:val="000000"/>
          <w:kern w:val="0"/>
        </w:rPr>
        <w:t xml:space="preserve">, M.R., Ronkainen, I.A. and Cui, A.S. (2021) </w:t>
      </w:r>
      <w:r>
        <w:rPr>
          <w:rFonts w:ascii="Times-Italic" w:hAnsi="Times-Italic" w:cs="Times-Italic"/>
          <w:i/>
          <w:iCs/>
          <w:color w:val="000000"/>
          <w:kern w:val="0"/>
        </w:rPr>
        <w:t>International Marketing</w:t>
      </w:r>
      <w:r>
        <w:rPr>
          <w:rFonts w:ascii="Times-Roman" w:hAnsi="Times-Roman" w:cs="Times-Roman"/>
          <w:color w:val="000000"/>
          <w:kern w:val="0"/>
        </w:rPr>
        <w:t xml:space="preserve">. 11th </w:t>
      </w:r>
      <w:proofErr w:type="spellStart"/>
      <w:r>
        <w:rPr>
          <w:rFonts w:ascii="Times-Roman" w:hAnsi="Times-Roman" w:cs="Times-Roman"/>
          <w:color w:val="000000"/>
          <w:kern w:val="0"/>
        </w:rPr>
        <w:t>edn</w:t>
      </w:r>
      <w:proofErr w:type="spellEnd"/>
      <w:r>
        <w:rPr>
          <w:rFonts w:ascii="Times-Roman" w:hAnsi="Times-Roman" w:cs="Times-Roman"/>
          <w:color w:val="000000"/>
          <w:kern w:val="0"/>
        </w:rPr>
        <w:t>. Boston: Cengage Learning.</w:t>
      </w:r>
    </w:p>
    <w:p w14:paraId="246F8C71"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666B980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48B326BE" w14:textId="3ED612D2"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(2025a) </w:t>
      </w:r>
      <w:r>
        <w:rPr>
          <w:rFonts w:ascii="Times-Italic" w:hAnsi="Times-Italic" w:cs="Times-Italic"/>
          <w:i/>
          <w:iCs/>
          <w:color w:val="000000"/>
          <w:kern w:val="0"/>
        </w:rPr>
        <w:t>About Us</w:t>
      </w:r>
      <w:r>
        <w:rPr>
          <w:rFonts w:ascii="Times-Roman" w:hAnsi="Times-Roman" w:cs="Times-Roman"/>
          <w:color w:val="000000"/>
          <w:kern w:val="0"/>
        </w:rPr>
        <w:t xml:space="preserve">. Available at: </w:t>
      </w:r>
      <w:hyperlink r:id="rId16" w:history="1">
        <w:r>
          <w:rPr>
            <w:rFonts w:ascii="Times-Roman" w:hAnsi="Times-Roman" w:cs="Times-Roman"/>
            <w:color w:val="0000E9"/>
            <w:kern w:val="0"/>
            <w:u w:val="single" w:color="0000E9"/>
          </w:rPr>
          <w:t>https://www.mondelezinternational.com/about-us/</w:t>
        </w:r>
      </w:hyperlink>
      <w:r>
        <w:rPr>
          <w:rFonts w:ascii="Times-Roman" w:hAnsi="Times-Roman" w:cs="Times-Roman"/>
          <w:color w:val="000000"/>
          <w:kern w:val="0"/>
        </w:rPr>
        <w:t xml:space="preserve"> (Accessed: 15 June 2026). </w:t>
      </w:r>
    </w:p>
    <w:p w14:paraId="1BE232B3" w14:textId="5DAFEFEB"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(2025b) </w:t>
      </w:r>
      <w:r>
        <w:rPr>
          <w:rFonts w:ascii="Times-Italic" w:hAnsi="Times-Italic" w:cs="Times-Italic"/>
          <w:i/>
          <w:iCs/>
          <w:color w:val="000000"/>
          <w:kern w:val="0"/>
        </w:rPr>
        <w:t>Annual Report 2024</w:t>
      </w:r>
      <w:r>
        <w:rPr>
          <w:rFonts w:ascii="Times-Roman" w:hAnsi="Times-Roman" w:cs="Times-Roman"/>
          <w:color w:val="000000"/>
          <w:kern w:val="0"/>
        </w:rPr>
        <w:t xml:space="preserve">. Available at: </w:t>
      </w:r>
      <w:hyperlink r:id="rId17" w:history="1">
        <w:r>
          <w:rPr>
            <w:rFonts w:ascii="Times-Roman" w:hAnsi="Times-Roman" w:cs="Times-Roman"/>
            <w:color w:val="0000E9"/>
            <w:kern w:val="0"/>
            <w:u w:val="single" w:color="0000E9"/>
          </w:rPr>
          <w:t>https://www.sec.gov/Archives/edgar/data/1103982/000110398225000030/mdlz-20241231.htm</w:t>
        </w:r>
      </w:hyperlink>
      <w:r>
        <w:rPr>
          <w:rFonts w:ascii="Times-Roman" w:hAnsi="Times-Roman" w:cs="Times-Roman"/>
          <w:color w:val="000000"/>
          <w:kern w:val="0"/>
        </w:rPr>
        <w:t xml:space="preserve"> (Accessed: 15 June 2026). </w:t>
      </w:r>
    </w:p>
    <w:p w14:paraId="4FBFB12D" w14:textId="2F600E7C"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(2025c) </w:t>
      </w:r>
      <w:r>
        <w:rPr>
          <w:rFonts w:ascii="Times-Italic" w:hAnsi="Times-Italic" w:cs="Times-Italic"/>
          <w:i/>
          <w:iCs/>
          <w:color w:val="000000"/>
          <w:kern w:val="0"/>
        </w:rPr>
        <w:t>Snacking Made Right Report 2024</w:t>
      </w:r>
      <w:r>
        <w:rPr>
          <w:rFonts w:ascii="Times-Roman" w:hAnsi="Times-Roman" w:cs="Times-Roman"/>
          <w:color w:val="000000"/>
          <w:kern w:val="0"/>
        </w:rPr>
        <w:t xml:space="preserve">. Available at: </w:t>
      </w:r>
      <w:hyperlink r:id="rId18" w:history="1">
        <w:r>
          <w:rPr>
            <w:rFonts w:ascii="Times-Roman" w:hAnsi="Times-Roman" w:cs="Times-Roman"/>
            <w:color w:val="0000E9"/>
            <w:kern w:val="0"/>
            <w:u w:val="single" w:color="0000E9"/>
          </w:rPr>
          <w:t>https://ir.mondelezinternational.com/news-releases/news-release-details/mondelez-international-continues-progress-against-snacking-made/</w:t>
        </w:r>
      </w:hyperlink>
      <w:r>
        <w:rPr>
          <w:rFonts w:ascii="Times-Roman" w:hAnsi="Times-Roman" w:cs="Times-Roman"/>
          <w:color w:val="000000"/>
          <w:kern w:val="0"/>
        </w:rPr>
        <w:t xml:space="preserve"> (Accessed: 15 June 2026). </w:t>
      </w:r>
    </w:p>
    <w:p w14:paraId="51AD985F"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Johnson, G., Scholes, K. and Whittington, R. (2020) </w:t>
      </w:r>
      <w:r>
        <w:rPr>
          <w:rFonts w:ascii="Times-Italic" w:hAnsi="Times-Italic" w:cs="Times-Italic"/>
          <w:i/>
          <w:iCs/>
          <w:color w:val="000000"/>
          <w:kern w:val="0"/>
        </w:rPr>
        <w:t>Exploring Strategy</w:t>
      </w:r>
      <w:r>
        <w:rPr>
          <w:rFonts w:ascii="Times-Roman" w:hAnsi="Times-Roman" w:cs="Times-Roman"/>
          <w:color w:val="000000"/>
          <w:kern w:val="0"/>
        </w:rPr>
        <w:t xml:space="preserve">. 12th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0BBB5E3D"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E1B08F4"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EAB6E59" w14:textId="6EC53E85"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Food Safety and Standards Authority of India (FSSAI) (2025) </w:t>
      </w:r>
      <w:r>
        <w:rPr>
          <w:rFonts w:ascii="Times-Italic" w:hAnsi="Times-Italic" w:cs="Times-Italic"/>
          <w:i/>
          <w:iCs/>
          <w:color w:val="000000"/>
          <w:kern w:val="0"/>
        </w:rPr>
        <w:t>Food Safety and Standards Regulations</w:t>
      </w:r>
      <w:r>
        <w:rPr>
          <w:rFonts w:ascii="Times-Roman" w:hAnsi="Times-Roman" w:cs="Times-Roman"/>
          <w:color w:val="000000"/>
          <w:kern w:val="0"/>
        </w:rPr>
        <w:t xml:space="preserve">. Available at: </w:t>
      </w:r>
      <w:hyperlink r:id="rId19" w:history="1">
        <w:r>
          <w:rPr>
            <w:rFonts w:ascii="Times-Roman" w:hAnsi="Times-Roman" w:cs="Times-Roman"/>
            <w:color w:val="0000E9"/>
            <w:kern w:val="0"/>
            <w:u w:val="single" w:color="0000E9"/>
          </w:rPr>
          <w:t>https://www.fssai.gov.in</w:t>
        </w:r>
      </w:hyperlink>
      <w:r>
        <w:rPr>
          <w:rFonts w:ascii="Times-Roman" w:hAnsi="Times-Roman" w:cs="Times-Roman"/>
          <w:color w:val="000000"/>
          <w:kern w:val="0"/>
        </w:rPr>
        <w:t xml:space="preserve"> (Accessed: 22 June 2026).</w:t>
      </w:r>
    </w:p>
    <w:p w14:paraId="01B52952" w14:textId="769E3594"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Government of India (2025) </w:t>
      </w:r>
      <w:r>
        <w:rPr>
          <w:rFonts w:ascii="Times-Italic" w:hAnsi="Times-Italic" w:cs="Times-Italic"/>
          <w:i/>
          <w:iCs/>
          <w:color w:val="000000"/>
          <w:kern w:val="0"/>
        </w:rPr>
        <w:t>Make in India: Food Processing Sector</w:t>
      </w:r>
      <w:r>
        <w:rPr>
          <w:rFonts w:ascii="Times-Roman" w:hAnsi="Times-Roman" w:cs="Times-Roman"/>
          <w:color w:val="000000"/>
          <w:kern w:val="0"/>
        </w:rPr>
        <w:t xml:space="preserve">. Available at: </w:t>
      </w:r>
      <w:hyperlink r:id="rId20" w:history="1">
        <w:r>
          <w:rPr>
            <w:rFonts w:ascii="Times-Roman" w:hAnsi="Times-Roman" w:cs="Times-Roman"/>
            <w:color w:val="0000E9"/>
            <w:kern w:val="0"/>
            <w:u w:val="single" w:color="0000E9"/>
          </w:rPr>
          <w:t>https://www.makeinindia.com</w:t>
        </w:r>
      </w:hyperlink>
      <w:r>
        <w:rPr>
          <w:rFonts w:ascii="Times-Roman" w:hAnsi="Times-Roman" w:cs="Times-Roman"/>
          <w:color w:val="000000"/>
          <w:kern w:val="0"/>
        </w:rPr>
        <w:t>(Accessed: 22 June 2026).</w:t>
      </w:r>
    </w:p>
    <w:p w14:paraId="1DFEF23A" w14:textId="471E668F"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Chicago: Mondelēz International. Available at: https://www.mondelezinternational.com/investors/annual-reports (Accessed: 22 June 2026).</w:t>
      </w:r>
    </w:p>
    <w:p w14:paraId="589F60D4" w14:textId="46303D3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Department of Commerce (2025) </w:t>
      </w:r>
      <w:r>
        <w:rPr>
          <w:rFonts w:ascii="Times-Italic" w:hAnsi="Times-Italic" w:cs="Times-Italic"/>
          <w:i/>
          <w:iCs/>
          <w:color w:val="000000"/>
          <w:kern w:val="0"/>
        </w:rPr>
        <w:t>Guide to Doing Business in the United States</w:t>
      </w:r>
      <w:r>
        <w:rPr>
          <w:rFonts w:ascii="Times-Roman" w:hAnsi="Times-Roman" w:cs="Times-Roman"/>
          <w:color w:val="000000"/>
          <w:kern w:val="0"/>
        </w:rPr>
        <w:t xml:space="preserve">. Available at: </w:t>
      </w:r>
      <w:hyperlink r:id="rId21" w:history="1">
        <w:r>
          <w:rPr>
            <w:rFonts w:ascii="Times-Roman" w:hAnsi="Times-Roman" w:cs="Times-Roman"/>
            <w:color w:val="0000E9"/>
            <w:kern w:val="0"/>
            <w:u w:val="single" w:color="0000E9"/>
          </w:rPr>
          <w:t>https://www.commerce.gov</w:t>
        </w:r>
      </w:hyperlink>
      <w:r>
        <w:rPr>
          <w:rFonts w:ascii="Times-Roman" w:hAnsi="Times-Roman" w:cs="Times-Roman"/>
          <w:color w:val="000000"/>
          <w:kern w:val="0"/>
        </w:rPr>
        <w:t xml:space="preserve"> (Accessed: 22 June 2026).</w:t>
      </w:r>
    </w:p>
    <w:p w14:paraId="755299FA" w14:textId="275C7029"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Food and Drug Administration (FDA) (2025) </w:t>
      </w:r>
      <w:r>
        <w:rPr>
          <w:rFonts w:ascii="Times-Italic" w:hAnsi="Times-Italic" w:cs="Times-Italic"/>
          <w:i/>
          <w:iCs/>
          <w:color w:val="000000"/>
          <w:kern w:val="0"/>
        </w:rPr>
        <w:t>Food Safety and Nutrition</w:t>
      </w:r>
      <w:r>
        <w:rPr>
          <w:rFonts w:ascii="Times-Roman" w:hAnsi="Times-Roman" w:cs="Times-Roman"/>
          <w:color w:val="000000"/>
          <w:kern w:val="0"/>
        </w:rPr>
        <w:t xml:space="preserve">. Available at: </w:t>
      </w:r>
      <w:hyperlink r:id="rId22" w:history="1">
        <w:r>
          <w:rPr>
            <w:rFonts w:ascii="Times-Roman" w:hAnsi="Times-Roman" w:cs="Times-Roman"/>
            <w:color w:val="0000E9"/>
            <w:kern w:val="0"/>
            <w:u w:val="single" w:color="0000E9"/>
          </w:rPr>
          <w:t>https://www.fda.gov</w:t>
        </w:r>
      </w:hyperlink>
      <w:r>
        <w:rPr>
          <w:rFonts w:ascii="Times-Roman" w:hAnsi="Times-Roman" w:cs="Times-Roman"/>
          <w:color w:val="000000"/>
          <w:kern w:val="0"/>
        </w:rPr>
        <w:t>(Accessed: 23 June 2026).</w:t>
      </w:r>
    </w:p>
    <w:p w14:paraId="0EF5BD7A"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International Monetary Fund (IMF) (2025) </w:t>
      </w:r>
      <w:r>
        <w:rPr>
          <w:rFonts w:ascii="Times-Italic" w:hAnsi="Times-Italic" w:cs="Times-Italic"/>
          <w:i/>
          <w:iCs/>
          <w:color w:val="000000"/>
          <w:kern w:val="0"/>
        </w:rPr>
        <w:t>World Economic Outlook: Growth Resumes Amid Policy Shifts</w:t>
      </w:r>
      <w:r>
        <w:rPr>
          <w:rFonts w:ascii="Times-Roman" w:hAnsi="Times-Roman" w:cs="Times-Roman"/>
          <w:color w:val="000000"/>
          <w:kern w:val="0"/>
        </w:rPr>
        <w:t>. Washington, DC: International Monetary Fund.</w:t>
      </w:r>
    </w:p>
    <w:p w14:paraId="0472A2DA" w14:textId="39938D04"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22 June 2026).</w:t>
      </w:r>
    </w:p>
    <w:p w14:paraId="3CDE3B25" w14:textId="749D86CA"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lastRenderedPageBreak/>
        <w:t xml:space="preserve">U.S. Bureau of Economic Analysis (2025) </w:t>
      </w:r>
      <w:r>
        <w:rPr>
          <w:rFonts w:ascii="Times-Italic" w:hAnsi="Times-Italic" w:cs="Times-Italic"/>
          <w:i/>
          <w:iCs/>
          <w:color w:val="000000"/>
          <w:kern w:val="0"/>
        </w:rPr>
        <w:t>National Economic Accounts</w:t>
      </w:r>
      <w:r>
        <w:rPr>
          <w:rFonts w:ascii="Times-Roman" w:hAnsi="Times-Roman" w:cs="Times-Roman"/>
          <w:color w:val="000000"/>
          <w:kern w:val="0"/>
        </w:rPr>
        <w:t xml:space="preserve">. Available at: </w:t>
      </w:r>
      <w:hyperlink r:id="rId23" w:history="1">
        <w:r>
          <w:rPr>
            <w:rFonts w:ascii="Times-Roman" w:hAnsi="Times-Roman" w:cs="Times-Roman"/>
            <w:color w:val="0000E9"/>
            <w:kern w:val="0"/>
            <w:u w:val="single" w:color="0000E9"/>
          </w:rPr>
          <w:t>https://www.bea.gov</w:t>
        </w:r>
      </w:hyperlink>
      <w:r>
        <w:rPr>
          <w:rFonts w:ascii="Times-Roman" w:hAnsi="Times-Roman" w:cs="Times-Roman"/>
          <w:color w:val="000000"/>
          <w:kern w:val="0"/>
        </w:rPr>
        <w:t xml:space="preserve"> (Accessed: 22 June 2026).</w:t>
      </w:r>
    </w:p>
    <w:p w14:paraId="348FCBE4"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World Bank (2025) </w:t>
      </w:r>
      <w:r>
        <w:rPr>
          <w:rFonts w:ascii="Times-Italic" w:hAnsi="Times-Italic" w:cs="Times-Italic"/>
          <w:i/>
          <w:iCs/>
          <w:color w:val="000000"/>
          <w:kern w:val="0"/>
        </w:rPr>
        <w:t>India Development Update</w:t>
      </w:r>
      <w:r>
        <w:rPr>
          <w:rFonts w:ascii="Times-Roman" w:hAnsi="Times-Roman" w:cs="Times-Roman"/>
          <w:color w:val="000000"/>
          <w:kern w:val="0"/>
        </w:rPr>
        <w:t>. Washington, DC: World Bank.</w:t>
      </w:r>
    </w:p>
    <w:p w14:paraId="2E8ED98B"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Euromonitor International (2025) </w:t>
      </w:r>
      <w:r>
        <w:rPr>
          <w:rFonts w:ascii="Times-Italic" w:hAnsi="Times-Italic" w:cs="Times-Italic"/>
          <w:i/>
          <w:iCs/>
          <w:color w:val="000000"/>
          <w:kern w:val="0"/>
        </w:rPr>
        <w:t>Chocolate Confectionery in India</w:t>
      </w:r>
      <w:r>
        <w:rPr>
          <w:rFonts w:ascii="Times-Roman" w:hAnsi="Times-Roman" w:cs="Times-Roman"/>
          <w:color w:val="000000"/>
          <w:kern w:val="0"/>
        </w:rPr>
        <w:t>. London: Euromonitor International.</w:t>
      </w:r>
    </w:p>
    <w:p w14:paraId="393C6956"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5DA1D8CA" w14:textId="168F7A90"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22 June 2026).</w:t>
      </w:r>
    </w:p>
    <w:p w14:paraId="2506A157" w14:textId="3CE3659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(NCA)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24"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22 June 2026).</w:t>
      </w:r>
    </w:p>
    <w:p w14:paraId="76B043EE"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Hofstede, G. (2011) </w:t>
      </w:r>
      <w:proofErr w:type="spellStart"/>
      <w:r>
        <w:rPr>
          <w:rFonts w:ascii="Times-Italic" w:hAnsi="Times-Italic" w:cs="Times-Italic"/>
          <w:i/>
          <w:iCs/>
          <w:color w:val="000000"/>
          <w:kern w:val="0"/>
        </w:rPr>
        <w:t>Dimensionalizing</w:t>
      </w:r>
      <w:proofErr w:type="spellEnd"/>
      <w:r>
        <w:rPr>
          <w:rFonts w:ascii="Times-Italic" w:hAnsi="Times-Italic" w:cs="Times-Italic"/>
          <w:i/>
          <w:iCs/>
          <w:color w:val="000000"/>
          <w:kern w:val="0"/>
        </w:rPr>
        <w:t xml:space="preserve"> cultures: The Hofstede model in context</w:t>
      </w:r>
      <w:r>
        <w:rPr>
          <w:rFonts w:ascii="Times-Roman" w:hAnsi="Times-Roman" w:cs="Times-Roman"/>
          <w:color w:val="000000"/>
          <w:kern w:val="0"/>
        </w:rPr>
        <w:t xml:space="preserve">. </w:t>
      </w:r>
      <w:r>
        <w:rPr>
          <w:rFonts w:ascii="Times-Italic" w:hAnsi="Times-Italic" w:cs="Times-Italic"/>
          <w:i/>
          <w:iCs/>
          <w:color w:val="000000"/>
          <w:kern w:val="0"/>
        </w:rPr>
        <w:t>Online Readings in Psychology and Culture</w:t>
      </w:r>
      <w:r>
        <w:rPr>
          <w:rFonts w:ascii="Times-Roman" w:hAnsi="Times-Roman" w:cs="Times-Roman"/>
          <w:color w:val="000000"/>
          <w:kern w:val="0"/>
        </w:rPr>
        <w:t>, 2(1), pp. 1–26.</w:t>
      </w:r>
    </w:p>
    <w:p w14:paraId="632B029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040E26F5"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3E5FAD99" w14:textId="39D8F12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Hofstede Insights (2025) </w:t>
      </w:r>
      <w:r>
        <w:rPr>
          <w:rFonts w:ascii="Times-Italic" w:hAnsi="Times-Italic" w:cs="Times-Italic"/>
          <w:i/>
          <w:iCs/>
          <w:color w:val="000000"/>
          <w:kern w:val="0"/>
        </w:rPr>
        <w:t>Country Comparison: India and United States</w:t>
      </w:r>
      <w:r>
        <w:rPr>
          <w:rFonts w:ascii="Times-Roman" w:hAnsi="Times-Roman" w:cs="Times-Roman"/>
          <w:color w:val="000000"/>
          <w:kern w:val="0"/>
        </w:rPr>
        <w:t xml:space="preserve">. Available at: </w:t>
      </w:r>
      <w:hyperlink r:id="rId25" w:history="1">
        <w:r>
          <w:rPr>
            <w:rFonts w:ascii="Times-Roman" w:hAnsi="Times-Roman" w:cs="Times-Roman"/>
            <w:color w:val="0000E9"/>
            <w:kern w:val="0"/>
            <w:u w:val="single" w:color="0000E9"/>
          </w:rPr>
          <w:t>https://www.hofstede-insights.com/country-comparison/</w:t>
        </w:r>
      </w:hyperlink>
      <w:r>
        <w:rPr>
          <w:rFonts w:ascii="Times-Roman" w:hAnsi="Times-Roman" w:cs="Times-Roman"/>
          <w:color w:val="000000"/>
          <w:kern w:val="0"/>
        </w:rPr>
        <w:t xml:space="preserve"> (Accessed: 23 June 2026).</w:t>
      </w:r>
    </w:p>
    <w:p w14:paraId="77939F98"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755E8253"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D5C02E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proofErr w:type="spellStart"/>
      <w:r>
        <w:rPr>
          <w:rFonts w:ascii="Times-Roman" w:hAnsi="Times-Roman" w:cs="Times-Roman"/>
          <w:color w:val="000000"/>
          <w:kern w:val="0"/>
        </w:rPr>
        <w:t>Beugelsdijk</w:t>
      </w:r>
      <w:proofErr w:type="spellEnd"/>
      <w:r>
        <w:rPr>
          <w:rFonts w:ascii="Times-Roman" w:hAnsi="Times-Roman" w:cs="Times-Roman"/>
          <w:color w:val="000000"/>
          <w:kern w:val="0"/>
        </w:rPr>
        <w:t xml:space="preserve">, S. and Welzel, C. (2023) 'Dimensions and dynamics of national culture: A critical review of Hofstede's framework', </w:t>
      </w:r>
      <w:r>
        <w:rPr>
          <w:rFonts w:ascii="Times-Italic" w:hAnsi="Times-Italic" w:cs="Times-Italic"/>
          <w:i/>
          <w:iCs/>
          <w:color w:val="000000"/>
          <w:kern w:val="0"/>
        </w:rPr>
        <w:t>Journal of International Business Studies</w:t>
      </w:r>
      <w:r>
        <w:rPr>
          <w:rFonts w:ascii="Times-Roman" w:hAnsi="Times-Roman" w:cs="Times-Roman"/>
          <w:color w:val="000000"/>
          <w:kern w:val="0"/>
        </w:rPr>
        <w:t>, 54(4), pp. 615–632.</w:t>
      </w:r>
    </w:p>
    <w:p w14:paraId="3DE705D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Hofstede, G., Hofstede, G.J. and Minkov, M. (2010) </w:t>
      </w:r>
      <w:r>
        <w:rPr>
          <w:rFonts w:ascii="Times-Italic" w:hAnsi="Times-Italic" w:cs="Times-Italic"/>
          <w:i/>
          <w:iCs/>
          <w:color w:val="000000"/>
          <w:kern w:val="0"/>
        </w:rPr>
        <w:t>Cultures and Organizations: Software of the Mind</w:t>
      </w:r>
      <w:r>
        <w:rPr>
          <w:rFonts w:ascii="Times-Roman" w:hAnsi="Times-Roman" w:cs="Times-Roman"/>
          <w:color w:val="000000"/>
          <w:kern w:val="0"/>
        </w:rPr>
        <w:t xml:space="preserve">. 3rd </w:t>
      </w:r>
      <w:proofErr w:type="spellStart"/>
      <w:r>
        <w:rPr>
          <w:rFonts w:ascii="Times-Roman" w:hAnsi="Times-Roman" w:cs="Times-Roman"/>
          <w:color w:val="000000"/>
          <w:kern w:val="0"/>
        </w:rPr>
        <w:t>edn</w:t>
      </w:r>
      <w:proofErr w:type="spellEnd"/>
      <w:r>
        <w:rPr>
          <w:rFonts w:ascii="Times-Roman" w:hAnsi="Times-Roman" w:cs="Times-Roman"/>
          <w:color w:val="000000"/>
          <w:kern w:val="0"/>
        </w:rPr>
        <w:t>. New York: McGraw-Hill.</w:t>
      </w:r>
    </w:p>
    <w:p w14:paraId="62D716D7"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70940FDE"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37F484D6" w14:textId="52F29B31"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Minkov, M. and Kaasa, A. (2022) 'Do dimensions of culture exist objectively? A </w:t>
      </w:r>
      <w:proofErr w:type="spellStart"/>
      <w:r>
        <w:rPr>
          <w:rFonts w:ascii="Times-Roman" w:hAnsi="Times-Roman" w:cs="Times-Roman"/>
          <w:color w:val="000000"/>
          <w:kern w:val="0"/>
        </w:rPr>
        <w:t>validatio</w:t>
      </w:r>
      <w:proofErr w:type="spellEnd"/>
      <w:r w:rsidRPr="001F0133">
        <w:rPr>
          <w:rFonts w:ascii="Times-Roman" w:hAnsi="Times-Roman" w:cs="Times-Roman"/>
          <w:color w:val="000000"/>
          <w:kern w:val="0"/>
        </w:rPr>
        <w:t xml:space="preserve"> </w:t>
      </w:r>
      <w:r>
        <w:rPr>
          <w:rFonts w:ascii="Times-Roman" w:hAnsi="Times-Roman" w:cs="Times-Roman"/>
          <w:color w:val="000000"/>
          <w:kern w:val="0"/>
        </w:rPr>
        <w:t xml:space="preserve">Deloitte (2024) </w:t>
      </w:r>
      <w:r>
        <w:rPr>
          <w:rFonts w:ascii="Times-Italic" w:hAnsi="Times-Italic" w:cs="Times-Italic"/>
          <w:i/>
          <w:iCs/>
          <w:color w:val="000000"/>
          <w:kern w:val="0"/>
        </w:rPr>
        <w:t>2024 Consumer Products Industry Outlook</w:t>
      </w:r>
      <w:r>
        <w:rPr>
          <w:rFonts w:ascii="Times-Roman" w:hAnsi="Times-Roman" w:cs="Times-Roman"/>
          <w:color w:val="000000"/>
          <w:kern w:val="0"/>
        </w:rPr>
        <w:t>. London: Deloitte Insights.</w:t>
      </w:r>
    </w:p>
    <w:p w14:paraId="3A98D312" w14:textId="76DEC45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Food Safety and Standards Authority of India (FSSAI) (2025) </w:t>
      </w:r>
      <w:r>
        <w:rPr>
          <w:rFonts w:ascii="Times-Italic" w:hAnsi="Times-Italic" w:cs="Times-Italic"/>
          <w:i/>
          <w:iCs/>
          <w:color w:val="000000"/>
          <w:kern w:val="0"/>
        </w:rPr>
        <w:t>Food Safety and Standards Regulations</w:t>
      </w:r>
      <w:r>
        <w:rPr>
          <w:rFonts w:ascii="Times-Roman" w:hAnsi="Times-Roman" w:cs="Times-Roman"/>
          <w:color w:val="000000"/>
          <w:kern w:val="0"/>
        </w:rPr>
        <w:t xml:space="preserve">. Available at: </w:t>
      </w:r>
      <w:hyperlink r:id="rId26" w:history="1">
        <w:r>
          <w:rPr>
            <w:rFonts w:ascii="Times-Roman" w:hAnsi="Times-Roman" w:cs="Times-Roman"/>
            <w:color w:val="0000E9"/>
            <w:kern w:val="0"/>
            <w:u w:val="single" w:color="0000E9"/>
          </w:rPr>
          <w:t>https://www.fssai.gov.in</w:t>
        </w:r>
      </w:hyperlink>
      <w:r>
        <w:rPr>
          <w:rFonts w:ascii="Times-Roman" w:hAnsi="Times-Roman" w:cs="Times-Roman"/>
          <w:color w:val="000000"/>
          <w:kern w:val="0"/>
        </w:rPr>
        <w:t xml:space="preserve"> (Accessed: 28 June 2026).</w:t>
      </w:r>
    </w:p>
    <w:p w14:paraId="13E61E67" w14:textId="0D34702D"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lastRenderedPageBreak/>
        <w:t xml:space="preserve">Government of India (2025) </w:t>
      </w:r>
      <w:r>
        <w:rPr>
          <w:rFonts w:ascii="Times-Italic" w:hAnsi="Times-Italic" w:cs="Times-Italic"/>
          <w:i/>
          <w:iCs/>
          <w:color w:val="000000"/>
          <w:kern w:val="0"/>
        </w:rPr>
        <w:t>Digital India Programme</w:t>
      </w:r>
      <w:r>
        <w:rPr>
          <w:rFonts w:ascii="Times-Roman" w:hAnsi="Times-Roman" w:cs="Times-Roman"/>
          <w:color w:val="000000"/>
          <w:kern w:val="0"/>
        </w:rPr>
        <w:t xml:space="preserve">. Available at: </w:t>
      </w:r>
      <w:hyperlink r:id="rId27" w:history="1">
        <w:r>
          <w:rPr>
            <w:rFonts w:ascii="Times-Roman" w:hAnsi="Times-Roman" w:cs="Times-Roman"/>
            <w:color w:val="0000E9"/>
            <w:kern w:val="0"/>
            <w:u w:val="single" w:color="0000E9"/>
          </w:rPr>
          <w:t>https://www.digitalindia.gov.in</w:t>
        </w:r>
      </w:hyperlink>
      <w:r>
        <w:rPr>
          <w:rFonts w:ascii="Times-Roman" w:hAnsi="Times-Roman" w:cs="Times-Roman"/>
          <w:color w:val="000000"/>
          <w:kern w:val="0"/>
        </w:rPr>
        <w:t xml:space="preserve"> (Accessed: 28 June 2026).</w:t>
      </w:r>
    </w:p>
    <w:p w14:paraId="7E29061E" w14:textId="0AA2C94D"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Government of India (2025) </w:t>
      </w:r>
      <w:r>
        <w:rPr>
          <w:rFonts w:ascii="Times-Italic" w:hAnsi="Times-Italic" w:cs="Times-Italic"/>
          <w:i/>
          <w:iCs/>
          <w:color w:val="000000"/>
          <w:kern w:val="0"/>
        </w:rPr>
        <w:t>Plastic Waste Management Rules</w:t>
      </w:r>
      <w:r>
        <w:rPr>
          <w:rFonts w:ascii="Times-Roman" w:hAnsi="Times-Roman" w:cs="Times-Roman"/>
          <w:color w:val="000000"/>
          <w:kern w:val="0"/>
        </w:rPr>
        <w:t xml:space="preserve">. Available at: </w:t>
      </w:r>
      <w:hyperlink r:id="rId28" w:history="1">
        <w:r>
          <w:rPr>
            <w:rFonts w:ascii="Times-Roman" w:hAnsi="Times-Roman" w:cs="Times-Roman"/>
            <w:color w:val="0000E9"/>
            <w:kern w:val="0"/>
            <w:u w:val="single" w:color="0000E9"/>
          </w:rPr>
          <w:t>https://moef.gov.in</w:t>
        </w:r>
      </w:hyperlink>
      <w:r>
        <w:rPr>
          <w:rFonts w:ascii="Times-Roman" w:hAnsi="Times-Roman" w:cs="Times-Roman"/>
          <w:color w:val="000000"/>
          <w:kern w:val="0"/>
        </w:rPr>
        <w:t xml:space="preserve"> (Accessed: 28 June 2026).</w:t>
      </w:r>
    </w:p>
    <w:p w14:paraId="06DCAFA7" w14:textId="69D3BDAA"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28 June 2026).</w:t>
      </w:r>
    </w:p>
    <w:p w14:paraId="5B4B4BCB"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OECD (2025) </w:t>
      </w:r>
      <w:r>
        <w:rPr>
          <w:rFonts w:ascii="Times-Italic" w:hAnsi="Times-Italic" w:cs="Times-Italic"/>
          <w:i/>
          <w:iCs/>
          <w:color w:val="000000"/>
          <w:kern w:val="0"/>
        </w:rPr>
        <w:t>OECD Digital Economy Outlook 2025</w:t>
      </w:r>
      <w:r>
        <w:rPr>
          <w:rFonts w:ascii="Times-Roman" w:hAnsi="Times-Roman" w:cs="Times-Roman"/>
          <w:color w:val="000000"/>
          <w:kern w:val="0"/>
        </w:rPr>
        <w:t>. Paris: OECD Publishing.</w:t>
      </w:r>
    </w:p>
    <w:p w14:paraId="72A7987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United Nations Environment Programme (UNEP) (2024) </w:t>
      </w:r>
      <w:r>
        <w:rPr>
          <w:rFonts w:ascii="Times-Italic" w:hAnsi="Times-Italic" w:cs="Times-Italic"/>
          <w:i/>
          <w:iCs/>
          <w:color w:val="000000"/>
          <w:kern w:val="0"/>
        </w:rPr>
        <w:t>Global Environment Outlook</w:t>
      </w:r>
      <w:r>
        <w:rPr>
          <w:rFonts w:ascii="Times-Roman" w:hAnsi="Times-Roman" w:cs="Times-Roman"/>
          <w:color w:val="000000"/>
          <w:kern w:val="0"/>
        </w:rPr>
        <w:t>. Nairobi: UNEP.</w:t>
      </w:r>
    </w:p>
    <w:p w14:paraId="228FFDE5" w14:textId="62D1AFD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Department of Commerce (2025) </w:t>
      </w:r>
      <w:r>
        <w:rPr>
          <w:rFonts w:ascii="Times-Italic" w:hAnsi="Times-Italic" w:cs="Times-Italic"/>
          <w:i/>
          <w:iCs/>
          <w:color w:val="000000"/>
          <w:kern w:val="0"/>
        </w:rPr>
        <w:t>Business Environment in the United States</w:t>
      </w:r>
      <w:r>
        <w:rPr>
          <w:rFonts w:ascii="Times-Roman" w:hAnsi="Times-Roman" w:cs="Times-Roman"/>
          <w:color w:val="000000"/>
          <w:kern w:val="0"/>
        </w:rPr>
        <w:t xml:space="preserve">. Available at: </w:t>
      </w:r>
      <w:hyperlink r:id="rId29" w:history="1">
        <w:r>
          <w:rPr>
            <w:rFonts w:ascii="Times-Roman" w:hAnsi="Times-Roman" w:cs="Times-Roman"/>
            <w:color w:val="0000E9"/>
            <w:kern w:val="0"/>
            <w:u w:val="single" w:color="0000E9"/>
          </w:rPr>
          <w:t>https://www.commerce.gov</w:t>
        </w:r>
      </w:hyperlink>
      <w:r>
        <w:rPr>
          <w:rFonts w:ascii="Times-Roman" w:hAnsi="Times-Roman" w:cs="Times-Roman"/>
          <w:color w:val="000000"/>
          <w:kern w:val="0"/>
        </w:rPr>
        <w:t xml:space="preserve"> (Accessed: 4 July 2026).</w:t>
      </w:r>
    </w:p>
    <w:p w14:paraId="090C01C0" w14:textId="1FDD75BF"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Environmental Protection Agency (EPA) (2025) </w:t>
      </w:r>
      <w:r>
        <w:rPr>
          <w:rFonts w:ascii="Times-Italic" w:hAnsi="Times-Italic" w:cs="Times-Italic"/>
          <w:i/>
          <w:iCs/>
          <w:color w:val="000000"/>
          <w:kern w:val="0"/>
        </w:rPr>
        <w:t>Sustainable Materials Management</w:t>
      </w:r>
      <w:r>
        <w:rPr>
          <w:rFonts w:ascii="Times-Roman" w:hAnsi="Times-Roman" w:cs="Times-Roman"/>
          <w:color w:val="000000"/>
          <w:kern w:val="0"/>
        </w:rPr>
        <w:t xml:space="preserve">. Available at: </w:t>
      </w:r>
      <w:hyperlink r:id="rId30" w:history="1">
        <w:r>
          <w:rPr>
            <w:rFonts w:ascii="Times-Roman" w:hAnsi="Times-Roman" w:cs="Times-Roman"/>
            <w:color w:val="0000E9"/>
            <w:kern w:val="0"/>
            <w:u w:val="single" w:color="0000E9"/>
          </w:rPr>
          <w:t>https://www.epa.gov</w:t>
        </w:r>
      </w:hyperlink>
      <w:r>
        <w:rPr>
          <w:rFonts w:ascii="Times-Roman" w:hAnsi="Times-Roman" w:cs="Times-Roman"/>
          <w:color w:val="000000"/>
          <w:kern w:val="0"/>
        </w:rPr>
        <w:t xml:space="preserve"> (Accessed: 4 July 2026).</w:t>
      </w:r>
    </w:p>
    <w:p w14:paraId="2CABE823" w14:textId="6B1D1144"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Food and Drug Administration (FDA) (2025) </w:t>
      </w:r>
      <w:r>
        <w:rPr>
          <w:rFonts w:ascii="Times-Italic" w:hAnsi="Times-Italic" w:cs="Times-Italic"/>
          <w:i/>
          <w:iCs/>
          <w:color w:val="000000"/>
          <w:kern w:val="0"/>
        </w:rPr>
        <w:t>Food Safety and Nutrition</w:t>
      </w:r>
      <w:r>
        <w:rPr>
          <w:rFonts w:ascii="Times-Roman" w:hAnsi="Times-Roman" w:cs="Times-Roman"/>
          <w:color w:val="000000"/>
          <w:kern w:val="0"/>
        </w:rPr>
        <w:t xml:space="preserve">. Available at: </w:t>
      </w:r>
      <w:hyperlink r:id="rId31" w:history="1">
        <w:r>
          <w:rPr>
            <w:rFonts w:ascii="Times-Roman" w:hAnsi="Times-Roman" w:cs="Times-Roman"/>
            <w:color w:val="0000E9"/>
            <w:kern w:val="0"/>
            <w:u w:val="single" w:color="0000E9"/>
          </w:rPr>
          <w:t>https://www.fda.gov</w:t>
        </w:r>
      </w:hyperlink>
      <w:r>
        <w:rPr>
          <w:rFonts w:ascii="Times-Roman" w:hAnsi="Times-Roman" w:cs="Times-Roman"/>
          <w:color w:val="000000"/>
          <w:kern w:val="0"/>
        </w:rPr>
        <w:t>(Accessed: 4 July 2026).</w:t>
      </w:r>
    </w:p>
    <w:p w14:paraId="59F541D5"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World Bank (2025) </w:t>
      </w:r>
      <w:r>
        <w:rPr>
          <w:rFonts w:ascii="Times-Italic" w:hAnsi="Times-Italic" w:cs="Times-Italic"/>
          <w:i/>
          <w:iCs/>
          <w:color w:val="000000"/>
          <w:kern w:val="0"/>
        </w:rPr>
        <w:t>World Development Indicators</w:t>
      </w:r>
      <w:r>
        <w:rPr>
          <w:rFonts w:ascii="Times-Roman" w:hAnsi="Times-Roman" w:cs="Times-Roman"/>
          <w:color w:val="000000"/>
          <w:kern w:val="0"/>
        </w:rPr>
        <w:t>. Washington, DC: World Bank.</w:t>
      </w:r>
    </w:p>
    <w:p w14:paraId="20F73AA1" w14:textId="1DDCCFEA"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Government of India (2025) </w:t>
      </w:r>
      <w:r>
        <w:rPr>
          <w:rFonts w:ascii="Times-Italic" w:hAnsi="Times-Italic" w:cs="Times-Italic"/>
          <w:i/>
          <w:iCs/>
          <w:color w:val="000000"/>
          <w:kern w:val="0"/>
        </w:rPr>
        <w:t>Make in India: Food Processing Sector</w:t>
      </w:r>
      <w:r>
        <w:rPr>
          <w:rFonts w:ascii="Times-Roman" w:hAnsi="Times-Roman" w:cs="Times-Roman"/>
          <w:color w:val="000000"/>
          <w:kern w:val="0"/>
        </w:rPr>
        <w:t xml:space="preserve">. Available at: </w:t>
      </w:r>
      <w:hyperlink r:id="rId32" w:history="1">
        <w:r>
          <w:rPr>
            <w:rFonts w:ascii="Times-Roman" w:hAnsi="Times-Roman" w:cs="Times-Roman"/>
            <w:color w:val="0000E9"/>
            <w:kern w:val="0"/>
            <w:u w:val="single" w:color="0000E9"/>
          </w:rPr>
          <w:t>https://www.makeinindia.com</w:t>
        </w:r>
      </w:hyperlink>
      <w:r>
        <w:rPr>
          <w:rFonts w:ascii="Times-Roman" w:hAnsi="Times-Roman" w:cs="Times-Roman"/>
          <w:color w:val="000000"/>
          <w:kern w:val="0"/>
        </w:rPr>
        <w:t>(Accessed: 4 July 2026).</w:t>
      </w:r>
    </w:p>
    <w:p w14:paraId="4790EAD6"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International Monetary Fund (IMF) (2025) </w:t>
      </w:r>
      <w:r>
        <w:rPr>
          <w:rFonts w:ascii="Times-Italic" w:hAnsi="Times-Italic" w:cs="Times-Italic"/>
          <w:i/>
          <w:iCs/>
          <w:color w:val="000000"/>
          <w:kern w:val="0"/>
        </w:rPr>
        <w:t>World Economic Outlook</w:t>
      </w:r>
      <w:r>
        <w:rPr>
          <w:rFonts w:ascii="Times-Roman" w:hAnsi="Times-Roman" w:cs="Times-Roman"/>
          <w:color w:val="000000"/>
          <w:kern w:val="0"/>
        </w:rPr>
        <w:t>. Washington, DC: International Monetary Fund.</w:t>
      </w:r>
    </w:p>
    <w:p w14:paraId="1D8DDE0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668A59B3" w14:textId="7F384E5F"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64A00E9A" w14:textId="27B7518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Food and Drug Administration (FDA) (2025) </w:t>
      </w:r>
      <w:r>
        <w:rPr>
          <w:rFonts w:ascii="Times-Italic" w:hAnsi="Times-Italic" w:cs="Times-Italic"/>
          <w:i/>
          <w:iCs/>
          <w:color w:val="000000"/>
          <w:kern w:val="0"/>
        </w:rPr>
        <w:t>Food Safety and Nutrition</w:t>
      </w:r>
      <w:r>
        <w:rPr>
          <w:rFonts w:ascii="Times-Roman" w:hAnsi="Times-Roman" w:cs="Times-Roman"/>
          <w:color w:val="000000"/>
          <w:kern w:val="0"/>
        </w:rPr>
        <w:t xml:space="preserve">. Available at: </w:t>
      </w:r>
      <w:hyperlink r:id="rId33" w:history="1">
        <w:r>
          <w:rPr>
            <w:rFonts w:ascii="Times-Roman" w:hAnsi="Times-Roman" w:cs="Times-Roman"/>
            <w:color w:val="0000E9"/>
            <w:kern w:val="0"/>
            <w:u w:val="single" w:color="0000E9"/>
          </w:rPr>
          <w:t>https://www.fda.gov</w:t>
        </w:r>
      </w:hyperlink>
      <w:r>
        <w:rPr>
          <w:rFonts w:ascii="Times-Roman" w:hAnsi="Times-Roman" w:cs="Times-Roman"/>
          <w:color w:val="000000"/>
          <w:kern w:val="0"/>
        </w:rPr>
        <w:t>(Accessed: 4 July 2026).</w:t>
      </w:r>
    </w:p>
    <w:p w14:paraId="2EE13CFD"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Euromonitor International (2025) </w:t>
      </w:r>
      <w:r>
        <w:rPr>
          <w:rFonts w:ascii="Times-Italic" w:hAnsi="Times-Italic" w:cs="Times-Italic"/>
          <w:i/>
          <w:iCs/>
          <w:color w:val="000000"/>
          <w:kern w:val="0"/>
        </w:rPr>
        <w:t>Chocolate Confectionery in India</w:t>
      </w:r>
      <w:r>
        <w:rPr>
          <w:rFonts w:ascii="Times-Roman" w:hAnsi="Times-Roman" w:cs="Times-Roman"/>
          <w:color w:val="000000"/>
          <w:kern w:val="0"/>
        </w:rPr>
        <w:t>. London: Euromonitor International.</w:t>
      </w:r>
    </w:p>
    <w:p w14:paraId="11ED86B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6054BA1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D731DDB" w14:textId="497DE4A9"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India (2025) </w:t>
      </w:r>
      <w:r>
        <w:rPr>
          <w:rFonts w:ascii="Times-Italic" w:hAnsi="Times-Italic" w:cs="Times-Italic"/>
          <w:i/>
          <w:iCs/>
          <w:color w:val="000000"/>
          <w:kern w:val="0"/>
        </w:rPr>
        <w:t>Cadbury India</w:t>
      </w:r>
      <w:r>
        <w:rPr>
          <w:rFonts w:ascii="Times-Roman" w:hAnsi="Times-Roman" w:cs="Times-Roman"/>
          <w:color w:val="000000"/>
          <w:kern w:val="0"/>
        </w:rPr>
        <w:t>. Available at: https://www.cadbury.co.in (Accessed: 4 July 2026).</w:t>
      </w:r>
    </w:p>
    <w:p w14:paraId="344D21D1" w14:textId="6152E90C"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lastRenderedPageBreak/>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0E171ECD" w14:textId="175BC4D6"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34"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4 July 2026).</w:t>
      </w:r>
    </w:p>
    <w:p w14:paraId="264DCF3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Euromonitor International (2025) </w:t>
      </w:r>
      <w:r>
        <w:rPr>
          <w:rFonts w:ascii="Times-Italic" w:hAnsi="Times-Italic" w:cs="Times-Italic"/>
          <w:i/>
          <w:iCs/>
          <w:color w:val="000000"/>
          <w:kern w:val="0"/>
        </w:rPr>
        <w:t>Chocolate Confectionery in India</w:t>
      </w:r>
      <w:r>
        <w:rPr>
          <w:rFonts w:ascii="Times-Roman" w:hAnsi="Times-Roman" w:cs="Times-Roman"/>
          <w:color w:val="000000"/>
          <w:kern w:val="0"/>
        </w:rPr>
        <w:t>. London: Euromonitor International.</w:t>
      </w:r>
    </w:p>
    <w:p w14:paraId="12127DD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6A718DCB"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159A0E8" w14:textId="7143B76E"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067E96F0" w14:textId="4671C64E"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35"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4 July 2026).</w:t>
      </w:r>
    </w:p>
    <w:p w14:paraId="4171209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Solomon, M.R. (2024) </w:t>
      </w:r>
      <w:r>
        <w:rPr>
          <w:rFonts w:ascii="Times-Italic" w:hAnsi="Times-Italic" w:cs="Times-Italic"/>
          <w:i/>
          <w:iCs/>
          <w:color w:val="000000"/>
          <w:kern w:val="0"/>
        </w:rPr>
        <w:t>Consumer Behaviour: Buying, Having and Being</w:t>
      </w:r>
      <w:r>
        <w:rPr>
          <w:rFonts w:ascii="Times-Roman" w:hAnsi="Times-Roman" w:cs="Times-Roman"/>
          <w:color w:val="000000"/>
          <w:kern w:val="0"/>
        </w:rPr>
        <w:t xml:space="preserve">. 14th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BFB6166" w14:textId="1DD720B9"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Statista (2025) </w:t>
      </w:r>
      <w:r>
        <w:rPr>
          <w:rFonts w:ascii="Times-Italic" w:hAnsi="Times-Italic" w:cs="Times-Italic"/>
          <w:i/>
          <w:iCs/>
          <w:color w:val="000000"/>
          <w:kern w:val="0"/>
        </w:rPr>
        <w:t>Chocolate Confectionery Market in the United States</w:t>
      </w:r>
      <w:r>
        <w:rPr>
          <w:rFonts w:ascii="Times-Roman" w:hAnsi="Times-Roman" w:cs="Times-Roman"/>
          <w:color w:val="000000"/>
          <w:kern w:val="0"/>
        </w:rPr>
        <w:t xml:space="preserve">. Available at: </w:t>
      </w:r>
      <w:hyperlink r:id="rId36" w:history="1">
        <w:r>
          <w:rPr>
            <w:rFonts w:ascii="Times-Roman" w:hAnsi="Times-Roman" w:cs="Times-Roman"/>
            <w:color w:val="0000E9"/>
            <w:kern w:val="0"/>
            <w:u w:val="single" w:color="0000E9"/>
          </w:rPr>
          <w:t>https://www.statista.com</w:t>
        </w:r>
      </w:hyperlink>
      <w:r>
        <w:rPr>
          <w:rFonts w:ascii="Times-Roman" w:hAnsi="Times-Roman" w:cs="Times-Roman"/>
          <w:color w:val="000000"/>
          <w:kern w:val="0"/>
        </w:rPr>
        <w:t xml:space="preserve"> (Accessed: 4 July 2026).</w:t>
      </w:r>
    </w:p>
    <w:p w14:paraId="7A406F17"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Euromonitor International (2025) </w:t>
      </w:r>
      <w:r>
        <w:rPr>
          <w:rFonts w:ascii="Times-Italic" w:hAnsi="Times-Italic" w:cs="Times-Italic"/>
          <w:i/>
          <w:iCs/>
          <w:color w:val="000000"/>
          <w:kern w:val="0"/>
        </w:rPr>
        <w:t>Chocolate Confectionery in India</w:t>
      </w:r>
      <w:r>
        <w:rPr>
          <w:rFonts w:ascii="Times-Roman" w:hAnsi="Times-Roman" w:cs="Times-Roman"/>
          <w:color w:val="000000"/>
          <w:kern w:val="0"/>
        </w:rPr>
        <w:t>. London: Euromonitor International.</w:t>
      </w:r>
    </w:p>
    <w:p w14:paraId="14F2AC89"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3CD1BBE4"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5521F58A" w14:textId="1C4EE5C1"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12D59590" w14:textId="7BD35788"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37"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4 July 2026).</w:t>
      </w:r>
    </w:p>
    <w:p w14:paraId="26D77467" w14:textId="1302E7CA"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Statista (2025) </w:t>
      </w:r>
      <w:r>
        <w:rPr>
          <w:rFonts w:ascii="Times-Italic" w:hAnsi="Times-Italic" w:cs="Times-Italic"/>
          <w:i/>
          <w:iCs/>
          <w:color w:val="000000"/>
          <w:kern w:val="0"/>
        </w:rPr>
        <w:t>Chocolate Confectionery Market in the United States</w:t>
      </w:r>
      <w:r>
        <w:rPr>
          <w:rFonts w:ascii="Times-Roman" w:hAnsi="Times-Roman" w:cs="Times-Roman"/>
          <w:color w:val="000000"/>
          <w:kern w:val="0"/>
        </w:rPr>
        <w:t xml:space="preserve">. Available at: </w:t>
      </w:r>
      <w:hyperlink r:id="rId38" w:history="1">
        <w:r>
          <w:rPr>
            <w:rFonts w:ascii="Times-Roman" w:hAnsi="Times-Roman" w:cs="Times-Roman"/>
            <w:color w:val="0000E9"/>
            <w:kern w:val="0"/>
            <w:u w:val="single" w:color="0000E9"/>
          </w:rPr>
          <w:t>https://www.statista.com</w:t>
        </w:r>
      </w:hyperlink>
      <w:r>
        <w:rPr>
          <w:rFonts w:ascii="Times-Roman" w:hAnsi="Times-Roman" w:cs="Times-Roman"/>
          <w:color w:val="000000"/>
          <w:kern w:val="0"/>
        </w:rPr>
        <w:t xml:space="preserve"> (Accessed: 4 July 2026).</w:t>
      </w:r>
    </w:p>
    <w:p w14:paraId="77590023"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C672777"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0C61D787" w14:textId="44750BB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2095FA9C" w14:textId="52709D75"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lastRenderedPageBreak/>
        <w:t xml:space="preserve">Mondelēz India (2025) </w:t>
      </w:r>
      <w:r>
        <w:rPr>
          <w:rFonts w:ascii="Times-Italic" w:hAnsi="Times-Italic" w:cs="Times-Italic"/>
          <w:i/>
          <w:iCs/>
          <w:color w:val="000000"/>
          <w:kern w:val="0"/>
        </w:rPr>
        <w:t>Cadbury India Campaigns and Brand Portfolio</w:t>
      </w:r>
      <w:r>
        <w:rPr>
          <w:rFonts w:ascii="Times-Roman" w:hAnsi="Times-Roman" w:cs="Times-Roman"/>
          <w:color w:val="000000"/>
          <w:kern w:val="0"/>
        </w:rPr>
        <w:t>. Available at: https://www.cadbury.co.in(Accessed: 4 July 2026).</w:t>
      </w:r>
    </w:p>
    <w:p w14:paraId="34BBFEBA" w14:textId="7C0BFDB8"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39"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4 July 2026).</w:t>
      </w:r>
    </w:p>
    <w:p w14:paraId="2B27E70F"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proofErr w:type="spellStart"/>
      <w:r>
        <w:rPr>
          <w:rFonts w:ascii="Times-Roman" w:hAnsi="Times-Roman" w:cs="Times-Roman"/>
          <w:color w:val="000000"/>
          <w:kern w:val="0"/>
        </w:rPr>
        <w:t>NielsenIQ</w:t>
      </w:r>
      <w:proofErr w:type="spellEnd"/>
      <w:r>
        <w:rPr>
          <w:rFonts w:ascii="Times-Roman" w:hAnsi="Times-Roman" w:cs="Times-Roman"/>
          <w:color w:val="000000"/>
          <w:kern w:val="0"/>
        </w:rPr>
        <w:t xml:space="preserve"> (2024) </w:t>
      </w:r>
      <w:r>
        <w:rPr>
          <w:rFonts w:ascii="Times-Italic" w:hAnsi="Times-Italic" w:cs="Times-Italic"/>
          <w:i/>
          <w:iCs/>
          <w:color w:val="000000"/>
          <w:kern w:val="0"/>
        </w:rPr>
        <w:t>Global Consumer Trends in Confectionery</w:t>
      </w:r>
      <w:r>
        <w:rPr>
          <w:rFonts w:ascii="Times-Roman" w:hAnsi="Times-Roman" w:cs="Times-Roman"/>
          <w:color w:val="000000"/>
          <w:kern w:val="0"/>
        </w:rPr>
        <w:t xml:space="preserve">. Chicago: </w:t>
      </w:r>
      <w:proofErr w:type="spellStart"/>
      <w:r>
        <w:rPr>
          <w:rFonts w:ascii="Times-Roman" w:hAnsi="Times-Roman" w:cs="Times-Roman"/>
          <w:color w:val="000000"/>
          <w:kern w:val="0"/>
        </w:rPr>
        <w:t>NielsenIQ</w:t>
      </w:r>
      <w:proofErr w:type="spellEnd"/>
      <w:r>
        <w:rPr>
          <w:rFonts w:ascii="Times-Roman" w:hAnsi="Times-Roman" w:cs="Times-Roman"/>
          <w:color w:val="000000"/>
          <w:kern w:val="0"/>
        </w:rPr>
        <w:t>.</w:t>
      </w:r>
    </w:p>
    <w:p w14:paraId="34D7FAD9" w14:textId="77777777" w:rsidR="001F0133" w:rsidRDefault="001F0133" w:rsidP="001F0133">
      <w:pPr>
        <w:autoSpaceDE w:val="0"/>
        <w:autoSpaceDN w:val="0"/>
        <w:adjustRightInd w:val="0"/>
        <w:spacing w:after="240" w:line="240" w:lineRule="auto"/>
        <w:rPr>
          <w:rFonts w:ascii="Times-Italic" w:hAnsi="Times-Italic" w:cs="Times-Italic"/>
          <w:i/>
          <w:iCs/>
          <w:color w:val="000000"/>
          <w:kern w:val="0"/>
        </w:rPr>
      </w:pPr>
    </w:p>
    <w:p w14:paraId="14292E4F"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Hill, C.W.L. (2022) </w:t>
      </w:r>
      <w:r>
        <w:rPr>
          <w:rFonts w:ascii="Times-Italic" w:hAnsi="Times-Italic" w:cs="Times-Italic"/>
          <w:i/>
          <w:iCs/>
          <w:color w:val="000000"/>
          <w:kern w:val="0"/>
        </w:rPr>
        <w:t>International Business: Competing in the Global Marketplace</w:t>
      </w:r>
      <w:r>
        <w:rPr>
          <w:rFonts w:ascii="Times-Roman" w:hAnsi="Times-Roman" w:cs="Times-Roman"/>
          <w:color w:val="000000"/>
          <w:kern w:val="0"/>
        </w:rPr>
        <w:t xml:space="preserve">. 14th </w:t>
      </w:r>
      <w:proofErr w:type="spellStart"/>
      <w:r>
        <w:rPr>
          <w:rFonts w:ascii="Times-Roman" w:hAnsi="Times-Roman" w:cs="Times-Roman"/>
          <w:color w:val="000000"/>
          <w:kern w:val="0"/>
        </w:rPr>
        <w:t>edn</w:t>
      </w:r>
      <w:proofErr w:type="spellEnd"/>
      <w:r>
        <w:rPr>
          <w:rFonts w:ascii="Times-Roman" w:hAnsi="Times-Roman" w:cs="Times-Roman"/>
          <w:color w:val="000000"/>
          <w:kern w:val="0"/>
        </w:rPr>
        <w:t>. New York: McGraw-Hill.</w:t>
      </w:r>
    </w:p>
    <w:p w14:paraId="0AE248DF" w14:textId="00B9AB25"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Hershey (2025) </w:t>
      </w:r>
      <w:r>
        <w:rPr>
          <w:rFonts w:ascii="Times-Italic" w:hAnsi="Times-Italic" w:cs="Times-Italic"/>
          <w:i/>
          <w:iCs/>
          <w:color w:val="000000"/>
          <w:kern w:val="0"/>
        </w:rPr>
        <w:t>Cadbury Products</w:t>
      </w:r>
      <w:r>
        <w:rPr>
          <w:rFonts w:ascii="Times-Roman" w:hAnsi="Times-Roman" w:cs="Times-Roman"/>
          <w:color w:val="000000"/>
          <w:kern w:val="0"/>
        </w:rPr>
        <w:t>. Available at: https://www.hersheyland.com/brands/cadbury (Accessed: 4 July 2026).</w:t>
      </w:r>
    </w:p>
    <w:p w14:paraId="26124105"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25552486"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4E66FC00" w14:textId="6038CFF9"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5FDE653D"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Solomon, M.R. (2024) </w:t>
      </w:r>
      <w:r>
        <w:rPr>
          <w:rFonts w:ascii="Times-Italic" w:hAnsi="Times-Italic" w:cs="Times-Italic"/>
          <w:i/>
          <w:iCs/>
          <w:color w:val="000000"/>
          <w:kern w:val="0"/>
        </w:rPr>
        <w:t>Consumer Behaviour: Buying, Having and Being</w:t>
      </w:r>
      <w:r>
        <w:rPr>
          <w:rFonts w:ascii="Times-Roman" w:hAnsi="Times-Roman" w:cs="Times-Roman"/>
          <w:color w:val="000000"/>
          <w:kern w:val="0"/>
        </w:rPr>
        <w:t xml:space="preserve">. 14th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71DEBBCF" w14:textId="60425884"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U.S. Food and Drug Administration (FDA) (2025) </w:t>
      </w:r>
      <w:r>
        <w:rPr>
          <w:rFonts w:ascii="Times-Italic" w:hAnsi="Times-Italic" w:cs="Times-Italic"/>
          <w:i/>
          <w:iCs/>
          <w:color w:val="000000"/>
          <w:kern w:val="0"/>
        </w:rPr>
        <w:t>Food Safety and Nutrition</w:t>
      </w:r>
      <w:r>
        <w:rPr>
          <w:rFonts w:ascii="Times-Roman" w:hAnsi="Times-Roman" w:cs="Times-Roman"/>
          <w:color w:val="000000"/>
          <w:kern w:val="0"/>
        </w:rPr>
        <w:t xml:space="preserve">. Available at: </w:t>
      </w:r>
      <w:hyperlink r:id="rId40" w:history="1">
        <w:r>
          <w:rPr>
            <w:rFonts w:ascii="Times-Roman" w:hAnsi="Times-Roman" w:cs="Times-Roman"/>
            <w:color w:val="0000E9"/>
            <w:kern w:val="0"/>
            <w:u w:val="single" w:color="0000E9"/>
          </w:rPr>
          <w:t>https://www.fda.gov</w:t>
        </w:r>
      </w:hyperlink>
      <w:r>
        <w:rPr>
          <w:rFonts w:ascii="Times-Roman" w:hAnsi="Times-Roman" w:cs="Times-Roman"/>
          <w:color w:val="000000"/>
          <w:kern w:val="0"/>
        </w:rPr>
        <w:t>(Accessed: 4 July 2026).</w:t>
      </w:r>
    </w:p>
    <w:p w14:paraId="348650D4"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1FD7AB1C" w14:textId="088CE94C" w:rsidR="001F0133" w:rsidRDefault="001F0133" w:rsidP="001F0133">
      <w:pPr>
        <w:autoSpaceDE w:val="0"/>
        <w:autoSpaceDN w:val="0"/>
        <w:adjustRightInd w:val="0"/>
        <w:spacing w:after="240" w:line="240" w:lineRule="auto"/>
        <w:rPr>
          <w:rFonts w:ascii="Times-Roman" w:hAnsi="Times-Roman" w:cs="Times-Roman"/>
          <w:color w:val="000000"/>
          <w:kern w:val="0"/>
        </w:rPr>
      </w:pPr>
      <w:proofErr w:type="spellStart"/>
      <w:r>
        <w:rPr>
          <w:rFonts w:ascii="Times-Roman" w:hAnsi="Times-Roman" w:cs="Times-Roman"/>
          <w:color w:val="000000"/>
          <w:kern w:val="0"/>
        </w:rPr>
        <w:t>Medjkoune</w:t>
      </w:r>
      <w:proofErr w:type="spellEnd"/>
      <w:r>
        <w:rPr>
          <w:rFonts w:ascii="Times-Roman" w:hAnsi="Times-Roman" w:cs="Times-Roman"/>
          <w:color w:val="000000"/>
          <w:kern w:val="0"/>
        </w:rPr>
        <w:t xml:space="preserve">, T., Goga, O. and Senechal, J. (2023) 'Marketing to Children Through Online Targeted Advertising: Targeting Mechanisms and Legal Aspects'. Available at: </w:t>
      </w:r>
      <w:hyperlink r:id="rId41" w:history="1">
        <w:r>
          <w:rPr>
            <w:rFonts w:ascii="Times-Roman" w:hAnsi="Times-Roman" w:cs="Times-Roman"/>
            <w:color w:val="0000E9"/>
            <w:kern w:val="0"/>
            <w:u w:val="single" w:color="0000E9"/>
          </w:rPr>
          <w:t>https://arxiv.org/abs/2310.04104</w:t>
        </w:r>
      </w:hyperlink>
      <w:r>
        <w:rPr>
          <w:rFonts w:ascii="Times-Roman" w:hAnsi="Times-Roman" w:cs="Times-Roman"/>
          <w:color w:val="000000"/>
          <w:kern w:val="0"/>
        </w:rPr>
        <w:t xml:space="preserve"> (Accessed: 4 July 2026).</w:t>
      </w:r>
    </w:p>
    <w:p w14:paraId="2FCC1FB3" w14:textId="1AE5750C"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Cocoa Life</w:t>
      </w:r>
      <w:r>
        <w:rPr>
          <w:rFonts w:ascii="Times-Roman" w:hAnsi="Times-Roman" w:cs="Times-Roman"/>
          <w:color w:val="000000"/>
          <w:kern w:val="0"/>
        </w:rPr>
        <w:t xml:space="preserve">. Available at: </w:t>
      </w:r>
      <w:hyperlink r:id="rId42" w:history="1">
        <w:r>
          <w:rPr>
            <w:rFonts w:ascii="Times-Roman" w:hAnsi="Times-Roman" w:cs="Times-Roman"/>
            <w:color w:val="0000E9"/>
            <w:kern w:val="0"/>
            <w:u w:val="single" w:color="0000E9"/>
          </w:rPr>
          <w:t>https://www.mondelezinternational.com/snacking-made-right/our-positions/cocoa-life/</w:t>
        </w:r>
      </w:hyperlink>
      <w:r>
        <w:rPr>
          <w:rFonts w:ascii="Times-Roman" w:hAnsi="Times-Roman" w:cs="Times-Roman"/>
          <w:color w:val="000000"/>
          <w:kern w:val="0"/>
        </w:rPr>
        <w:t xml:space="preserve"> (Accessed: 4 July 2026).</w:t>
      </w:r>
    </w:p>
    <w:p w14:paraId="44E8D74A" w14:textId="695E862F"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Human Rights Due Diligence and Modern Slavery Report 2024</w:t>
      </w:r>
      <w:r>
        <w:rPr>
          <w:rFonts w:ascii="Times-Roman" w:hAnsi="Times-Roman" w:cs="Times-Roman"/>
          <w:color w:val="000000"/>
          <w:kern w:val="0"/>
        </w:rPr>
        <w:t xml:space="preserve">. Available at: </w:t>
      </w:r>
      <w:hyperlink r:id="rId43" w:history="1">
        <w:r>
          <w:rPr>
            <w:rFonts w:ascii="Times-Roman" w:hAnsi="Times-Roman" w:cs="Times-Roman"/>
            <w:color w:val="0000E9"/>
            <w:kern w:val="0"/>
            <w:u w:val="single" w:color="0000E9"/>
          </w:rPr>
          <w:t>https://ir.mondelezinternational.com</w:t>
        </w:r>
      </w:hyperlink>
      <w:r>
        <w:rPr>
          <w:rFonts w:ascii="Times-Roman" w:hAnsi="Times-Roman" w:cs="Times-Roman"/>
          <w:color w:val="000000"/>
          <w:kern w:val="0"/>
        </w:rPr>
        <w:t xml:space="preserve"> (Accessed: 4 July 2026).</w:t>
      </w:r>
    </w:p>
    <w:p w14:paraId="339813BE" w14:textId="677D3D9A"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(2026) </w:t>
      </w:r>
      <w:r>
        <w:rPr>
          <w:rFonts w:ascii="Times-Italic" w:hAnsi="Times-Italic" w:cs="Times-Italic"/>
          <w:i/>
          <w:iCs/>
          <w:color w:val="000000"/>
          <w:kern w:val="0"/>
        </w:rPr>
        <w:t>Human Rights Due Diligence and Modern Slavery Report 2025</w:t>
      </w:r>
      <w:r>
        <w:rPr>
          <w:rFonts w:ascii="Times-Roman" w:hAnsi="Times-Roman" w:cs="Times-Roman"/>
          <w:color w:val="000000"/>
          <w:kern w:val="0"/>
        </w:rPr>
        <w:t xml:space="preserve">. Available at: </w:t>
      </w:r>
      <w:hyperlink r:id="rId44" w:history="1">
        <w:r>
          <w:rPr>
            <w:rFonts w:ascii="Times-Roman" w:hAnsi="Times-Roman" w:cs="Times-Roman"/>
            <w:color w:val="0000E9"/>
            <w:kern w:val="0"/>
            <w:u w:val="single" w:color="0000E9"/>
          </w:rPr>
          <w:t>https://ir.mondelezinternational.com</w:t>
        </w:r>
      </w:hyperlink>
      <w:r>
        <w:rPr>
          <w:rFonts w:ascii="Times-Roman" w:hAnsi="Times-Roman" w:cs="Times-Roman"/>
          <w:color w:val="000000"/>
          <w:kern w:val="0"/>
        </w:rPr>
        <w:t xml:space="preserve"> (Accessed: 4 July 2026).</w:t>
      </w:r>
    </w:p>
    <w:p w14:paraId="07DA519C"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Euromonitor International (2025) </w:t>
      </w:r>
      <w:r>
        <w:rPr>
          <w:rFonts w:ascii="Times-Italic" w:hAnsi="Times-Italic" w:cs="Times-Italic"/>
          <w:i/>
          <w:iCs/>
          <w:color w:val="000000"/>
          <w:kern w:val="0"/>
        </w:rPr>
        <w:t>Chocolate Confectionery in India</w:t>
      </w:r>
      <w:r>
        <w:rPr>
          <w:rFonts w:ascii="Times-Roman" w:hAnsi="Times-Roman" w:cs="Times-Roman"/>
          <w:color w:val="000000"/>
          <w:kern w:val="0"/>
        </w:rPr>
        <w:t>. London: Euromonitor International.</w:t>
      </w:r>
    </w:p>
    <w:p w14:paraId="5D7982F2"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Keegan, W.J. and Green, M.C. (2023) </w:t>
      </w:r>
      <w:r>
        <w:rPr>
          <w:rFonts w:ascii="Times-Italic" w:hAnsi="Times-Italic" w:cs="Times-Italic"/>
          <w:i/>
          <w:iCs/>
          <w:color w:val="000000"/>
          <w:kern w:val="0"/>
        </w:rPr>
        <w:t>Global Marketing</w:t>
      </w:r>
      <w:r>
        <w:rPr>
          <w:rFonts w:ascii="Times-Roman" w:hAnsi="Times-Roman" w:cs="Times-Roman"/>
          <w:color w:val="000000"/>
          <w:kern w:val="0"/>
        </w:rPr>
        <w:t xml:space="preserve">. 10th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19A15D6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lastRenderedPageBreak/>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5E87EF16" w14:textId="0BDCF3FB"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Mondelēz International (2025) </w:t>
      </w:r>
      <w:r>
        <w:rPr>
          <w:rFonts w:ascii="Times-Italic" w:hAnsi="Times-Italic" w:cs="Times-Italic"/>
          <w:i/>
          <w:iCs/>
          <w:color w:val="000000"/>
          <w:kern w:val="0"/>
        </w:rPr>
        <w:t>Annual Report 2024</w:t>
      </w:r>
      <w:r>
        <w:rPr>
          <w:rFonts w:ascii="Times-Roman" w:hAnsi="Times-Roman" w:cs="Times-Roman"/>
          <w:color w:val="000000"/>
          <w:kern w:val="0"/>
        </w:rPr>
        <w:t>. Available at: https://www.mondelezinternational.com/investors/annual-reports (Accessed: 4 July 2026).</w:t>
      </w:r>
    </w:p>
    <w:p w14:paraId="1FEBF636" w14:textId="3270F195"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National Confectioners Association (2025) </w:t>
      </w:r>
      <w:r>
        <w:rPr>
          <w:rFonts w:ascii="Times-Italic" w:hAnsi="Times-Italic" w:cs="Times-Italic"/>
          <w:i/>
          <w:iCs/>
          <w:color w:val="000000"/>
          <w:kern w:val="0"/>
        </w:rPr>
        <w:t>State of Treating Report</w:t>
      </w:r>
      <w:r>
        <w:rPr>
          <w:rFonts w:ascii="Times-Roman" w:hAnsi="Times-Roman" w:cs="Times-Roman"/>
          <w:color w:val="000000"/>
          <w:kern w:val="0"/>
        </w:rPr>
        <w:t xml:space="preserve">. Available at: </w:t>
      </w:r>
      <w:hyperlink r:id="rId45" w:history="1">
        <w:r>
          <w:rPr>
            <w:rFonts w:ascii="Times-Roman" w:hAnsi="Times-Roman" w:cs="Times-Roman"/>
            <w:color w:val="0000E9"/>
            <w:kern w:val="0"/>
            <w:u w:val="single" w:color="0000E9"/>
          </w:rPr>
          <w:t>https://candyusa.com</w:t>
        </w:r>
      </w:hyperlink>
      <w:r>
        <w:rPr>
          <w:rFonts w:ascii="Times-Roman" w:hAnsi="Times-Roman" w:cs="Times-Roman"/>
          <w:color w:val="000000"/>
          <w:kern w:val="0"/>
        </w:rPr>
        <w:t xml:space="preserve"> (Accessed: 4 July 2026).</w:t>
      </w:r>
    </w:p>
    <w:p w14:paraId="3A513994"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Solomon, M.R. (2024) </w:t>
      </w:r>
      <w:r>
        <w:rPr>
          <w:rFonts w:ascii="Times-Italic" w:hAnsi="Times-Italic" w:cs="Times-Italic"/>
          <w:i/>
          <w:iCs/>
          <w:color w:val="000000"/>
          <w:kern w:val="0"/>
        </w:rPr>
        <w:t>Consumer Behaviour: Buying, Having and Being</w:t>
      </w:r>
      <w:r>
        <w:rPr>
          <w:rFonts w:ascii="Times-Roman" w:hAnsi="Times-Roman" w:cs="Times-Roman"/>
          <w:color w:val="000000"/>
          <w:kern w:val="0"/>
        </w:rPr>
        <w:t xml:space="preserve">. 14th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791078A0"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Gibbs, G. (1988) </w:t>
      </w:r>
      <w:r>
        <w:rPr>
          <w:rFonts w:ascii="Times-Italic" w:hAnsi="Times-Italic" w:cs="Times-Italic"/>
          <w:i/>
          <w:iCs/>
          <w:color w:val="000000"/>
          <w:kern w:val="0"/>
        </w:rPr>
        <w:t>Learning by Doing: A Guide to Teaching and Learning Methods</w:t>
      </w:r>
      <w:r>
        <w:rPr>
          <w:rFonts w:ascii="Times-Roman" w:hAnsi="Times-Roman" w:cs="Times-Roman"/>
          <w:color w:val="000000"/>
          <w:kern w:val="0"/>
        </w:rPr>
        <w:t>. Oxford: Oxford Polytechnic.</w:t>
      </w:r>
    </w:p>
    <w:p w14:paraId="07F08811"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Kolb, D.A. (2015) </w:t>
      </w:r>
      <w:r>
        <w:rPr>
          <w:rFonts w:ascii="Times-Italic" w:hAnsi="Times-Italic" w:cs="Times-Italic"/>
          <w:i/>
          <w:iCs/>
          <w:color w:val="000000"/>
          <w:kern w:val="0"/>
        </w:rPr>
        <w:t>Experiential Learning: Experience as the Source of Learning and Development</w:t>
      </w:r>
      <w:r>
        <w:rPr>
          <w:rFonts w:ascii="Times-Roman" w:hAnsi="Times-Roman" w:cs="Times-Roman"/>
          <w:color w:val="000000"/>
          <w:kern w:val="0"/>
        </w:rPr>
        <w:t xml:space="preserve">. 2nd </w:t>
      </w:r>
      <w:proofErr w:type="spellStart"/>
      <w:r>
        <w:rPr>
          <w:rFonts w:ascii="Times-Roman" w:hAnsi="Times-Roman" w:cs="Times-Roman"/>
          <w:color w:val="000000"/>
          <w:kern w:val="0"/>
        </w:rPr>
        <w:t>edn</w:t>
      </w:r>
      <w:proofErr w:type="spellEnd"/>
      <w:r>
        <w:rPr>
          <w:rFonts w:ascii="Times-Roman" w:hAnsi="Times-Roman" w:cs="Times-Roman"/>
          <w:color w:val="000000"/>
          <w:kern w:val="0"/>
        </w:rPr>
        <w:t>. Upper Saddle River, NJ: Pearson Education.</w:t>
      </w:r>
    </w:p>
    <w:p w14:paraId="31A0A3E8" w14:textId="77777777" w:rsidR="001F0133" w:rsidRDefault="001F0133" w:rsidP="001F0133">
      <w:pPr>
        <w:autoSpaceDE w:val="0"/>
        <w:autoSpaceDN w:val="0"/>
        <w:adjustRightInd w:val="0"/>
        <w:spacing w:after="240" w:line="240" w:lineRule="auto"/>
        <w:rPr>
          <w:rFonts w:ascii="Times-Roman" w:hAnsi="Times-Roman" w:cs="Times-Roman"/>
          <w:color w:val="000000"/>
          <w:kern w:val="0"/>
        </w:rPr>
      </w:pPr>
      <w:r>
        <w:rPr>
          <w:rFonts w:ascii="Times-Roman" w:hAnsi="Times-Roman" w:cs="Times-Roman"/>
          <w:color w:val="000000"/>
          <w:kern w:val="0"/>
        </w:rPr>
        <w:t xml:space="preserve">Kotler, P., Keller, K.L. and Chernev, A. (2022) </w:t>
      </w:r>
      <w:r>
        <w:rPr>
          <w:rFonts w:ascii="Times-Italic" w:hAnsi="Times-Italic" w:cs="Times-Italic"/>
          <w:i/>
          <w:iCs/>
          <w:color w:val="000000"/>
          <w:kern w:val="0"/>
        </w:rPr>
        <w:t>Marketing Management</w:t>
      </w:r>
      <w:r>
        <w:rPr>
          <w:rFonts w:ascii="Times-Roman" w:hAnsi="Times-Roman" w:cs="Times-Roman"/>
          <w:color w:val="000000"/>
          <w:kern w:val="0"/>
        </w:rPr>
        <w:t xml:space="preserve">. 16th Global </w:t>
      </w:r>
      <w:proofErr w:type="spellStart"/>
      <w:r>
        <w:rPr>
          <w:rFonts w:ascii="Times-Roman" w:hAnsi="Times-Roman" w:cs="Times-Roman"/>
          <w:color w:val="000000"/>
          <w:kern w:val="0"/>
        </w:rPr>
        <w:t>edn</w:t>
      </w:r>
      <w:proofErr w:type="spellEnd"/>
      <w:r>
        <w:rPr>
          <w:rFonts w:ascii="Times-Roman" w:hAnsi="Times-Roman" w:cs="Times-Roman"/>
          <w:color w:val="000000"/>
          <w:kern w:val="0"/>
        </w:rPr>
        <w:t>. Harlow: Pearson.</w:t>
      </w:r>
    </w:p>
    <w:p w14:paraId="79B4A15F" w14:textId="30EB6E48" w:rsidR="001F0133" w:rsidRDefault="001F0133" w:rsidP="001F0133">
      <w:pPr>
        <w:autoSpaceDE w:val="0"/>
        <w:autoSpaceDN w:val="0"/>
        <w:adjustRightInd w:val="0"/>
        <w:spacing w:after="240" w:line="360" w:lineRule="auto"/>
        <w:jc w:val="both"/>
        <w:rPr>
          <w:rFonts w:ascii="Arial" w:hAnsi="Arial" w:cs="Arial"/>
          <w:color w:val="000000"/>
          <w:kern w:val="0"/>
        </w:rPr>
      </w:pPr>
    </w:p>
    <w:p w14:paraId="1C83FA5D" w14:textId="77777777" w:rsidR="00EC22F3" w:rsidRDefault="00EC22F3" w:rsidP="00EC22F3">
      <w:pPr>
        <w:autoSpaceDE w:val="0"/>
        <w:autoSpaceDN w:val="0"/>
        <w:adjustRightInd w:val="0"/>
        <w:spacing w:after="240" w:line="360" w:lineRule="auto"/>
        <w:jc w:val="both"/>
        <w:rPr>
          <w:rFonts w:ascii="Arial" w:hAnsi="Arial" w:cs="Arial"/>
          <w:color w:val="000000"/>
          <w:kern w:val="0"/>
        </w:rPr>
      </w:pPr>
    </w:p>
    <w:p w14:paraId="01C3C256" w14:textId="77777777" w:rsidR="00E73A14" w:rsidRDefault="00E73A14" w:rsidP="00E73A14">
      <w:pPr>
        <w:ind w:left="360"/>
      </w:pPr>
    </w:p>
    <w:sectPr w:rsidR="00E73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Roman">
    <w:altName w:val="Times New Roman"/>
    <w:panose1 w:val="00000000000000000000"/>
    <w:charset w:val="00"/>
    <w:family w:val="roman"/>
    <w:notTrueType/>
    <w:pitch w:val="default"/>
    <w:sig w:usb0="00000003" w:usb1="00000000" w:usb2="00000000" w:usb3="00000000" w:csb0="00000001" w:csb1="00000000"/>
  </w:font>
  <w:font w:name="Times-Bold">
    <w:altName w:val="Times New Roman"/>
    <w:panose1 w:val="00000000000000000000"/>
    <w:charset w:val="00"/>
    <w:family w:val="roman"/>
    <w:notTrueType/>
    <w:pitch w:val="default"/>
    <w:sig w:usb0="00000003" w:usb1="00000000" w:usb2="00000000" w:usb3="00000000" w:csb0="00000001" w:csb1="00000000"/>
  </w:font>
  <w:font w:name="Times-Italic">
    <w:altName w:val="Times New Roman"/>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36F4817"/>
    <w:multiLevelType w:val="hybridMultilevel"/>
    <w:tmpl w:val="63C29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13BBF"/>
    <w:multiLevelType w:val="multilevel"/>
    <w:tmpl w:val="C17C45B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136361006">
    <w:abstractNumId w:val="0"/>
  </w:num>
  <w:num w:numId="2" w16cid:durableId="480078419">
    <w:abstractNumId w:val="1"/>
  </w:num>
  <w:num w:numId="3" w16cid:durableId="20882667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328"/>
    <w:rsid w:val="00042E84"/>
    <w:rsid w:val="001C4A90"/>
    <w:rsid w:val="001F0133"/>
    <w:rsid w:val="002016BC"/>
    <w:rsid w:val="002A498B"/>
    <w:rsid w:val="002C6328"/>
    <w:rsid w:val="002D6FEA"/>
    <w:rsid w:val="00390FA6"/>
    <w:rsid w:val="0050538C"/>
    <w:rsid w:val="00524130"/>
    <w:rsid w:val="00537ADD"/>
    <w:rsid w:val="005C1221"/>
    <w:rsid w:val="005C1D34"/>
    <w:rsid w:val="005F4A29"/>
    <w:rsid w:val="00651328"/>
    <w:rsid w:val="00657902"/>
    <w:rsid w:val="006C0151"/>
    <w:rsid w:val="006F7A77"/>
    <w:rsid w:val="00795CE2"/>
    <w:rsid w:val="007B1F18"/>
    <w:rsid w:val="007B6DB6"/>
    <w:rsid w:val="00885979"/>
    <w:rsid w:val="00BD2A57"/>
    <w:rsid w:val="00C2222F"/>
    <w:rsid w:val="00E61236"/>
    <w:rsid w:val="00E73A14"/>
    <w:rsid w:val="00EC22F3"/>
    <w:rsid w:val="00F748C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2860A"/>
  <w15:chartTrackingRefBased/>
  <w15:docId w15:val="{E91F51B6-2E79-594E-BBD4-8DD1CB011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328"/>
    <w:rPr>
      <w:rFonts w:eastAsiaTheme="majorEastAsia" w:cstheme="majorBidi"/>
      <w:color w:val="272727" w:themeColor="text1" w:themeTint="D8"/>
    </w:rPr>
  </w:style>
  <w:style w:type="paragraph" w:styleId="Title">
    <w:name w:val="Title"/>
    <w:basedOn w:val="Normal"/>
    <w:next w:val="Normal"/>
    <w:link w:val="TitleChar"/>
    <w:uiPriority w:val="10"/>
    <w:qFormat/>
    <w:rsid w:val="002C6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328"/>
    <w:pPr>
      <w:spacing w:before="160"/>
      <w:jc w:val="center"/>
    </w:pPr>
    <w:rPr>
      <w:i/>
      <w:iCs/>
      <w:color w:val="404040" w:themeColor="text1" w:themeTint="BF"/>
    </w:rPr>
  </w:style>
  <w:style w:type="character" w:customStyle="1" w:styleId="QuoteChar">
    <w:name w:val="Quote Char"/>
    <w:basedOn w:val="DefaultParagraphFont"/>
    <w:link w:val="Quote"/>
    <w:uiPriority w:val="29"/>
    <w:rsid w:val="002C6328"/>
    <w:rPr>
      <w:i/>
      <w:iCs/>
      <w:color w:val="404040" w:themeColor="text1" w:themeTint="BF"/>
    </w:rPr>
  </w:style>
  <w:style w:type="paragraph" w:styleId="ListParagraph">
    <w:name w:val="List Paragraph"/>
    <w:basedOn w:val="Normal"/>
    <w:uiPriority w:val="34"/>
    <w:qFormat/>
    <w:rsid w:val="002C6328"/>
    <w:pPr>
      <w:ind w:left="720"/>
      <w:contextualSpacing/>
    </w:pPr>
  </w:style>
  <w:style w:type="character" w:styleId="IntenseEmphasis">
    <w:name w:val="Intense Emphasis"/>
    <w:basedOn w:val="DefaultParagraphFont"/>
    <w:uiPriority w:val="21"/>
    <w:qFormat/>
    <w:rsid w:val="002C6328"/>
    <w:rPr>
      <w:i/>
      <w:iCs/>
      <w:color w:val="0F4761" w:themeColor="accent1" w:themeShade="BF"/>
    </w:rPr>
  </w:style>
  <w:style w:type="paragraph" w:styleId="IntenseQuote">
    <w:name w:val="Intense Quote"/>
    <w:basedOn w:val="Normal"/>
    <w:next w:val="Normal"/>
    <w:link w:val="IntenseQuoteChar"/>
    <w:uiPriority w:val="30"/>
    <w:qFormat/>
    <w:rsid w:val="002C6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328"/>
    <w:rPr>
      <w:i/>
      <w:iCs/>
      <w:color w:val="0F4761" w:themeColor="accent1" w:themeShade="BF"/>
    </w:rPr>
  </w:style>
  <w:style w:type="character" w:styleId="IntenseReference">
    <w:name w:val="Intense Reference"/>
    <w:basedOn w:val="DefaultParagraphFont"/>
    <w:uiPriority w:val="32"/>
    <w:qFormat/>
    <w:rsid w:val="002C6328"/>
    <w:rPr>
      <w:b/>
      <w:bCs/>
      <w:smallCaps/>
      <w:color w:val="0F4761" w:themeColor="accent1" w:themeShade="BF"/>
      <w:spacing w:val="5"/>
    </w:rPr>
  </w:style>
  <w:style w:type="paragraph" w:styleId="TOCHeading">
    <w:name w:val="TOC Heading"/>
    <w:basedOn w:val="Heading1"/>
    <w:next w:val="Normal"/>
    <w:uiPriority w:val="39"/>
    <w:unhideWhenUsed/>
    <w:qFormat/>
    <w:rsid w:val="006F7A7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F7A77"/>
    <w:pPr>
      <w:spacing w:before="120" w:after="0"/>
    </w:pPr>
    <w:rPr>
      <w:b/>
      <w:bCs/>
      <w:i/>
      <w:iCs/>
    </w:rPr>
  </w:style>
  <w:style w:type="paragraph" w:styleId="TOC2">
    <w:name w:val="toc 2"/>
    <w:basedOn w:val="Normal"/>
    <w:next w:val="Normal"/>
    <w:autoRedefine/>
    <w:uiPriority w:val="39"/>
    <w:semiHidden/>
    <w:unhideWhenUsed/>
    <w:rsid w:val="006F7A77"/>
    <w:pPr>
      <w:spacing w:before="120" w:after="0"/>
      <w:ind w:left="240"/>
    </w:pPr>
    <w:rPr>
      <w:b/>
      <w:bCs/>
      <w:sz w:val="22"/>
      <w:szCs w:val="22"/>
    </w:rPr>
  </w:style>
  <w:style w:type="paragraph" w:styleId="TOC3">
    <w:name w:val="toc 3"/>
    <w:basedOn w:val="Normal"/>
    <w:next w:val="Normal"/>
    <w:autoRedefine/>
    <w:uiPriority w:val="39"/>
    <w:semiHidden/>
    <w:unhideWhenUsed/>
    <w:rsid w:val="006F7A77"/>
    <w:pPr>
      <w:spacing w:after="0"/>
      <w:ind w:left="480"/>
    </w:pPr>
    <w:rPr>
      <w:sz w:val="20"/>
      <w:szCs w:val="20"/>
    </w:rPr>
  </w:style>
  <w:style w:type="paragraph" w:styleId="TOC4">
    <w:name w:val="toc 4"/>
    <w:basedOn w:val="Normal"/>
    <w:next w:val="Normal"/>
    <w:autoRedefine/>
    <w:uiPriority w:val="39"/>
    <w:semiHidden/>
    <w:unhideWhenUsed/>
    <w:rsid w:val="006F7A77"/>
    <w:pPr>
      <w:spacing w:after="0"/>
      <w:ind w:left="720"/>
    </w:pPr>
    <w:rPr>
      <w:sz w:val="20"/>
      <w:szCs w:val="20"/>
    </w:rPr>
  </w:style>
  <w:style w:type="paragraph" w:styleId="TOC5">
    <w:name w:val="toc 5"/>
    <w:basedOn w:val="Normal"/>
    <w:next w:val="Normal"/>
    <w:autoRedefine/>
    <w:uiPriority w:val="39"/>
    <w:semiHidden/>
    <w:unhideWhenUsed/>
    <w:rsid w:val="006F7A77"/>
    <w:pPr>
      <w:spacing w:after="0"/>
      <w:ind w:left="960"/>
    </w:pPr>
    <w:rPr>
      <w:sz w:val="20"/>
      <w:szCs w:val="20"/>
    </w:rPr>
  </w:style>
  <w:style w:type="paragraph" w:styleId="TOC6">
    <w:name w:val="toc 6"/>
    <w:basedOn w:val="Normal"/>
    <w:next w:val="Normal"/>
    <w:autoRedefine/>
    <w:uiPriority w:val="39"/>
    <w:semiHidden/>
    <w:unhideWhenUsed/>
    <w:rsid w:val="006F7A77"/>
    <w:pPr>
      <w:spacing w:after="0"/>
      <w:ind w:left="1200"/>
    </w:pPr>
    <w:rPr>
      <w:sz w:val="20"/>
      <w:szCs w:val="20"/>
    </w:rPr>
  </w:style>
  <w:style w:type="paragraph" w:styleId="TOC7">
    <w:name w:val="toc 7"/>
    <w:basedOn w:val="Normal"/>
    <w:next w:val="Normal"/>
    <w:autoRedefine/>
    <w:uiPriority w:val="39"/>
    <w:semiHidden/>
    <w:unhideWhenUsed/>
    <w:rsid w:val="006F7A77"/>
    <w:pPr>
      <w:spacing w:after="0"/>
      <w:ind w:left="1440"/>
    </w:pPr>
    <w:rPr>
      <w:sz w:val="20"/>
      <w:szCs w:val="20"/>
    </w:rPr>
  </w:style>
  <w:style w:type="paragraph" w:styleId="TOC8">
    <w:name w:val="toc 8"/>
    <w:basedOn w:val="Normal"/>
    <w:next w:val="Normal"/>
    <w:autoRedefine/>
    <w:uiPriority w:val="39"/>
    <w:semiHidden/>
    <w:unhideWhenUsed/>
    <w:rsid w:val="006F7A77"/>
    <w:pPr>
      <w:spacing w:after="0"/>
      <w:ind w:left="1680"/>
    </w:pPr>
    <w:rPr>
      <w:sz w:val="20"/>
      <w:szCs w:val="20"/>
    </w:rPr>
  </w:style>
  <w:style w:type="paragraph" w:styleId="TOC9">
    <w:name w:val="toc 9"/>
    <w:basedOn w:val="Normal"/>
    <w:next w:val="Normal"/>
    <w:autoRedefine/>
    <w:uiPriority w:val="39"/>
    <w:semiHidden/>
    <w:unhideWhenUsed/>
    <w:rsid w:val="006F7A77"/>
    <w:pPr>
      <w:spacing w:after="0"/>
      <w:ind w:left="1920"/>
    </w:pPr>
    <w:rPr>
      <w:sz w:val="20"/>
      <w:szCs w:val="20"/>
    </w:rPr>
  </w:style>
  <w:style w:type="character" w:styleId="Hyperlink">
    <w:name w:val="Hyperlink"/>
    <w:basedOn w:val="DefaultParagraphFont"/>
    <w:uiPriority w:val="99"/>
    <w:unhideWhenUsed/>
    <w:rsid w:val="006F7A77"/>
    <w:rPr>
      <w:color w:val="467886" w:themeColor="hyperlink"/>
      <w:u w:val="single"/>
    </w:rPr>
  </w:style>
  <w:style w:type="character" w:styleId="UnresolvedMention">
    <w:name w:val="Unresolved Mention"/>
    <w:basedOn w:val="DefaultParagraphFont"/>
    <w:uiPriority w:val="99"/>
    <w:semiHidden/>
    <w:unhideWhenUsed/>
    <w:rsid w:val="002016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ir.mondelezinternational.com/news-releases/news-release-details/mondelez-international-continues-progress-against-snacking-made/" TargetMode="External"/><Relationship Id="rId26" Type="http://schemas.openxmlformats.org/officeDocument/2006/relationships/hyperlink" Target="https://www.fssai.gov.in/" TargetMode="External"/><Relationship Id="rId39" Type="http://schemas.openxmlformats.org/officeDocument/2006/relationships/hyperlink" Target="https://candyusa.com/" TargetMode="External"/><Relationship Id="rId21" Type="http://schemas.openxmlformats.org/officeDocument/2006/relationships/hyperlink" Target="https://www.commerce.gov/" TargetMode="External"/><Relationship Id="rId34" Type="http://schemas.openxmlformats.org/officeDocument/2006/relationships/hyperlink" Target="https://candyusa.com/" TargetMode="External"/><Relationship Id="rId42" Type="http://schemas.openxmlformats.org/officeDocument/2006/relationships/hyperlink" Target="https://www.mondelezinternational.com/snacking-made-right/our-positions/cocoa-life/"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mondelezinternational.com/about-us/?utm_source=chatgpt.com" TargetMode="External"/><Relationship Id="rId29" Type="http://schemas.openxmlformats.org/officeDocument/2006/relationships/hyperlink" Target="https://www.commerce.gov/"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m/search?q=paceptual+map+of+cadbury+&amp;sca_esv=b90884f24ac4e82c&amp;rlz=1C1CHBF_enIN974IN974&amp;sxsrf=APpeQntaqrTQ2rljr1fE_BE6ZR9mUXJSOA%3A1786443263154&amp;ei=__V6ao37CNi6hbIP1_KOgQs&amp;biw=767&amp;bih=695&amp;ved=0ahUKEwjN9vHgq5iWAxVYXUEAHVe5I7AQ4dUDCBA&amp;uact=5&amp;oq=paceptual+map+of+cadbury+&amp;gs_lp=Egxnd3Mtd2l6LXNlcnAiGXBhY2VwdHVhbCBtYXAgb2YgY2FkYnVyeSBI12FQoQlY2F1wBngBkAEEmAHaAaABiC6qAQYzLjQyLjG4AQPIAQD4AQGYAhygAuMcqAIKwgIKEAAYRxjWBBiwA8ICDRAAGIAEGIoFGEMYsAPCAgQQIxgnwgIKEAAYgAQYigUYQ8ICBhAAGBYYHsICEBAjGJ0GGOgGGN0FGOoCGCfCAgcQIxjqAhgnwgIKECMYyQIY8AUYJ8ICCxAAGIAEGIoFGJECwgIIEAAYgAQYsQPCAg0QLhiABBiKBRhDGLEDwgIFEAAYgATCAgsQABiABBixAxiDAcICCBAuGIAEGLEDwgIUEC4YgwEYrwEYxwEYsQMYgAQYjgXCAg0QABiABBiKBRhDGLEDwgIFEC4YgATCAhAQLhiABBjHARivARiOBRgKwgIEEAAYHsICDRAjGPAFGMkCGLACGCfCAgcQABiABBgNwgINECMYyQIY8AUYsAIYJ8ICBhAAGB4YDcICCBAAGB4YDRgKwgIIEAAYFhgeGArCAgsQABiABBiKBRiGA8ICBBAhGBWYAxXxBaR3QMckpFUOiAYBkAYJkgcGNS4yMS4yoAfIsAKyBwYwLjIwLjK4B4obwgcOMC4zLjcuMTMuNC4wLjHIB40DgAgB&amp;sclient=gws-wiz-serp" TargetMode="External"/><Relationship Id="rId24" Type="http://schemas.openxmlformats.org/officeDocument/2006/relationships/hyperlink" Target="https://candyusa.com/" TargetMode="External"/><Relationship Id="rId32" Type="http://schemas.openxmlformats.org/officeDocument/2006/relationships/hyperlink" Target="https://www.makeinindia.com/" TargetMode="External"/><Relationship Id="rId37" Type="http://schemas.openxmlformats.org/officeDocument/2006/relationships/hyperlink" Target="https://candyusa.com/" TargetMode="External"/><Relationship Id="rId40" Type="http://schemas.openxmlformats.org/officeDocument/2006/relationships/hyperlink" Target="https://www.fda.gov/" TargetMode="External"/><Relationship Id="rId45" Type="http://schemas.openxmlformats.org/officeDocument/2006/relationships/hyperlink" Target="https://candyusa.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ea.gov/" TargetMode="External"/><Relationship Id="rId28" Type="http://schemas.openxmlformats.org/officeDocument/2006/relationships/hyperlink" Target="https://moef.gov.in/" TargetMode="External"/><Relationship Id="rId36" Type="http://schemas.openxmlformats.org/officeDocument/2006/relationships/hyperlink" Target="https://www.statista.com/" TargetMode="External"/><Relationship Id="rId10" Type="http://schemas.openxmlformats.org/officeDocument/2006/relationships/image" Target="media/image4.jpeg"/><Relationship Id="rId19" Type="http://schemas.openxmlformats.org/officeDocument/2006/relationships/hyperlink" Target="https://www.fssai.gov.in/" TargetMode="External"/><Relationship Id="rId31" Type="http://schemas.openxmlformats.org/officeDocument/2006/relationships/hyperlink" Target="https://www.fda.gov/" TargetMode="External"/><Relationship Id="rId44" Type="http://schemas.openxmlformats.org/officeDocument/2006/relationships/hyperlink" Target="https://ir.mondelezinternational.com/" TargetMode="External"/><Relationship Id="rId4" Type="http://schemas.openxmlformats.org/officeDocument/2006/relationships/settings" Target="settings.xml"/><Relationship Id="rId9" Type="http://schemas.openxmlformats.org/officeDocument/2006/relationships/hyperlink" Target="https://www.theculturefactor.com/country-comparison-tool" TargetMode="External"/><Relationship Id="rId14" Type="http://schemas.openxmlformats.org/officeDocument/2006/relationships/image" Target="media/image7.png"/><Relationship Id="rId22" Type="http://schemas.openxmlformats.org/officeDocument/2006/relationships/hyperlink" Target="https://www.fda.gov/" TargetMode="External"/><Relationship Id="rId27" Type="http://schemas.openxmlformats.org/officeDocument/2006/relationships/hyperlink" Target="https://www.digitalindia.gov.in/" TargetMode="External"/><Relationship Id="rId30" Type="http://schemas.openxmlformats.org/officeDocument/2006/relationships/hyperlink" Target="https://www.epa.gov/" TargetMode="External"/><Relationship Id="rId35" Type="http://schemas.openxmlformats.org/officeDocument/2006/relationships/hyperlink" Target="https://candyusa.com/" TargetMode="External"/><Relationship Id="rId43" Type="http://schemas.openxmlformats.org/officeDocument/2006/relationships/hyperlink" Target="https://ir.mondelezinternational.com/"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ec.gov/Archives/edgar/data/1103982/000110398225000030/mdlz-20241231.htm" TargetMode="External"/><Relationship Id="rId25" Type="http://schemas.openxmlformats.org/officeDocument/2006/relationships/hyperlink" Target="https://www.hofstede-insights.com/country-comparison/" TargetMode="External"/><Relationship Id="rId33" Type="http://schemas.openxmlformats.org/officeDocument/2006/relationships/hyperlink" Target="https://www.fda.gov/" TargetMode="External"/><Relationship Id="rId38" Type="http://schemas.openxmlformats.org/officeDocument/2006/relationships/hyperlink" Target="https://www.statista.com/" TargetMode="External"/><Relationship Id="rId46" Type="http://schemas.openxmlformats.org/officeDocument/2006/relationships/fontTable" Target="fontTable.xml"/><Relationship Id="rId20" Type="http://schemas.openxmlformats.org/officeDocument/2006/relationships/hyperlink" Target="https://www.makeinindia.com/" TargetMode="External"/><Relationship Id="rId41" Type="http://schemas.openxmlformats.org/officeDocument/2006/relationships/hyperlink" Target="https://arxiv.org/abs/2310.04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A39DB-D6B7-934B-8850-1CD10E38F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44</Pages>
  <Words>13061</Words>
  <Characters>74449</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Honey Patel</cp:lastModifiedBy>
  <cp:revision>5</cp:revision>
  <dcterms:created xsi:type="dcterms:W3CDTF">2026-08-12T09:22:00Z</dcterms:created>
  <dcterms:modified xsi:type="dcterms:W3CDTF">2026-08-12T10:09:00Z</dcterms:modified>
</cp:coreProperties>
</file>