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99317" w14:textId="77777777" w:rsidR="006E467E" w:rsidRPr="0048389D" w:rsidRDefault="006E467E" w:rsidP="006E467E">
      <w:pPr>
        <w:rPr>
          <w:b/>
          <w:bCs/>
        </w:rPr>
      </w:pPr>
      <w:r w:rsidRPr="0048389D">
        <w:rPr>
          <w:noProof/>
        </w:rPr>
        <w:drawing>
          <wp:inline distT="0" distB="0" distL="0" distR="0" wp14:anchorId="09FEA7E8" wp14:editId="097C2948">
            <wp:extent cx="2273300" cy="914400"/>
            <wp:effectExtent l="0" t="0" r="0" b="0"/>
            <wp:docPr id="1426454011" name="Picture 2"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4" descr="UWTSD logo with nam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77241" cy="915985"/>
                    </a:xfrm>
                    <a:prstGeom prst="rect">
                      <a:avLst/>
                    </a:prstGeom>
                    <a:noFill/>
                    <a:ln>
                      <a:noFill/>
                    </a:ln>
                  </pic:spPr>
                </pic:pic>
              </a:graphicData>
            </a:graphic>
          </wp:inline>
        </w:drawing>
      </w:r>
    </w:p>
    <w:p w14:paraId="780CB8E3" w14:textId="77777777" w:rsidR="006E467E" w:rsidRPr="0048389D" w:rsidRDefault="006E467E" w:rsidP="006E467E">
      <w:pPr>
        <w:rPr>
          <w:b/>
          <w:bCs/>
        </w:rPr>
      </w:pPr>
    </w:p>
    <w:p w14:paraId="1B1DCD02" w14:textId="77777777" w:rsidR="006E467E" w:rsidRPr="0048389D" w:rsidRDefault="006E467E" w:rsidP="006E467E">
      <w:pPr>
        <w:rPr>
          <w:b/>
          <w:bCs/>
        </w:rPr>
      </w:pPr>
    </w:p>
    <w:p w14:paraId="614E98F8" w14:textId="77777777" w:rsidR="006E467E" w:rsidRPr="0048389D" w:rsidRDefault="006E467E" w:rsidP="006E467E">
      <w:pPr>
        <w:rPr>
          <w:b/>
          <w:bCs/>
        </w:rPr>
      </w:pPr>
    </w:p>
    <w:p w14:paraId="1F4F5ABB" w14:textId="77777777" w:rsidR="006E467E" w:rsidRDefault="006E467E" w:rsidP="006E467E">
      <w:pPr>
        <w:jc w:val="center"/>
        <w:rPr>
          <w:sz w:val="44"/>
          <w:szCs w:val="44"/>
        </w:rPr>
      </w:pPr>
    </w:p>
    <w:p w14:paraId="42587C58" w14:textId="77777777" w:rsidR="006E467E" w:rsidRPr="0048389D" w:rsidRDefault="006E467E" w:rsidP="006E467E">
      <w:pPr>
        <w:jc w:val="center"/>
        <w:rPr>
          <w:sz w:val="44"/>
          <w:szCs w:val="44"/>
        </w:rPr>
      </w:pPr>
      <w:r>
        <w:rPr>
          <w:sz w:val="44"/>
          <w:szCs w:val="44"/>
        </w:rPr>
        <w:t>M</w:t>
      </w:r>
      <w:r w:rsidRPr="0048389D">
        <w:rPr>
          <w:sz w:val="44"/>
          <w:szCs w:val="44"/>
        </w:rPr>
        <w:t xml:space="preserve">BA </w:t>
      </w:r>
      <w:r>
        <w:rPr>
          <w:sz w:val="44"/>
          <w:szCs w:val="44"/>
        </w:rPr>
        <w:t xml:space="preserve">INTERNATIONAL </w:t>
      </w:r>
      <w:r w:rsidRPr="0048389D">
        <w:rPr>
          <w:sz w:val="44"/>
          <w:szCs w:val="44"/>
        </w:rPr>
        <w:t>BUSINESS</w:t>
      </w:r>
    </w:p>
    <w:p w14:paraId="57A70F96" w14:textId="4A96BD3A" w:rsidR="006E467E" w:rsidRDefault="006E467E" w:rsidP="006E467E">
      <w:pPr>
        <w:jc w:val="center"/>
        <w:rPr>
          <w:sz w:val="44"/>
          <w:szCs w:val="44"/>
        </w:rPr>
      </w:pPr>
      <w:bookmarkStart w:id="0" w:name="_heading=h.30j0zll"/>
      <w:bookmarkEnd w:id="0"/>
      <w:r>
        <w:rPr>
          <w:sz w:val="44"/>
          <w:szCs w:val="44"/>
        </w:rPr>
        <w:t>Marketing Management</w:t>
      </w:r>
    </w:p>
    <w:p w14:paraId="3653CD77" w14:textId="77777777" w:rsidR="006E467E" w:rsidRDefault="006E467E" w:rsidP="006E467E">
      <w:pPr>
        <w:jc w:val="center"/>
        <w:rPr>
          <w:sz w:val="44"/>
          <w:szCs w:val="44"/>
        </w:rPr>
      </w:pPr>
    </w:p>
    <w:p w14:paraId="1C35F595" w14:textId="77777777" w:rsidR="006E467E" w:rsidRDefault="006E467E" w:rsidP="006E467E">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Marketing Environment Analysis for Pioneers and Followers in the Electric Vehicle Industry</w:t>
      </w:r>
    </w:p>
    <w:p w14:paraId="00962C81" w14:textId="77777777" w:rsidR="006E467E" w:rsidRDefault="006E467E" w:rsidP="006E467E">
      <w:pPr>
        <w:jc w:val="center"/>
        <w:rPr>
          <w:sz w:val="44"/>
          <w:szCs w:val="44"/>
        </w:rPr>
      </w:pPr>
    </w:p>
    <w:p w14:paraId="3F0DE29B" w14:textId="77777777" w:rsidR="006E467E" w:rsidRDefault="006E467E" w:rsidP="006E467E">
      <w:pPr>
        <w:jc w:val="center"/>
        <w:rPr>
          <w:sz w:val="44"/>
          <w:szCs w:val="44"/>
        </w:rPr>
      </w:pPr>
    </w:p>
    <w:p w14:paraId="12BB2A7B" w14:textId="77777777" w:rsidR="006E467E" w:rsidRDefault="006E467E" w:rsidP="006E467E">
      <w:pPr>
        <w:spacing w:line="480" w:lineRule="auto"/>
        <w:jc w:val="center"/>
        <w:rPr>
          <w:rFonts w:ascii="Times New Roman" w:eastAsia="Times New Roman" w:hAnsi="Times New Roman" w:cs="Times New Roman"/>
        </w:rPr>
      </w:pPr>
    </w:p>
    <w:p w14:paraId="485EA263" w14:textId="77777777" w:rsidR="006E467E" w:rsidRPr="0048389D" w:rsidRDefault="006E467E" w:rsidP="006E467E"/>
    <w:p w14:paraId="7188974A" w14:textId="77777777" w:rsidR="006E467E" w:rsidRPr="0048389D" w:rsidRDefault="006E467E" w:rsidP="006E467E"/>
    <w:p w14:paraId="2020DE3B" w14:textId="77777777" w:rsidR="006E467E" w:rsidRPr="0048389D" w:rsidRDefault="006E467E" w:rsidP="006E467E"/>
    <w:p w14:paraId="27FA4A16" w14:textId="75768E1F" w:rsidR="006E467E" w:rsidRDefault="006E467E" w:rsidP="006E467E">
      <w:pPr>
        <w:rPr>
          <w:iCs/>
        </w:rPr>
      </w:pPr>
      <w:r w:rsidRPr="0048389D">
        <w:rPr>
          <w:i/>
        </w:rPr>
        <w:t>Lect</w:t>
      </w:r>
      <w:r>
        <w:rPr>
          <w:i/>
        </w:rPr>
        <w:t>ure</w:t>
      </w:r>
      <w:r w:rsidRPr="0048389D">
        <w:rPr>
          <w:i/>
        </w:rPr>
        <w:t xml:space="preserve">r: </w:t>
      </w:r>
      <w:r w:rsidRPr="0048389D">
        <w:rPr>
          <w:iCs/>
        </w:rPr>
        <w:t xml:space="preserve">Dr. </w:t>
      </w:r>
      <w:r w:rsidR="00A30E49" w:rsidRPr="00A30E49">
        <w:rPr>
          <w:iCs/>
        </w:rPr>
        <w:t>Jaya Gopalkrishnan</w:t>
      </w:r>
    </w:p>
    <w:p w14:paraId="47F900DD" w14:textId="5DCB196D" w:rsidR="006E467E" w:rsidRPr="0048389D" w:rsidRDefault="006E467E" w:rsidP="006E467E">
      <w:pPr>
        <w:rPr>
          <w:i/>
        </w:rPr>
      </w:pPr>
      <w:r>
        <w:rPr>
          <w:i/>
        </w:rPr>
        <w:t>Module</w:t>
      </w:r>
      <w:r w:rsidRPr="0048389D">
        <w:rPr>
          <w:i/>
        </w:rPr>
        <w:t xml:space="preserve"> code: </w:t>
      </w:r>
      <w:r w:rsidRPr="0048389D">
        <w:rPr>
          <w:iCs/>
        </w:rPr>
        <w:t>LC</w:t>
      </w:r>
      <w:r>
        <w:rPr>
          <w:iCs/>
        </w:rPr>
        <w:t>MB702</w:t>
      </w:r>
      <w:r w:rsidR="00F8595C">
        <w:rPr>
          <w:iCs/>
        </w:rPr>
        <w:t>4</w:t>
      </w:r>
    </w:p>
    <w:p w14:paraId="36A2F414" w14:textId="77777777" w:rsidR="006E467E" w:rsidRPr="0048389D" w:rsidRDefault="006E467E" w:rsidP="006E467E">
      <w:pPr>
        <w:rPr>
          <w:iCs/>
        </w:rPr>
      </w:pPr>
      <w:r w:rsidRPr="0048389D">
        <w:rPr>
          <w:i/>
        </w:rPr>
        <w:t xml:space="preserve">Student name: </w:t>
      </w:r>
      <w:r>
        <w:rPr>
          <w:iCs/>
        </w:rPr>
        <w:t>Cristian Stoleru</w:t>
      </w:r>
    </w:p>
    <w:p w14:paraId="247A7C48" w14:textId="77777777" w:rsidR="006E467E" w:rsidRPr="0048389D" w:rsidRDefault="006E467E" w:rsidP="006E467E">
      <w:pPr>
        <w:rPr>
          <w:i/>
        </w:rPr>
      </w:pPr>
      <w:r w:rsidRPr="0048389D">
        <w:rPr>
          <w:i/>
        </w:rPr>
        <w:t xml:space="preserve">Student ID: </w:t>
      </w:r>
      <w:r w:rsidRPr="0048389D">
        <w:rPr>
          <w:iCs/>
        </w:rPr>
        <w:t>221</w:t>
      </w:r>
      <w:r w:rsidRPr="00621BF1">
        <w:rPr>
          <w:iCs/>
        </w:rPr>
        <w:t>5119</w:t>
      </w:r>
    </w:p>
    <w:p w14:paraId="1BEEC27F" w14:textId="77777777" w:rsidR="008F5C3D" w:rsidRDefault="008F5C3D" w:rsidP="008F5C3D">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lastRenderedPageBreak/>
        <w:t>Table of Contents</w:t>
      </w:r>
    </w:p>
    <w:tbl>
      <w:tblPr>
        <w:tblW w:w="9350" w:type="dxa"/>
        <w:tblBorders>
          <w:top w:val="nil"/>
          <w:left w:val="nil"/>
          <w:bottom w:val="nil"/>
          <w:right w:val="nil"/>
          <w:insideH w:val="nil"/>
          <w:insideV w:val="nil"/>
        </w:tblBorders>
        <w:tblLayout w:type="fixed"/>
        <w:tblLook w:val="0400" w:firstRow="0" w:lastRow="0" w:firstColumn="0" w:lastColumn="0" w:noHBand="0" w:noVBand="1"/>
      </w:tblPr>
      <w:tblGrid>
        <w:gridCol w:w="5575"/>
        <w:gridCol w:w="3775"/>
      </w:tblGrid>
      <w:tr w:rsidR="008F5C3D" w14:paraId="4055F478" w14:textId="77777777" w:rsidTr="003C2F70">
        <w:trPr>
          <w:trHeight w:val="720"/>
        </w:trPr>
        <w:tc>
          <w:tcPr>
            <w:tcW w:w="5575" w:type="dxa"/>
          </w:tcPr>
          <w:p w14:paraId="31A84CB1" w14:textId="77777777" w:rsidR="008F5C3D" w:rsidRDefault="008F5C3D" w:rsidP="003C2F70">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Introduction </w:t>
            </w:r>
          </w:p>
        </w:tc>
        <w:tc>
          <w:tcPr>
            <w:tcW w:w="3775" w:type="dxa"/>
          </w:tcPr>
          <w:p w14:paraId="2092F1E0" w14:textId="492F107C" w:rsidR="008F5C3D" w:rsidRDefault="000D462B" w:rsidP="003C2F70">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3</w:t>
            </w:r>
          </w:p>
        </w:tc>
      </w:tr>
      <w:tr w:rsidR="008F5C3D" w14:paraId="46336289" w14:textId="77777777" w:rsidTr="003C2F70">
        <w:trPr>
          <w:trHeight w:val="720"/>
        </w:trPr>
        <w:tc>
          <w:tcPr>
            <w:tcW w:w="5575" w:type="dxa"/>
          </w:tcPr>
          <w:p w14:paraId="3C906E1E" w14:textId="77777777" w:rsidR="008F5C3D" w:rsidRDefault="008F5C3D" w:rsidP="003C2F70">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Macro Environment Analysis</w:t>
            </w:r>
          </w:p>
        </w:tc>
        <w:tc>
          <w:tcPr>
            <w:tcW w:w="3775" w:type="dxa"/>
          </w:tcPr>
          <w:p w14:paraId="0BDD5C87" w14:textId="77777777" w:rsidR="008F5C3D" w:rsidRDefault="008F5C3D" w:rsidP="003C2F70">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3</w:t>
            </w:r>
          </w:p>
        </w:tc>
      </w:tr>
      <w:tr w:rsidR="008F5C3D" w14:paraId="0C6A6DE6" w14:textId="77777777" w:rsidTr="003C2F70">
        <w:trPr>
          <w:trHeight w:val="720"/>
        </w:trPr>
        <w:tc>
          <w:tcPr>
            <w:tcW w:w="5575" w:type="dxa"/>
          </w:tcPr>
          <w:p w14:paraId="3C580427" w14:textId="77777777" w:rsidR="008F5C3D" w:rsidRDefault="008F5C3D" w:rsidP="003C2F70">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Strategic Responses</w:t>
            </w:r>
          </w:p>
        </w:tc>
        <w:tc>
          <w:tcPr>
            <w:tcW w:w="3775" w:type="dxa"/>
          </w:tcPr>
          <w:p w14:paraId="17A4129A" w14:textId="5E151DE0" w:rsidR="008F5C3D" w:rsidRDefault="00851653" w:rsidP="003C2F70">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7</w:t>
            </w:r>
          </w:p>
        </w:tc>
      </w:tr>
      <w:tr w:rsidR="008F5C3D" w14:paraId="6422EC16" w14:textId="77777777" w:rsidTr="003C2F70">
        <w:trPr>
          <w:trHeight w:val="720"/>
        </w:trPr>
        <w:tc>
          <w:tcPr>
            <w:tcW w:w="5575" w:type="dxa"/>
          </w:tcPr>
          <w:p w14:paraId="1F846520" w14:textId="38EEF664" w:rsidR="008F5C3D" w:rsidRDefault="008F5C3D" w:rsidP="00A235E1">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Evaluation</w:t>
            </w:r>
          </w:p>
        </w:tc>
        <w:tc>
          <w:tcPr>
            <w:tcW w:w="3775" w:type="dxa"/>
          </w:tcPr>
          <w:p w14:paraId="35283FC3" w14:textId="4164DCFC" w:rsidR="008F5C3D" w:rsidRDefault="00034F38" w:rsidP="003C2F70">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9</w:t>
            </w:r>
          </w:p>
        </w:tc>
      </w:tr>
      <w:tr w:rsidR="008F5C3D" w14:paraId="1B0DDE0C" w14:textId="77777777" w:rsidTr="003C2F70">
        <w:trPr>
          <w:trHeight w:val="720"/>
        </w:trPr>
        <w:tc>
          <w:tcPr>
            <w:tcW w:w="5575" w:type="dxa"/>
          </w:tcPr>
          <w:p w14:paraId="2AC7F670" w14:textId="77777777" w:rsidR="008F5C3D" w:rsidRDefault="008F5C3D" w:rsidP="003C2F70">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Conclusion</w:t>
            </w:r>
          </w:p>
        </w:tc>
        <w:tc>
          <w:tcPr>
            <w:tcW w:w="3775" w:type="dxa"/>
          </w:tcPr>
          <w:p w14:paraId="5445F67C" w14:textId="4F0FB042" w:rsidR="008F5C3D" w:rsidRDefault="009D6378" w:rsidP="003C2F70">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10</w:t>
            </w:r>
          </w:p>
        </w:tc>
      </w:tr>
      <w:tr w:rsidR="008F5C3D" w14:paraId="1BE0529F" w14:textId="77777777" w:rsidTr="003C2F70">
        <w:trPr>
          <w:trHeight w:val="720"/>
        </w:trPr>
        <w:tc>
          <w:tcPr>
            <w:tcW w:w="5575" w:type="dxa"/>
          </w:tcPr>
          <w:p w14:paraId="7E0C3485" w14:textId="77777777" w:rsidR="008F5C3D" w:rsidRDefault="008F5C3D" w:rsidP="003C2F70">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References &amp; Citations</w:t>
            </w:r>
          </w:p>
        </w:tc>
        <w:tc>
          <w:tcPr>
            <w:tcW w:w="3775" w:type="dxa"/>
          </w:tcPr>
          <w:p w14:paraId="3547BB11" w14:textId="496DABBA" w:rsidR="008F5C3D" w:rsidRDefault="008F5C3D" w:rsidP="003C2F70">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1</w:t>
            </w:r>
            <w:r w:rsidR="009D6378">
              <w:rPr>
                <w:rFonts w:ascii="Times New Roman" w:eastAsia="Times New Roman" w:hAnsi="Times New Roman" w:cs="Times New Roman"/>
                <w:b/>
                <w:bCs/>
                <w:sz w:val="32"/>
                <w:szCs w:val="32"/>
              </w:rPr>
              <w:t>1</w:t>
            </w:r>
          </w:p>
        </w:tc>
      </w:tr>
    </w:tbl>
    <w:p w14:paraId="07CE5044" w14:textId="77777777" w:rsidR="008F5C3D" w:rsidRDefault="008F5C3D" w:rsidP="008F5C3D">
      <w:pPr>
        <w:jc w:val="center"/>
        <w:rPr>
          <w:rFonts w:ascii="Times New Roman" w:eastAsia="Times New Roman" w:hAnsi="Times New Roman" w:cs="Times New Roman"/>
          <w:b/>
          <w:bCs/>
          <w:sz w:val="32"/>
          <w:szCs w:val="32"/>
        </w:rPr>
      </w:pPr>
    </w:p>
    <w:p w14:paraId="10EA0484" w14:textId="77777777" w:rsidR="008F5C3D" w:rsidRDefault="008F5C3D" w:rsidP="008F5C3D">
      <w:pPr>
        <w:jc w:val="center"/>
        <w:rPr>
          <w:rFonts w:ascii="Times New Roman" w:eastAsia="Times New Roman" w:hAnsi="Times New Roman" w:cs="Times New Roman"/>
          <w:b/>
          <w:bCs/>
        </w:rPr>
      </w:pPr>
    </w:p>
    <w:p w14:paraId="7CBBFE30" w14:textId="77777777" w:rsidR="008F5C3D" w:rsidRDefault="008F5C3D" w:rsidP="008F5C3D">
      <w:pPr>
        <w:rPr>
          <w:rFonts w:ascii="Times New Roman" w:eastAsia="Times New Roman" w:hAnsi="Times New Roman" w:cs="Times New Roman"/>
          <w:b/>
          <w:bCs/>
        </w:rPr>
      </w:pPr>
      <w:r>
        <w:br w:type="page"/>
      </w:r>
    </w:p>
    <w:p w14:paraId="53136728" w14:textId="77777777" w:rsidR="008F5C3D" w:rsidRDefault="008F5C3D" w:rsidP="008F5C3D">
      <w:pPr>
        <w:jc w:val="center"/>
        <w:rPr>
          <w:rFonts w:ascii="Times New Roman" w:eastAsia="Times New Roman" w:hAnsi="Times New Roman" w:cs="Times New Roman"/>
          <w:b/>
          <w:bCs/>
          <w:u w:val="single"/>
        </w:rPr>
      </w:pPr>
      <w:r>
        <w:rPr>
          <w:rFonts w:ascii="Times New Roman" w:eastAsia="Times New Roman" w:hAnsi="Times New Roman" w:cs="Times New Roman"/>
          <w:b/>
          <w:bCs/>
          <w:u w:val="single"/>
        </w:rPr>
        <w:lastRenderedPageBreak/>
        <w:t>Introduction</w:t>
      </w:r>
    </w:p>
    <w:p w14:paraId="2A693CC7" w14:textId="5197D83E" w:rsidR="008F5C3D" w:rsidRDefault="008F5C3D" w:rsidP="000D462B">
      <w:pPr>
        <w:ind w:firstLine="720"/>
        <w:jc w:val="both"/>
        <w:rPr>
          <w:rFonts w:ascii="Times New Roman" w:eastAsia="Times New Roman" w:hAnsi="Times New Roman" w:cs="Times New Roman"/>
        </w:rPr>
      </w:pPr>
      <w:r>
        <w:rPr>
          <w:rFonts w:ascii="Times New Roman" w:eastAsia="Times New Roman" w:hAnsi="Times New Roman" w:cs="Times New Roman"/>
        </w:rPr>
        <w:t xml:space="preserve">The automobile sector is in the process of massive change because of ever-changing technological advancement and the increasing environmental issues. According to the International Energy Agency (IEA, 2024), the number of </w:t>
      </w:r>
      <w:r w:rsidR="0096302A">
        <w:rPr>
          <w:rFonts w:ascii="Times New Roman" w:eastAsia="Times New Roman" w:hAnsi="Times New Roman" w:cs="Times New Roman"/>
        </w:rPr>
        <w:t>EVs sold</w:t>
      </w:r>
      <w:r>
        <w:rPr>
          <w:rFonts w:ascii="Times New Roman" w:eastAsia="Times New Roman" w:hAnsi="Times New Roman" w:cs="Times New Roman"/>
        </w:rPr>
        <w:t xml:space="preserve"> in 2023 is virtually 18% of total car sales, which indicates a mindset change in the preferences of buyers and the interests of regulators in the region.</w:t>
      </w:r>
    </w:p>
    <w:p w14:paraId="224D7091" w14:textId="77777777" w:rsidR="008F5C3D" w:rsidRDefault="008F5C3D" w:rsidP="0096302A">
      <w:pPr>
        <w:ind w:firstLine="720"/>
        <w:jc w:val="both"/>
        <w:rPr>
          <w:rFonts w:ascii="Times New Roman" w:eastAsia="Times New Roman" w:hAnsi="Times New Roman" w:cs="Times New Roman"/>
        </w:rPr>
      </w:pPr>
      <w:r>
        <w:rPr>
          <w:rFonts w:ascii="Times New Roman" w:eastAsia="Times New Roman" w:hAnsi="Times New Roman" w:cs="Times New Roman"/>
        </w:rPr>
        <w:t>Transformation occurs in the macro marketing environment that affects the relationship between these forms of strategies significantly since it brings opportunities, and threats to firms operating in the same or related industries.</w:t>
      </w:r>
    </w:p>
    <w:p w14:paraId="0FE42F17" w14:textId="01E6B9D4" w:rsidR="008F5C3D" w:rsidRDefault="008F5C3D" w:rsidP="0096302A">
      <w:pPr>
        <w:ind w:firstLine="720"/>
        <w:jc w:val="both"/>
        <w:rPr>
          <w:rFonts w:ascii="Times New Roman" w:eastAsia="Times New Roman" w:hAnsi="Times New Roman" w:cs="Times New Roman"/>
        </w:rPr>
      </w:pPr>
      <w:r>
        <w:rPr>
          <w:rFonts w:ascii="Times New Roman" w:eastAsia="Times New Roman" w:hAnsi="Times New Roman" w:cs="Times New Roman"/>
        </w:rPr>
        <w:t xml:space="preserve">The paper critically examines macro marketing environment as a very important aspect of strategic marketing management. It narrows down its analysis to two important macro environmental </w:t>
      </w:r>
      <w:r w:rsidR="0096302A">
        <w:rPr>
          <w:rFonts w:ascii="Times New Roman" w:eastAsia="Times New Roman" w:hAnsi="Times New Roman" w:cs="Times New Roman"/>
        </w:rPr>
        <w:t>forces</w:t>
      </w:r>
      <w:r>
        <w:rPr>
          <w:rFonts w:ascii="Times New Roman" w:eastAsia="Times New Roman" w:hAnsi="Times New Roman" w:cs="Times New Roman"/>
        </w:rPr>
        <w:t xml:space="preserve"> such as technological and environmental and further breaks down the analysis into how the forces shape the new competitive forces between the pioneer and follower industry participants in the EV industry. The paper will also in later sections evaluate how these factors create both opportunities and challenges for the firms and how the firms cater to strategically stay in the competition. The analysis includes academic theory, industry data, and practical real-world examples to give a proper understanding of how external environmental forces reinforce marketing strategies and an organization’s performance in the electric vehicle sector.</w:t>
      </w:r>
    </w:p>
    <w:p w14:paraId="4297DE4D" w14:textId="77777777" w:rsidR="003722AC" w:rsidRDefault="003722AC" w:rsidP="00AA77DB"/>
    <w:p w14:paraId="1BA81136" w14:textId="77777777" w:rsidR="003722AC" w:rsidRDefault="003722AC" w:rsidP="00AA77DB"/>
    <w:p w14:paraId="56757FC9" w14:textId="5489B955" w:rsidR="008F5C3D" w:rsidRDefault="008F5C3D" w:rsidP="003722AC">
      <w:pPr>
        <w:ind w:firstLine="720"/>
        <w:rPr>
          <w:rFonts w:ascii="Times New Roman" w:eastAsia="Times New Roman" w:hAnsi="Times New Roman" w:cs="Times New Roman"/>
          <w:b/>
          <w:bCs/>
          <w:u w:val="single"/>
        </w:rPr>
      </w:pPr>
      <w:r>
        <w:rPr>
          <w:rFonts w:ascii="Times New Roman" w:eastAsia="Times New Roman" w:hAnsi="Times New Roman" w:cs="Times New Roman"/>
          <w:b/>
          <w:bCs/>
          <w:u w:val="single"/>
        </w:rPr>
        <w:t>Macro Environment Analysis</w:t>
      </w:r>
    </w:p>
    <w:p w14:paraId="74B4182F" w14:textId="77777777" w:rsidR="008F5C3D" w:rsidRDefault="008F5C3D" w:rsidP="003722AC">
      <w:pPr>
        <w:ind w:firstLine="360"/>
        <w:jc w:val="both"/>
        <w:rPr>
          <w:rFonts w:ascii="Times New Roman" w:eastAsia="Times New Roman" w:hAnsi="Times New Roman" w:cs="Times New Roman"/>
        </w:rPr>
      </w:pPr>
      <w:r>
        <w:rPr>
          <w:rFonts w:ascii="Times New Roman" w:eastAsia="Times New Roman" w:hAnsi="Times New Roman" w:cs="Times New Roman"/>
        </w:rPr>
        <w:t>One of the primary strengths of the strategic marketing process is the macro marketing environment. Defined by Kotler and Keller (2016), the macro environment refers to the critical forces outside of an organization that can help or hurt competitive capabilities. The macro environment exists beyond the firm's control but is comprised of forces (typically grouped by PESTEL) that bear meaningful weight on strategic intent, relative positioning and areas for new potential development. For example, two of the most powerful macro environments substantiated by trends and transformations such as climate change, higher automotive emissions and consumer desires to change over time, are the technological and ecological changes. Thus, within the electric vehicle (EV) marketing arena, the subsequent analysis will include the technological and ecological forces of the macro environment in relative context to each other and how advancements in each represent opportunities and threats to innovator and follower competitors alike in a competitive, increasingly globalizing world.</w:t>
      </w:r>
    </w:p>
    <w:p w14:paraId="1AE8ED3B" w14:textId="77777777" w:rsidR="003722AC" w:rsidRDefault="003722AC" w:rsidP="003722AC">
      <w:pPr>
        <w:ind w:firstLine="360"/>
        <w:jc w:val="both"/>
        <w:rPr>
          <w:rFonts w:ascii="Times New Roman" w:eastAsia="Times New Roman" w:hAnsi="Times New Roman" w:cs="Times New Roman"/>
        </w:rPr>
      </w:pPr>
    </w:p>
    <w:p w14:paraId="34E07364" w14:textId="77777777" w:rsidR="003722AC" w:rsidRDefault="003722AC" w:rsidP="003722AC">
      <w:pPr>
        <w:ind w:firstLine="360"/>
        <w:jc w:val="both"/>
        <w:rPr>
          <w:rFonts w:ascii="Times New Roman" w:eastAsia="Times New Roman" w:hAnsi="Times New Roman" w:cs="Times New Roman"/>
        </w:rPr>
      </w:pPr>
    </w:p>
    <w:p w14:paraId="3C10BEEE" w14:textId="77777777" w:rsidR="008F5C3D" w:rsidRDefault="008F5C3D" w:rsidP="008F5C3D">
      <w:pPr>
        <w:numPr>
          <w:ilvl w:val="0"/>
          <w:numId w:val="5"/>
        </w:numPr>
        <w:pBdr>
          <w:top w:val="nil"/>
          <w:left w:val="nil"/>
          <w:bottom w:val="nil"/>
          <w:right w:val="nil"/>
          <w:between w:val="nil"/>
        </w:pBdr>
        <w:rPr>
          <w:rFonts w:ascii="Times New Roman" w:eastAsia="Times New Roman" w:hAnsi="Times New Roman" w:cs="Times New Roman"/>
          <w:b/>
          <w:bCs/>
          <w:color w:val="000000"/>
        </w:rPr>
      </w:pPr>
      <w:r>
        <w:rPr>
          <w:rFonts w:ascii="Times New Roman" w:eastAsia="Times New Roman" w:hAnsi="Times New Roman" w:cs="Times New Roman"/>
          <w:b/>
          <w:bCs/>
          <w:color w:val="000000"/>
        </w:rPr>
        <w:lastRenderedPageBreak/>
        <w:t>Technological Factor</w:t>
      </w:r>
    </w:p>
    <w:p w14:paraId="6979940A" w14:textId="77777777" w:rsidR="008F5C3D" w:rsidRDefault="008F5C3D" w:rsidP="003722AC">
      <w:pPr>
        <w:pBdr>
          <w:top w:val="nil"/>
          <w:left w:val="nil"/>
          <w:bottom w:val="nil"/>
          <w:right w:val="nil"/>
          <w:between w:val="nil"/>
        </w:pBdr>
        <w:spacing w:line="240" w:lineRule="auto"/>
        <w:ind w:left="720" w:firstLine="72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most impactful external factor on the automotive EV industry is Technological Change. </w:t>
      </w:r>
    </w:p>
    <w:p w14:paraId="78312CD4" w14:textId="6AD01B5E" w:rsidR="008F5C3D" w:rsidRDefault="008F5C3D" w:rsidP="003722AC">
      <w:pPr>
        <w:pBdr>
          <w:top w:val="nil"/>
          <w:left w:val="nil"/>
          <w:bottom w:val="nil"/>
          <w:right w:val="nil"/>
          <w:between w:val="nil"/>
        </w:pBdr>
        <w:spacing w:line="240" w:lineRule="auto"/>
        <w:ind w:left="720" w:firstLine="72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For first movers like Tesla, this technological displacement is beneficial and detrimental. First movers are more aggressive market disruptors with large amounts of R&amp;D to spare, technology exclusive to their organization (as opposed to </w:t>
      </w:r>
      <w:r w:rsidR="003722AC">
        <w:rPr>
          <w:rFonts w:ascii="Times New Roman" w:eastAsia="Times New Roman" w:hAnsi="Times New Roman" w:cs="Times New Roman"/>
          <w:color w:val="000000"/>
        </w:rPr>
        <w:t>open-source</w:t>
      </w:r>
      <w:r>
        <w:rPr>
          <w:rFonts w:ascii="Times New Roman" w:eastAsia="Times New Roman" w:hAnsi="Times New Roman" w:cs="Times New Roman"/>
          <w:color w:val="000000"/>
        </w:rPr>
        <w:t xml:space="preserve"> efforts or collaborations), vertical integrations (Gigafactories for battery creation as opposed to third party outsourcing), AI-based technology for unique features (like Autopilot)</w:t>
      </w:r>
      <w:r>
        <w:rPr>
          <w:rFonts w:ascii="Times New Roman" w:eastAsia="Times New Roman" w:hAnsi="Times New Roman" w:cs="Times New Roman"/>
          <w:b/>
          <w:bCs/>
          <w:color w:val="000000"/>
        </w:rPr>
        <w:t>.</w:t>
      </w:r>
      <w:r>
        <w:rPr>
          <w:rFonts w:ascii="Times New Roman" w:eastAsia="Times New Roman" w:hAnsi="Times New Roman" w:cs="Times New Roman"/>
          <w:color w:val="000000"/>
        </w:rPr>
        <w:t xml:space="preserve"> This connects to the RBV lens of sustained competitive advantage from resources that are valuable, rare, inimitable, and organized to exploit and deliver sustained value (Barney, 1991). There are certain performance features attributable to products which link the product to the performance characteristics including performance, software and ecosystem development/integration.</w:t>
      </w:r>
    </w:p>
    <w:p w14:paraId="1191C21F" w14:textId="67856A00" w:rsidR="008F5C3D" w:rsidRDefault="008F5C3D" w:rsidP="003722AC">
      <w:pPr>
        <w:pBdr>
          <w:top w:val="nil"/>
          <w:left w:val="nil"/>
          <w:bottom w:val="nil"/>
          <w:right w:val="nil"/>
          <w:between w:val="nil"/>
        </w:pBdr>
        <w:spacing w:line="240" w:lineRule="auto"/>
        <w:ind w:left="720" w:firstLine="72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However, these technological advances also come with quite a few threats. The pace of innovation in the EV market is extremely high, and it’s always the first movers who have to bear the cost of the experiment. Teece (2007), under the Dynamic Capabilities Framework describes this aspect as ‘innovation trap’, which highlights that </w:t>
      </w:r>
      <w:r w:rsidR="00D451AE">
        <w:rPr>
          <w:rFonts w:ascii="Times New Roman" w:eastAsia="Times New Roman" w:hAnsi="Times New Roman" w:cs="Times New Roman"/>
          <w:color w:val="000000"/>
        </w:rPr>
        <w:t>it’s</w:t>
      </w:r>
      <w:r>
        <w:rPr>
          <w:rFonts w:ascii="Times New Roman" w:eastAsia="Times New Roman" w:hAnsi="Times New Roman" w:cs="Times New Roman"/>
          <w:color w:val="000000"/>
        </w:rPr>
        <w:t xml:space="preserve"> not a company’s innovation, rather its ability to consistently renew competence in unstable circumstances, that ensures its sustainability and advantage over time. </w:t>
      </w:r>
    </w:p>
    <w:p w14:paraId="1FD0D18A" w14:textId="318642EE" w:rsidR="008F5C3D" w:rsidRDefault="008F5C3D" w:rsidP="003722AC">
      <w:pPr>
        <w:pBdr>
          <w:top w:val="nil"/>
          <w:left w:val="nil"/>
          <w:bottom w:val="nil"/>
          <w:right w:val="nil"/>
          <w:between w:val="nil"/>
        </w:pBdr>
        <w:spacing w:line="240" w:lineRule="auto"/>
        <w:ind w:left="720" w:firstLine="72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However, follower organizations such as Toyota, Hyundai, BMW </w:t>
      </w:r>
      <w:r w:rsidR="003722AC">
        <w:rPr>
          <w:rFonts w:ascii="Times New Roman" w:eastAsia="Times New Roman" w:hAnsi="Times New Roman" w:cs="Times New Roman"/>
          <w:color w:val="000000"/>
        </w:rPr>
        <w:t>etc.</w:t>
      </w:r>
      <w:r>
        <w:rPr>
          <w:rFonts w:ascii="Times New Roman" w:eastAsia="Times New Roman" w:hAnsi="Times New Roman" w:cs="Times New Roman"/>
          <w:color w:val="000000"/>
        </w:rPr>
        <w:t xml:space="preserve">, use risk management and adaptation strategies to respond to technological discontinuities. These companies later officially venture into the EV market with the pioneers having already received the approval and technological capacity of consumers, benefitting by technology diffusion and learning effects. According to what Rogers (2003) has mentioned, the proven technology can be used by these late adopters to make it more affordable, efficient and reliable. To illustrate, the i4 and i7 models of BMW have shared body and </w:t>
      </w:r>
      <w:r w:rsidR="003722AC">
        <w:rPr>
          <w:rFonts w:ascii="Times New Roman" w:eastAsia="Times New Roman" w:hAnsi="Times New Roman" w:cs="Times New Roman"/>
          <w:color w:val="000000"/>
        </w:rPr>
        <w:t>second-generation</w:t>
      </w:r>
      <w:r>
        <w:rPr>
          <w:rFonts w:ascii="Times New Roman" w:eastAsia="Times New Roman" w:hAnsi="Times New Roman" w:cs="Times New Roman"/>
          <w:color w:val="000000"/>
        </w:rPr>
        <w:t xml:space="preserve"> battery technologies that enable the company to save on the production cost but not compromise on the performance.</w:t>
      </w:r>
    </w:p>
    <w:p w14:paraId="29037067" w14:textId="77777777" w:rsidR="008F5C3D" w:rsidRDefault="008F5C3D" w:rsidP="003722AC">
      <w:pPr>
        <w:pBdr>
          <w:top w:val="nil"/>
          <w:left w:val="nil"/>
          <w:bottom w:val="nil"/>
          <w:right w:val="nil"/>
          <w:between w:val="nil"/>
        </w:pBdr>
        <w:spacing w:line="240" w:lineRule="auto"/>
        <w:ind w:left="720" w:firstLine="720"/>
        <w:jc w:val="both"/>
        <w:rPr>
          <w:rFonts w:ascii="Times New Roman" w:eastAsia="Times New Roman" w:hAnsi="Times New Roman" w:cs="Times New Roman"/>
          <w:color w:val="000000"/>
        </w:rPr>
      </w:pPr>
      <w:r>
        <w:rPr>
          <w:rFonts w:ascii="Times New Roman" w:eastAsia="Times New Roman" w:hAnsi="Times New Roman" w:cs="Times New Roman"/>
          <w:color w:val="000000"/>
        </w:rPr>
        <w:t>The followers also rely on strategic alliances to accelerate innovation even without having to assume the entire R&amp;D expenses. The alliances of Toyota with Panasonic and Volkswagen with QuantumScape to develop solid-state batteries and energy storage respectively are some very familiar cases of such a strategy. But these companies themselves are not immune to the menace of technological backlash where stuttering in adopting the new technologies may lead perceptions of the brand as less forward-looking, or less efficient at its own speed and this can easily stifle the marketing performances of such companies, particularly among consumers who are not only environmentally conscious but also those that are more technologically aware who can equate driving innovativeness to environmental awareness.</w:t>
      </w:r>
    </w:p>
    <w:p w14:paraId="03FBEE06" w14:textId="6A974E21" w:rsidR="008F5C3D" w:rsidRDefault="008F5C3D" w:rsidP="003722AC">
      <w:pPr>
        <w:pBdr>
          <w:top w:val="nil"/>
          <w:left w:val="nil"/>
          <w:bottom w:val="nil"/>
          <w:right w:val="nil"/>
          <w:between w:val="nil"/>
        </w:pBdr>
        <w:spacing w:line="240" w:lineRule="auto"/>
        <w:ind w:left="720" w:firstLine="72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And to top it off, the harmonization of tech in the EV industry is reducing the distinctiveness between pioneers and followers. Such a combination of technologies decreases the viability of first mover advantage on the long term and emphasizes the necessity of constant innovation of the entire supply chain. Overall, the technological </w:t>
      </w:r>
      <w:r>
        <w:rPr>
          <w:rFonts w:ascii="Times New Roman" w:eastAsia="Times New Roman" w:hAnsi="Times New Roman" w:cs="Times New Roman"/>
          <w:color w:val="000000"/>
        </w:rPr>
        <w:lastRenderedPageBreak/>
        <w:t xml:space="preserve">landscape offers the innovators and the followers a great deal of growth </w:t>
      </w:r>
      <w:r w:rsidR="003722AC">
        <w:rPr>
          <w:rFonts w:ascii="Times New Roman" w:eastAsia="Times New Roman" w:hAnsi="Times New Roman" w:cs="Times New Roman"/>
          <w:color w:val="000000"/>
        </w:rPr>
        <w:t>potential yet</w:t>
      </w:r>
      <w:r>
        <w:rPr>
          <w:rFonts w:ascii="Times New Roman" w:eastAsia="Times New Roman" w:hAnsi="Times New Roman" w:cs="Times New Roman"/>
          <w:color w:val="000000"/>
        </w:rPr>
        <w:t xml:space="preserve"> introduces them to the high levels of rivalry and increased costs of innovation.</w:t>
      </w:r>
    </w:p>
    <w:p w14:paraId="3191155B" w14:textId="77777777" w:rsidR="003722AC" w:rsidRDefault="003722AC" w:rsidP="003722AC">
      <w:pPr>
        <w:pBdr>
          <w:top w:val="nil"/>
          <w:left w:val="nil"/>
          <w:bottom w:val="nil"/>
          <w:right w:val="nil"/>
          <w:between w:val="nil"/>
        </w:pBdr>
        <w:spacing w:line="240" w:lineRule="auto"/>
        <w:ind w:left="720" w:firstLine="720"/>
        <w:jc w:val="both"/>
        <w:rPr>
          <w:rFonts w:ascii="Times New Roman" w:eastAsia="Times New Roman" w:hAnsi="Times New Roman" w:cs="Times New Roman"/>
          <w:color w:val="000000"/>
        </w:rPr>
      </w:pPr>
    </w:p>
    <w:p w14:paraId="72E6FE0B" w14:textId="77777777" w:rsidR="008F5C3D" w:rsidRDefault="008F5C3D" w:rsidP="008F5C3D">
      <w:pPr>
        <w:numPr>
          <w:ilvl w:val="0"/>
          <w:numId w:val="5"/>
        </w:numPr>
        <w:pBdr>
          <w:top w:val="nil"/>
          <w:left w:val="nil"/>
          <w:bottom w:val="nil"/>
          <w:right w:val="nil"/>
          <w:between w:val="nil"/>
        </w:pBdr>
        <w:spacing w:line="24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Environmental Factor</w:t>
      </w:r>
    </w:p>
    <w:p w14:paraId="22ACF019" w14:textId="0B4DEF2E" w:rsidR="008F5C3D" w:rsidRDefault="008F5C3D" w:rsidP="003722AC">
      <w:pPr>
        <w:pBdr>
          <w:top w:val="nil"/>
          <w:left w:val="nil"/>
          <w:bottom w:val="nil"/>
          <w:right w:val="nil"/>
          <w:between w:val="nil"/>
        </w:pBdr>
        <w:spacing w:line="240" w:lineRule="auto"/>
        <w:ind w:left="720" w:firstLine="72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other most influential macro-environmental force that will affect the EV business is the environmental aspect, concerning global sustainability agenda, climate policies, and shifting consumer values towards environmentally friendly consumption. Governments and international organizations have imposed tougher enhanced environmental standards </w:t>
      </w:r>
      <w:r w:rsidR="003722AC">
        <w:rPr>
          <w:rFonts w:ascii="Times New Roman" w:eastAsia="Times New Roman" w:hAnsi="Times New Roman" w:cs="Times New Roman"/>
          <w:color w:val="000000"/>
        </w:rPr>
        <w:t>to</w:t>
      </w:r>
      <w:r>
        <w:rPr>
          <w:rFonts w:ascii="Times New Roman" w:eastAsia="Times New Roman" w:hAnsi="Times New Roman" w:cs="Times New Roman"/>
          <w:color w:val="000000"/>
        </w:rPr>
        <w:t xml:space="preserve"> accelerate the switch to electric mobility as opposed to internal combustion engines (ICEs). As an example, the European Union also has </w:t>
      </w:r>
      <w:r w:rsidR="003722AC">
        <w:rPr>
          <w:rFonts w:ascii="Times New Roman" w:eastAsia="Times New Roman" w:hAnsi="Times New Roman" w:cs="Times New Roman"/>
          <w:color w:val="000000"/>
        </w:rPr>
        <w:t>a</w:t>
      </w:r>
      <w:r>
        <w:rPr>
          <w:rFonts w:ascii="Times New Roman" w:eastAsia="Times New Roman" w:hAnsi="Times New Roman" w:cs="Times New Roman"/>
          <w:color w:val="000000"/>
        </w:rPr>
        <w:t xml:space="preserve"> Fit for 55 package that asks to reduce carbon emissions by 55 percent by 239, and such nations as China and the United Kingdom are already planning on prohibiting the sale of new petrol and diesel cars by 2035 (European Commission, 2023). </w:t>
      </w:r>
    </w:p>
    <w:p w14:paraId="5F83AB8C" w14:textId="1C04954F" w:rsidR="008F5C3D" w:rsidRDefault="008F5C3D" w:rsidP="003722AC">
      <w:pPr>
        <w:pBdr>
          <w:top w:val="nil"/>
          <w:left w:val="nil"/>
          <w:bottom w:val="nil"/>
          <w:right w:val="nil"/>
          <w:between w:val="nil"/>
        </w:pBdr>
        <w:spacing w:line="240" w:lineRule="auto"/>
        <w:ind w:left="720" w:firstLine="72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These shifts in the environment offer valuable prospects to the innovative companies to reinforce their brand authenticity and market differentiation further. As an example, Tesla has a very strong brand identity based on the green story of eliminating reliance on fossil fuels around the world. By implementing programs like zero-emission production, the integration processes of solar energy (via SolarCity) and the creation of energy storage systems, Tesla proved to be more than a car company but also a supporter of the green lifestyle. That is why environmental </w:t>
      </w:r>
      <w:r w:rsidR="003722AC">
        <w:rPr>
          <w:rFonts w:ascii="Times New Roman" w:eastAsia="Times New Roman" w:hAnsi="Times New Roman" w:cs="Times New Roman"/>
          <w:color w:val="000000"/>
        </w:rPr>
        <w:t>factors</w:t>
      </w:r>
      <w:r>
        <w:rPr>
          <w:rFonts w:ascii="Times New Roman" w:eastAsia="Times New Roman" w:hAnsi="Times New Roman" w:cs="Times New Roman"/>
          <w:color w:val="000000"/>
        </w:rPr>
        <w:t xml:space="preserve"> can be referred to as a good external impact on pioneers who can impose a sustainability policy to preserve brand status and prestige, and customer loyalty.</w:t>
      </w:r>
    </w:p>
    <w:p w14:paraId="59590A1A" w14:textId="5129CDFD" w:rsidR="008F5C3D" w:rsidRDefault="008F5C3D" w:rsidP="003722AC">
      <w:pPr>
        <w:pBdr>
          <w:top w:val="nil"/>
          <w:left w:val="nil"/>
          <w:bottom w:val="nil"/>
          <w:right w:val="nil"/>
          <w:between w:val="nil"/>
        </w:pBdr>
        <w:spacing w:line="240" w:lineRule="auto"/>
        <w:ind w:left="720" w:firstLine="72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Concerning Tesla, though having integrated sustainability, it has been inspected on social-environmental </w:t>
      </w:r>
      <w:r w:rsidR="003722AC">
        <w:rPr>
          <w:rFonts w:ascii="Times New Roman" w:eastAsia="Times New Roman" w:hAnsi="Times New Roman" w:cs="Times New Roman"/>
          <w:color w:val="000000"/>
        </w:rPr>
        <w:t>implications</w:t>
      </w:r>
      <w:r>
        <w:rPr>
          <w:rFonts w:ascii="Times New Roman" w:eastAsia="Times New Roman" w:hAnsi="Times New Roman" w:cs="Times New Roman"/>
          <w:color w:val="000000"/>
        </w:rPr>
        <w:t xml:space="preserve"> of its supply chain operations; particularly, the mining of lithium and cobalt. The report by Amnesty International (2024) reveals that most EV producers struggle to produce raw materials in a responsible way, which potentially harms the reputation of the companies, something that might affect the environmental integrity adversely. To make it worse, with the rise of other competitors copying the green approach, first movers are also at risk of brand dilution, when a property (in this case, sustainability) will become the standard and not a unique characteristic.</w:t>
      </w:r>
    </w:p>
    <w:p w14:paraId="47E56508" w14:textId="10A2ED4F" w:rsidR="008F5C3D" w:rsidRDefault="008F5C3D" w:rsidP="003722AC">
      <w:pPr>
        <w:pBdr>
          <w:top w:val="nil"/>
          <w:left w:val="nil"/>
          <w:bottom w:val="nil"/>
          <w:right w:val="nil"/>
          <w:between w:val="nil"/>
        </w:pBdr>
        <w:spacing w:line="240" w:lineRule="auto"/>
        <w:ind w:left="720" w:firstLine="72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On behalf of follower organizations, environmental pressures are both an inspiration and a restraint simultaneously. Such companies as BMW, Toyota and Hyundai have embraced environmental change as a strategy of revising their status as sustainable brands without bearing the full </w:t>
      </w:r>
      <w:r w:rsidR="003722AC">
        <w:rPr>
          <w:rFonts w:ascii="Times New Roman" w:eastAsia="Times New Roman" w:hAnsi="Times New Roman" w:cs="Times New Roman"/>
          <w:color w:val="000000"/>
        </w:rPr>
        <w:t>expense</w:t>
      </w:r>
      <w:r>
        <w:rPr>
          <w:rFonts w:ascii="Times New Roman" w:eastAsia="Times New Roman" w:hAnsi="Times New Roman" w:cs="Times New Roman"/>
          <w:color w:val="000000"/>
        </w:rPr>
        <w:t xml:space="preserve"> of initial innovation. The Circular Economy Strategy by BMW, where the sustainable principles relate to re-using materials that are recyclable and the closed-loop production, and the similar approach with the Environmental Challenge 2050 by Toyota, where the company aims to be carbon neutral across the board, show how the followers are integrating the notion of sustainability in the value-propositions, are rather powerful plans that emphasize the concept of adaptive environmental marketing where compliance and gradual improvement are the cornerstones of the winning strategy (Polonsky, 2011).</w:t>
      </w:r>
    </w:p>
    <w:p w14:paraId="4661B8BA" w14:textId="55F0E3BE" w:rsidR="008F5C3D" w:rsidRDefault="008F5C3D" w:rsidP="003722AC">
      <w:pPr>
        <w:pBdr>
          <w:top w:val="nil"/>
          <w:left w:val="nil"/>
          <w:bottom w:val="nil"/>
          <w:right w:val="nil"/>
          <w:between w:val="nil"/>
        </w:pBdr>
        <w:spacing w:line="240" w:lineRule="auto"/>
        <w:ind w:left="720" w:firstLine="720"/>
        <w:jc w:val="both"/>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 xml:space="preserve">Nonetheless, followers also encounter significant risks associated with increasing regulatory pressure and increasing consumer demands. When the governments tighten the grip on the emissions standards, the late entrants in the market experience tremendous pressure to speed up the technological adoption to stay in the competition. This may make the firms drain their resources and have reputation risks when the sustainability claims are not received well where they could be labeled as greenwashing that is, when a firm misleads the people </w:t>
      </w:r>
      <w:proofErr w:type="gramStart"/>
      <w:r>
        <w:rPr>
          <w:rFonts w:ascii="Times New Roman" w:eastAsia="Times New Roman" w:hAnsi="Times New Roman" w:cs="Times New Roman"/>
          <w:color w:val="000000"/>
        </w:rPr>
        <w:t>in</w:t>
      </w:r>
      <w:proofErr w:type="gramEnd"/>
      <w:r>
        <w:rPr>
          <w:rFonts w:ascii="Times New Roman" w:eastAsia="Times New Roman" w:hAnsi="Times New Roman" w:cs="Times New Roman"/>
          <w:color w:val="000000"/>
        </w:rPr>
        <w:t xml:space="preserve"> the perception that their products or services to be greener </w:t>
      </w:r>
      <w:r w:rsidR="003722AC">
        <w:rPr>
          <w:rFonts w:ascii="Times New Roman" w:eastAsia="Times New Roman" w:hAnsi="Times New Roman" w:cs="Times New Roman"/>
          <w:color w:val="000000"/>
        </w:rPr>
        <w:t>than</w:t>
      </w:r>
      <w:r>
        <w:rPr>
          <w:rFonts w:ascii="Times New Roman" w:eastAsia="Times New Roman" w:hAnsi="Times New Roman" w:cs="Times New Roman"/>
          <w:color w:val="000000"/>
        </w:rPr>
        <w:t xml:space="preserve"> they </w:t>
      </w:r>
      <w:proofErr w:type="gramStart"/>
      <w:r>
        <w:rPr>
          <w:rFonts w:ascii="Times New Roman" w:eastAsia="Times New Roman" w:hAnsi="Times New Roman" w:cs="Times New Roman"/>
          <w:color w:val="000000"/>
        </w:rPr>
        <w:t>actually are</w:t>
      </w:r>
      <w:proofErr w:type="gramEnd"/>
      <w:r>
        <w:rPr>
          <w:rFonts w:ascii="Times New Roman" w:eastAsia="Times New Roman" w:hAnsi="Times New Roman" w:cs="Times New Roman"/>
          <w:color w:val="000000"/>
        </w:rPr>
        <w:t xml:space="preserve">. Not only this, </w:t>
      </w:r>
      <w:r w:rsidR="00851653">
        <w:rPr>
          <w:rFonts w:ascii="Times New Roman" w:eastAsia="Times New Roman" w:hAnsi="Times New Roman" w:cs="Times New Roman"/>
          <w:color w:val="000000"/>
        </w:rPr>
        <w:t>but the followers also</w:t>
      </w:r>
      <w:r>
        <w:rPr>
          <w:rFonts w:ascii="Times New Roman" w:eastAsia="Times New Roman" w:hAnsi="Times New Roman" w:cs="Times New Roman"/>
          <w:color w:val="000000"/>
        </w:rPr>
        <w:t xml:space="preserve"> tend to have a hard time at ensuring balance between financial efficiency, and environmental responsibility, particularly in transitioning away to conventional manufacturing system to high emission production infrastructure.</w:t>
      </w:r>
    </w:p>
    <w:p w14:paraId="2DF882BA" w14:textId="4C5A9AD5" w:rsidR="008F5C3D" w:rsidRDefault="008F5C3D" w:rsidP="00851653">
      <w:pPr>
        <w:pBdr>
          <w:top w:val="nil"/>
          <w:left w:val="nil"/>
          <w:bottom w:val="nil"/>
          <w:right w:val="nil"/>
          <w:between w:val="nil"/>
        </w:pBdr>
        <w:spacing w:line="240" w:lineRule="auto"/>
        <w:ind w:left="720" w:firstLine="72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In marketing perspective, the alteration of the environment transforms the essence of target market differentiation and brand positioning of pioneers and followers. Deloitte (2023) claims that more than 60 percent of Europeans and North Americans consider sustainability as one of the main factors to be considered when buying an automotive. This illustrates the necessity of the actual need to have authentic environmental communication, open ESG reporting and adherence to </w:t>
      </w:r>
      <w:r w:rsidR="00851653">
        <w:rPr>
          <w:rFonts w:ascii="Times New Roman" w:eastAsia="Times New Roman" w:hAnsi="Times New Roman" w:cs="Times New Roman"/>
          <w:color w:val="000000"/>
        </w:rPr>
        <w:t>Corporate</w:t>
      </w:r>
      <w:r>
        <w:rPr>
          <w:rFonts w:ascii="Times New Roman" w:eastAsia="Times New Roman" w:hAnsi="Times New Roman" w:cs="Times New Roman"/>
          <w:color w:val="000000"/>
        </w:rPr>
        <w:t xml:space="preserve"> Social Responsibility (CSR).</w:t>
      </w:r>
    </w:p>
    <w:p w14:paraId="31BBD42A" w14:textId="77777777" w:rsidR="008F5C3D" w:rsidRDefault="008F5C3D" w:rsidP="008F5C3D">
      <w:pPr>
        <w:rPr>
          <w:rFonts w:ascii="Times New Roman" w:eastAsia="Times New Roman" w:hAnsi="Times New Roman" w:cs="Times New Roman"/>
        </w:rPr>
      </w:pPr>
      <w:r>
        <w:br w:type="page"/>
      </w:r>
    </w:p>
    <w:p w14:paraId="0DC72AC0" w14:textId="77777777" w:rsidR="008F5C3D" w:rsidRDefault="008F5C3D" w:rsidP="008F5C3D">
      <w:pPr>
        <w:pBdr>
          <w:top w:val="nil"/>
          <w:left w:val="nil"/>
          <w:bottom w:val="nil"/>
          <w:right w:val="nil"/>
          <w:between w:val="nil"/>
        </w:pBdr>
        <w:spacing w:line="240" w:lineRule="auto"/>
        <w:ind w:left="720"/>
        <w:jc w:val="center"/>
        <w:rPr>
          <w:rFonts w:ascii="Times New Roman" w:eastAsia="Times New Roman" w:hAnsi="Times New Roman" w:cs="Times New Roman"/>
          <w:b/>
          <w:bCs/>
          <w:color w:val="000000"/>
          <w:u w:val="single"/>
        </w:rPr>
      </w:pPr>
      <w:r>
        <w:rPr>
          <w:rFonts w:ascii="Times New Roman" w:eastAsia="Times New Roman" w:hAnsi="Times New Roman" w:cs="Times New Roman"/>
          <w:b/>
          <w:bCs/>
          <w:color w:val="000000"/>
          <w:u w:val="single"/>
        </w:rPr>
        <w:lastRenderedPageBreak/>
        <w:t>Strategic Responses</w:t>
      </w:r>
    </w:p>
    <w:p w14:paraId="2CBFB2E9" w14:textId="6DE3AA78" w:rsidR="008F5C3D" w:rsidRDefault="008F5C3D" w:rsidP="00851653">
      <w:pPr>
        <w:pBdr>
          <w:top w:val="nil"/>
          <w:left w:val="nil"/>
          <w:bottom w:val="nil"/>
          <w:right w:val="nil"/>
          <w:between w:val="nil"/>
        </w:pBdr>
        <w:spacing w:line="240" w:lineRule="auto"/>
        <w:ind w:left="720" w:firstLine="36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technological and environmental pressures shaping the EV industry also necessitate the need of both pioneers and followers to act strategically </w:t>
      </w:r>
      <w:r w:rsidR="00CE2230">
        <w:rPr>
          <w:rFonts w:ascii="Times New Roman" w:eastAsia="Times New Roman" w:hAnsi="Times New Roman" w:cs="Times New Roman"/>
          <w:color w:val="000000"/>
        </w:rPr>
        <w:t>to</w:t>
      </w:r>
      <w:r>
        <w:rPr>
          <w:rFonts w:ascii="Times New Roman" w:eastAsia="Times New Roman" w:hAnsi="Times New Roman" w:cs="Times New Roman"/>
          <w:color w:val="000000"/>
        </w:rPr>
        <w:t xml:space="preserve"> balance the importance of innovation, risk and </w:t>
      </w:r>
      <w:r w:rsidR="00CE2230">
        <w:rPr>
          <w:rFonts w:ascii="Times New Roman" w:eastAsia="Times New Roman" w:hAnsi="Times New Roman" w:cs="Times New Roman"/>
          <w:color w:val="000000"/>
        </w:rPr>
        <w:t>long-term</w:t>
      </w:r>
      <w:r>
        <w:rPr>
          <w:rFonts w:ascii="Times New Roman" w:eastAsia="Times New Roman" w:hAnsi="Times New Roman" w:cs="Times New Roman"/>
          <w:color w:val="000000"/>
        </w:rPr>
        <w:t xml:space="preserve"> competitiveness. Although the nature of these reactions </w:t>
      </w:r>
      <w:r w:rsidR="00CE2230">
        <w:rPr>
          <w:rFonts w:ascii="Times New Roman" w:eastAsia="Times New Roman" w:hAnsi="Times New Roman" w:cs="Times New Roman"/>
          <w:color w:val="000000"/>
        </w:rPr>
        <w:t>differs</w:t>
      </w:r>
      <w:r>
        <w:rPr>
          <w:rFonts w:ascii="Times New Roman" w:eastAsia="Times New Roman" w:hAnsi="Times New Roman" w:cs="Times New Roman"/>
          <w:color w:val="000000"/>
        </w:rPr>
        <w:t xml:space="preserve"> depending on the market position, resources and brand identity, the two forms of firms depend on the operational and marketing strategies that align with the external macro-environmental changes.</w:t>
      </w:r>
    </w:p>
    <w:p w14:paraId="513F6019" w14:textId="77777777" w:rsidR="008F5C3D" w:rsidRDefault="008F5C3D" w:rsidP="00851653">
      <w:pPr>
        <w:numPr>
          <w:ilvl w:val="0"/>
          <w:numId w:val="6"/>
        </w:numPr>
        <w:pBdr>
          <w:top w:val="nil"/>
          <w:left w:val="nil"/>
          <w:bottom w:val="nil"/>
          <w:right w:val="nil"/>
          <w:between w:val="nil"/>
        </w:pBdr>
        <w:spacing w:line="240" w:lineRule="auto"/>
        <w:jc w:val="both"/>
        <w:rPr>
          <w:rFonts w:ascii="Times New Roman" w:eastAsia="Times New Roman" w:hAnsi="Times New Roman" w:cs="Times New Roman"/>
          <w:b/>
          <w:bCs/>
          <w:color w:val="000000"/>
        </w:rPr>
      </w:pPr>
      <w:r>
        <w:rPr>
          <w:rFonts w:ascii="Times New Roman" w:eastAsia="Times New Roman" w:hAnsi="Times New Roman" w:cs="Times New Roman"/>
          <w:b/>
          <w:bCs/>
          <w:color w:val="000000"/>
        </w:rPr>
        <w:t>Responses to Technological Changes</w:t>
      </w:r>
    </w:p>
    <w:p w14:paraId="0756758E" w14:textId="4E75BA05" w:rsidR="008F5C3D" w:rsidRDefault="008F5C3D" w:rsidP="00851653">
      <w:pPr>
        <w:pBdr>
          <w:top w:val="nil"/>
          <w:left w:val="nil"/>
          <w:bottom w:val="nil"/>
          <w:right w:val="nil"/>
          <w:between w:val="nil"/>
        </w:pBdr>
        <w:spacing w:line="240" w:lineRule="auto"/>
        <w:ind w:left="108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Leading companies, especially Tesla, react to the instability in technology by differentiating and being reliably innovative. Its tactic is based on the principle of differentiation proposed by Porter (1980) focusing on high battery performance, brand-related charging system, and high-level software expertise. </w:t>
      </w:r>
      <w:r w:rsidR="00C639C9">
        <w:rPr>
          <w:rFonts w:ascii="Times New Roman" w:eastAsia="Times New Roman" w:hAnsi="Times New Roman" w:cs="Times New Roman"/>
          <w:color w:val="000000"/>
        </w:rPr>
        <w:t>Tight</w:t>
      </w:r>
      <w:r>
        <w:rPr>
          <w:rFonts w:ascii="Times New Roman" w:eastAsia="Times New Roman" w:hAnsi="Times New Roman" w:cs="Times New Roman"/>
          <w:color w:val="000000"/>
        </w:rPr>
        <w:t xml:space="preserve"> industrial control and ownership was achieved by </w:t>
      </w:r>
      <w:r w:rsidR="00F31C97">
        <w:rPr>
          <w:rFonts w:ascii="Times New Roman" w:eastAsia="Times New Roman" w:hAnsi="Times New Roman" w:cs="Times New Roman"/>
          <w:color w:val="000000"/>
        </w:rPr>
        <w:t>extensive</w:t>
      </w:r>
      <w:r>
        <w:rPr>
          <w:rFonts w:ascii="Times New Roman" w:eastAsia="Times New Roman" w:hAnsi="Times New Roman" w:cs="Times New Roman"/>
          <w:color w:val="000000"/>
        </w:rPr>
        <w:t xml:space="preserve"> </w:t>
      </w:r>
      <w:r w:rsidR="00034F38">
        <w:rPr>
          <w:rFonts w:ascii="Times New Roman" w:eastAsia="Times New Roman" w:hAnsi="Times New Roman" w:cs="Times New Roman"/>
          <w:color w:val="000000"/>
        </w:rPr>
        <w:t>investment</w:t>
      </w:r>
      <w:r>
        <w:rPr>
          <w:rFonts w:ascii="Times New Roman" w:eastAsia="Times New Roman" w:hAnsi="Times New Roman" w:cs="Times New Roman"/>
          <w:color w:val="000000"/>
        </w:rPr>
        <w:t xml:space="preserve"> in R&amp;D with the aim of Tesla and contributing to the fact that the integration was complete, unrelied </w:t>
      </w:r>
      <w:r w:rsidR="00F31C97">
        <w:rPr>
          <w:rFonts w:ascii="Times New Roman" w:eastAsia="Times New Roman" w:hAnsi="Times New Roman" w:cs="Times New Roman"/>
          <w:color w:val="000000"/>
        </w:rPr>
        <w:t>by</w:t>
      </w:r>
      <w:r>
        <w:rPr>
          <w:rFonts w:ascii="Times New Roman" w:eastAsia="Times New Roman" w:hAnsi="Times New Roman" w:cs="Times New Roman"/>
          <w:color w:val="000000"/>
        </w:rPr>
        <w:t xml:space="preserve"> external suppliers. This is perfectly in line with the theory of Dynamic Capabilities of Teece (2007), which points out the necessity to reconfigure the resources system at a fast pace in dynamic and changing environments.</w:t>
      </w:r>
    </w:p>
    <w:p w14:paraId="1AE86D3A" w14:textId="260F2D0C" w:rsidR="008F5C3D" w:rsidRDefault="008F5C3D" w:rsidP="00851653">
      <w:pPr>
        <w:pBdr>
          <w:top w:val="nil"/>
          <w:left w:val="nil"/>
          <w:bottom w:val="nil"/>
          <w:right w:val="nil"/>
          <w:between w:val="nil"/>
        </w:pBdr>
        <w:spacing w:line="240" w:lineRule="auto"/>
        <w:ind w:left="108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Follower organizations in contrast, such as BMW and Volkswagen tend to use strategic alliances and tech driven partnerships to accelerate and enhance innovation and manage </w:t>
      </w:r>
      <w:r w:rsidR="00F31C97">
        <w:rPr>
          <w:rFonts w:ascii="Times New Roman" w:eastAsia="Times New Roman" w:hAnsi="Times New Roman" w:cs="Times New Roman"/>
          <w:color w:val="000000"/>
        </w:rPr>
        <w:t>risks</w:t>
      </w:r>
      <w:r>
        <w:rPr>
          <w:rFonts w:ascii="Times New Roman" w:eastAsia="Times New Roman" w:hAnsi="Times New Roman" w:cs="Times New Roman"/>
          <w:color w:val="000000"/>
        </w:rPr>
        <w:t>. These follower firms can cut down the development costs and leverage on the available expertise through partnerships with companies specialized in the next generation batteries or autonomous systems. This is a classic example of Product Development Strategy of (Ansoff,1957) where companies introduce new technologies into the already existing market to enhance their competitiveness. The standardization of technology is also advantageous to the followers owing to the fact that they can face the challenge of providing high-performance EVs without necessarily covering the initial innovation costs.</w:t>
      </w:r>
    </w:p>
    <w:p w14:paraId="61B31D17" w14:textId="77777777" w:rsidR="008F5C3D" w:rsidRDefault="008F5C3D" w:rsidP="00851653">
      <w:pPr>
        <w:pBdr>
          <w:top w:val="nil"/>
          <w:left w:val="nil"/>
          <w:bottom w:val="nil"/>
          <w:right w:val="nil"/>
          <w:between w:val="nil"/>
        </w:pBdr>
        <w:spacing w:line="240" w:lineRule="auto"/>
        <w:ind w:left="1080"/>
        <w:jc w:val="both"/>
        <w:rPr>
          <w:rFonts w:ascii="Times New Roman" w:eastAsia="Times New Roman" w:hAnsi="Times New Roman" w:cs="Times New Roman"/>
          <w:color w:val="000000"/>
        </w:rPr>
      </w:pPr>
      <w:r>
        <w:rPr>
          <w:rFonts w:ascii="Times New Roman" w:eastAsia="Times New Roman" w:hAnsi="Times New Roman" w:cs="Times New Roman"/>
          <w:color w:val="000000"/>
        </w:rPr>
        <w:t>In addition to strategic alliances, platform-sharing and modular architectures are also strategic approaches used by the followers to effectively adapt to technological change. Using Volkswagen as an example, the MEB platform that the company uses enables various EV models to be produced using the same frame, therefore, reducing manufacturing expenses and time-to-market. The latter is not only better at increasing the growth potential, but it also allows the followers to rapidly adopt the technological advantages such as improved battery capacity or an enhanced driver-assistant feature in a variety of product lines.</w:t>
      </w:r>
    </w:p>
    <w:p w14:paraId="2F6FDF16" w14:textId="77777777" w:rsidR="008F5C3D" w:rsidRDefault="008F5C3D" w:rsidP="00851653">
      <w:pPr>
        <w:numPr>
          <w:ilvl w:val="0"/>
          <w:numId w:val="6"/>
        </w:numPr>
        <w:pBdr>
          <w:top w:val="nil"/>
          <w:left w:val="nil"/>
          <w:bottom w:val="nil"/>
          <w:right w:val="nil"/>
          <w:between w:val="nil"/>
        </w:pBdr>
        <w:spacing w:line="240" w:lineRule="auto"/>
        <w:jc w:val="both"/>
        <w:rPr>
          <w:rFonts w:ascii="Times New Roman" w:eastAsia="Times New Roman" w:hAnsi="Times New Roman" w:cs="Times New Roman"/>
          <w:b/>
          <w:bCs/>
          <w:color w:val="000000"/>
        </w:rPr>
      </w:pPr>
      <w:r>
        <w:rPr>
          <w:rFonts w:ascii="Times New Roman" w:eastAsia="Times New Roman" w:hAnsi="Times New Roman" w:cs="Times New Roman"/>
          <w:b/>
          <w:bCs/>
          <w:color w:val="000000"/>
        </w:rPr>
        <w:t>Responses to Environmental Changes</w:t>
      </w:r>
    </w:p>
    <w:p w14:paraId="71CE1FC3" w14:textId="77777777" w:rsidR="008F5C3D" w:rsidRDefault="008F5C3D" w:rsidP="00851653">
      <w:pPr>
        <w:pBdr>
          <w:top w:val="nil"/>
          <w:left w:val="nil"/>
          <w:bottom w:val="nil"/>
          <w:right w:val="nil"/>
          <w:between w:val="nil"/>
        </w:pBdr>
        <w:spacing w:line="240" w:lineRule="auto"/>
        <w:ind w:left="108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environmental forces require firms to demonstrate real sustainability intentions. Pioneers take the opportunity of environmental change as a way of consolidating the brand purpose. To illustrate the point, the company of tesla incorporates the concept of sustainability into its overall system; zero emission vehicles, renewable energy storage, and other aspects, emphasizing the concepts of Societal Marketing and the Triple Bottom Line (Elkington, 1998). The company can also be referred to as an ethical </w:t>
      </w:r>
      <w:r>
        <w:rPr>
          <w:rFonts w:ascii="Times New Roman" w:eastAsia="Times New Roman" w:hAnsi="Times New Roman" w:cs="Times New Roman"/>
          <w:color w:val="000000"/>
        </w:rPr>
        <w:lastRenderedPageBreak/>
        <w:t>innovator by laying importance on environmental concerns during its marketing policies.</w:t>
      </w:r>
    </w:p>
    <w:p w14:paraId="0BA574B4" w14:textId="1A66D13B" w:rsidR="008F5C3D" w:rsidRDefault="008F5C3D" w:rsidP="00851653">
      <w:pPr>
        <w:pBdr>
          <w:top w:val="nil"/>
          <w:left w:val="nil"/>
          <w:bottom w:val="nil"/>
          <w:right w:val="nil"/>
          <w:between w:val="nil"/>
        </w:pBdr>
        <w:spacing w:line="240" w:lineRule="auto"/>
        <w:ind w:left="108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Followers are more likely to move towards more structured reactions that adhere to the rules and regulations. regulations. As an example, the program of the Circular Economy used in BMW and in Toyota’s carbon-neutrality targets portray a reactive CSR strategy, where environmental sustainability is encompassed in production, logistics and brand communications. These companies adopt sustainability as a way of satisfying the rising demands of </w:t>
      </w:r>
      <w:r w:rsidR="007F0373">
        <w:rPr>
          <w:rFonts w:ascii="Times New Roman" w:eastAsia="Times New Roman" w:hAnsi="Times New Roman" w:cs="Times New Roman"/>
          <w:color w:val="000000"/>
        </w:rPr>
        <w:t>overtime</w:t>
      </w:r>
      <w:r>
        <w:rPr>
          <w:rFonts w:ascii="Times New Roman" w:eastAsia="Times New Roman" w:hAnsi="Times New Roman" w:cs="Times New Roman"/>
          <w:color w:val="000000"/>
        </w:rPr>
        <w:t xml:space="preserve"> and to serve the emerging consumer values and not as a means of differentiation in the market.</w:t>
      </w:r>
    </w:p>
    <w:p w14:paraId="657AD06A" w14:textId="7DCCC0AE" w:rsidR="008F5C3D" w:rsidRDefault="008F5C3D" w:rsidP="00851653">
      <w:pPr>
        <w:pBdr>
          <w:top w:val="nil"/>
          <w:left w:val="nil"/>
          <w:bottom w:val="nil"/>
          <w:right w:val="nil"/>
          <w:between w:val="nil"/>
        </w:pBdr>
        <w:spacing w:line="240" w:lineRule="auto"/>
        <w:ind w:left="1080"/>
        <w:jc w:val="both"/>
        <w:rPr>
          <w:rFonts w:ascii="Times New Roman" w:eastAsia="Times New Roman" w:hAnsi="Times New Roman" w:cs="Times New Roman"/>
          <w:color w:val="000000"/>
        </w:rPr>
      </w:pPr>
      <w:r>
        <w:rPr>
          <w:rFonts w:ascii="Times New Roman" w:eastAsia="Times New Roman" w:hAnsi="Times New Roman" w:cs="Times New Roman"/>
          <w:color w:val="000000"/>
        </w:rPr>
        <w:t>Over the years, a</w:t>
      </w:r>
      <w:r w:rsidR="00911AD2">
        <w:rPr>
          <w:rFonts w:ascii="Times New Roman" w:eastAsia="Times New Roman" w:hAnsi="Times New Roman" w:cs="Times New Roman"/>
          <w:color w:val="000000"/>
        </w:rPr>
        <w:t>ll</w:t>
      </w:r>
      <w:r>
        <w:rPr>
          <w:rFonts w:ascii="Times New Roman" w:eastAsia="Times New Roman" w:hAnsi="Times New Roman" w:cs="Times New Roman"/>
          <w:color w:val="000000"/>
        </w:rPr>
        <w:t xml:space="preserve"> followers have begun increasingly </w:t>
      </w:r>
      <w:r w:rsidR="00911AD2">
        <w:rPr>
          <w:rFonts w:ascii="Times New Roman" w:eastAsia="Times New Roman" w:hAnsi="Times New Roman" w:cs="Times New Roman"/>
          <w:color w:val="000000"/>
        </w:rPr>
        <w:t>relying</w:t>
      </w:r>
      <w:r>
        <w:rPr>
          <w:rFonts w:ascii="Times New Roman" w:eastAsia="Times New Roman" w:hAnsi="Times New Roman" w:cs="Times New Roman"/>
          <w:color w:val="000000"/>
        </w:rPr>
        <w:t xml:space="preserve"> on clear reporting on ESG and green certification to keep consumer trust and to meet the overall environmental expectations. Companies such as BMW and Hyundai uphold their credentials and avoid the label of greenwashing by publicly releasing detailed sustainability indicators such as lifecycle carbon emissions, recycling rates and utilization of renewable energy. These sustainability arguments are included in brand stories, with emphasis on long-term pledges such as water resource management, ethical sourcing and </w:t>
      </w:r>
      <w:r w:rsidR="00911AD2">
        <w:rPr>
          <w:rFonts w:ascii="Times New Roman" w:eastAsia="Times New Roman" w:hAnsi="Times New Roman" w:cs="Times New Roman"/>
          <w:color w:val="000000"/>
        </w:rPr>
        <w:t>eco-friendly</w:t>
      </w:r>
      <w:r>
        <w:rPr>
          <w:rFonts w:ascii="Times New Roman" w:eastAsia="Times New Roman" w:hAnsi="Times New Roman" w:cs="Times New Roman"/>
          <w:color w:val="000000"/>
        </w:rPr>
        <w:t xml:space="preserve"> logistics. These efforts contribute significantly to the efforts of followers to emphasize that sustainability is not a reaction to some form of coercion, but a highly significant strategic pillar that assists in product development and identification of brands.</w:t>
      </w:r>
    </w:p>
    <w:p w14:paraId="339A6719" w14:textId="77777777" w:rsidR="008F5C3D" w:rsidRDefault="008F5C3D" w:rsidP="008F5C3D">
      <w:pPr>
        <w:rPr>
          <w:rFonts w:ascii="Times New Roman" w:eastAsia="Times New Roman" w:hAnsi="Times New Roman" w:cs="Times New Roman"/>
        </w:rPr>
      </w:pPr>
      <w:r>
        <w:br w:type="page"/>
      </w:r>
    </w:p>
    <w:p w14:paraId="4571F5D6" w14:textId="77777777" w:rsidR="008F5C3D" w:rsidRDefault="008F5C3D" w:rsidP="008F5C3D">
      <w:pPr>
        <w:pBdr>
          <w:top w:val="nil"/>
          <w:left w:val="nil"/>
          <w:bottom w:val="nil"/>
          <w:right w:val="nil"/>
          <w:between w:val="nil"/>
        </w:pBdr>
        <w:spacing w:line="240" w:lineRule="auto"/>
        <w:ind w:left="1080"/>
        <w:jc w:val="center"/>
        <w:rPr>
          <w:rFonts w:ascii="Times New Roman" w:eastAsia="Times New Roman" w:hAnsi="Times New Roman" w:cs="Times New Roman"/>
          <w:b/>
          <w:bCs/>
          <w:color w:val="000000"/>
          <w:u w:val="single"/>
        </w:rPr>
      </w:pPr>
      <w:r>
        <w:rPr>
          <w:rFonts w:ascii="Times New Roman" w:eastAsia="Times New Roman" w:hAnsi="Times New Roman" w:cs="Times New Roman"/>
          <w:b/>
          <w:bCs/>
          <w:color w:val="000000"/>
          <w:u w:val="single"/>
        </w:rPr>
        <w:lastRenderedPageBreak/>
        <w:t xml:space="preserve">Evaluation </w:t>
      </w:r>
    </w:p>
    <w:p w14:paraId="3FF0DEB8" w14:textId="6362B160" w:rsidR="008F5C3D" w:rsidRDefault="008F5C3D" w:rsidP="00034F38">
      <w:pPr>
        <w:pBdr>
          <w:top w:val="nil"/>
          <w:left w:val="nil"/>
          <w:bottom w:val="nil"/>
          <w:right w:val="nil"/>
          <w:between w:val="nil"/>
        </w:pBdr>
        <w:spacing w:line="240" w:lineRule="auto"/>
        <w:ind w:left="1080" w:firstLine="36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By comparing pioneer and follower strategies, it is obvious that whereas the pioneer strategies involve a focus on a business approach, the follower strategies cover rather different aspects. </w:t>
      </w:r>
      <w:r w:rsidR="00034F38">
        <w:rPr>
          <w:rFonts w:ascii="Times New Roman" w:eastAsia="Times New Roman" w:hAnsi="Times New Roman" w:cs="Times New Roman"/>
          <w:color w:val="000000"/>
        </w:rPr>
        <w:t>They</w:t>
      </w:r>
      <w:r>
        <w:rPr>
          <w:rFonts w:ascii="Times New Roman" w:eastAsia="Times New Roman" w:hAnsi="Times New Roman" w:cs="Times New Roman"/>
          <w:color w:val="000000"/>
        </w:rPr>
        <w:t xml:space="preserve"> both have different advantages that come along with latent limitations in terms of technology and environmental pressures. The innovators, of whom Tesla in this article is representative, are able to enjoy the innovation leadership, powerful brand positioning and initial market grabbing. Through their quick and efficient reaction towards technological transformation, they can make the industry high and win the consumers who believe very much in sustainability. Nevertheless, they are the first </w:t>
      </w:r>
      <w:r w:rsidR="00643B05">
        <w:rPr>
          <w:rFonts w:ascii="Times New Roman" w:eastAsia="Times New Roman" w:hAnsi="Times New Roman" w:cs="Times New Roman"/>
          <w:color w:val="000000"/>
        </w:rPr>
        <w:t>ones</w:t>
      </w:r>
      <w:r>
        <w:rPr>
          <w:rFonts w:ascii="Times New Roman" w:eastAsia="Times New Roman" w:hAnsi="Times New Roman" w:cs="Times New Roman"/>
          <w:color w:val="000000"/>
        </w:rPr>
        <w:t xml:space="preserve">, which, in addition, covers them with </w:t>
      </w:r>
      <w:r w:rsidR="00643B05">
        <w:rPr>
          <w:rFonts w:ascii="Times New Roman" w:eastAsia="Times New Roman" w:hAnsi="Times New Roman" w:cs="Times New Roman"/>
          <w:color w:val="000000"/>
        </w:rPr>
        <w:t>high R</w:t>
      </w:r>
      <w:r>
        <w:rPr>
          <w:rFonts w:ascii="Times New Roman" w:eastAsia="Times New Roman" w:hAnsi="Times New Roman" w:cs="Times New Roman"/>
          <w:color w:val="000000"/>
        </w:rPr>
        <w:t xml:space="preserve">&amp;D expenses and frequent inspections and makes them incredibly susceptible to technological change. </w:t>
      </w:r>
      <w:proofErr w:type="gramStart"/>
      <w:r>
        <w:rPr>
          <w:rFonts w:ascii="Times New Roman" w:eastAsia="Times New Roman" w:hAnsi="Times New Roman" w:cs="Times New Roman"/>
          <w:color w:val="000000"/>
        </w:rPr>
        <w:t>In order to</w:t>
      </w:r>
      <w:proofErr w:type="gramEnd"/>
      <w:r>
        <w:rPr>
          <w:rFonts w:ascii="Times New Roman" w:eastAsia="Times New Roman" w:hAnsi="Times New Roman" w:cs="Times New Roman"/>
          <w:color w:val="000000"/>
        </w:rPr>
        <w:t xml:space="preserve"> maintain the leading position, one </w:t>
      </w:r>
      <w:proofErr w:type="gramStart"/>
      <w:r>
        <w:rPr>
          <w:rFonts w:ascii="Times New Roman" w:eastAsia="Times New Roman" w:hAnsi="Times New Roman" w:cs="Times New Roman"/>
          <w:color w:val="000000"/>
        </w:rPr>
        <w:t>has to</w:t>
      </w:r>
      <w:proofErr w:type="gramEnd"/>
      <w:r>
        <w:rPr>
          <w:rFonts w:ascii="Times New Roman" w:eastAsia="Times New Roman" w:hAnsi="Times New Roman" w:cs="Times New Roman"/>
          <w:color w:val="000000"/>
        </w:rPr>
        <w:t xml:space="preserve"> keep evolving, but this is quite difficult in a quickly changing business.</w:t>
      </w:r>
    </w:p>
    <w:p w14:paraId="169D19BB" w14:textId="04E4D359" w:rsidR="008F5C3D" w:rsidRDefault="008F5C3D" w:rsidP="00034F38">
      <w:pPr>
        <w:pBdr>
          <w:top w:val="nil"/>
          <w:left w:val="nil"/>
          <w:bottom w:val="nil"/>
          <w:right w:val="nil"/>
          <w:between w:val="nil"/>
        </w:pBdr>
        <w:spacing w:line="240" w:lineRule="auto"/>
        <w:ind w:left="1080" w:firstLine="36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Conversely, BMW and Toyota as followers have an advantage of learning impacts, reduced exposure to risks, and breakthroughs through partnerships. They have relatively lower financial </w:t>
      </w:r>
      <w:proofErr w:type="gramStart"/>
      <w:r>
        <w:rPr>
          <w:rFonts w:ascii="Times New Roman" w:eastAsia="Times New Roman" w:hAnsi="Times New Roman" w:cs="Times New Roman"/>
          <w:color w:val="000000"/>
        </w:rPr>
        <w:t>cost</w:t>
      </w:r>
      <w:proofErr w:type="gramEnd"/>
      <w:r>
        <w:rPr>
          <w:rFonts w:ascii="Times New Roman" w:eastAsia="Times New Roman" w:hAnsi="Times New Roman" w:cs="Times New Roman"/>
          <w:color w:val="000000"/>
        </w:rPr>
        <w:t xml:space="preserve"> of operating </w:t>
      </w:r>
      <w:r w:rsidR="00643B05">
        <w:rPr>
          <w:rFonts w:ascii="Times New Roman" w:eastAsia="Times New Roman" w:hAnsi="Times New Roman" w:cs="Times New Roman"/>
          <w:color w:val="000000"/>
        </w:rPr>
        <w:t>strategies,</w:t>
      </w:r>
      <w:r>
        <w:rPr>
          <w:rFonts w:ascii="Times New Roman" w:eastAsia="Times New Roman" w:hAnsi="Times New Roman" w:cs="Times New Roman"/>
          <w:color w:val="000000"/>
        </w:rPr>
        <w:t xml:space="preserve"> and they are aided by set global structures to do </w:t>
      </w:r>
      <w:r w:rsidR="00643B05">
        <w:rPr>
          <w:rFonts w:ascii="Times New Roman" w:eastAsia="Times New Roman" w:hAnsi="Times New Roman" w:cs="Times New Roman"/>
          <w:color w:val="000000"/>
        </w:rPr>
        <w:t>efficient</w:t>
      </w:r>
      <w:r>
        <w:rPr>
          <w:rFonts w:ascii="Times New Roman" w:eastAsia="Times New Roman" w:hAnsi="Times New Roman" w:cs="Times New Roman"/>
          <w:color w:val="000000"/>
        </w:rPr>
        <w:t xml:space="preserve"> marketing on a large scale. Nevertheless, there is also a dilemma of repeating the challenge of bridging the brand impression gap as compared with pioneers by the followers. They have limited potential </w:t>
      </w:r>
      <w:r w:rsidR="00643B05">
        <w:rPr>
          <w:rFonts w:ascii="Times New Roman" w:eastAsia="Times New Roman" w:hAnsi="Times New Roman" w:cs="Times New Roman"/>
          <w:color w:val="000000"/>
        </w:rPr>
        <w:t>to be</w:t>
      </w:r>
      <w:r>
        <w:rPr>
          <w:rFonts w:ascii="Times New Roman" w:eastAsia="Times New Roman" w:hAnsi="Times New Roman" w:cs="Times New Roman"/>
          <w:color w:val="000000"/>
        </w:rPr>
        <w:t xml:space="preserve"> distinctive in the market due to their tardy market entry and the use of already standardized technology.</w:t>
      </w:r>
    </w:p>
    <w:p w14:paraId="23F0C917" w14:textId="77777777" w:rsidR="008F5C3D" w:rsidRDefault="008F5C3D" w:rsidP="00643B05">
      <w:pPr>
        <w:pBdr>
          <w:top w:val="nil"/>
          <w:left w:val="nil"/>
          <w:bottom w:val="nil"/>
          <w:right w:val="nil"/>
          <w:between w:val="nil"/>
        </w:pBdr>
        <w:spacing w:line="240" w:lineRule="auto"/>
        <w:ind w:left="1080" w:firstLine="360"/>
        <w:jc w:val="both"/>
        <w:rPr>
          <w:rFonts w:ascii="Times New Roman" w:eastAsia="Times New Roman" w:hAnsi="Times New Roman" w:cs="Times New Roman"/>
          <w:color w:val="000000"/>
        </w:rPr>
      </w:pPr>
      <w:r>
        <w:rPr>
          <w:rFonts w:ascii="Times New Roman" w:eastAsia="Times New Roman" w:hAnsi="Times New Roman" w:cs="Times New Roman"/>
          <w:color w:val="000000"/>
        </w:rPr>
        <w:t>Based on this analysis, it is not only the pioneer or follower position but also the strategic nimbleness of a firm; the capacity to adopt technological changes, the capacity to respond in a sincere manner to environmental issues, and adjustment of the marketing strategies to the constantly rising consumer demands.</w:t>
      </w:r>
    </w:p>
    <w:p w14:paraId="675F4CFF" w14:textId="77777777" w:rsidR="008F5C3D" w:rsidRDefault="008F5C3D" w:rsidP="008F5C3D">
      <w:pPr>
        <w:rPr>
          <w:rFonts w:ascii="Times New Roman" w:eastAsia="Times New Roman" w:hAnsi="Times New Roman" w:cs="Times New Roman"/>
        </w:rPr>
      </w:pPr>
      <w:r>
        <w:br w:type="page"/>
      </w:r>
    </w:p>
    <w:p w14:paraId="4E19C414" w14:textId="77777777" w:rsidR="008F5C3D" w:rsidRDefault="008F5C3D" w:rsidP="008F5C3D">
      <w:pPr>
        <w:pBdr>
          <w:top w:val="nil"/>
          <w:left w:val="nil"/>
          <w:bottom w:val="nil"/>
          <w:right w:val="nil"/>
          <w:between w:val="nil"/>
        </w:pBdr>
        <w:spacing w:line="240" w:lineRule="auto"/>
        <w:ind w:left="1080"/>
        <w:jc w:val="center"/>
        <w:rPr>
          <w:rFonts w:ascii="Times New Roman" w:eastAsia="Times New Roman" w:hAnsi="Times New Roman" w:cs="Times New Roman"/>
          <w:b/>
          <w:bCs/>
          <w:color w:val="000000"/>
          <w:u w:val="single"/>
        </w:rPr>
      </w:pPr>
      <w:r>
        <w:rPr>
          <w:rFonts w:ascii="Times New Roman" w:eastAsia="Times New Roman" w:hAnsi="Times New Roman" w:cs="Times New Roman"/>
          <w:b/>
          <w:bCs/>
          <w:color w:val="000000"/>
          <w:u w:val="single"/>
        </w:rPr>
        <w:lastRenderedPageBreak/>
        <w:t xml:space="preserve">Conclusion </w:t>
      </w:r>
    </w:p>
    <w:p w14:paraId="4D840D41" w14:textId="77777777" w:rsidR="008F5C3D" w:rsidRDefault="008F5C3D" w:rsidP="00643B05">
      <w:pPr>
        <w:pBdr>
          <w:top w:val="nil"/>
          <w:left w:val="nil"/>
          <w:bottom w:val="nil"/>
          <w:right w:val="nil"/>
          <w:between w:val="nil"/>
        </w:pBdr>
        <w:spacing w:line="240" w:lineRule="auto"/>
        <w:ind w:left="1080" w:firstLine="360"/>
        <w:jc w:val="both"/>
        <w:rPr>
          <w:rFonts w:ascii="Times New Roman" w:eastAsia="Times New Roman" w:hAnsi="Times New Roman" w:cs="Times New Roman"/>
          <w:color w:val="000000"/>
        </w:rPr>
      </w:pPr>
      <w:r>
        <w:rPr>
          <w:rFonts w:ascii="Times New Roman" w:eastAsia="Times New Roman" w:hAnsi="Times New Roman" w:cs="Times New Roman"/>
          <w:color w:val="000000"/>
        </w:rPr>
        <w:t>This report examined the opportunities and threats that technological and environmental macroenvironmental forces create on pioneering and follower organizations within the EV industry. This discussion reveals that technological improvement particularly in the area of battery development, integration of AI, and software mobile developments leaves space to shine in the market besides increasing the intensity of market competition and the expense of innovation. The necessity of the authentic, responsible marketing strategies in the industry is further augmented by environmental forces, such as stricter rules and the increase in sustainability in terms of both consumer demands and additional concerns.</w:t>
      </w:r>
    </w:p>
    <w:p w14:paraId="5DFD5638" w14:textId="69940E65" w:rsidR="008F5C3D" w:rsidRDefault="008F5C3D" w:rsidP="00643B05">
      <w:pPr>
        <w:pBdr>
          <w:top w:val="nil"/>
          <w:left w:val="nil"/>
          <w:bottom w:val="nil"/>
          <w:right w:val="nil"/>
          <w:between w:val="nil"/>
        </w:pBdr>
        <w:spacing w:line="240" w:lineRule="auto"/>
        <w:ind w:left="1080" w:firstLine="360"/>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Although first mover firms already own the benefit of early innovation and high eco-friendliness to build credible value propositions, they face significant threats of being disrupted by innovation and high risks to reputation. Strategic learning, partnership and efficient operations give a greater opportunity to respond to external pressures in a more measured and </w:t>
      </w:r>
      <w:r w:rsidR="009D6378">
        <w:rPr>
          <w:rFonts w:ascii="Times New Roman" w:eastAsia="Times New Roman" w:hAnsi="Times New Roman" w:cs="Times New Roman"/>
          <w:color w:val="000000"/>
        </w:rPr>
        <w:t>cost-effective</w:t>
      </w:r>
      <w:r>
        <w:rPr>
          <w:rFonts w:ascii="Times New Roman" w:eastAsia="Times New Roman" w:hAnsi="Times New Roman" w:cs="Times New Roman"/>
          <w:color w:val="000000"/>
        </w:rPr>
        <w:t xml:space="preserve"> manner by the follower firms. Nonetheless, their ability to remain distinctive is low given the fact that they have joined the market late and the sustainability driven communication is prevalent.</w:t>
      </w:r>
    </w:p>
    <w:p w14:paraId="5AE199DA" w14:textId="77777777" w:rsidR="008F5C3D" w:rsidRDefault="008F5C3D" w:rsidP="00643B05">
      <w:pPr>
        <w:pBdr>
          <w:top w:val="nil"/>
          <w:left w:val="nil"/>
          <w:bottom w:val="nil"/>
          <w:right w:val="nil"/>
          <w:between w:val="nil"/>
        </w:pBdr>
        <w:spacing w:line="240" w:lineRule="auto"/>
        <w:ind w:left="1080" w:firstLine="360"/>
        <w:jc w:val="both"/>
        <w:rPr>
          <w:rFonts w:ascii="Times New Roman" w:eastAsia="Times New Roman" w:hAnsi="Times New Roman" w:cs="Times New Roman"/>
          <w:color w:val="000000"/>
        </w:rPr>
      </w:pPr>
      <w:r>
        <w:rPr>
          <w:rFonts w:ascii="Times New Roman" w:eastAsia="Times New Roman" w:hAnsi="Times New Roman" w:cs="Times New Roman"/>
          <w:color w:val="000000"/>
        </w:rPr>
        <w:t>In conclusion, long term market leadership relies more on strategic agility of an organization that is constant through the harmonization of tech capabilities in terms of functions, environmental responsibility and marketing strategies. Firms that adapt quickly, responsibly innovate and communicate authentically are most likely to thrive in such a continuously evolving and sustainability driven industry landscape.</w:t>
      </w:r>
    </w:p>
    <w:p w14:paraId="1BD83589" w14:textId="77777777" w:rsidR="008F5C3D" w:rsidRDefault="008F5C3D" w:rsidP="008F5C3D">
      <w:pPr>
        <w:pBdr>
          <w:top w:val="nil"/>
          <w:left w:val="nil"/>
          <w:bottom w:val="nil"/>
          <w:right w:val="nil"/>
          <w:between w:val="nil"/>
        </w:pBdr>
        <w:spacing w:line="240" w:lineRule="auto"/>
        <w:ind w:left="1080"/>
        <w:rPr>
          <w:rFonts w:ascii="Times New Roman" w:eastAsia="Times New Roman" w:hAnsi="Times New Roman" w:cs="Times New Roman"/>
          <w:color w:val="000000"/>
        </w:rPr>
      </w:pPr>
    </w:p>
    <w:p w14:paraId="508A8D7A" w14:textId="77777777" w:rsidR="008F5C3D" w:rsidRDefault="008F5C3D" w:rsidP="008F5C3D">
      <w:pPr>
        <w:pBdr>
          <w:top w:val="nil"/>
          <w:left w:val="nil"/>
          <w:bottom w:val="nil"/>
          <w:right w:val="nil"/>
          <w:between w:val="nil"/>
        </w:pBdr>
        <w:spacing w:line="240" w:lineRule="auto"/>
        <w:ind w:left="1080"/>
        <w:rPr>
          <w:rFonts w:ascii="Times New Roman" w:eastAsia="Times New Roman" w:hAnsi="Times New Roman" w:cs="Times New Roman"/>
          <w:color w:val="000000"/>
        </w:rPr>
      </w:pPr>
    </w:p>
    <w:p w14:paraId="6E6270D0" w14:textId="77777777" w:rsidR="008F5C3D" w:rsidRDefault="008F5C3D" w:rsidP="008F5C3D">
      <w:pPr>
        <w:rPr>
          <w:rFonts w:ascii="Times New Roman" w:eastAsia="Times New Roman" w:hAnsi="Times New Roman" w:cs="Times New Roman"/>
        </w:rPr>
      </w:pPr>
      <w:r>
        <w:br w:type="page"/>
      </w:r>
    </w:p>
    <w:p w14:paraId="518EC031" w14:textId="77777777" w:rsidR="008F5C3D" w:rsidRDefault="008F5C3D" w:rsidP="008F5C3D">
      <w:pPr>
        <w:pBdr>
          <w:top w:val="nil"/>
          <w:left w:val="nil"/>
          <w:bottom w:val="nil"/>
          <w:right w:val="nil"/>
          <w:between w:val="nil"/>
        </w:pBdr>
        <w:spacing w:line="240" w:lineRule="auto"/>
        <w:ind w:left="1080"/>
        <w:jc w:val="center"/>
        <w:rPr>
          <w:rFonts w:ascii="Times New Roman" w:eastAsia="Times New Roman" w:hAnsi="Times New Roman" w:cs="Times New Roman"/>
          <w:b/>
          <w:bCs/>
          <w:color w:val="000000"/>
          <w:u w:val="single"/>
        </w:rPr>
      </w:pPr>
      <w:r>
        <w:rPr>
          <w:rFonts w:ascii="Times New Roman" w:eastAsia="Times New Roman" w:hAnsi="Times New Roman" w:cs="Times New Roman"/>
          <w:b/>
          <w:bCs/>
          <w:color w:val="000000"/>
          <w:u w:val="single"/>
        </w:rPr>
        <w:lastRenderedPageBreak/>
        <w:t>References &amp; Citations</w:t>
      </w:r>
    </w:p>
    <w:p w14:paraId="51FA1DF7" w14:textId="77777777" w:rsidR="006B132B" w:rsidRDefault="006B132B" w:rsidP="006B132B">
      <w:pPr>
        <w:rPr>
          <w:rFonts w:ascii="Times New Roman" w:eastAsia="Times New Roman" w:hAnsi="Times New Roman" w:cs="Times New Roman"/>
        </w:rPr>
      </w:pPr>
      <w:bookmarkStart w:id="1" w:name="_knkzkqfhfugz" w:colFirst="0" w:colLast="0"/>
      <w:bookmarkEnd w:id="1"/>
      <w:r>
        <w:rPr>
          <w:rFonts w:ascii="Times New Roman" w:eastAsia="Times New Roman" w:hAnsi="Times New Roman" w:cs="Times New Roman"/>
        </w:rPr>
        <w:t>Amnesty International, 2024. Recharge for Rights: Ranking the human rights due diligence reporting of leading electric vehicle makers.</w:t>
      </w:r>
    </w:p>
    <w:p w14:paraId="3B23D069" w14:textId="36037042" w:rsidR="009D6378" w:rsidRDefault="009D6378" w:rsidP="009D6378">
      <w:r>
        <w:t>Ansoff, H.I. (1957). Strategies for Diversification. Harvard Business Review, 35(5)</w:t>
      </w:r>
    </w:p>
    <w:p w14:paraId="20B79507" w14:textId="77777777" w:rsidR="006B132B" w:rsidRDefault="006B132B" w:rsidP="006B132B">
      <w:pPr>
        <w:rPr>
          <w:rFonts w:ascii="Times New Roman" w:eastAsia="Times New Roman" w:hAnsi="Times New Roman" w:cs="Times New Roman"/>
        </w:rPr>
      </w:pPr>
      <w:r>
        <w:rPr>
          <w:rFonts w:ascii="Times New Roman" w:eastAsia="Times New Roman" w:hAnsi="Times New Roman" w:cs="Times New Roman"/>
        </w:rPr>
        <w:t>Barney, J., 1991. Firm resources and sustained competitive advantage. Journal of Management 17, 99–120. https://doi.org/10.1177/014920639101700108</w:t>
      </w:r>
    </w:p>
    <w:p w14:paraId="6AFF143A" w14:textId="77777777" w:rsidR="006B132B" w:rsidRDefault="006B132B" w:rsidP="006B132B">
      <w:pPr>
        <w:rPr>
          <w:rFonts w:ascii="Times New Roman" w:eastAsia="Times New Roman" w:hAnsi="Times New Roman" w:cs="Times New Roman"/>
        </w:rPr>
      </w:pPr>
      <w:r>
        <w:rPr>
          <w:rFonts w:ascii="Times New Roman" w:eastAsia="Times New Roman" w:hAnsi="Times New Roman" w:cs="Times New Roman"/>
          <w:b/>
          <w:bCs/>
        </w:rPr>
        <w:t xml:space="preserve">BMW Group </w:t>
      </w:r>
      <w:r>
        <w:rPr>
          <w:rFonts w:ascii="Times New Roman" w:eastAsia="Times New Roman" w:hAnsi="Times New Roman" w:cs="Times New Roman"/>
        </w:rPr>
        <w:t xml:space="preserve">Circular economy &amp; CO₂ reduction. Available at: </w:t>
      </w:r>
      <w:hyperlink r:id="rId8">
        <w:r>
          <w:rPr>
            <w:rFonts w:ascii="Times New Roman" w:eastAsia="Times New Roman" w:hAnsi="Times New Roman" w:cs="Times New Roman"/>
            <w:color w:val="467886"/>
            <w:u w:val="single"/>
          </w:rPr>
          <w:t>https://www.bmwgroup.com/en/sustainability/circular-economy.html</w:t>
        </w:r>
      </w:hyperlink>
    </w:p>
    <w:p w14:paraId="5588E343" w14:textId="77777777" w:rsidR="007F12AF" w:rsidRDefault="007F12AF" w:rsidP="007F12AF">
      <w:pPr>
        <w:rPr>
          <w:rFonts w:ascii="Times New Roman" w:eastAsia="Times New Roman" w:hAnsi="Times New Roman" w:cs="Times New Roman"/>
        </w:rPr>
      </w:pPr>
      <w:r>
        <w:rPr>
          <w:rFonts w:ascii="Times New Roman" w:eastAsia="Times New Roman" w:hAnsi="Times New Roman" w:cs="Times New Roman"/>
        </w:rPr>
        <w:t xml:space="preserve">Elkington, J. (1998). ACCOUNTING FOR THE TRIPLE BOTTOM LINE. Measuring Business Excellence, 2(3), 18–22. </w:t>
      </w:r>
      <w:hyperlink r:id="rId9">
        <w:r>
          <w:rPr>
            <w:rFonts w:ascii="Times New Roman" w:eastAsia="Times New Roman" w:hAnsi="Times New Roman" w:cs="Times New Roman"/>
            <w:color w:val="467886"/>
            <w:u w:val="single"/>
          </w:rPr>
          <w:t>https://doi.org/10.1108/eb025539</w:t>
        </w:r>
      </w:hyperlink>
    </w:p>
    <w:p w14:paraId="7823C78D" w14:textId="77777777" w:rsidR="007F12AF" w:rsidRDefault="007F12AF" w:rsidP="007F12AF">
      <w:pPr>
        <w:rPr>
          <w:rFonts w:ascii="Times New Roman" w:eastAsia="Times New Roman" w:hAnsi="Times New Roman" w:cs="Times New Roman"/>
        </w:rPr>
      </w:pPr>
      <w:r>
        <w:rPr>
          <w:rFonts w:ascii="Times New Roman" w:eastAsia="Times New Roman" w:hAnsi="Times New Roman" w:cs="Times New Roman"/>
        </w:rPr>
        <w:t>Fit for 55. (n.d.). Consilium. https://www.consilium.europa.eu/en/policies/fit-for-55/</w:t>
      </w:r>
    </w:p>
    <w:p w14:paraId="43E5189F" w14:textId="77777777" w:rsidR="007F12AF" w:rsidRDefault="007F12AF" w:rsidP="007F12AF">
      <w:pPr>
        <w:rPr>
          <w:rFonts w:ascii="Times New Roman" w:eastAsia="Times New Roman" w:hAnsi="Times New Roman" w:cs="Times New Roman"/>
        </w:rPr>
      </w:pPr>
      <w:r>
        <w:rPr>
          <w:rFonts w:ascii="Times New Roman" w:eastAsia="Times New Roman" w:hAnsi="Times New Roman" w:cs="Times New Roman"/>
        </w:rPr>
        <w:t>Huitema, J., European Parliament, Directorate General for Communication, 2023. EU ban on the sale of new petrol and diesel cars from 2035 explained. European Parliament.</w:t>
      </w:r>
    </w:p>
    <w:p w14:paraId="164F4C9B" w14:textId="77777777" w:rsidR="007F12AF" w:rsidRDefault="007F12AF" w:rsidP="007F12AF">
      <w:pPr>
        <w:rPr>
          <w:rFonts w:ascii="Times New Roman" w:eastAsia="Times New Roman" w:hAnsi="Times New Roman" w:cs="Times New Roman"/>
        </w:rPr>
      </w:pPr>
      <w:r>
        <w:rPr>
          <w:rFonts w:ascii="Times New Roman" w:eastAsia="Times New Roman" w:hAnsi="Times New Roman" w:cs="Times New Roman"/>
        </w:rPr>
        <w:t xml:space="preserve">IEA (2024) World Energy Outlook 2024, International Energy Agency, Paris. Available at: </w:t>
      </w:r>
      <w:hyperlink r:id="rId10">
        <w:r>
          <w:rPr>
            <w:rFonts w:ascii="Times New Roman" w:eastAsia="Times New Roman" w:hAnsi="Times New Roman" w:cs="Times New Roman"/>
            <w:color w:val="467886"/>
            <w:u w:val="single"/>
          </w:rPr>
          <w:t>https://www.iea.org/reports/world-energy-outlook-2024</w:t>
        </w:r>
      </w:hyperlink>
    </w:p>
    <w:p w14:paraId="3AAC5C49" w14:textId="77777777" w:rsidR="009224CC" w:rsidRDefault="009224CC" w:rsidP="009224CC">
      <w:pPr>
        <w:rPr>
          <w:rFonts w:ascii="Times New Roman" w:eastAsia="Times New Roman" w:hAnsi="Times New Roman" w:cs="Times New Roman"/>
        </w:rPr>
      </w:pPr>
      <w:r>
        <w:rPr>
          <w:rFonts w:ascii="Times New Roman" w:eastAsia="Times New Roman" w:hAnsi="Times New Roman" w:cs="Times New Roman"/>
        </w:rPr>
        <w:t>Kotler, P. &amp; Keller, K.L., 2016. Marketing management. 15th ed. Prentice Hall</w:t>
      </w:r>
    </w:p>
    <w:p w14:paraId="4ACA4F9D" w14:textId="77777777" w:rsidR="009224CC" w:rsidRDefault="009224CC" w:rsidP="009224CC">
      <w:pPr>
        <w:rPr>
          <w:rFonts w:ascii="Times New Roman" w:eastAsia="Times New Roman" w:hAnsi="Times New Roman" w:cs="Times New Roman"/>
        </w:rPr>
      </w:pPr>
      <w:r>
        <w:rPr>
          <w:rFonts w:ascii="Times New Roman" w:eastAsia="Times New Roman" w:hAnsi="Times New Roman" w:cs="Times New Roman"/>
        </w:rPr>
        <w:t>Polonsky, M. J. (2011). Transformative green marketing: Impediments and opportunities. Journal of Business Research, 64(12), 1311–1319. https://doi.org/10.1016/j.jbusres.2011.01.016</w:t>
      </w:r>
    </w:p>
    <w:p w14:paraId="7740A4A8" w14:textId="77777777" w:rsidR="009224CC" w:rsidRDefault="009224CC" w:rsidP="009224CC">
      <w:pPr>
        <w:rPr>
          <w:rFonts w:ascii="Times New Roman" w:eastAsia="Times New Roman" w:hAnsi="Times New Roman" w:cs="Times New Roman"/>
        </w:rPr>
      </w:pPr>
      <w:r>
        <w:rPr>
          <w:rFonts w:ascii="Times New Roman" w:eastAsia="Times New Roman" w:hAnsi="Times New Roman" w:cs="Times New Roman"/>
        </w:rPr>
        <w:t xml:space="preserve">Porter, M.E., 1980. Competitive strategy: Techniques for Analyzing Industries and Competitors. New </w:t>
      </w:r>
      <w:proofErr w:type="gramStart"/>
      <w:r>
        <w:rPr>
          <w:rFonts w:ascii="Times New Roman" w:eastAsia="Times New Roman" w:hAnsi="Times New Roman" w:cs="Times New Roman"/>
        </w:rPr>
        <w:t>York :</w:t>
      </w:r>
      <w:proofErr w:type="gramEnd"/>
      <w:r>
        <w:rPr>
          <w:rFonts w:ascii="Times New Roman" w:eastAsia="Times New Roman" w:hAnsi="Times New Roman" w:cs="Times New Roman"/>
        </w:rPr>
        <w:t xml:space="preserve"> Free </w:t>
      </w:r>
      <w:proofErr w:type="gramStart"/>
      <w:r>
        <w:rPr>
          <w:rFonts w:ascii="Times New Roman" w:eastAsia="Times New Roman" w:hAnsi="Times New Roman" w:cs="Times New Roman"/>
        </w:rPr>
        <w:t>Press ;</w:t>
      </w:r>
      <w:proofErr w:type="gramEnd"/>
      <w:r>
        <w:rPr>
          <w:rFonts w:ascii="Times New Roman" w:eastAsia="Times New Roman" w:hAnsi="Times New Roman" w:cs="Times New Roman"/>
        </w:rPr>
        <w:t xml:space="preserve"> </w:t>
      </w:r>
      <w:proofErr w:type="gramStart"/>
      <w:r>
        <w:rPr>
          <w:rFonts w:ascii="Times New Roman" w:eastAsia="Times New Roman" w:hAnsi="Times New Roman" w:cs="Times New Roman"/>
        </w:rPr>
        <w:t>Toronto :</w:t>
      </w:r>
      <w:proofErr w:type="gramEnd"/>
      <w:r>
        <w:rPr>
          <w:rFonts w:ascii="Times New Roman" w:eastAsia="Times New Roman" w:hAnsi="Times New Roman" w:cs="Times New Roman"/>
        </w:rPr>
        <w:t xml:space="preserve"> Maxwell Macmillan Canada.</w:t>
      </w:r>
    </w:p>
    <w:p w14:paraId="504D1965" w14:textId="77777777" w:rsidR="009224CC" w:rsidRDefault="009224CC" w:rsidP="009224CC">
      <w:pPr>
        <w:rPr>
          <w:rFonts w:ascii="Times New Roman" w:eastAsia="Times New Roman" w:hAnsi="Times New Roman" w:cs="Times New Roman"/>
        </w:rPr>
      </w:pPr>
      <w:r>
        <w:rPr>
          <w:rFonts w:ascii="Times New Roman" w:eastAsia="Times New Roman" w:hAnsi="Times New Roman" w:cs="Times New Roman"/>
          <w:b/>
          <w:bCs/>
        </w:rPr>
        <w:t>PwC (2024)</w:t>
      </w:r>
      <w:r>
        <w:rPr>
          <w:rFonts w:ascii="Times New Roman" w:eastAsia="Times New Roman" w:hAnsi="Times New Roman" w:cs="Times New Roman"/>
        </w:rPr>
        <w:t xml:space="preserve"> ESG consumer survey 2024: The rise </w:t>
      </w:r>
      <w:proofErr w:type="gramStart"/>
      <w:r>
        <w:rPr>
          <w:rFonts w:ascii="Times New Roman" w:eastAsia="Times New Roman" w:hAnsi="Times New Roman" w:cs="Times New Roman"/>
        </w:rPr>
        <w:t>of</w:t>
      </w:r>
      <w:proofErr w:type="gramEnd"/>
      <w:r>
        <w:rPr>
          <w:rFonts w:ascii="Times New Roman" w:eastAsia="Times New Roman" w:hAnsi="Times New Roman" w:cs="Times New Roman"/>
        </w:rPr>
        <w:t xml:space="preserve"> sustainability-driven behaviour</w:t>
      </w:r>
    </w:p>
    <w:p w14:paraId="12F6C0EA" w14:textId="77777777" w:rsidR="009224CC" w:rsidRDefault="009224CC" w:rsidP="009224CC">
      <w:pPr>
        <w:rPr>
          <w:rFonts w:ascii="Times New Roman" w:eastAsia="Times New Roman" w:hAnsi="Times New Roman" w:cs="Times New Roman"/>
        </w:rPr>
      </w:pPr>
      <w:r>
        <w:rPr>
          <w:rFonts w:ascii="Times New Roman" w:eastAsia="Times New Roman" w:hAnsi="Times New Roman" w:cs="Times New Roman"/>
        </w:rPr>
        <w:t>Rogers, E.M., 2003. Diffusion of Innovations, 5th Edition. Simon and Schuster.</w:t>
      </w:r>
    </w:p>
    <w:p w14:paraId="13B044BE" w14:textId="77777777" w:rsidR="009224CC" w:rsidRDefault="009224CC" w:rsidP="009224CC">
      <w:pPr>
        <w:rPr>
          <w:rFonts w:ascii="Times New Roman" w:eastAsia="Times New Roman" w:hAnsi="Times New Roman" w:cs="Times New Roman"/>
        </w:rPr>
      </w:pPr>
      <w:r>
        <w:rPr>
          <w:rFonts w:ascii="Times New Roman" w:eastAsia="Times New Roman" w:hAnsi="Times New Roman" w:cs="Times New Roman"/>
          <w:b/>
          <w:bCs/>
        </w:rPr>
        <w:t>Smith, N. (</w:t>
      </w:r>
      <w:proofErr w:type="gramStart"/>
      <w:r>
        <w:rPr>
          <w:rFonts w:ascii="Times New Roman" w:eastAsia="Times New Roman" w:hAnsi="Times New Roman" w:cs="Times New Roman"/>
          <w:b/>
          <w:bCs/>
        </w:rPr>
        <w:t>2020)</w:t>
      </w:r>
      <w:r>
        <w:rPr>
          <w:rFonts w:ascii="Times New Roman" w:eastAsia="Times New Roman" w:hAnsi="Times New Roman" w:cs="Times New Roman"/>
        </w:rPr>
        <w:t xml:space="preserve"> ‘</w:t>
      </w:r>
      <w:proofErr w:type="gramEnd"/>
      <w:r>
        <w:rPr>
          <w:rFonts w:ascii="Times New Roman" w:eastAsia="Times New Roman" w:hAnsi="Times New Roman" w:cs="Times New Roman"/>
        </w:rPr>
        <w:t>The global EV battery supply chain: challenges and opportunities’, Energy Policy, 147, 111905.</w:t>
      </w:r>
    </w:p>
    <w:p w14:paraId="2C0AA946" w14:textId="77777777" w:rsidR="009224CC" w:rsidRDefault="009224CC" w:rsidP="009224CC">
      <w:r>
        <w:rPr>
          <w:rFonts w:ascii="Times New Roman" w:eastAsia="Times New Roman" w:hAnsi="Times New Roman" w:cs="Times New Roman"/>
        </w:rPr>
        <w:t xml:space="preserve">SolarCity, 2015. SolarCity introduces affordable new energy storage services across the U.S. [online] Tesla Investor Relations. Available at: </w:t>
      </w:r>
      <w:hyperlink r:id="rId11">
        <w:r>
          <w:rPr>
            <w:rFonts w:ascii="Times New Roman" w:eastAsia="Times New Roman" w:hAnsi="Times New Roman" w:cs="Times New Roman"/>
            <w:color w:val="467886"/>
            <w:u w:val="single"/>
          </w:rPr>
          <w:t>https://ir.tesla.com/press-release/solarcity-introduces-affordable-new-energy-storage-services</w:t>
        </w:r>
      </w:hyperlink>
    </w:p>
    <w:p w14:paraId="0CC7C5DB" w14:textId="77777777" w:rsidR="008F5C3D" w:rsidRDefault="008F5C3D" w:rsidP="008F5C3D">
      <w:pPr>
        <w:rPr>
          <w:rFonts w:ascii="Times New Roman" w:eastAsia="Times New Roman" w:hAnsi="Times New Roman" w:cs="Times New Roman"/>
        </w:rPr>
      </w:pPr>
      <w:r>
        <w:rPr>
          <w:rFonts w:ascii="Times New Roman" w:eastAsia="Times New Roman" w:hAnsi="Times New Roman" w:cs="Times New Roman"/>
        </w:rPr>
        <w:t>Teece, D.J., 2007. Explicating dynamic capabilities: the nature and microfoundations of (sustainable) enterprise performance. Strategic Management Journal 28, 1319–1350. https://doi.org/10.1002/smj.640</w:t>
      </w:r>
    </w:p>
    <w:p w14:paraId="6032F5D2" w14:textId="542373EB" w:rsidR="00943C96" w:rsidRPr="00E60F60" w:rsidRDefault="008F5C3D" w:rsidP="00E60F60">
      <w:r>
        <w:rPr>
          <w:rFonts w:ascii="Times New Roman" w:eastAsia="Times New Roman" w:hAnsi="Times New Roman" w:cs="Times New Roman"/>
          <w:b/>
          <w:bCs/>
        </w:rPr>
        <w:t xml:space="preserve">Toyota Motor Corporation </w:t>
      </w:r>
      <w:r>
        <w:rPr>
          <w:rFonts w:ascii="Times New Roman" w:eastAsia="Times New Roman" w:hAnsi="Times New Roman" w:cs="Times New Roman"/>
        </w:rPr>
        <w:t xml:space="preserve">Toyota Environmental Challenge 2050. Available at: </w:t>
      </w:r>
      <w:hyperlink r:id="rId12">
        <w:r>
          <w:rPr>
            <w:rFonts w:ascii="Times New Roman" w:eastAsia="Times New Roman" w:hAnsi="Times New Roman" w:cs="Times New Roman"/>
            <w:color w:val="467886"/>
            <w:u w:val="single"/>
          </w:rPr>
          <w:t>https://www.toyota.com/2050challenge/</w:t>
        </w:r>
      </w:hyperlink>
    </w:p>
    <w:sectPr w:rsidR="00943C96" w:rsidRPr="00E60F60" w:rsidSect="00E960DB">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6F9A50" w14:textId="77777777" w:rsidR="00CA281C" w:rsidRDefault="00CA281C">
      <w:pPr>
        <w:spacing w:after="0" w:line="240" w:lineRule="auto"/>
      </w:pPr>
      <w:r>
        <w:separator/>
      </w:r>
    </w:p>
  </w:endnote>
  <w:endnote w:type="continuationSeparator" w:id="0">
    <w:p w14:paraId="1F7F0A14" w14:textId="77777777" w:rsidR="00CA281C" w:rsidRDefault="00CA28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F704D" w14:textId="77777777" w:rsidR="00E960DB" w:rsidRDefault="00E960DB">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19E41ADC" w14:textId="77777777" w:rsidR="00E960DB" w:rsidRDefault="00E960D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5A734" w14:textId="77777777" w:rsidR="00CA281C" w:rsidRDefault="00CA281C">
      <w:pPr>
        <w:spacing w:after="0" w:line="240" w:lineRule="auto"/>
      </w:pPr>
      <w:r>
        <w:separator/>
      </w:r>
    </w:p>
  </w:footnote>
  <w:footnote w:type="continuationSeparator" w:id="0">
    <w:p w14:paraId="4A175789" w14:textId="77777777" w:rsidR="00CA281C" w:rsidRDefault="00CA28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EA779F"/>
    <w:multiLevelType w:val="multilevel"/>
    <w:tmpl w:val="5180F0B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9565B9D"/>
    <w:multiLevelType w:val="multilevel"/>
    <w:tmpl w:val="DAC0AE7A"/>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43002334"/>
    <w:multiLevelType w:val="multilevel"/>
    <w:tmpl w:val="8E3C17DC"/>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 w15:restartNumberingAfterBreak="0">
    <w:nsid w:val="4A4571D4"/>
    <w:multiLevelType w:val="multilevel"/>
    <w:tmpl w:val="630E91E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0ED6C64"/>
    <w:multiLevelType w:val="multilevel"/>
    <w:tmpl w:val="116E3046"/>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5" w15:restartNumberingAfterBreak="0">
    <w:nsid w:val="607D5BDC"/>
    <w:multiLevelType w:val="multilevel"/>
    <w:tmpl w:val="725477E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875144857">
    <w:abstractNumId w:val="0"/>
  </w:num>
  <w:num w:numId="2" w16cid:durableId="1117871486">
    <w:abstractNumId w:val="2"/>
  </w:num>
  <w:num w:numId="3" w16cid:durableId="860708213">
    <w:abstractNumId w:val="3"/>
  </w:num>
  <w:num w:numId="4" w16cid:durableId="1588268036">
    <w:abstractNumId w:val="1"/>
  </w:num>
  <w:num w:numId="5" w16cid:durableId="1741488562">
    <w:abstractNumId w:val="5"/>
  </w:num>
  <w:num w:numId="6" w16cid:durableId="3287995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185"/>
    <w:rsid w:val="00034F38"/>
    <w:rsid w:val="000425C3"/>
    <w:rsid w:val="000D0185"/>
    <w:rsid w:val="000D462B"/>
    <w:rsid w:val="000F588F"/>
    <w:rsid w:val="003722AC"/>
    <w:rsid w:val="003B5DF2"/>
    <w:rsid w:val="003F18D2"/>
    <w:rsid w:val="005403D7"/>
    <w:rsid w:val="00643B05"/>
    <w:rsid w:val="006B132B"/>
    <w:rsid w:val="006C5308"/>
    <w:rsid w:val="006E467E"/>
    <w:rsid w:val="007F0373"/>
    <w:rsid w:val="007F12AF"/>
    <w:rsid w:val="00851653"/>
    <w:rsid w:val="00895E1E"/>
    <w:rsid w:val="008F5C3D"/>
    <w:rsid w:val="00911AD2"/>
    <w:rsid w:val="009224CC"/>
    <w:rsid w:val="00943C96"/>
    <w:rsid w:val="0096302A"/>
    <w:rsid w:val="009D6378"/>
    <w:rsid w:val="00A1467D"/>
    <w:rsid w:val="00A235E1"/>
    <w:rsid w:val="00A30E49"/>
    <w:rsid w:val="00AA77DB"/>
    <w:rsid w:val="00C639C9"/>
    <w:rsid w:val="00CA281C"/>
    <w:rsid w:val="00CE2230"/>
    <w:rsid w:val="00D451AE"/>
    <w:rsid w:val="00E60F60"/>
    <w:rsid w:val="00E960DB"/>
    <w:rsid w:val="00EC30FD"/>
    <w:rsid w:val="00ED6ABF"/>
    <w:rsid w:val="00F31C97"/>
    <w:rsid w:val="00F8595C"/>
    <w:rsid w:val="00FB4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83EB1"/>
  <w15:chartTrackingRefBased/>
  <w15:docId w15:val="{D00702F3-BF01-4F37-9E4E-68ECF14D9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0DB"/>
    <w:rPr>
      <w:rFonts w:ascii="Aptos" w:eastAsia="Aptos" w:hAnsi="Aptos" w:cs="Aptos"/>
      <w:kern w:val="0"/>
      <w:lang w:val="en" w:eastAsia="en-GB"/>
      <w14:ligatures w14:val="none"/>
    </w:rPr>
  </w:style>
  <w:style w:type="paragraph" w:styleId="Heading1">
    <w:name w:val="heading 1"/>
    <w:basedOn w:val="Normal"/>
    <w:next w:val="Normal"/>
    <w:link w:val="Heading1Char"/>
    <w:uiPriority w:val="9"/>
    <w:qFormat/>
    <w:rsid w:val="000D01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01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01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01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1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1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1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1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1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1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01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01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01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01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01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1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1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185"/>
    <w:rPr>
      <w:rFonts w:eastAsiaTheme="majorEastAsia" w:cstheme="majorBidi"/>
      <w:color w:val="272727" w:themeColor="text1" w:themeTint="D8"/>
    </w:rPr>
  </w:style>
  <w:style w:type="paragraph" w:styleId="Title">
    <w:name w:val="Title"/>
    <w:basedOn w:val="Normal"/>
    <w:next w:val="Normal"/>
    <w:link w:val="TitleChar"/>
    <w:uiPriority w:val="10"/>
    <w:qFormat/>
    <w:rsid w:val="000D01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1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1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1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185"/>
    <w:pPr>
      <w:spacing w:before="160"/>
      <w:jc w:val="center"/>
    </w:pPr>
    <w:rPr>
      <w:i/>
      <w:iCs/>
      <w:color w:val="404040" w:themeColor="text1" w:themeTint="BF"/>
    </w:rPr>
  </w:style>
  <w:style w:type="character" w:customStyle="1" w:styleId="QuoteChar">
    <w:name w:val="Quote Char"/>
    <w:basedOn w:val="DefaultParagraphFont"/>
    <w:link w:val="Quote"/>
    <w:uiPriority w:val="29"/>
    <w:rsid w:val="000D0185"/>
    <w:rPr>
      <w:i/>
      <w:iCs/>
      <w:color w:val="404040" w:themeColor="text1" w:themeTint="BF"/>
    </w:rPr>
  </w:style>
  <w:style w:type="paragraph" w:styleId="ListParagraph">
    <w:name w:val="List Paragraph"/>
    <w:basedOn w:val="Normal"/>
    <w:uiPriority w:val="34"/>
    <w:qFormat/>
    <w:rsid w:val="000D0185"/>
    <w:pPr>
      <w:ind w:left="720"/>
      <w:contextualSpacing/>
    </w:pPr>
  </w:style>
  <w:style w:type="character" w:styleId="IntenseEmphasis">
    <w:name w:val="Intense Emphasis"/>
    <w:basedOn w:val="DefaultParagraphFont"/>
    <w:uiPriority w:val="21"/>
    <w:qFormat/>
    <w:rsid w:val="000D0185"/>
    <w:rPr>
      <w:i/>
      <w:iCs/>
      <w:color w:val="0F4761" w:themeColor="accent1" w:themeShade="BF"/>
    </w:rPr>
  </w:style>
  <w:style w:type="paragraph" w:styleId="IntenseQuote">
    <w:name w:val="Intense Quote"/>
    <w:basedOn w:val="Normal"/>
    <w:next w:val="Normal"/>
    <w:link w:val="IntenseQuoteChar"/>
    <w:uiPriority w:val="30"/>
    <w:qFormat/>
    <w:rsid w:val="000D01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185"/>
    <w:rPr>
      <w:i/>
      <w:iCs/>
      <w:color w:val="0F4761" w:themeColor="accent1" w:themeShade="BF"/>
    </w:rPr>
  </w:style>
  <w:style w:type="character" w:styleId="IntenseReference">
    <w:name w:val="Intense Reference"/>
    <w:basedOn w:val="DefaultParagraphFont"/>
    <w:uiPriority w:val="32"/>
    <w:qFormat/>
    <w:rsid w:val="000D018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wgroup.com/en/sustainability/circular-economy.html?utm_source=chatgpt.co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oyota.com/2050challenge/?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r.tesla.com/press-release/solarcity-introduces-affordable-new-energy-storage-services?utm_source=chatgp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iea.org/reports/world-energy-outlook-2024?utm_source=chatgpt.com" TargetMode="External"/><Relationship Id="rId4" Type="http://schemas.openxmlformats.org/officeDocument/2006/relationships/webSettings" Target="webSettings.xml"/><Relationship Id="rId9" Type="http://schemas.openxmlformats.org/officeDocument/2006/relationships/hyperlink" Target="https://doi.org/10.1108/eb02553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11</Pages>
  <Words>3278</Words>
  <Characters>18685</Characters>
  <Application>Microsoft Office Word</Application>
  <DocSecurity>0</DocSecurity>
  <Lines>155</Lines>
  <Paragraphs>43</Paragraphs>
  <ScaleCrop>false</ScaleCrop>
  <Company/>
  <LinksUpToDate>false</LinksUpToDate>
  <CharactersWithSpaces>21920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Daria Stoleru</cp:lastModifiedBy>
  <cp:revision>33</cp:revision>
  <dcterms:created xsi:type="dcterms:W3CDTF">2025-11-16T09:27:00Z</dcterms:created>
  <dcterms:modified xsi:type="dcterms:W3CDTF">2025-11-18T20:30:00Z</dcterms:modified>
</cp:coreProperties>
</file>