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0CACE" w14:textId="38DE7D12" w:rsidR="00BD57CE" w:rsidRDefault="00000000" w:rsidP="00BD57CE">
      <w:pPr>
        <w:spacing w:after="60"/>
        <w:jc w:val="center"/>
      </w:pPr>
      <w:r>
        <w:rPr>
          <w:i/>
          <w:iCs/>
        </w:rPr>
        <w:t>ACCA7028 Data Security, Governance and Compliance</w:t>
      </w:r>
      <w:r w:rsidR="00BD57CE">
        <w:br/>
        <w:t>Student Name: Rajul Gupta | Student ID: 2523934</w:t>
      </w:r>
    </w:p>
    <w:p w14:paraId="428A40F8" w14:textId="6604669E" w:rsidR="0092136F" w:rsidRDefault="00000000" w:rsidP="00BD57CE">
      <w:pPr>
        <w:spacing w:after="60"/>
        <w:jc w:val="center"/>
      </w:pPr>
      <w:r>
        <w:t xml:space="preserve">MSc Cybersecurity and Digital Forensics | </w:t>
      </w:r>
      <w:r w:rsidR="00BD57CE">
        <w:rPr>
          <w:i/>
          <w:iCs/>
        </w:rPr>
        <w:t xml:space="preserve">ACCA7028 </w:t>
      </w:r>
      <w:r>
        <w:t>| Submission: 29 April 2026</w:t>
      </w:r>
    </w:p>
    <w:p w14:paraId="4CEB4881" w14:textId="77777777" w:rsidR="0092136F" w:rsidRDefault="00000000" w:rsidP="00107B47">
      <w:pPr>
        <w:spacing w:before="80" w:after="200" w:line="276" w:lineRule="auto"/>
        <w:jc w:val="both"/>
      </w:pPr>
      <w:proofErr w:type="spellStart"/>
      <w:r>
        <w:rPr>
          <w:b/>
          <w:bCs/>
          <w:sz w:val="32"/>
          <w:szCs w:val="32"/>
        </w:rPr>
        <w:t>FinSure</w:t>
      </w:r>
      <w:proofErr w:type="spellEnd"/>
      <w:r>
        <w:rPr>
          <w:b/>
          <w:bCs/>
          <w:sz w:val="32"/>
          <w:szCs w:val="32"/>
        </w:rPr>
        <w:t xml:space="preserve"> Bank (FSB): Integrated Security Governance Report</w:t>
      </w:r>
    </w:p>
    <w:p w14:paraId="7949519B" w14:textId="77777777" w:rsidR="0092136F" w:rsidRDefault="0092136F" w:rsidP="00107B47">
      <w:pPr>
        <w:pBdr>
          <w:bottom w:val="single" w:sz="6" w:space="1" w:color="000000"/>
        </w:pBdr>
        <w:spacing w:after="120"/>
        <w:jc w:val="both"/>
      </w:pPr>
    </w:p>
    <w:p w14:paraId="0CCC91DC" w14:textId="77777777" w:rsidR="0092136F" w:rsidRDefault="00000000" w:rsidP="00107B47">
      <w:pPr>
        <w:spacing w:before="120" w:after="80"/>
        <w:jc w:val="center"/>
      </w:pPr>
      <w:r>
        <w:rPr>
          <w:b/>
          <w:bCs/>
          <w:i/>
          <w:iCs/>
        </w:rPr>
        <w:t>Abstract</w:t>
      </w:r>
    </w:p>
    <w:p w14:paraId="5F9D8348" w14:textId="57188BF8" w:rsidR="007A0A60" w:rsidRDefault="007A0A60" w:rsidP="00107B47">
      <w:pPr>
        <w:spacing w:before="60" w:after="160"/>
        <w:jc w:val="both"/>
      </w:pPr>
      <w:proofErr w:type="spellStart"/>
      <w:r w:rsidRPr="007A0A60">
        <w:t>FinSure</w:t>
      </w:r>
      <w:proofErr w:type="spellEnd"/>
      <w:r w:rsidRPr="007A0A60">
        <w:t xml:space="preserve"> Bank has a history of </w:t>
      </w:r>
      <w:r w:rsidR="00B47FF9">
        <w:t>allowing technological expansion to continue unchecked before accounting for</w:t>
      </w:r>
      <w:r w:rsidRPr="007A0A60">
        <w:t xml:space="preserve"> corporate governance. The fact that over 90% of its infrastructure is held offsite and the lack of BYOD regulations </w:t>
      </w:r>
      <w:r w:rsidR="007E65B8">
        <w:t>mean</w:t>
      </w:r>
      <w:r w:rsidRPr="007A0A60">
        <w:t xml:space="preserve"> it has virtually no traditional security perimeter. This paper considers whether</w:t>
      </w:r>
      <w:r w:rsidR="00B7509F">
        <w:t xml:space="preserve"> </w:t>
      </w:r>
      <w:r w:rsidRPr="007A0A60">
        <w:t>ISO/IEC 27001:2022 [1] and ITIL 4 [2] can provide it with adequate controls, determines that they are individually inadequate and outlines an FSB Integrated Security Governance Model incorporating controls from ISO into ITIL processes driven by a Zero Trust Architecture (NIST SP 800-207) [3] and guided by an AI driven risk assessment process. It also states that the GDPR [4], DORA [5] and the UK Cyber Security and Resilience Bill [6] must be viewed as vital defensive measures against increasingly complex threats.</w:t>
      </w:r>
    </w:p>
    <w:p w14:paraId="0674FF13" w14:textId="01922B8D" w:rsidR="0092136F" w:rsidRDefault="00000000" w:rsidP="00107B47">
      <w:pPr>
        <w:spacing w:before="60" w:after="160"/>
        <w:jc w:val="both"/>
      </w:pPr>
      <w:r>
        <w:rPr>
          <w:i/>
          <w:iCs/>
        </w:rPr>
        <w:t>Keywords—ISO/IEC 27001:2022; ITIL 4; Zero Trust Architecture; GDPR; DORA; BYOD; Financial Security Governance</w:t>
      </w:r>
    </w:p>
    <w:p w14:paraId="516A2257" w14:textId="77777777" w:rsidR="0092136F" w:rsidRDefault="0092136F" w:rsidP="00107B47">
      <w:pPr>
        <w:pBdr>
          <w:bottom w:val="single" w:sz="6" w:space="1" w:color="000000"/>
        </w:pBdr>
        <w:spacing w:after="120"/>
        <w:jc w:val="both"/>
      </w:pPr>
    </w:p>
    <w:p w14:paraId="6FB44469" w14:textId="77777777" w:rsidR="0092136F" w:rsidRDefault="00000000" w:rsidP="00107B47">
      <w:pPr>
        <w:spacing w:before="240" w:after="120"/>
        <w:jc w:val="both"/>
      </w:pPr>
      <w:r>
        <w:rPr>
          <w:b/>
          <w:bCs/>
          <w:sz w:val="24"/>
          <w:szCs w:val="24"/>
        </w:rPr>
        <w:t>1. Introduction</w:t>
      </w:r>
    </w:p>
    <w:p w14:paraId="5B81EA76" w14:textId="1E7E1ED4" w:rsidR="00B15B40" w:rsidRDefault="00B15B40" w:rsidP="00107B47">
      <w:pPr>
        <w:spacing w:after="120"/>
        <w:jc w:val="both"/>
      </w:pPr>
      <w:r w:rsidRPr="00B15B40">
        <w:t>Data security, governance, and compliance are the three pillars of the institution's viability</w:t>
      </w:r>
      <w:r w:rsidR="00B7509F">
        <w:t>, and they support and depend on one another</w:t>
      </w:r>
      <w:r w:rsidRPr="00B15B40">
        <w:t xml:space="preserve">. Data security maintains the confidentiality, integrity, and availability of the information assets; governance </w:t>
      </w:r>
      <w:proofErr w:type="spellStart"/>
      <w:r>
        <w:t>operationalises</w:t>
      </w:r>
      <w:proofErr w:type="spellEnd"/>
      <w:r w:rsidRPr="00B15B40">
        <w:t xml:space="preserve"> security intent into coordinated institutional activity; and compliance ensures that multi-jurisdictional regulatory requirements are met. Collectively, security, governance, and compliance provide the infrastructure for institutional resilience in an attack environment </w:t>
      </w:r>
      <w:proofErr w:type="spellStart"/>
      <w:r>
        <w:t>characterised</w:t>
      </w:r>
      <w:proofErr w:type="spellEnd"/>
      <w:r w:rsidRPr="00B15B40">
        <w:t xml:space="preserve"> by limitless, adaptive, and increasingly automated adversaries.</w:t>
      </w:r>
    </w:p>
    <w:p w14:paraId="1CA62E09" w14:textId="0B8880D7" w:rsidR="00B15B40" w:rsidRDefault="00B15B40" w:rsidP="00107B47">
      <w:pPr>
        <w:spacing w:after="120"/>
        <w:jc w:val="both"/>
      </w:pPr>
      <w:r w:rsidRPr="00B15B40">
        <w:t xml:space="preserve">The </w:t>
      </w:r>
      <w:r>
        <w:t>technology-led</w:t>
      </w:r>
      <w:r w:rsidRPr="00B15B40">
        <w:t xml:space="preserve"> growth of </w:t>
      </w:r>
      <w:proofErr w:type="spellStart"/>
      <w:r w:rsidRPr="00B15B40">
        <w:t>FinSure</w:t>
      </w:r>
      <w:proofErr w:type="spellEnd"/>
      <w:r w:rsidRPr="00B15B40">
        <w:t xml:space="preserve"> Bank, while creating significant market penetration, has run critically far ahead of the capability of its risk management. The existence of an informal and lenient BYOD policy has undermined the perimeter that traditional security architecture is built upon. An unstructured policy approach, </w:t>
      </w:r>
      <w:r>
        <w:t xml:space="preserve">with </w:t>
      </w:r>
      <w:r w:rsidRPr="00B15B40">
        <w:t>no formal policy on risk management strategy, or compliance audit program</w:t>
      </w:r>
      <w:r>
        <w:t>,</w:t>
      </w:r>
      <w:r w:rsidRPr="00B15B40">
        <w:t xml:space="preserve"> allows for significant insider risks, unchecked data leakage and potential insolvency through regulatory failure.</w:t>
      </w:r>
    </w:p>
    <w:p w14:paraId="7A4DCCBE" w14:textId="104BA6F7" w:rsidR="00B15B40" w:rsidRDefault="00926AA1" w:rsidP="00107B47">
      <w:pPr>
        <w:spacing w:after="120"/>
        <w:jc w:val="both"/>
      </w:pPr>
      <w:r w:rsidRPr="00926AA1">
        <w:t xml:space="preserve">This report develops an operational and academic security governance model for </w:t>
      </w:r>
      <w:proofErr w:type="spellStart"/>
      <w:r w:rsidRPr="00926AA1">
        <w:t>FinSure</w:t>
      </w:r>
      <w:proofErr w:type="spellEnd"/>
      <w:r w:rsidRPr="00926AA1">
        <w:t xml:space="preserve"> Bank (FSB).</w:t>
      </w:r>
      <w:r w:rsidR="00B15B40" w:rsidRPr="00B15B40">
        <w:t>The goal of the report is to:(1) critically analyze ISO/IEC 27001:2022 and ITIL 4 to be used within the operational scope of FSB [1]2 compose an integrated security framework that responds to FSB's drawbacks on the management of BYOD, risk on-going process, accountability of third parties, architecture security(3) provide reasoning of why the development of regulation is a necessity instead of an impositions</w:t>
      </w:r>
    </w:p>
    <w:p w14:paraId="1F9983B6" w14:textId="77777777" w:rsidR="00B15B40" w:rsidRDefault="00B15B40" w:rsidP="00107B47">
      <w:pPr>
        <w:spacing w:before="240" w:after="120"/>
        <w:jc w:val="both"/>
      </w:pPr>
      <w:r w:rsidRPr="00B15B40">
        <w:t>This approach is based on the following four assumptions: FSB currently uses multi-cloud environment with significant technical debt; there are executive willingness and funds available for this remediation; customers are present in both the EU and UK, therefore the GDPR, DORA and UK Cyber Security and Resilience Bill are applicable simultaneously [4][5][6]; there is no present single governance, hence this model is an additive intervention and not a transformative one.</w:t>
      </w:r>
    </w:p>
    <w:p w14:paraId="188D97F0" w14:textId="2289E817" w:rsidR="0092136F" w:rsidRDefault="00000000" w:rsidP="00107B47">
      <w:pPr>
        <w:spacing w:before="240" w:after="120"/>
        <w:jc w:val="both"/>
      </w:pPr>
      <w:r>
        <w:rPr>
          <w:b/>
          <w:bCs/>
          <w:sz w:val="24"/>
          <w:szCs w:val="24"/>
        </w:rPr>
        <w:t>2. Critical Evaluation of Security Frameworks</w:t>
      </w:r>
    </w:p>
    <w:p w14:paraId="62FC73DD" w14:textId="04511BCF" w:rsidR="00B15B40" w:rsidRDefault="00B15B40" w:rsidP="00107B47">
      <w:pPr>
        <w:spacing w:before="180" w:after="80"/>
        <w:jc w:val="both"/>
      </w:pPr>
      <w:r w:rsidRPr="00B15B40">
        <w:t xml:space="preserve">The choice of a security framework is a value-laden one: for </w:t>
      </w:r>
      <w:r w:rsidR="00BC66F8">
        <w:t>high-risk</w:t>
      </w:r>
      <w:r w:rsidRPr="00B15B40">
        <w:t xml:space="preserve"> areas such as FSB, the choice of a security framework, or its implementation, may offer a less safe illusion of security than would the </w:t>
      </w:r>
      <w:r w:rsidRPr="00B15B40">
        <w:lastRenderedPageBreak/>
        <w:t>absence of such a framework. The evaluation below reviews the strengths and weaknesses of ISO/IEC 27001:2022 and ITIL 4 for the context of FSB operations.</w:t>
      </w:r>
    </w:p>
    <w:p w14:paraId="316851E2" w14:textId="03FB83D0" w:rsidR="0092136F" w:rsidRDefault="00000000" w:rsidP="00107B47">
      <w:pPr>
        <w:spacing w:before="180" w:after="80"/>
        <w:jc w:val="both"/>
      </w:pPr>
      <w:r>
        <w:rPr>
          <w:b/>
          <w:bCs/>
        </w:rPr>
        <w:t>2.1 ISO/IEC 27001:2022</w:t>
      </w:r>
    </w:p>
    <w:p w14:paraId="5B0A3435" w14:textId="148ECCD7" w:rsidR="00B15B40" w:rsidRDefault="00B15B40" w:rsidP="00107B47">
      <w:pPr>
        <w:spacing w:before="180" w:after="80"/>
        <w:jc w:val="both"/>
      </w:pPr>
      <w:r>
        <w:t xml:space="preserve">ISO/IEC 27001:2022 mandates a structured approach to implementing and managing an ISMS [1]. The real benefit of ISO 27001 lies in its auditable, risk-based approach, forcing the </w:t>
      </w:r>
      <w:proofErr w:type="spellStart"/>
      <w:r>
        <w:t>organisation</w:t>
      </w:r>
      <w:proofErr w:type="spellEnd"/>
      <w:r>
        <w:t xml:space="preserve"> to </w:t>
      </w:r>
      <w:proofErr w:type="spellStart"/>
      <w:r>
        <w:t>categorise</w:t>
      </w:r>
      <w:proofErr w:type="spellEnd"/>
      <w:r>
        <w:t xml:space="preserve"> information assets, perform appropriate risk assessment and keep an evidence log demonstrating how effective controls are. Controls 5.23 (Information Security for Cloud Services) and 5.7 (Threat Intelligence) are the only two meaningful controls directly pertinent to FSB within the 2022 update and provide a baseline standard against which cloud-specific threats can be mitigated.</w:t>
      </w:r>
    </w:p>
    <w:p w14:paraId="15AD8931" w14:textId="27E04B5A" w:rsidR="00B15B40" w:rsidRDefault="00B15B40" w:rsidP="00107B47">
      <w:pPr>
        <w:spacing w:before="180" w:after="80"/>
        <w:jc w:val="both"/>
      </w:pPr>
      <w:r>
        <w:t xml:space="preserve">The biggest weakness of ISO 27001 stems from the standard's technology-neutral nature; it dictates that a certain aspect of the system MUST be protected, but it fails to dictate how the relevant controls are engineered. As Ullah (2024) points out, this leads to 'symbolic adoption': the act of being certified to ISO 27001 as proof of compliance, rather than as a method for achieving security [7]. An approach to certification by FSB is essentially the provision of a 'paper shield' to satisfy an auditor while failing to provide </w:t>
      </w:r>
      <w:proofErr w:type="spellStart"/>
      <w:r>
        <w:t>defence</w:t>
      </w:r>
      <w:proofErr w:type="spellEnd"/>
      <w:r>
        <w:t xml:space="preserve"> against actual attackers. The cyclic nature of reviews also makes the standard unsuitable for the ever-changing environment </w:t>
      </w:r>
      <w:r w:rsidR="005724E1">
        <w:t xml:space="preserve">in which </w:t>
      </w:r>
      <w:r>
        <w:t>the threat actor operates.</w:t>
      </w:r>
    </w:p>
    <w:p w14:paraId="5EA79CE3" w14:textId="574F3B94" w:rsidR="0092136F" w:rsidRDefault="00000000" w:rsidP="00107B47">
      <w:pPr>
        <w:spacing w:before="180" w:after="80"/>
        <w:jc w:val="both"/>
      </w:pPr>
      <w:r>
        <w:rPr>
          <w:b/>
          <w:bCs/>
        </w:rPr>
        <w:t>2.2 ITIL 4</w:t>
      </w:r>
    </w:p>
    <w:p w14:paraId="5F3A879B" w14:textId="77777777" w:rsidR="0092136F" w:rsidRDefault="00000000" w:rsidP="00107B47">
      <w:pPr>
        <w:spacing w:after="120"/>
        <w:jc w:val="both"/>
      </w:pPr>
      <w:r>
        <w:t xml:space="preserve">ITIL 4 reframes IT service management within the Service Value System, orienting all IT activities around co-creation of business value [2]. Its relevance to FSB lies in its capacity to </w:t>
      </w:r>
      <w:proofErr w:type="spellStart"/>
      <w:r>
        <w:t>standardise</w:t>
      </w:r>
      <w:proofErr w:type="spellEnd"/>
      <w:r>
        <w:t xml:space="preserve"> the operational workflows through which security policies are enacted: incident response, change enablement, and supplier coordination. By embedding Information Security Management as a formal ITIL practice—measured through Practice Success Factors (PSFs)—the framework converts ISO 27001's abstract control objectives into repeatable, measurable daily operations.</w:t>
      </w:r>
    </w:p>
    <w:p w14:paraId="637128A9" w14:textId="77777777" w:rsidR="0092136F" w:rsidRDefault="00000000" w:rsidP="00107B47">
      <w:pPr>
        <w:spacing w:after="120"/>
        <w:jc w:val="both"/>
      </w:pPr>
      <w:r>
        <w:t xml:space="preserve">Nevertheless, ITIL 4 is not a security architecture. Its treatment of information security remains one practice among thirty-four, lacking depth in cryptographic design, identity federation, and advanced threat detection—precisely the technical disciplines required to protect the high-assurance financial data flowing through FSB's cloud infrastructure. Reliance on ITIL 4 alone would produce operationally efficient service delivery processes that nonetheless consistently deliver insecure configurations—a paradox no degree of procedural </w:t>
      </w:r>
      <w:proofErr w:type="spellStart"/>
      <w:r>
        <w:t>rigour</w:t>
      </w:r>
      <w:proofErr w:type="spellEnd"/>
      <w:r>
        <w:t xml:space="preserve"> can resolve without a dedicated security architectural foundation.</w:t>
      </w:r>
    </w:p>
    <w:p w14:paraId="0731D60E" w14:textId="77777777" w:rsidR="0092136F" w:rsidRDefault="00000000" w:rsidP="00107B47">
      <w:pPr>
        <w:spacing w:before="180" w:after="80"/>
        <w:jc w:val="both"/>
      </w:pPr>
      <w:r>
        <w:rPr>
          <w:b/>
          <w:bCs/>
        </w:rPr>
        <w:t>2.3 Integration of Frameworks</w:t>
      </w:r>
    </w:p>
    <w:p w14:paraId="64F4B32C" w14:textId="5CE204D6" w:rsidR="007E65B8" w:rsidRDefault="007E65B8" w:rsidP="00107B47">
      <w:pPr>
        <w:spacing w:before="160" w:after="80"/>
        <w:jc w:val="both"/>
      </w:pPr>
      <w:r>
        <w:t xml:space="preserve">The gaps of the frameworks have complementary structural weaknesses: the strategic generality of ISO 27001 can be met by the operational granularity of ITIL 4. While ISO establishes </w:t>
      </w:r>
      <w:r w:rsidR="00A34FC8">
        <w:t>the control framework, the risk acceptance threshold, and the necessity of audits</w:t>
      </w:r>
      <w:r>
        <w:t xml:space="preserve">, ITIL will create the machine that embeds these rules into our everyday. The studies by </w:t>
      </w:r>
      <w:proofErr w:type="spellStart"/>
      <w:r>
        <w:t>Kekgathetse</w:t>
      </w:r>
      <w:proofErr w:type="spellEnd"/>
      <w:r>
        <w:t xml:space="preserve"> et al. (2024) validated that by using multiple frameworks, the blindness in any single framework can be eliminated [8].</w:t>
      </w:r>
    </w:p>
    <w:p w14:paraId="4BD894D8" w14:textId="1CFD26DE" w:rsidR="00BD57CE" w:rsidRDefault="007E65B8" w:rsidP="00107B47">
      <w:pPr>
        <w:spacing w:before="160" w:after="80"/>
        <w:jc w:val="both"/>
      </w:pPr>
      <w:r>
        <w:t xml:space="preserve">The three-layer model of integration: Strategic Governance Layer (ISO 27001 ISMS control and risk appetite), Operational Execution Layer (ITIL 4 value stream hardcoded by ISO parameters) and Technical Enforcement Layer (Zero Trust Architecture, MDM and AI-driven </w:t>
      </w:r>
      <w:proofErr w:type="gramStart"/>
      <w:r>
        <w:t>monitor)[</w:t>
      </w:r>
      <w:proofErr w:type="gramEnd"/>
      <w:r>
        <w:t xml:space="preserve">3]. ISO rules will confine and </w:t>
      </w:r>
      <w:proofErr w:type="spellStart"/>
      <w:r>
        <w:t>mould</w:t>
      </w:r>
      <w:proofErr w:type="spellEnd"/>
      <w:r>
        <w:t xml:space="preserve"> ITIL processes, and ITIL feedback, such as operational incidents, supplier failure, etc. Will be fed back and continuously </w:t>
      </w:r>
      <w:r w:rsidR="00A34FC8">
        <w:t>updated</w:t>
      </w:r>
      <w:r w:rsidR="00BD57CE">
        <w:t>,</w:t>
      </w:r>
      <w:r w:rsidR="00A34FC8">
        <w:t xml:space="preserve"> the ISO risk register; compliance evidence is inherently derived from </w:t>
      </w:r>
      <w:r>
        <w:t>execution.</w:t>
      </w:r>
    </w:p>
    <w:p w14:paraId="24C1DE96" w14:textId="4D4CE832" w:rsidR="0092136F" w:rsidRDefault="00000000" w:rsidP="009438C0">
      <w:pPr>
        <w:spacing w:before="160" w:after="80"/>
        <w:jc w:val="center"/>
        <w:rPr>
          <w:b/>
          <w:bCs/>
          <w:sz w:val="20"/>
          <w:szCs w:val="20"/>
        </w:rPr>
      </w:pPr>
      <w:r>
        <w:rPr>
          <w:b/>
          <w:bCs/>
          <w:sz w:val="20"/>
          <w:szCs w:val="20"/>
        </w:rPr>
        <w:t>TABLE I FSB Integrated Security Framework Model</w:t>
      </w:r>
    </w:p>
    <w:p w14:paraId="50BB9BE8" w14:textId="77777777" w:rsidR="009438C0" w:rsidRDefault="009438C0" w:rsidP="009438C0">
      <w:pPr>
        <w:spacing w:before="160" w:after="80"/>
        <w:jc w:val="cente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600"/>
        <w:gridCol w:w="3626"/>
      </w:tblGrid>
      <w:tr w:rsidR="0092136F" w14:paraId="6EC36BA5" w14:textId="77777777">
        <w:trPr>
          <w:tblHeader/>
        </w:trPr>
        <w:tc>
          <w:tcPr>
            <w:tcW w:w="1800"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3C84E44E" w14:textId="77777777" w:rsidR="0092136F" w:rsidRDefault="00000000" w:rsidP="00107B47">
            <w:pPr>
              <w:jc w:val="both"/>
            </w:pPr>
            <w:r>
              <w:rPr>
                <w:b/>
                <w:bCs/>
                <w:sz w:val="18"/>
                <w:szCs w:val="18"/>
              </w:rPr>
              <w:t>Layer</w:t>
            </w:r>
          </w:p>
        </w:tc>
        <w:tc>
          <w:tcPr>
            <w:tcW w:w="3600"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51374692" w14:textId="77777777" w:rsidR="0092136F" w:rsidRDefault="00000000" w:rsidP="00107B47">
            <w:pPr>
              <w:jc w:val="both"/>
            </w:pPr>
            <w:r>
              <w:rPr>
                <w:b/>
                <w:bCs/>
                <w:sz w:val="18"/>
                <w:szCs w:val="18"/>
              </w:rPr>
              <w:t>Framework Component</w:t>
            </w:r>
          </w:p>
        </w:tc>
        <w:tc>
          <w:tcPr>
            <w:tcW w:w="3626"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509B3EC2" w14:textId="77777777" w:rsidR="0092136F" w:rsidRDefault="00000000" w:rsidP="00107B47">
            <w:pPr>
              <w:jc w:val="both"/>
            </w:pPr>
            <w:r>
              <w:rPr>
                <w:b/>
                <w:bCs/>
                <w:sz w:val="18"/>
                <w:szCs w:val="18"/>
              </w:rPr>
              <w:t>Function for FSB</w:t>
            </w:r>
          </w:p>
        </w:tc>
      </w:tr>
      <w:tr w:rsidR="0092136F" w14:paraId="5BDEC3E0" w14:textId="77777777">
        <w:tc>
          <w:tcPr>
            <w:tcW w:w="18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5A058A9B" w14:textId="77777777" w:rsidR="0092136F" w:rsidRDefault="00000000" w:rsidP="00107B47">
            <w:pPr>
              <w:jc w:val="both"/>
            </w:pPr>
            <w:r>
              <w:rPr>
                <w:sz w:val="18"/>
                <w:szCs w:val="18"/>
              </w:rPr>
              <w:t>Strategic Governance</w:t>
            </w:r>
          </w:p>
        </w:tc>
        <w:tc>
          <w:tcPr>
            <w:tcW w:w="3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1A34B48" w14:textId="77777777" w:rsidR="0092136F" w:rsidRDefault="00000000" w:rsidP="00107B47">
            <w:pPr>
              <w:jc w:val="both"/>
            </w:pPr>
            <w:r>
              <w:rPr>
                <w:sz w:val="18"/>
                <w:szCs w:val="18"/>
              </w:rPr>
              <w:t>ISO/IEC 27001:2022 ISMS</w:t>
            </w:r>
          </w:p>
        </w:tc>
        <w:tc>
          <w:tcPr>
            <w:tcW w:w="36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108BBD03" w14:textId="77777777" w:rsidR="0092136F" w:rsidRDefault="00000000" w:rsidP="00107B47">
            <w:pPr>
              <w:jc w:val="both"/>
            </w:pPr>
            <w:r>
              <w:rPr>
                <w:sz w:val="18"/>
                <w:szCs w:val="18"/>
              </w:rPr>
              <w:t>Risk appetite, control catalogue, audit evidence, regulatory alignment</w:t>
            </w:r>
          </w:p>
        </w:tc>
      </w:tr>
      <w:tr w:rsidR="0092136F" w14:paraId="0F5BDD84" w14:textId="77777777">
        <w:tc>
          <w:tcPr>
            <w:tcW w:w="18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C0D5387" w14:textId="77777777" w:rsidR="0092136F" w:rsidRDefault="00000000" w:rsidP="00107B47">
            <w:pPr>
              <w:jc w:val="both"/>
            </w:pPr>
            <w:r>
              <w:rPr>
                <w:sz w:val="18"/>
                <w:szCs w:val="18"/>
              </w:rPr>
              <w:lastRenderedPageBreak/>
              <w:t>Operational Execution</w:t>
            </w:r>
          </w:p>
        </w:tc>
        <w:tc>
          <w:tcPr>
            <w:tcW w:w="3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764A0BC6" w14:textId="77777777" w:rsidR="0092136F" w:rsidRDefault="00000000" w:rsidP="00107B47">
            <w:pPr>
              <w:jc w:val="both"/>
            </w:pPr>
            <w:r>
              <w:rPr>
                <w:sz w:val="18"/>
                <w:szCs w:val="18"/>
              </w:rPr>
              <w:t>ITIL 4 Service Value System</w:t>
            </w:r>
          </w:p>
        </w:tc>
        <w:tc>
          <w:tcPr>
            <w:tcW w:w="36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11B2B1CE" w14:textId="77777777" w:rsidR="0092136F" w:rsidRDefault="00000000" w:rsidP="00107B47">
            <w:pPr>
              <w:jc w:val="both"/>
            </w:pPr>
            <w:r>
              <w:rPr>
                <w:sz w:val="18"/>
                <w:szCs w:val="18"/>
              </w:rPr>
              <w:t>Incident management, change enablement, supplier operations, PSFs</w:t>
            </w:r>
          </w:p>
        </w:tc>
      </w:tr>
      <w:tr w:rsidR="0092136F" w14:paraId="141A9E28" w14:textId="77777777">
        <w:tc>
          <w:tcPr>
            <w:tcW w:w="18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524DD4D6" w14:textId="77777777" w:rsidR="0092136F" w:rsidRDefault="00000000" w:rsidP="00107B47">
            <w:pPr>
              <w:jc w:val="both"/>
            </w:pPr>
            <w:r>
              <w:rPr>
                <w:sz w:val="18"/>
                <w:szCs w:val="18"/>
              </w:rPr>
              <w:t>Technical Enforcement</w:t>
            </w:r>
          </w:p>
        </w:tc>
        <w:tc>
          <w:tcPr>
            <w:tcW w:w="3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EEB0550" w14:textId="77777777" w:rsidR="0092136F" w:rsidRDefault="00000000" w:rsidP="00107B47">
            <w:pPr>
              <w:jc w:val="both"/>
            </w:pPr>
            <w:r>
              <w:rPr>
                <w:sz w:val="18"/>
                <w:szCs w:val="18"/>
              </w:rPr>
              <w:t>NIST SP 800-207 Zero Trust + AI Monitoring</w:t>
            </w:r>
          </w:p>
        </w:tc>
        <w:tc>
          <w:tcPr>
            <w:tcW w:w="36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6937934B" w14:textId="77777777" w:rsidR="0092136F" w:rsidRDefault="00000000" w:rsidP="00107B47">
            <w:pPr>
              <w:jc w:val="both"/>
            </w:pPr>
            <w:r>
              <w:rPr>
                <w:sz w:val="18"/>
                <w:szCs w:val="18"/>
              </w:rPr>
              <w:t xml:space="preserve">Identity verification, least-privilege access, continuous </w:t>
            </w:r>
            <w:proofErr w:type="spellStart"/>
            <w:r>
              <w:rPr>
                <w:sz w:val="18"/>
                <w:szCs w:val="18"/>
              </w:rPr>
              <w:t>behavioural</w:t>
            </w:r>
            <w:proofErr w:type="spellEnd"/>
            <w:r>
              <w:rPr>
                <w:sz w:val="18"/>
                <w:szCs w:val="18"/>
              </w:rPr>
              <w:t xml:space="preserve"> analytics</w:t>
            </w:r>
          </w:p>
        </w:tc>
      </w:tr>
    </w:tbl>
    <w:p w14:paraId="78166687" w14:textId="0D595D47" w:rsidR="00D50B41" w:rsidRDefault="00C01A58" w:rsidP="00107B47">
      <w:pPr>
        <w:spacing w:before="60" w:after="120"/>
        <w:jc w:val="both"/>
      </w:pPr>
      <w:r>
        <w:rPr>
          <w:noProof/>
        </w:rPr>
        <w:drawing>
          <wp:anchor distT="0" distB="0" distL="114300" distR="114300" simplePos="0" relativeHeight="251658240" behindDoc="0" locked="0" layoutInCell="1" allowOverlap="1" wp14:anchorId="551901BE" wp14:editId="35C623D4">
            <wp:simplePos x="914400" y="1872343"/>
            <wp:positionH relativeFrom="column">
              <wp:align>left</wp:align>
            </wp:positionH>
            <wp:positionV relativeFrom="paragraph">
              <wp:align>top</wp:align>
            </wp:positionV>
            <wp:extent cx="5812971" cy="2932430"/>
            <wp:effectExtent l="0" t="0" r="0" b="0"/>
            <wp:wrapSquare wrapText="bothSides"/>
            <wp:docPr id="52677964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779645" name="Graphic 526779645"/>
                    <pic:cNvPicPr/>
                  </pic:nvPicPr>
                  <pic:blipFill>
                    <a:blip r:embed="rId7">
                      <a:extLst>
                        <a:ext uri="{96DAC541-7B7A-43D3-8B79-37D633B846F1}">
                          <asvg:svgBlip xmlns:asvg="http://schemas.microsoft.com/office/drawing/2016/SVG/main" r:embed="rId8"/>
                        </a:ext>
                      </a:extLst>
                    </a:blip>
                    <a:stretch>
                      <a:fillRect/>
                    </a:stretch>
                  </pic:blipFill>
                  <pic:spPr>
                    <a:xfrm>
                      <a:off x="0" y="0"/>
                      <a:ext cx="5812971" cy="2932430"/>
                    </a:xfrm>
                    <a:prstGeom prst="rect">
                      <a:avLst/>
                    </a:prstGeom>
                  </pic:spPr>
                </pic:pic>
              </a:graphicData>
            </a:graphic>
          </wp:anchor>
        </w:drawing>
      </w:r>
      <w:r w:rsidR="00BD57CE">
        <w:br w:type="textWrapping" w:clear="all"/>
      </w:r>
    </w:p>
    <w:p w14:paraId="64274CF8" w14:textId="47CF0B6E" w:rsidR="00311ED5" w:rsidRPr="00311ED5" w:rsidRDefault="00311ED5" w:rsidP="00BC66F8">
      <w:pPr>
        <w:spacing w:before="60" w:after="120"/>
        <w:jc w:val="center"/>
        <w:rPr>
          <w:i/>
          <w:iCs/>
          <w:sz w:val="20"/>
          <w:szCs w:val="20"/>
        </w:rPr>
      </w:pPr>
      <w:r>
        <w:rPr>
          <w:i/>
          <w:iCs/>
          <w:sz w:val="20"/>
          <w:szCs w:val="20"/>
        </w:rPr>
        <w:t>Fig. 1. Integrated Security Governance Architecture — Layer overview derived from ISO/IEC 27001:2022 [1], ITIL 4 [2], and NIST SP 800-207 [3]</w:t>
      </w:r>
    </w:p>
    <w:p w14:paraId="0BDAD35B" w14:textId="541FD47B" w:rsidR="0092136F" w:rsidRDefault="00000000" w:rsidP="00107B47">
      <w:pPr>
        <w:spacing w:before="240" w:after="120"/>
        <w:jc w:val="both"/>
      </w:pPr>
      <w:r>
        <w:rPr>
          <w:b/>
          <w:bCs/>
          <w:sz w:val="24"/>
          <w:szCs w:val="24"/>
        </w:rPr>
        <w:t>3. Custom Security Governance Model for FSB</w:t>
      </w:r>
    </w:p>
    <w:p w14:paraId="27B402C5" w14:textId="3AE4EE7A" w:rsidR="007E65B8" w:rsidRDefault="007E65B8" w:rsidP="00107B47">
      <w:pPr>
        <w:spacing w:before="180" w:after="80"/>
        <w:jc w:val="both"/>
      </w:pPr>
      <w:r w:rsidRPr="007E65B8">
        <w:t xml:space="preserve">The FSB Integrated Security Governance model consists of eight interlinked parameters. Each of the parameters </w:t>
      </w:r>
      <w:r>
        <w:t>has</w:t>
      </w:r>
      <w:r w:rsidRPr="007E65B8">
        <w:t xml:space="preserve"> been built upon a requirement of regulatory compliance, academic research into security and the contextually specific nature of FSB's stated risk profile. Collectively</w:t>
      </w:r>
      <w:r>
        <w:t>,</w:t>
      </w:r>
      <w:r w:rsidRPr="007E65B8">
        <w:t xml:space="preserve"> they present a linear progression towards measurable and dynamic cyber resilience, moving from security governance chaos.</w:t>
      </w:r>
    </w:p>
    <w:p w14:paraId="51A35F25" w14:textId="73884F42" w:rsidR="00D50B41" w:rsidRDefault="005724E1" w:rsidP="00107B47">
      <w:pPr>
        <w:spacing w:before="180" w:after="80"/>
        <w:jc w:val="both"/>
      </w:pPr>
      <w:r>
        <w:rPr>
          <w:noProof/>
        </w:rPr>
        <w:drawing>
          <wp:inline distT="0" distB="0" distL="0" distR="0" wp14:anchorId="4F558B0A" wp14:editId="4D00D6CA">
            <wp:extent cx="5684520" cy="2644140"/>
            <wp:effectExtent l="0" t="0" r="0" b="3810"/>
            <wp:docPr id="251072986"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072986" name="Graphic 251072986"/>
                    <pic:cNvPicPr/>
                  </pic:nvPicPr>
                  <pic:blipFill>
                    <a:blip r:embed="rId9">
                      <a:extLst>
                        <a:ext uri="{96DAC541-7B7A-43D3-8B79-37D633B846F1}">
                          <asvg:svgBlip xmlns:asvg="http://schemas.microsoft.com/office/drawing/2016/SVG/main" r:embed="rId10"/>
                        </a:ext>
                      </a:extLst>
                    </a:blip>
                    <a:stretch>
                      <a:fillRect/>
                    </a:stretch>
                  </pic:blipFill>
                  <pic:spPr>
                    <a:xfrm>
                      <a:off x="0" y="0"/>
                      <a:ext cx="5708441" cy="2655267"/>
                    </a:xfrm>
                    <a:prstGeom prst="rect">
                      <a:avLst/>
                    </a:prstGeom>
                  </pic:spPr>
                </pic:pic>
              </a:graphicData>
            </a:graphic>
          </wp:inline>
        </w:drawing>
      </w:r>
    </w:p>
    <w:p w14:paraId="32956830" w14:textId="0478F55B" w:rsidR="00107B47" w:rsidRDefault="00311ED5" w:rsidP="00311ED5">
      <w:pPr>
        <w:spacing w:before="180" w:after="80"/>
        <w:jc w:val="center"/>
        <w:rPr>
          <w:b/>
          <w:bCs/>
        </w:rPr>
      </w:pPr>
      <w:bookmarkStart w:id="0" w:name="_Hlk227283524"/>
      <w:r w:rsidRPr="00311ED5">
        <w:rPr>
          <w:i/>
          <w:iCs/>
          <w:sz w:val="20"/>
          <w:szCs w:val="20"/>
        </w:rPr>
        <w:t xml:space="preserve">Fig. </w:t>
      </w:r>
      <w:r>
        <w:rPr>
          <w:i/>
          <w:iCs/>
          <w:sz w:val="20"/>
          <w:szCs w:val="20"/>
        </w:rPr>
        <w:t>2</w:t>
      </w:r>
      <w:r w:rsidRPr="00311ED5">
        <w:rPr>
          <w:i/>
          <w:iCs/>
          <w:sz w:val="20"/>
          <w:szCs w:val="20"/>
        </w:rPr>
        <w:t xml:space="preserve"> — FSB integrated security governance model — eight interdependent pillars</w:t>
      </w:r>
    </w:p>
    <w:bookmarkEnd w:id="0"/>
    <w:p w14:paraId="25582A97" w14:textId="277AF1A7" w:rsidR="0092136F" w:rsidRDefault="00000000" w:rsidP="00107B47">
      <w:pPr>
        <w:spacing w:before="180" w:after="80"/>
        <w:jc w:val="both"/>
      </w:pPr>
      <w:r>
        <w:rPr>
          <w:b/>
          <w:bCs/>
        </w:rPr>
        <w:lastRenderedPageBreak/>
        <w:t>3.1 Continuous Risk Management</w:t>
      </w:r>
    </w:p>
    <w:p w14:paraId="291FF9B2" w14:textId="7BC4A2FD" w:rsidR="007E65B8" w:rsidRDefault="007E65B8" w:rsidP="00107B47">
      <w:pPr>
        <w:spacing w:before="180" w:after="80"/>
        <w:jc w:val="both"/>
      </w:pPr>
      <w:r>
        <w:t xml:space="preserve">In FSB's case, an annual risk assessment is not only ineffective but could prove to be detrimental, giving institutional credibility to a risk register that will be outdated from day one. FSB must adopt the continuous risk assessment lifecycle prescribed by NIST SP 800-30 Rev. 1 [10], coupled with ML </w:t>
      </w:r>
      <w:proofErr w:type="spellStart"/>
      <w:r>
        <w:t>behavioural</w:t>
      </w:r>
      <w:proofErr w:type="spellEnd"/>
      <w:r>
        <w:t xml:space="preserve"> analysis to keep the </w:t>
      </w:r>
      <w:proofErr w:type="spellStart"/>
      <w:r>
        <w:t>organisation's</w:t>
      </w:r>
      <w:proofErr w:type="spellEnd"/>
      <w:r>
        <w:t xml:space="preserve"> risk stance at a real-time state.</w:t>
      </w:r>
    </w:p>
    <w:p w14:paraId="7F779A98" w14:textId="034EBC65" w:rsidR="007E65B8" w:rsidRDefault="007E65B8" w:rsidP="00107B47">
      <w:pPr>
        <w:spacing w:before="180" w:after="80"/>
        <w:jc w:val="both"/>
      </w:pPr>
      <w:r>
        <w:t xml:space="preserve">The use of Recurrent Neural Networks in continuous monitoring, as shown by Asmar and </w:t>
      </w:r>
      <w:proofErr w:type="spellStart"/>
      <w:r>
        <w:t>Tuqan</w:t>
      </w:r>
      <w:proofErr w:type="spellEnd"/>
      <w:r>
        <w:t xml:space="preserve"> (2024), improves the detection of insider attacks and DDoS campaigns to allow a proactive response, even before systems are breached [11]. This shift takes risk management from a reactive compliance task to a forward-looking function. Despite this capability, AI has to issue false positives and model drift; the decision-making to take remediation actions cannot be automated without a 'human in the loop' mechanism</w:t>
      </w:r>
    </w:p>
    <w:p w14:paraId="3C3A6A4D" w14:textId="0243D60E" w:rsidR="0092136F" w:rsidRDefault="00000000" w:rsidP="00107B47">
      <w:pPr>
        <w:spacing w:before="180" w:after="80"/>
        <w:jc w:val="both"/>
      </w:pPr>
      <w:r>
        <w:rPr>
          <w:b/>
          <w:bCs/>
        </w:rPr>
        <w:t>3.2 Zero Trust Security Architecture</w:t>
      </w:r>
    </w:p>
    <w:p w14:paraId="446AE67A" w14:textId="3799C760" w:rsidR="00FE4AEB" w:rsidRDefault="00FE4AEB" w:rsidP="00107B47">
      <w:pPr>
        <w:spacing w:after="120"/>
        <w:jc w:val="both"/>
      </w:pPr>
      <w:r>
        <w:t xml:space="preserve">The traditional perimeter security model will simply not work for an </w:t>
      </w:r>
      <w:proofErr w:type="spellStart"/>
      <w:r w:rsidR="005724E1">
        <w:t>organisation</w:t>
      </w:r>
      <w:proofErr w:type="spellEnd"/>
      <w:r>
        <w:t xml:space="preserve"> where 90% of infrastructure is cloud-based third-party services</w:t>
      </w:r>
      <w:r w:rsidR="005724E1">
        <w:t>,</w:t>
      </w:r>
      <w:r>
        <w:t xml:space="preserve"> and the sources of access are unmanaged personal devices. FSB should adopt a Zero Trust Architecture (ZTA) as described by NIST SP 800-207 and </w:t>
      </w:r>
      <w:proofErr w:type="spellStart"/>
      <w:r w:rsidR="005724E1">
        <w:t>operationalise</w:t>
      </w:r>
      <w:proofErr w:type="spellEnd"/>
      <w:r>
        <w:t xml:space="preserve"> never trust, always verify across the entire access life-cycle [3].</w:t>
      </w:r>
    </w:p>
    <w:p w14:paraId="5418A4EB" w14:textId="216C1E8A" w:rsidR="00FE4AEB" w:rsidRDefault="00FE4AEB" w:rsidP="00107B47">
      <w:pPr>
        <w:spacing w:after="120"/>
        <w:jc w:val="both"/>
      </w:pPr>
      <w:r>
        <w:t xml:space="preserve">Under a ZTA, all access requests must be continually verified through multi-factor authentication prior to access </w:t>
      </w:r>
      <w:r w:rsidR="005724E1">
        <w:t xml:space="preserve">being </w:t>
      </w:r>
      <w:r>
        <w:t>granted on a least-privilege basis. Requests are evaluated for their risk profile by a Policy Decision Point (PDP)</w:t>
      </w:r>
      <w:r w:rsidR="005724E1">
        <w:t>,</w:t>
      </w:r>
      <w:r>
        <w:t xml:space="preserve"> and actions determined are executed by Policy Enforcement Points (PEP). Joshi (2025) proves ZTA maturity is directly proportional to a decrease in breach severity for cloud-native </w:t>
      </w:r>
      <w:proofErr w:type="spellStart"/>
      <w:r w:rsidR="005724E1">
        <w:t>organisations</w:t>
      </w:r>
      <w:proofErr w:type="spellEnd"/>
      <w:r>
        <w:t xml:space="preserve"> [12]. Federated </w:t>
      </w:r>
      <w:r w:rsidR="005724E1">
        <w:t>AI-driven</w:t>
      </w:r>
      <w:r>
        <w:t xml:space="preserve"> Zero Trust was recommended for BYOD at Hussain, Pal and </w:t>
      </w:r>
      <w:proofErr w:type="spellStart"/>
      <w:r>
        <w:t>Jadidi</w:t>
      </w:r>
      <w:proofErr w:type="spellEnd"/>
      <w:r>
        <w:t xml:space="preserve"> (2024), </w:t>
      </w:r>
      <w:r w:rsidR="00B7509F" w:rsidRPr="00B7509F">
        <w:t xml:space="preserve">Daah et al. (2023) propose a ZTA framework specifically adapted to financial institutions, </w:t>
      </w:r>
      <w:proofErr w:type="spellStart"/>
      <w:r w:rsidR="00B7509F" w:rsidRPr="00B7509F">
        <w:t>emphasising</w:t>
      </w:r>
      <w:proofErr w:type="spellEnd"/>
      <w:r w:rsidR="00B7509F" w:rsidRPr="00B7509F">
        <w:t xml:space="preserve"> continuous identity verification and micro-segmentation as core controls [14]</w:t>
      </w:r>
      <w:r>
        <w:t>.</w:t>
      </w:r>
    </w:p>
    <w:p w14:paraId="6218B27D" w14:textId="6E845207" w:rsidR="0092136F" w:rsidRDefault="00FE4AEB" w:rsidP="00107B47">
      <w:pPr>
        <w:spacing w:after="120"/>
        <w:jc w:val="both"/>
      </w:pPr>
      <w:r>
        <w:t xml:space="preserve">The major challenge for implementation is the sheer architectural complexity when attempting to implement granular access controls </w:t>
      </w:r>
      <w:r w:rsidR="005724E1">
        <w:t>through legacy</w:t>
      </w:r>
      <w:r>
        <w:t xml:space="preserve"> cloud services </w:t>
      </w:r>
      <w:r w:rsidR="005724E1">
        <w:t>and APIs</w:t>
      </w:r>
      <w:r>
        <w:t xml:space="preserve">. FSB must therefore undertake a phased ZTA deployment, focusing first on data/service tiers of most sensitive data-core banking ledgers, customer PII data stores and payment </w:t>
      </w:r>
      <w:r w:rsidR="005724E1">
        <w:t>processing APIs</w:t>
      </w:r>
      <w:r>
        <w:t>,</w:t>
      </w:r>
      <w:r w:rsidR="005724E1">
        <w:t xml:space="preserve"> </w:t>
      </w:r>
      <w:r>
        <w:t>and then gradually extending to less-critical data/service tiers.</w:t>
      </w:r>
    </w:p>
    <w:p w14:paraId="560648A2" w14:textId="37A295D7" w:rsidR="00107B47" w:rsidRPr="00BD57CE" w:rsidRDefault="005724E1" w:rsidP="00BD57CE">
      <w:pPr>
        <w:spacing w:after="120"/>
        <w:jc w:val="both"/>
      </w:pPr>
      <w:r>
        <w:rPr>
          <w:noProof/>
        </w:rPr>
        <w:drawing>
          <wp:inline distT="0" distB="0" distL="0" distR="0" wp14:anchorId="79F853EB" wp14:editId="34B8FBD9">
            <wp:extent cx="5730147" cy="2857500"/>
            <wp:effectExtent l="0" t="0" r="0" b="0"/>
            <wp:docPr id="2060593323"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93323" name="Graphic 2060593323"/>
                    <pic:cNvPicPr/>
                  </pic:nvPicPr>
                  <pic:blipFill>
                    <a:blip r:embed="rId11">
                      <a:extLst>
                        <a:ext uri="{96DAC541-7B7A-43D3-8B79-37D633B846F1}">
                          <asvg:svgBlip xmlns:asvg="http://schemas.microsoft.com/office/drawing/2016/SVG/main" r:embed="rId12"/>
                        </a:ext>
                      </a:extLst>
                    </a:blip>
                    <a:stretch>
                      <a:fillRect/>
                    </a:stretch>
                  </pic:blipFill>
                  <pic:spPr>
                    <a:xfrm>
                      <a:off x="0" y="0"/>
                      <a:ext cx="5752799" cy="2868796"/>
                    </a:xfrm>
                    <a:prstGeom prst="rect">
                      <a:avLst/>
                    </a:prstGeom>
                  </pic:spPr>
                </pic:pic>
              </a:graphicData>
            </a:graphic>
          </wp:inline>
        </w:drawing>
      </w:r>
    </w:p>
    <w:p w14:paraId="558BE534" w14:textId="2C90D9C8" w:rsidR="00A34FC8" w:rsidRPr="00B7509F" w:rsidRDefault="00A34FC8" w:rsidP="00A34FC8">
      <w:pPr>
        <w:spacing w:before="160" w:after="80"/>
        <w:jc w:val="center"/>
        <w:rPr>
          <w:sz w:val="20"/>
          <w:szCs w:val="20"/>
        </w:rPr>
      </w:pPr>
      <w:r w:rsidRPr="00B7509F">
        <w:rPr>
          <w:i/>
          <w:iCs/>
          <w:sz w:val="20"/>
          <w:szCs w:val="20"/>
        </w:rPr>
        <w:t>Fig. 3 — Zero Trust access verification flow. Adapted from NIST SP 800-207 and Biao (2025)</w:t>
      </w:r>
    </w:p>
    <w:p w14:paraId="26376DF0" w14:textId="77777777" w:rsidR="00A34FC8" w:rsidRDefault="00A34FC8" w:rsidP="00107B47">
      <w:pPr>
        <w:spacing w:before="160" w:after="80"/>
        <w:jc w:val="both"/>
        <w:rPr>
          <w:b/>
          <w:bCs/>
          <w:sz w:val="20"/>
          <w:szCs w:val="20"/>
        </w:rPr>
      </w:pPr>
    </w:p>
    <w:p w14:paraId="0A5CDB02" w14:textId="77777777" w:rsidR="00BD57CE" w:rsidRDefault="00BD57CE" w:rsidP="00107B47">
      <w:pPr>
        <w:spacing w:before="160" w:after="80"/>
        <w:jc w:val="both"/>
        <w:rPr>
          <w:b/>
          <w:bCs/>
          <w:sz w:val="20"/>
          <w:szCs w:val="20"/>
        </w:rPr>
      </w:pPr>
    </w:p>
    <w:p w14:paraId="68844252" w14:textId="735B230F" w:rsidR="0092136F" w:rsidRDefault="00000000" w:rsidP="009438C0">
      <w:pPr>
        <w:spacing w:before="160" w:after="80"/>
        <w:jc w:val="center"/>
        <w:rPr>
          <w:b/>
          <w:bCs/>
          <w:sz w:val="20"/>
          <w:szCs w:val="20"/>
        </w:rPr>
      </w:pPr>
      <w:r>
        <w:rPr>
          <w:b/>
          <w:bCs/>
          <w:sz w:val="20"/>
          <w:szCs w:val="20"/>
        </w:rPr>
        <w:lastRenderedPageBreak/>
        <w:t>TABLE II FSB Zero Trust Architecture – Access Verification Flow</w:t>
      </w:r>
    </w:p>
    <w:p w14:paraId="43187995" w14:textId="77777777" w:rsidR="009438C0" w:rsidRDefault="009438C0" w:rsidP="00107B47">
      <w:pPr>
        <w:spacing w:before="160" w:after="8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00"/>
        <w:gridCol w:w="1600"/>
        <w:gridCol w:w="3600"/>
        <w:gridCol w:w="3026"/>
      </w:tblGrid>
      <w:tr w:rsidR="0092136F" w14:paraId="141E3A6C" w14:textId="77777777">
        <w:trPr>
          <w:tblHeader/>
        </w:trPr>
        <w:tc>
          <w:tcPr>
            <w:tcW w:w="800"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34F1269F" w14:textId="77777777" w:rsidR="0092136F" w:rsidRDefault="00000000" w:rsidP="00107B47">
            <w:pPr>
              <w:jc w:val="both"/>
            </w:pPr>
            <w:r>
              <w:rPr>
                <w:b/>
                <w:bCs/>
                <w:sz w:val="18"/>
                <w:szCs w:val="18"/>
              </w:rPr>
              <w:t>Stage</w:t>
            </w:r>
          </w:p>
        </w:tc>
        <w:tc>
          <w:tcPr>
            <w:tcW w:w="1600"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22636BA5" w14:textId="77777777" w:rsidR="0092136F" w:rsidRDefault="00000000" w:rsidP="00107B47">
            <w:pPr>
              <w:jc w:val="both"/>
            </w:pPr>
            <w:r>
              <w:rPr>
                <w:b/>
                <w:bCs/>
                <w:sz w:val="18"/>
                <w:szCs w:val="18"/>
              </w:rPr>
              <w:t>Component</w:t>
            </w:r>
          </w:p>
        </w:tc>
        <w:tc>
          <w:tcPr>
            <w:tcW w:w="3600"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5B25502A" w14:textId="77777777" w:rsidR="0092136F" w:rsidRDefault="00000000" w:rsidP="00107B47">
            <w:pPr>
              <w:jc w:val="both"/>
            </w:pPr>
            <w:r>
              <w:rPr>
                <w:b/>
                <w:bCs/>
                <w:sz w:val="18"/>
                <w:szCs w:val="18"/>
              </w:rPr>
              <w:t>Action</w:t>
            </w:r>
          </w:p>
        </w:tc>
        <w:tc>
          <w:tcPr>
            <w:tcW w:w="3026"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41813014" w14:textId="77777777" w:rsidR="0092136F" w:rsidRDefault="00000000" w:rsidP="00107B47">
            <w:pPr>
              <w:jc w:val="both"/>
            </w:pPr>
            <w:r>
              <w:rPr>
                <w:b/>
                <w:bCs/>
                <w:sz w:val="18"/>
                <w:szCs w:val="18"/>
              </w:rPr>
              <w:t>Outcome</w:t>
            </w:r>
          </w:p>
        </w:tc>
      </w:tr>
      <w:tr w:rsidR="0092136F" w14:paraId="58243D56" w14:textId="77777777">
        <w:tc>
          <w:tcPr>
            <w:tcW w:w="8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66B3FBD4" w14:textId="77777777" w:rsidR="0092136F" w:rsidRDefault="00000000" w:rsidP="00107B47">
            <w:pPr>
              <w:jc w:val="both"/>
            </w:pPr>
            <w:r>
              <w:rPr>
                <w:sz w:val="18"/>
                <w:szCs w:val="18"/>
              </w:rPr>
              <w:t>1</w:t>
            </w:r>
          </w:p>
        </w:tc>
        <w:tc>
          <w:tcPr>
            <w:tcW w:w="1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1D0CF81" w14:textId="77777777" w:rsidR="0092136F" w:rsidRDefault="00000000" w:rsidP="00107B47">
            <w:pPr>
              <w:jc w:val="both"/>
            </w:pPr>
            <w:r>
              <w:rPr>
                <w:sz w:val="18"/>
                <w:szCs w:val="18"/>
              </w:rPr>
              <w:t>Identity Provider</w:t>
            </w:r>
          </w:p>
        </w:tc>
        <w:tc>
          <w:tcPr>
            <w:tcW w:w="3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62B55962" w14:textId="77777777" w:rsidR="0092136F" w:rsidRDefault="00000000" w:rsidP="00107B47">
            <w:pPr>
              <w:jc w:val="both"/>
            </w:pPr>
            <w:r>
              <w:rPr>
                <w:sz w:val="18"/>
                <w:szCs w:val="18"/>
              </w:rPr>
              <w:t>MFA / FIDO2 credential validation; SSO session scoping</w:t>
            </w:r>
          </w:p>
        </w:tc>
        <w:tc>
          <w:tcPr>
            <w:tcW w:w="30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6232F66A" w14:textId="77777777" w:rsidR="0092136F" w:rsidRDefault="00000000" w:rsidP="00107B47">
            <w:pPr>
              <w:jc w:val="both"/>
            </w:pPr>
            <w:r>
              <w:rPr>
                <w:sz w:val="18"/>
                <w:szCs w:val="18"/>
              </w:rPr>
              <w:t>Identity verified</w:t>
            </w:r>
          </w:p>
        </w:tc>
      </w:tr>
      <w:tr w:rsidR="0092136F" w14:paraId="0FE38EEC" w14:textId="77777777">
        <w:tc>
          <w:tcPr>
            <w:tcW w:w="8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151FD9D" w14:textId="77777777" w:rsidR="0092136F" w:rsidRDefault="00000000" w:rsidP="00107B47">
            <w:pPr>
              <w:jc w:val="both"/>
            </w:pPr>
            <w:r>
              <w:rPr>
                <w:sz w:val="18"/>
                <w:szCs w:val="18"/>
              </w:rPr>
              <w:t>2</w:t>
            </w:r>
          </w:p>
        </w:tc>
        <w:tc>
          <w:tcPr>
            <w:tcW w:w="1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417B1CB1" w14:textId="77777777" w:rsidR="0092136F" w:rsidRDefault="00000000" w:rsidP="00107B47">
            <w:pPr>
              <w:jc w:val="both"/>
            </w:pPr>
            <w:r>
              <w:rPr>
                <w:sz w:val="18"/>
                <w:szCs w:val="18"/>
              </w:rPr>
              <w:t>Device Health Check</w:t>
            </w:r>
          </w:p>
        </w:tc>
        <w:tc>
          <w:tcPr>
            <w:tcW w:w="3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B089608" w14:textId="556E8013" w:rsidR="0092136F" w:rsidRDefault="00000000" w:rsidP="00107B47">
            <w:pPr>
              <w:jc w:val="both"/>
            </w:pPr>
            <w:r>
              <w:rPr>
                <w:sz w:val="18"/>
                <w:szCs w:val="18"/>
              </w:rPr>
              <w:t>MDM compliance posture</w:t>
            </w:r>
            <w:r w:rsidR="00311ED5">
              <w:rPr>
                <w:sz w:val="18"/>
                <w:szCs w:val="18"/>
              </w:rPr>
              <w:t>,</w:t>
            </w:r>
            <w:r>
              <w:rPr>
                <w:sz w:val="18"/>
                <w:szCs w:val="18"/>
              </w:rPr>
              <w:t xml:space="preserve"> OS patch level</w:t>
            </w:r>
            <w:r w:rsidR="00311ED5">
              <w:rPr>
                <w:sz w:val="18"/>
                <w:szCs w:val="18"/>
              </w:rPr>
              <w:t>,</w:t>
            </w:r>
            <w:r>
              <w:rPr>
                <w:sz w:val="18"/>
                <w:szCs w:val="18"/>
              </w:rPr>
              <w:t xml:space="preserve"> jailbreak detection</w:t>
            </w:r>
            <w:r w:rsidR="00311ED5">
              <w:rPr>
                <w:sz w:val="18"/>
                <w:szCs w:val="18"/>
              </w:rPr>
              <w:t>,</w:t>
            </w:r>
            <w:r>
              <w:rPr>
                <w:sz w:val="18"/>
                <w:szCs w:val="18"/>
              </w:rPr>
              <w:t xml:space="preserve"> RF fingerprinting</w:t>
            </w:r>
          </w:p>
        </w:tc>
        <w:tc>
          <w:tcPr>
            <w:tcW w:w="30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3708D26" w14:textId="2EC5EDA0" w:rsidR="0092136F" w:rsidRDefault="00000000" w:rsidP="00107B47">
            <w:pPr>
              <w:jc w:val="both"/>
            </w:pPr>
            <w:r>
              <w:rPr>
                <w:sz w:val="18"/>
                <w:szCs w:val="18"/>
              </w:rPr>
              <w:t xml:space="preserve">Device </w:t>
            </w:r>
            <w:r w:rsidR="00311ED5">
              <w:rPr>
                <w:sz w:val="18"/>
                <w:szCs w:val="18"/>
              </w:rPr>
              <w:t>trusted/quarantined</w:t>
            </w:r>
          </w:p>
        </w:tc>
      </w:tr>
      <w:tr w:rsidR="0092136F" w14:paraId="1E5EC9D8" w14:textId="77777777">
        <w:tc>
          <w:tcPr>
            <w:tcW w:w="8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7EEBC57" w14:textId="77777777" w:rsidR="0092136F" w:rsidRDefault="00000000" w:rsidP="00107B47">
            <w:pPr>
              <w:jc w:val="both"/>
            </w:pPr>
            <w:r>
              <w:rPr>
                <w:sz w:val="18"/>
                <w:szCs w:val="18"/>
              </w:rPr>
              <w:t>3</w:t>
            </w:r>
          </w:p>
        </w:tc>
        <w:tc>
          <w:tcPr>
            <w:tcW w:w="1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CBC2FD3" w14:textId="77777777" w:rsidR="0092136F" w:rsidRDefault="00000000" w:rsidP="00107B47">
            <w:pPr>
              <w:jc w:val="both"/>
            </w:pPr>
            <w:r>
              <w:rPr>
                <w:sz w:val="18"/>
                <w:szCs w:val="18"/>
              </w:rPr>
              <w:t>Policy Decision Point</w:t>
            </w:r>
          </w:p>
        </w:tc>
        <w:tc>
          <w:tcPr>
            <w:tcW w:w="3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A835971" w14:textId="77777777" w:rsidR="0092136F" w:rsidRDefault="00000000" w:rsidP="00107B47">
            <w:pPr>
              <w:jc w:val="both"/>
            </w:pPr>
            <w:r>
              <w:rPr>
                <w:sz w:val="18"/>
                <w:szCs w:val="18"/>
              </w:rPr>
              <w:t>Contextual risk score (FTS); role-based access matrix; request sensitivity classification</w:t>
            </w:r>
          </w:p>
        </w:tc>
        <w:tc>
          <w:tcPr>
            <w:tcW w:w="30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C0B08D7" w14:textId="77777777" w:rsidR="0092136F" w:rsidRDefault="00000000" w:rsidP="00107B47">
            <w:pPr>
              <w:jc w:val="both"/>
            </w:pPr>
            <w:r>
              <w:rPr>
                <w:sz w:val="18"/>
                <w:szCs w:val="18"/>
              </w:rPr>
              <w:t>Access policy selected</w:t>
            </w:r>
          </w:p>
        </w:tc>
      </w:tr>
      <w:tr w:rsidR="0092136F" w14:paraId="7EE507D9" w14:textId="77777777">
        <w:tc>
          <w:tcPr>
            <w:tcW w:w="8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35721D9D" w14:textId="77777777" w:rsidR="0092136F" w:rsidRDefault="00000000" w:rsidP="00107B47">
            <w:pPr>
              <w:jc w:val="both"/>
            </w:pPr>
            <w:r>
              <w:rPr>
                <w:sz w:val="18"/>
                <w:szCs w:val="18"/>
              </w:rPr>
              <w:t>4</w:t>
            </w:r>
          </w:p>
        </w:tc>
        <w:tc>
          <w:tcPr>
            <w:tcW w:w="1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75E6E813" w14:textId="77777777" w:rsidR="0092136F" w:rsidRDefault="00000000" w:rsidP="00107B47">
            <w:pPr>
              <w:jc w:val="both"/>
            </w:pPr>
            <w:r>
              <w:rPr>
                <w:sz w:val="18"/>
                <w:szCs w:val="18"/>
              </w:rPr>
              <w:t>Policy Enforcement Point</w:t>
            </w:r>
          </w:p>
        </w:tc>
        <w:tc>
          <w:tcPr>
            <w:tcW w:w="3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36620B27" w14:textId="77777777" w:rsidR="0092136F" w:rsidRDefault="00000000" w:rsidP="00107B47">
            <w:pPr>
              <w:jc w:val="both"/>
            </w:pPr>
            <w:r>
              <w:rPr>
                <w:sz w:val="18"/>
                <w:szCs w:val="18"/>
              </w:rPr>
              <w:t>Least-privilege, time-limited, micro-segmented access grant or denial</w:t>
            </w:r>
          </w:p>
        </w:tc>
        <w:tc>
          <w:tcPr>
            <w:tcW w:w="30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6A52A085" w14:textId="77777777" w:rsidR="0092136F" w:rsidRDefault="00000000" w:rsidP="00107B47">
            <w:pPr>
              <w:jc w:val="both"/>
            </w:pPr>
            <w:r>
              <w:rPr>
                <w:sz w:val="18"/>
                <w:szCs w:val="18"/>
              </w:rPr>
              <w:t>Resource access controlled</w:t>
            </w:r>
          </w:p>
        </w:tc>
      </w:tr>
      <w:tr w:rsidR="0092136F" w14:paraId="09391FAB" w14:textId="77777777">
        <w:tc>
          <w:tcPr>
            <w:tcW w:w="8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336B0180" w14:textId="77777777" w:rsidR="0092136F" w:rsidRDefault="00000000" w:rsidP="00107B47">
            <w:pPr>
              <w:jc w:val="both"/>
            </w:pPr>
            <w:r>
              <w:rPr>
                <w:sz w:val="18"/>
                <w:szCs w:val="18"/>
              </w:rPr>
              <w:t>5</w:t>
            </w:r>
          </w:p>
        </w:tc>
        <w:tc>
          <w:tcPr>
            <w:tcW w:w="1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B25541B" w14:textId="77777777" w:rsidR="0092136F" w:rsidRDefault="00000000" w:rsidP="00107B47">
            <w:pPr>
              <w:jc w:val="both"/>
            </w:pPr>
            <w:r>
              <w:rPr>
                <w:sz w:val="18"/>
                <w:szCs w:val="18"/>
              </w:rPr>
              <w:t>Continuous Monitoring</w:t>
            </w:r>
          </w:p>
        </w:tc>
        <w:tc>
          <w:tcPr>
            <w:tcW w:w="36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52186A05" w14:textId="77777777" w:rsidR="0092136F" w:rsidRDefault="00000000" w:rsidP="00107B47">
            <w:pPr>
              <w:jc w:val="both"/>
            </w:pPr>
            <w:r>
              <w:rPr>
                <w:sz w:val="18"/>
                <w:szCs w:val="18"/>
              </w:rPr>
              <w:t xml:space="preserve">AI-driven </w:t>
            </w:r>
            <w:proofErr w:type="spellStart"/>
            <w:r>
              <w:rPr>
                <w:sz w:val="18"/>
                <w:szCs w:val="18"/>
              </w:rPr>
              <w:t>behavioural</w:t>
            </w:r>
            <w:proofErr w:type="spellEnd"/>
            <w:r>
              <w:rPr>
                <w:sz w:val="18"/>
                <w:szCs w:val="18"/>
              </w:rPr>
              <w:t xml:space="preserve"> analytics; session anomaly detection; automatic revocation trigger</w:t>
            </w:r>
          </w:p>
        </w:tc>
        <w:tc>
          <w:tcPr>
            <w:tcW w:w="30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DA83655" w14:textId="77777777" w:rsidR="0092136F" w:rsidRDefault="00000000" w:rsidP="00107B47">
            <w:pPr>
              <w:jc w:val="both"/>
            </w:pPr>
            <w:r>
              <w:rPr>
                <w:sz w:val="18"/>
                <w:szCs w:val="18"/>
              </w:rPr>
              <w:t>Ongoing trust recalculation</w:t>
            </w:r>
          </w:p>
        </w:tc>
      </w:tr>
    </w:tbl>
    <w:p w14:paraId="31A88E11" w14:textId="347D6D66" w:rsidR="0092136F" w:rsidRDefault="00000000" w:rsidP="00107B47">
      <w:pPr>
        <w:spacing w:before="180" w:after="80"/>
        <w:jc w:val="both"/>
      </w:pPr>
      <w:r>
        <w:rPr>
          <w:b/>
          <w:bCs/>
        </w:rPr>
        <w:t xml:space="preserve">3.3 </w:t>
      </w:r>
      <w:r w:rsidR="00880588" w:rsidRPr="00880588">
        <w:rPr>
          <w:b/>
          <w:bCs/>
        </w:rPr>
        <w:t>Cryptographic Controls and API Security</w:t>
      </w:r>
    </w:p>
    <w:p w14:paraId="25CB282F" w14:textId="68D76B94" w:rsidR="00FE4AEB" w:rsidRDefault="00FE4AEB" w:rsidP="00107B47">
      <w:pPr>
        <w:spacing w:before="180" w:after="80"/>
        <w:jc w:val="both"/>
      </w:pPr>
      <w:r>
        <w:t>Three security controls cannot be relaxed: MFA should be phishing-resistant, and used for every login, both for the user and systems; data in transit and at rest must be AES-256 encrypted; Service-to-service communications and authentication should be secured and restricted with capability-based API gateways, preventing the compromise of customer-facing APIs from being the path for lateral movement:</w:t>
      </w:r>
    </w:p>
    <w:p w14:paraId="4BD6731A" w14:textId="77777777" w:rsidR="00B47FF9" w:rsidRDefault="00B47FF9" w:rsidP="00107B47">
      <w:pPr>
        <w:spacing w:before="180" w:after="80"/>
        <w:jc w:val="both"/>
      </w:pPr>
      <w:r>
        <w:t>AES-256 encryption alone is insufficient without Zero Trust controls; FIDO2/</w:t>
      </w:r>
      <w:proofErr w:type="spellStart"/>
      <w:r>
        <w:t>WebAuthn</w:t>
      </w:r>
      <w:proofErr w:type="spellEnd"/>
      <w:r>
        <w:t xml:space="preserve"> and Cloud HSMs with keys accessible only to FSB are mandatory complements [15].</w:t>
      </w:r>
    </w:p>
    <w:p w14:paraId="7ED972A3" w14:textId="245429DB" w:rsidR="0092136F" w:rsidRPr="00880588" w:rsidRDefault="00000000" w:rsidP="00107B47">
      <w:pPr>
        <w:spacing w:before="180" w:after="80"/>
        <w:jc w:val="both"/>
        <w:rPr>
          <w:b/>
          <w:bCs/>
        </w:rPr>
      </w:pPr>
      <w:r>
        <w:rPr>
          <w:b/>
          <w:bCs/>
        </w:rPr>
        <w:t xml:space="preserve">3.4 </w:t>
      </w:r>
      <w:r w:rsidR="00880588" w:rsidRPr="00880588">
        <w:rPr>
          <w:b/>
          <w:bCs/>
        </w:rPr>
        <w:t>Security Governance Structure</w:t>
      </w:r>
    </w:p>
    <w:p w14:paraId="23C0DB57" w14:textId="3B49269E" w:rsidR="00BC641A" w:rsidRDefault="00BC641A" w:rsidP="00107B47">
      <w:pPr>
        <w:spacing w:before="180" w:after="80"/>
        <w:jc w:val="both"/>
      </w:pPr>
      <w:r w:rsidRPr="00BC641A">
        <w:t xml:space="preserve">FSB needs to </w:t>
      </w:r>
      <w:proofErr w:type="spellStart"/>
      <w:r>
        <w:t>formalise</w:t>
      </w:r>
      <w:proofErr w:type="spellEnd"/>
      <w:r w:rsidRPr="00BC641A">
        <w:t xml:space="preserve"> an Information Security Steering Committee (ISSC) led by a Chief Executive, with mandated participation from the appointment of a Chief Information Security Officer (CISO) and the appointment of a Data Protection Officer (DPO). </w:t>
      </w:r>
    </w:p>
    <w:p w14:paraId="7A1056BC" w14:textId="0EE7E6DE" w:rsidR="00BC641A" w:rsidRDefault="00BC641A" w:rsidP="00107B47">
      <w:pPr>
        <w:spacing w:before="180" w:after="80"/>
        <w:jc w:val="both"/>
      </w:pPr>
      <w:r w:rsidRPr="00BC641A">
        <w:t xml:space="preserve">The appointment of a DPO is mandated by law (GDPR Article 37) in FSB [4]. From a strategic point of view, promoting the CISO into a direct reporting line to the Board eliminates the conflict between the security integrity of the system and the </w:t>
      </w:r>
      <w:r>
        <w:t>flow-through</w:t>
      </w:r>
      <w:r w:rsidRPr="00BC641A">
        <w:t xml:space="preserve"> speed of the system at the core of FSB's 'feature speed over security' approach. An ISSC will allow for the implementation of strategy as funded programs, and embeds cybersecurity as a </w:t>
      </w:r>
      <w:r>
        <w:t>Board-level</w:t>
      </w:r>
      <w:r w:rsidRPr="00BC641A">
        <w:t xml:space="preserve"> financial risk rather than an IT department issue. Any downstream controls implemented without the benefit of this architecture will not endure.</w:t>
      </w:r>
    </w:p>
    <w:p w14:paraId="5D7FEF07" w14:textId="793825D5" w:rsidR="0092136F" w:rsidRDefault="00000000" w:rsidP="00107B47">
      <w:pPr>
        <w:spacing w:before="180" w:after="80"/>
        <w:jc w:val="both"/>
      </w:pPr>
      <w:r>
        <w:rPr>
          <w:b/>
          <w:bCs/>
        </w:rPr>
        <w:t>3.5 Third-Party Risk Management</w:t>
      </w:r>
    </w:p>
    <w:p w14:paraId="1AD2D3B4" w14:textId="77777777" w:rsidR="00BC641A" w:rsidRDefault="00BC641A" w:rsidP="00107B47">
      <w:pPr>
        <w:spacing w:before="180" w:after="80"/>
        <w:jc w:val="both"/>
      </w:pPr>
      <w:r w:rsidRPr="00BC641A">
        <w:t xml:space="preserve">Since 90% of infrastructure is external, third-party (vendor) governance is the first operational security area that must be addressed. Current SLAs should be amended to reflect high availability with enforceable Service Level Agreements (SLAs), data ownership requirements, 'right to audit' clause, SOC 2 Type II and ISO 27001 certification requirement for third parties, mandatory disclose of sub-contractors, acceptable DORA and GDPR specified timeframes for incident notifications, and data ownership/portability in case of termination of contract [4][5]. </w:t>
      </w:r>
    </w:p>
    <w:p w14:paraId="697948FB" w14:textId="77777777" w:rsidR="009438C0" w:rsidRDefault="00BC641A" w:rsidP="00107B47">
      <w:pPr>
        <w:spacing w:before="180" w:after="80"/>
        <w:jc w:val="both"/>
      </w:pPr>
      <w:r w:rsidRPr="00BC641A">
        <w:t xml:space="preserve">DORA Articles 28–30 </w:t>
      </w:r>
      <w:r>
        <w:t>make</w:t>
      </w:r>
      <w:r w:rsidRPr="00BC641A">
        <w:t xml:space="preserve"> managing </w:t>
      </w:r>
      <w:r>
        <w:t>third-party</w:t>
      </w:r>
      <w:r w:rsidRPr="00BC641A">
        <w:t xml:space="preserve"> ICT risk non-delegable for the financial institution</w:t>
      </w:r>
      <w:r>
        <w:t>,</w:t>
      </w:r>
      <w:r w:rsidRPr="00BC641A">
        <w:t xml:space="preserve"> and it cannot pass on that liability to FSB through a contract [5]. </w:t>
      </w:r>
      <w:r w:rsidR="00B47FF9" w:rsidRPr="00B47FF9">
        <w:t>Where providers resist audit rights, FSB should distribute risk across multiple certified vendors [5].</w:t>
      </w:r>
    </w:p>
    <w:p w14:paraId="0EBBC058" w14:textId="77777777" w:rsidR="009438C0" w:rsidRDefault="009438C0" w:rsidP="00107B47">
      <w:pPr>
        <w:spacing w:before="180" w:after="80"/>
        <w:jc w:val="both"/>
      </w:pPr>
    </w:p>
    <w:p w14:paraId="39332028" w14:textId="77777777" w:rsidR="009438C0" w:rsidRDefault="009438C0" w:rsidP="00107B47">
      <w:pPr>
        <w:spacing w:before="180" w:after="80"/>
        <w:jc w:val="both"/>
      </w:pPr>
    </w:p>
    <w:p w14:paraId="0C656800" w14:textId="53CEA23F" w:rsidR="0092136F" w:rsidRPr="00880588" w:rsidRDefault="00000000" w:rsidP="00107B47">
      <w:pPr>
        <w:spacing w:before="180" w:after="80"/>
        <w:jc w:val="both"/>
        <w:rPr>
          <w:b/>
          <w:bCs/>
        </w:rPr>
      </w:pPr>
      <w:r>
        <w:rPr>
          <w:b/>
          <w:bCs/>
        </w:rPr>
        <w:lastRenderedPageBreak/>
        <w:t xml:space="preserve">3.6 </w:t>
      </w:r>
      <w:r w:rsidR="00880588" w:rsidRPr="00880588">
        <w:rPr>
          <w:b/>
          <w:bCs/>
        </w:rPr>
        <w:t>BYOD and Mobile Device Management</w:t>
      </w:r>
    </w:p>
    <w:p w14:paraId="495411B1" w14:textId="3C58F58C" w:rsidR="009D627E" w:rsidRDefault="009D627E" w:rsidP="00107B47">
      <w:pPr>
        <w:spacing w:before="180" w:after="80"/>
        <w:jc w:val="both"/>
      </w:pPr>
      <w:r w:rsidRPr="009D627E">
        <w:t xml:space="preserve">FSB's unmanaged BYOD environment is </w:t>
      </w:r>
      <w:r w:rsidR="00D50B41">
        <w:t>its</w:t>
      </w:r>
      <w:r w:rsidRPr="009D627E">
        <w:t xml:space="preserve"> largest attack surface. Enforcement of a no-tolerance policy by MDM with obligatory cryptographic </w:t>
      </w:r>
      <w:proofErr w:type="spellStart"/>
      <w:r w:rsidRPr="009D627E">
        <w:t>containerisation</w:t>
      </w:r>
      <w:proofErr w:type="spellEnd"/>
      <w:r w:rsidRPr="009D627E">
        <w:t xml:space="preserve"> must occur on all BYOD devices. </w:t>
      </w:r>
      <w:proofErr w:type="spellStart"/>
      <w:r w:rsidRPr="009D627E">
        <w:t>Containerisation</w:t>
      </w:r>
      <w:proofErr w:type="spellEnd"/>
      <w:r w:rsidRPr="009D627E">
        <w:t xml:space="preserve"> means corporate data is stored in a separate, encrypted, logically separated vault on the personal device. Any device failing a health </w:t>
      </w:r>
      <w:r w:rsidR="00D50B41">
        <w:t>check, unsupported</w:t>
      </w:r>
      <w:r w:rsidRPr="009D627E">
        <w:t xml:space="preserve"> OS version, patch levels or </w:t>
      </w:r>
      <w:r w:rsidR="00D50B41">
        <w:t>jailbroken, will</w:t>
      </w:r>
      <w:r w:rsidRPr="009D627E">
        <w:t xml:space="preserve"> be refused access to the network via the condition access policies. Malware on the personal device (if not </w:t>
      </w:r>
      <w:proofErr w:type="spellStart"/>
      <w:r w:rsidRPr="009D627E">
        <w:t>containerised</w:t>
      </w:r>
      <w:proofErr w:type="spellEnd"/>
      <w:r w:rsidRPr="009D627E">
        <w:t xml:space="preserve">) can share memory and access cloud-based systems via a banking interface. The "most prevalent </w:t>
      </w:r>
      <w:proofErr w:type="spellStart"/>
      <w:r w:rsidR="00D50B41">
        <w:t>organisational</w:t>
      </w:r>
      <w:proofErr w:type="spellEnd"/>
      <w:r w:rsidRPr="009D627E">
        <w:t xml:space="preserve"> challenge" related to BYOD </w:t>
      </w:r>
      <w:r w:rsidR="00D50B41">
        <w:t>is</w:t>
      </w:r>
      <w:r w:rsidRPr="009D627E">
        <w:t xml:space="preserve"> the inherent security risks</w:t>
      </w:r>
      <w:r w:rsidR="00D50B41">
        <w:t xml:space="preserve">; </w:t>
      </w:r>
      <w:r w:rsidRPr="009D627E">
        <w:t xml:space="preserve">mitigation should be primarily conditional access [9]. Privacy issues are a concern with employee MDM usage; employees will be notified of only their corporate data (not personal data) being monitored to </w:t>
      </w:r>
      <w:r w:rsidR="00D50B41">
        <w:t>prevent shadow</w:t>
      </w:r>
      <w:r w:rsidRPr="009D627E">
        <w:t xml:space="preserve"> IT (through a proper acceptable use policy and security awareness training).</w:t>
      </w:r>
    </w:p>
    <w:p w14:paraId="55406C78" w14:textId="63EAFF61" w:rsidR="0092136F" w:rsidRDefault="00000000" w:rsidP="00107B47">
      <w:pPr>
        <w:spacing w:before="180" w:after="80"/>
        <w:jc w:val="both"/>
      </w:pPr>
      <w:r>
        <w:rPr>
          <w:b/>
          <w:bCs/>
        </w:rPr>
        <w:t>3.7 Regulatory Compliance Alignment</w:t>
      </w:r>
    </w:p>
    <w:p w14:paraId="36AB1531" w14:textId="240F2E8A" w:rsidR="009D627E" w:rsidRDefault="009D627E" w:rsidP="00107B47">
      <w:pPr>
        <w:spacing w:after="120"/>
        <w:jc w:val="both"/>
      </w:pPr>
      <w:r w:rsidRPr="009D627E">
        <w:t xml:space="preserve">FSB is subject to three intertwined regulatory regimes, which may not be treated as a series of discrete compliance projects. GDPR requires data </w:t>
      </w:r>
      <w:proofErr w:type="spellStart"/>
      <w:r w:rsidRPr="009D627E">
        <w:t>minimisation</w:t>
      </w:r>
      <w:proofErr w:type="spellEnd"/>
      <w:r w:rsidRPr="009D627E">
        <w:t xml:space="preserve">, privacy-by-design implementation and DPIAs for high-risk processing, with sanctions up to 4% of worldwide annual revenue [4]. DORA applies to all firms from Jan 2025 and introduces direct liability for financial institutions regarding the ICT failures of cloud third-party providers, TLPT, registers </w:t>
      </w:r>
      <w:r w:rsidR="00D50B41">
        <w:t>of ICT</w:t>
      </w:r>
      <w:r w:rsidRPr="009D627E">
        <w:t xml:space="preserve"> third-party risk and sanctions up to 2% of worldwide annual revenue [5]. The parallel UK Cyber Security and Resilience Bill </w:t>
      </w:r>
      <w:proofErr w:type="gramStart"/>
      <w:r w:rsidRPr="009D627E">
        <w:t>introduces</w:t>
      </w:r>
      <w:proofErr w:type="gramEnd"/>
      <w:r w:rsidRPr="009D627E">
        <w:t xml:space="preserve"> parallel duties: the designation of critical suppliers and time-sensitive reporting requirements for incidents [6].</w:t>
      </w:r>
    </w:p>
    <w:p w14:paraId="4A6067FB" w14:textId="10ECCDFD" w:rsidR="009D627E" w:rsidRDefault="009D627E" w:rsidP="00107B47">
      <w:pPr>
        <w:spacing w:before="180" w:after="80"/>
        <w:jc w:val="both"/>
      </w:pPr>
      <w:r w:rsidRPr="009D627E">
        <w:t>The FSB's compliance architecture must handle these three regimes as one compliance obligation landscape. To achieve the most efficient form</w:t>
      </w:r>
      <w:r w:rsidR="00D50B41">
        <w:t>,</w:t>
      </w:r>
      <w:r w:rsidRPr="009D627E">
        <w:t xml:space="preserve"> it is best to </w:t>
      </w:r>
      <w:proofErr w:type="spellStart"/>
      <w:r w:rsidRPr="009D627E">
        <w:t>harmonise</w:t>
      </w:r>
      <w:proofErr w:type="spellEnd"/>
      <w:r w:rsidRPr="009D627E">
        <w:t xml:space="preserve"> </w:t>
      </w:r>
      <w:r w:rsidR="00D50B41">
        <w:t>with</w:t>
      </w:r>
      <w:r w:rsidRPr="009D627E">
        <w:t xml:space="preserve"> the highest common factor – the ISO 27001:2022 control set [1], implemented through ITIL processes [2], meets the basic requirements of all three regimes at once without fragmented compliance obligations handled by the compliance department </w:t>
      </w:r>
      <w:r w:rsidR="00D50B41">
        <w:t>in a</w:t>
      </w:r>
      <w:r w:rsidRPr="009D627E">
        <w:t xml:space="preserve"> silo.</w:t>
      </w:r>
    </w:p>
    <w:p w14:paraId="2F2BFB49" w14:textId="77777777" w:rsidR="009D627E" w:rsidRDefault="00000000" w:rsidP="00107B47">
      <w:pPr>
        <w:spacing w:before="180" w:after="80"/>
        <w:jc w:val="both"/>
        <w:rPr>
          <w:b/>
          <w:bCs/>
        </w:rPr>
      </w:pPr>
      <w:r>
        <w:rPr>
          <w:b/>
          <w:bCs/>
        </w:rPr>
        <w:t>3.8 Implementation Roadmap</w:t>
      </w:r>
    </w:p>
    <w:p w14:paraId="55FE4A27" w14:textId="08684C0D" w:rsidR="009D627E" w:rsidRDefault="009D627E" w:rsidP="00107B47">
      <w:pPr>
        <w:spacing w:before="180" w:after="80"/>
        <w:jc w:val="both"/>
      </w:pPr>
      <w:r>
        <w:t xml:space="preserve">First, immutable data backups in logically air-gapped object storage are necessary for all critical data and system state; advanced ransomware groups are directly attacking repositories, and immutability </w:t>
      </w:r>
      <w:proofErr w:type="spellStart"/>
      <w:r>
        <w:t>neutralises</w:t>
      </w:r>
      <w:proofErr w:type="spellEnd"/>
      <w:r>
        <w:t xml:space="preserve"> that point of recovery leverage. Second, a tested IR and DR playbook with clearly defined roles, notification deadlines, and recovery RTOs for every critical system tier is a necessity. Third, replace compliance check-the-box audits with real, adversary-based testing using DORA-compliant TLPT [5].</w:t>
      </w:r>
    </w:p>
    <w:p w14:paraId="26DAAE62" w14:textId="0433E5A9" w:rsidR="0092136F" w:rsidRDefault="00000000" w:rsidP="00107B47">
      <w:pPr>
        <w:spacing w:before="180" w:after="80"/>
        <w:jc w:val="both"/>
      </w:pPr>
      <w:r>
        <w:rPr>
          <w:b/>
          <w:bCs/>
          <w:sz w:val="20"/>
          <w:szCs w:val="20"/>
        </w:rPr>
        <w:t>TABLE III FSB Risk, Impact, Control and Framework Mapping</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1700"/>
        <w:gridCol w:w="2900"/>
        <w:gridCol w:w="2726"/>
      </w:tblGrid>
      <w:tr w:rsidR="0092136F" w14:paraId="4E882428" w14:textId="77777777">
        <w:trPr>
          <w:tblHeader/>
        </w:trPr>
        <w:tc>
          <w:tcPr>
            <w:tcW w:w="1700"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2E60AA2A" w14:textId="77777777" w:rsidR="0092136F" w:rsidRDefault="00000000" w:rsidP="00107B47">
            <w:pPr>
              <w:jc w:val="both"/>
            </w:pPr>
            <w:r>
              <w:rPr>
                <w:b/>
                <w:bCs/>
                <w:sz w:val="18"/>
                <w:szCs w:val="18"/>
              </w:rPr>
              <w:t>Risk</w:t>
            </w:r>
          </w:p>
        </w:tc>
        <w:tc>
          <w:tcPr>
            <w:tcW w:w="1700"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4D6CC873" w14:textId="77777777" w:rsidR="0092136F" w:rsidRDefault="00000000" w:rsidP="00107B47">
            <w:pPr>
              <w:jc w:val="both"/>
            </w:pPr>
            <w:r>
              <w:rPr>
                <w:b/>
                <w:bCs/>
                <w:sz w:val="18"/>
                <w:szCs w:val="18"/>
              </w:rPr>
              <w:t>Impact</w:t>
            </w:r>
          </w:p>
        </w:tc>
        <w:tc>
          <w:tcPr>
            <w:tcW w:w="2900"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6152D0A5" w14:textId="77777777" w:rsidR="0092136F" w:rsidRDefault="00000000" w:rsidP="00107B47">
            <w:pPr>
              <w:jc w:val="both"/>
            </w:pPr>
            <w:r>
              <w:rPr>
                <w:b/>
                <w:bCs/>
                <w:sz w:val="18"/>
                <w:szCs w:val="18"/>
              </w:rPr>
              <w:t>Control / Mitigation</w:t>
            </w:r>
          </w:p>
        </w:tc>
        <w:tc>
          <w:tcPr>
            <w:tcW w:w="2726" w:type="dxa"/>
            <w:tcBorders>
              <w:top w:val="single" w:sz="6" w:space="0" w:color="000000"/>
              <w:left w:val="single" w:sz="6" w:space="0" w:color="000000"/>
              <w:bottom w:val="single" w:sz="6" w:space="0" w:color="000000"/>
              <w:right w:val="single" w:sz="6" w:space="0" w:color="000000"/>
            </w:tcBorders>
            <w:shd w:val="clear" w:color="auto" w:fill="CCCCCC"/>
            <w:tcMar>
              <w:top w:w="60" w:type="dxa"/>
              <w:left w:w="100" w:type="dxa"/>
              <w:bottom w:w="60" w:type="dxa"/>
              <w:right w:w="100" w:type="dxa"/>
            </w:tcMar>
            <w:vAlign w:val="center"/>
          </w:tcPr>
          <w:p w14:paraId="411B4739" w14:textId="77777777" w:rsidR="0092136F" w:rsidRDefault="00000000" w:rsidP="00107B47">
            <w:pPr>
              <w:jc w:val="both"/>
            </w:pPr>
            <w:r>
              <w:rPr>
                <w:b/>
                <w:bCs/>
                <w:sz w:val="18"/>
                <w:szCs w:val="18"/>
              </w:rPr>
              <w:t>Framework Mapping</w:t>
            </w:r>
          </w:p>
        </w:tc>
      </w:tr>
      <w:tr w:rsidR="0092136F" w14:paraId="74CB0FD5" w14:textId="77777777">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57DFF330" w14:textId="77777777" w:rsidR="0092136F" w:rsidRDefault="00000000" w:rsidP="00107B47">
            <w:pPr>
              <w:jc w:val="both"/>
            </w:pPr>
            <w:r>
              <w:rPr>
                <w:sz w:val="18"/>
                <w:szCs w:val="18"/>
              </w:rPr>
              <w:t>Unmanaged BYOD device compromise</w:t>
            </w:r>
          </w:p>
        </w:tc>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45815E6A" w14:textId="77777777" w:rsidR="0092136F" w:rsidRDefault="00000000" w:rsidP="00107B47">
            <w:pPr>
              <w:jc w:val="both"/>
            </w:pPr>
            <w:r>
              <w:rPr>
                <w:sz w:val="18"/>
                <w:szCs w:val="18"/>
              </w:rPr>
              <w:t>High: Data exfiltration, ransomware lateral movement</w:t>
            </w:r>
          </w:p>
        </w:tc>
        <w:tc>
          <w:tcPr>
            <w:tcW w:w="29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F0FEA84" w14:textId="77777777" w:rsidR="0092136F" w:rsidRDefault="00000000" w:rsidP="00107B47">
            <w:pPr>
              <w:jc w:val="both"/>
            </w:pPr>
            <w:r>
              <w:rPr>
                <w:sz w:val="18"/>
                <w:szCs w:val="18"/>
              </w:rPr>
              <w:t xml:space="preserve">MDM + </w:t>
            </w:r>
            <w:proofErr w:type="spellStart"/>
            <w:r>
              <w:rPr>
                <w:sz w:val="18"/>
                <w:szCs w:val="18"/>
              </w:rPr>
              <w:t>containerisation</w:t>
            </w:r>
            <w:proofErr w:type="spellEnd"/>
            <w:r>
              <w:rPr>
                <w:sz w:val="18"/>
                <w:szCs w:val="18"/>
              </w:rPr>
              <w:t>; conditional access; ZTA device health checks</w:t>
            </w:r>
          </w:p>
        </w:tc>
        <w:tc>
          <w:tcPr>
            <w:tcW w:w="27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70A493E8" w14:textId="77777777" w:rsidR="0092136F" w:rsidRDefault="00000000" w:rsidP="00107B47">
            <w:pPr>
              <w:jc w:val="both"/>
            </w:pPr>
            <w:r>
              <w:rPr>
                <w:sz w:val="18"/>
                <w:szCs w:val="18"/>
              </w:rPr>
              <w:t>ISO 27001 (A.8.1); NIST SP 800-207; ITIL 4 Onboarding</w:t>
            </w:r>
          </w:p>
        </w:tc>
      </w:tr>
      <w:tr w:rsidR="0092136F" w14:paraId="70D79501" w14:textId="77777777">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D2B5597" w14:textId="77777777" w:rsidR="0092136F" w:rsidRDefault="00000000" w:rsidP="00107B47">
            <w:pPr>
              <w:jc w:val="both"/>
            </w:pPr>
            <w:r>
              <w:rPr>
                <w:sz w:val="18"/>
                <w:szCs w:val="18"/>
              </w:rPr>
              <w:t>Cloud provider outage or breach</w:t>
            </w:r>
          </w:p>
        </w:tc>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727F5B64" w14:textId="77777777" w:rsidR="0092136F" w:rsidRDefault="00000000" w:rsidP="00107B47">
            <w:pPr>
              <w:jc w:val="both"/>
            </w:pPr>
            <w:r>
              <w:rPr>
                <w:sz w:val="18"/>
                <w:szCs w:val="18"/>
              </w:rPr>
              <w:t>Critical: Systemic service loss, regulatory penalties</w:t>
            </w:r>
          </w:p>
        </w:tc>
        <w:tc>
          <w:tcPr>
            <w:tcW w:w="29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1AE20DDB" w14:textId="77777777" w:rsidR="0092136F" w:rsidRDefault="00000000" w:rsidP="00107B47">
            <w:pPr>
              <w:jc w:val="both"/>
            </w:pPr>
            <w:r>
              <w:rPr>
                <w:sz w:val="18"/>
                <w:szCs w:val="18"/>
              </w:rPr>
              <w:t>Right-to-audit SLAs; multi-cloud failover; immutable DR backups</w:t>
            </w:r>
          </w:p>
        </w:tc>
        <w:tc>
          <w:tcPr>
            <w:tcW w:w="27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6D3A4E37" w14:textId="77777777" w:rsidR="0092136F" w:rsidRDefault="00000000" w:rsidP="00107B47">
            <w:pPr>
              <w:jc w:val="both"/>
            </w:pPr>
            <w:r>
              <w:rPr>
                <w:sz w:val="18"/>
                <w:szCs w:val="18"/>
              </w:rPr>
              <w:t>DORA Art. 28–30; ISO 5.23; ITIL 4 Continuity Management</w:t>
            </w:r>
          </w:p>
        </w:tc>
      </w:tr>
      <w:tr w:rsidR="0092136F" w14:paraId="79A7876D" w14:textId="77777777">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197C3F7A" w14:textId="77777777" w:rsidR="0092136F" w:rsidRDefault="00000000" w:rsidP="00107B47">
            <w:pPr>
              <w:jc w:val="both"/>
            </w:pPr>
            <w:r>
              <w:rPr>
                <w:sz w:val="18"/>
                <w:szCs w:val="18"/>
              </w:rPr>
              <w:t>Insider threat and credential abuse</w:t>
            </w:r>
          </w:p>
        </w:tc>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4E9BE564" w14:textId="77777777" w:rsidR="0092136F" w:rsidRDefault="00000000" w:rsidP="00107B47">
            <w:pPr>
              <w:jc w:val="both"/>
            </w:pPr>
            <w:r>
              <w:rPr>
                <w:sz w:val="18"/>
                <w:szCs w:val="18"/>
              </w:rPr>
              <w:t xml:space="preserve">High: </w:t>
            </w:r>
            <w:proofErr w:type="spellStart"/>
            <w:r>
              <w:rPr>
                <w:sz w:val="18"/>
                <w:szCs w:val="18"/>
              </w:rPr>
              <w:t>Unauthorised</w:t>
            </w:r>
            <w:proofErr w:type="spellEnd"/>
            <w:r>
              <w:rPr>
                <w:sz w:val="18"/>
                <w:szCs w:val="18"/>
              </w:rPr>
              <w:t xml:space="preserve"> access to financial ledgers and PII</w:t>
            </w:r>
          </w:p>
        </w:tc>
        <w:tc>
          <w:tcPr>
            <w:tcW w:w="29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4DBBFE66" w14:textId="77777777" w:rsidR="0092136F" w:rsidRDefault="00000000" w:rsidP="00107B47">
            <w:pPr>
              <w:jc w:val="both"/>
            </w:pPr>
            <w:r>
              <w:rPr>
                <w:sz w:val="18"/>
                <w:szCs w:val="18"/>
              </w:rPr>
              <w:t xml:space="preserve">AI-driven </w:t>
            </w:r>
            <w:proofErr w:type="spellStart"/>
            <w:r>
              <w:rPr>
                <w:sz w:val="18"/>
                <w:szCs w:val="18"/>
              </w:rPr>
              <w:t>behavioural</w:t>
            </w:r>
            <w:proofErr w:type="spellEnd"/>
            <w:r>
              <w:rPr>
                <w:sz w:val="18"/>
                <w:szCs w:val="18"/>
              </w:rPr>
              <w:t xml:space="preserve"> analytics; ZTA least-privilege; FIDO2 MFA</w:t>
            </w:r>
          </w:p>
        </w:tc>
        <w:tc>
          <w:tcPr>
            <w:tcW w:w="27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401B7D6D" w14:textId="77777777" w:rsidR="0092136F" w:rsidRDefault="00000000" w:rsidP="00107B47">
            <w:pPr>
              <w:jc w:val="both"/>
            </w:pPr>
            <w:r>
              <w:rPr>
                <w:sz w:val="18"/>
                <w:szCs w:val="18"/>
              </w:rPr>
              <w:t>NIST SP 800-30; GDPR Art. 32; ISO 27001 (A.5.16)</w:t>
            </w:r>
          </w:p>
        </w:tc>
      </w:tr>
      <w:tr w:rsidR="0092136F" w14:paraId="6E355121" w14:textId="77777777">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B034FB8" w14:textId="77777777" w:rsidR="0092136F" w:rsidRDefault="00000000" w:rsidP="00107B47">
            <w:pPr>
              <w:jc w:val="both"/>
            </w:pPr>
            <w:r>
              <w:rPr>
                <w:sz w:val="18"/>
                <w:szCs w:val="18"/>
              </w:rPr>
              <w:t>Ransomware encryption of critical data</w:t>
            </w:r>
          </w:p>
        </w:tc>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391607B5" w14:textId="77777777" w:rsidR="0092136F" w:rsidRDefault="00000000" w:rsidP="00107B47">
            <w:pPr>
              <w:jc w:val="both"/>
            </w:pPr>
            <w:r>
              <w:rPr>
                <w:sz w:val="18"/>
                <w:szCs w:val="18"/>
              </w:rPr>
              <w:t>Critical: Permanent data loss, ransom extortion, operational failure</w:t>
            </w:r>
          </w:p>
        </w:tc>
        <w:tc>
          <w:tcPr>
            <w:tcW w:w="29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1D3277A2" w14:textId="77777777" w:rsidR="0092136F" w:rsidRDefault="00000000" w:rsidP="00107B47">
            <w:pPr>
              <w:jc w:val="both"/>
            </w:pPr>
            <w:r>
              <w:rPr>
                <w:sz w:val="18"/>
                <w:szCs w:val="18"/>
              </w:rPr>
              <w:t xml:space="preserve">Immutable backups; ZTA </w:t>
            </w:r>
            <w:proofErr w:type="spellStart"/>
            <w:r>
              <w:rPr>
                <w:sz w:val="18"/>
                <w:szCs w:val="18"/>
              </w:rPr>
              <w:t>microsegmentation</w:t>
            </w:r>
            <w:proofErr w:type="spellEnd"/>
            <w:r>
              <w:rPr>
                <w:sz w:val="18"/>
                <w:szCs w:val="18"/>
              </w:rPr>
              <w:t>; TLPT; IR playbook</w:t>
            </w:r>
          </w:p>
        </w:tc>
        <w:tc>
          <w:tcPr>
            <w:tcW w:w="27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34244344" w14:textId="77777777" w:rsidR="0092136F" w:rsidRDefault="00000000" w:rsidP="00107B47">
            <w:pPr>
              <w:jc w:val="both"/>
            </w:pPr>
            <w:r>
              <w:rPr>
                <w:sz w:val="18"/>
                <w:szCs w:val="18"/>
              </w:rPr>
              <w:t>ISO 27001 (A.8.13); UK Cyber Bill 2025; DORA TLPT mandate</w:t>
            </w:r>
          </w:p>
        </w:tc>
      </w:tr>
      <w:tr w:rsidR="0092136F" w14:paraId="43BA2A1F" w14:textId="77777777">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0E765F7E" w14:textId="77777777" w:rsidR="0092136F" w:rsidRDefault="00000000" w:rsidP="00107B47">
            <w:pPr>
              <w:jc w:val="both"/>
            </w:pPr>
            <w:r>
              <w:rPr>
                <w:sz w:val="18"/>
                <w:szCs w:val="18"/>
              </w:rPr>
              <w:t>API abuse or broken authentication</w:t>
            </w:r>
          </w:p>
        </w:tc>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6E3A2C07" w14:textId="77777777" w:rsidR="0092136F" w:rsidRDefault="00000000" w:rsidP="00107B47">
            <w:pPr>
              <w:jc w:val="both"/>
            </w:pPr>
            <w:r>
              <w:rPr>
                <w:sz w:val="18"/>
                <w:szCs w:val="18"/>
              </w:rPr>
              <w:t>High: Data leakage, financial fraud, service manipulation</w:t>
            </w:r>
          </w:p>
        </w:tc>
        <w:tc>
          <w:tcPr>
            <w:tcW w:w="29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48B7FEC8" w14:textId="77777777" w:rsidR="0092136F" w:rsidRDefault="00000000" w:rsidP="00107B47">
            <w:pPr>
              <w:jc w:val="both"/>
            </w:pPr>
            <w:r>
              <w:rPr>
                <w:sz w:val="18"/>
                <w:szCs w:val="18"/>
              </w:rPr>
              <w:t>Capability-based API gateways; short-lived tokens; AES-256; HSM key management</w:t>
            </w:r>
          </w:p>
        </w:tc>
        <w:tc>
          <w:tcPr>
            <w:tcW w:w="27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55B60A68" w14:textId="77777777" w:rsidR="0092136F" w:rsidRDefault="00000000" w:rsidP="00107B47">
            <w:pPr>
              <w:jc w:val="both"/>
            </w:pPr>
            <w:r>
              <w:rPr>
                <w:sz w:val="18"/>
                <w:szCs w:val="18"/>
              </w:rPr>
              <w:t>ISO 27001 (A.8.10); GDPR Art. 32; ITIL Change Management</w:t>
            </w:r>
          </w:p>
        </w:tc>
      </w:tr>
      <w:tr w:rsidR="0092136F" w14:paraId="09435F7C" w14:textId="77777777">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57EEC825" w14:textId="77777777" w:rsidR="0092136F" w:rsidRDefault="00000000" w:rsidP="00107B47">
            <w:pPr>
              <w:jc w:val="both"/>
            </w:pPr>
            <w:r>
              <w:rPr>
                <w:sz w:val="18"/>
                <w:szCs w:val="18"/>
              </w:rPr>
              <w:lastRenderedPageBreak/>
              <w:t>Regulatory non-compliance (GDPR/DORA/UK Bill)</w:t>
            </w:r>
          </w:p>
        </w:tc>
        <w:tc>
          <w:tcPr>
            <w:tcW w:w="17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7E8107F5" w14:textId="77777777" w:rsidR="0092136F" w:rsidRDefault="00000000" w:rsidP="00107B47">
            <w:pPr>
              <w:jc w:val="both"/>
            </w:pPr>
            <w:r>
              <w:rPr>
                <w:sz w:val="18"/>
                <w:szCs w:val="18"/>
              </w:rPr>
              <w:t xml:space="preserve">Critical: Fines up to 4% global turnover, </w:t>
            </w:r>
            <w:proofErr w:type="spellStart"/>
            <w:r>
              <w:rPr>
                <w:sz w:val="18"/>
                <w:szCs w:val="18"/>
              </w:rPr>
              <w:t>licence</w:t>
            </w:r>
            <w:proofErr w:type="spellEnd"/>
            <w:r>
              <w:rPr>
                <w:sz w:val="18"/>
                <w:szCs w:val="18"/>
              </w:rPr>
              <w:t xml:space="preserve"> revocation</w:t>
            </w:r>
          </w:p>
        </w:tc>
        <w:tc>
          <w:tcPr>
            <w:tcW w:w="2900"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371B3E03" w14:textId="77777777" w:rsidR="0092136F" w:rsidRDefault="00000000" w:rsidP="00107B47">
            <w:pPr>
              <w:jc w:val="both"/>
            </w:pPr>
            <w:r>
              <w:rPr>
                <w:sz w:val="18"/>
                <w:szCs w:val="18"/>
              </w:rPr>
              <w:t xml:space="preserve">Privacy-by-design; DPIAs; GRC platform; </w:t>
            </w:r>
            <w:proofErr w:type="spellStart"/>
            <w:r>
              <w:rPr>
                <w:sz w:val="18"/>
                <w:szCs w:val="18"/>
              </w:rPr>
              <w:t>harmonised</w:t>
            </w:r>
            <w:proofErr w:type="spellEnd"/>
            <w:r>
              <w:rPr>
                <w:sz w:val="18"/>
                <w:szCs w:val="18"/>
              </w:rPr>
              <w:t xml:space="preserve"> compliance strategy</w:t>
            </w:r>
          </w:p>
        </w:tc>
        <w:tc>
          <w:tcPr>
            <w:tcW w:w="2726" w:type="dxa"/>
            <w:tcBorders>
              <w:top w:val="single" w:sz="6" w:space="0" w:color="000000"/>
              <w:left w:val="single" w:sz="6" w:space="0" w:color="000000"/>
              <w:bottom w:val="single" w:sz="6" w:space="0" w:color="000000"/>
              <w:right w:val="single" w:sz="6" w:space="0" w:color="000000"/>
            </w:tcBorders>
            <w:tcMar>
              <w:top w:w="60" w:type="dxa"/>
              <w:left w:w="100" w:type="dxa"/>
              <w:bottom w:w="60" w:type="dxa"/>
              <w:right w:w="100" w:type="dxa"/>
            </w:tcMar>
            <w:vAlign w:val="center"/>
          </w:tcPr>
          <w:p w14:paraId="2B26C43F" w14:textId="77777777" w:rsidR="0092136F" w:rsidRDefault="00000000" w:rsidP="00107B47">
            <w:pPr>
              <w:jc w:val="both"/>
            </w:pPr>
            <w:r>
              <w:rPr>
                <w:sz w:val="18"/>
                <w:szCs w:val="18"/>
              </w:rPr>
              <w:t>GDPR; DORA; UK Cyber Security and Resilience Bill 2025</w:t>
            </w:r>
          </w:p>
        </w:tc>
      </w:tr>
    </w:tbl>
    <w:p w14:paraId="7D1C408D" w14:textId="77777777" w:rsidR="00C01A58" w:rsidRPr="00C01A58" w:rsidRDefault="00C01A58" w:rsidP="00107B47">
      <w:pPr>
        <w:spacing w:before="240" w:after="120"/>
        <w:jc w:val="both"/>
        <w:rPr>
          <w:b/>
          <w:bCs/>
          <w:sz w:val="24"/>
          <w:szCs w:val="24"/>
        </w:rPr>
      </w:pPr>
      <w:r w:rsidRPr="00C01A58">
        <w:rPr>
          <w:b/>
          <w:bCs/>
          <w:sz w:val="24"/>
          <w:szCs w:val="24"/>
        </w:rPr>
        <w:t>4. Critical Discussion: The Necessity of Evolving Regulation</w:t>
      </w:r>
    </w:p>
    <w:p w14:paraId="5E4E5290" w14:textId="23D7F682" w:rsidR="00D50B41" w:rsidRDefault="00D50B41" w:rsidP="00107B47">
      <w:pPr>
        <w:spacing w:before="240" w:after="120"/>
        <w:jc w:val="both"/>
      </w:pPr>
      <w:r>
        <w:t xml:space="preserve">The claims of unnecessary regulatory burden through evolving cybersecurity regulations start from a fundamentally untrue assumption - that </w:t>
      </w:r>
      <w:r w:rsidR="00A34FC8">
        <w:t>threat landscapes</w:t>
      </w:r>
      <w:r>
        <w:t xml:space="preserve"> are static. Attackers </w:t>
      </w:r>
      <w:proofErr w:type="spellStart"/>
      <w:r w:rsidR="00A34FC8">
        <w:t>weaponise</w:t>
      </w:r>
      <w:proofErr w:type="spellEnd"/>
      <w:r>
        <w:t xml:space="preserve"> new technologies, from generative AI in polymorphic malware and automated discovery of zero-day vulnerabilities, within days of their release.</w:t>
      </w:r>
    </w:p>
    <w:p w14:paraId="7DC23740" w14:textId="02615D4C" w:rsidR="00D50B41" w:rsidRDefault="00D50B41" w:rsidP="00107B47">
      <w:pPr>
        <w:spacing w:before="240" w:after="120"/>
        <w:jc w:val="both"/>
      </w:pPr>
      <w:r>
        <w:t xml:space="preserve">Static regulation is creating ever-widening systemic vulnerability. A static, mainframe-era regulatory regime is a deception in the context of a cloud-native institution, lending the false appearance of governance over risk factors that didn't even exist when the regime was developed. This can be seen in the 2022 updates to ISO 27001, which moved </w:t>
      </w:r>
      <w:r w:rsidR="00A34FC8">
        <w:t>cloud services</w:t>
      </w:r>
      <w:r>
        <w:t xml:space="preserve"> and threat intelligence to their own explicit control domains [1] - a standard based on a 2013 control set couldn't mandate </w:t>
      </w:r>
      <w:proofErr w:type="spellStart"/>
      <w:r w:rsidR="00A34FC8">
        <w:t>defences</w:t>
      </w:r>
      <w:proofErr w:type="spellEnd"/>
      <w:r>
        <w:t xml:space="preserve"> for cloud-era threats.</w:t>
      </w:r>
    </w:p>
    <w:p w14:paraId="1ECE8365" w14:textId="4344EEB6" w:rsidR="00D50B41" w:rsidRDefault="00D50B41" w:rsidP="00107B47">
      <w:pPr>
        <w:spacing w:before="240" w:after="120"/>
        <w:jc w:val="both"/>
      </w:pPr>
      <w:r>
        <w:t xml:space="preserve">DORA </w:t>
      </w:r>
      <w:proofErr w:type="spellStart"/>
      <w:r w:rsidR="00A34FC8">
        <w:t>recognises</w:t>
      </w:r>
      <w:proofErr w:type="spellEnd"/>
      <w:r>
        <w:t xml:space="preserve"> that systemic financial risk is fundamentally altered [5]. One cloud service provider hit by a </w:t>
      </w:r>
      <w:proofErr w:type="spellStart"/>
      <w:r>
        <w:t>cyber attack</w:t>
      </w:r>
      <w:proofErr w:type="spellEnd"/>
      <w:r>
        <w:t xml:space="preserve"> could result in simultaneous cascading failures at a dozen institutions. DORA's direct regulatory accountability over ICT supply-chain failures – and mandatory TLPT and third-party risk registers – eliminates the </w:t>
      </w:r>
      <w:r w:rsidR="00A34FC8">
        <w:t>governance vacuum</w:t>
      </w:r>
      <w:r>
        <w:t xml:space="preserve"> that currently </w:t>
      </w:r>
      <w:proofErr w:type="spellStart"/>
      <w:r w:rsidR="00A34FC8">
        <w:t>characterises</w:t>
      </w:r>
      <w:proofErr w:type="spellEnd"/>
      <w:r>
        <w:t xml:space="preserve"> FSB's stance toward SLAs. Extending critical supplier designation in the UK's proposed Cyber Security and Resilience Bill echoes the same idea; financial resilience is no stronger than the weakest third-party link [6].</w:t>
      </w:r>
    </w:p>
    <w:p w14:paraId="3DDE930B" w14:textId="77777777" w:rsidR="00D50B41" w:rsidRDefault="00D50B41" w:rsidP="00107B47">
      <w:pPr>
        <w:spacing w:before="240" w:after="120"/>
        <w:jc w:val="both"/>
      </w:pPr>
      <w:r>
        <w:t>The claim that evolving regulation disadvantages innovation fundamentally misrepresents the trade-off. It is not an argument for lower compliance and faster growth-it is an argument for a structurally insecure system in which unchecked technical debt, third-party risk, and tokenism become a platform for failures with an outsized economic and consumer cost relative to strong governance. Regulations should be seen as the key mechanism by which the gap between complacent corporate risk appetite and agile, deadly threat actors is closed, forcefully and systematically.</w:t>
      </w:r>
    </w:p>
    <w:p w14:paraId="6A7CF1E4" w14:textId="7B6DC9AB" w:rsidR="0092136F" w:rsidRDefault="00000000" w:rsidP="00107B47">
      <w:pPr>
        <w:spacing w:before="240" w:after="120"/>
        <w:jc w:val="both"/>
      </w:pPr>
      <w:r>
        <w:rPr>
          <w:b/>
          <w:bCs/>
          <w:sz w:val="24"/>
          <w:szCs w:val="24"/>
        </w:rPr>
        <w:t>5. Conclusion</w:t>
      </w:r>
    </w:p>
    <w:p w14:paraId="09643103" w14:textId="452DACFB" w:rsidR="00D50B41" w:rsidRDefault="00D50B41" w:rsidP="00107B47">
      <w:pPr>
        <w:pBdr>
          <w:bottom w:val="single" w:sz="6" w:space="1" w:color="000000"/>
        </w:pBdr>
        <w:spacing w:after="120"/>
        <w:jc w:val="both"/>
      </w:pPr>
      <w:r>
        <w:t xml:space="preserve">FSB's aggressive digital transformation has generated a governance gap </w:t>
      </w:r>
      <w:r w:rsidR="00A34FC8">
        <w:t>that</w:t>
      </w:r>
      <w:r>
        <w:t xml:space="preserve"> now represents not simply a technical vulnerability but a risk to the institution as an existential issue. This report has evidenced that neither ISO/IEC 27001:2022, nor ITIL 4 (in isolation, or integrated) can assure a </w:t>
      </w:r>
      <w:proofErr w:type="spellStart"/>
      <w:r>
        <w:t>decentralised</w:t>
      </w:r>
      <w:proofErr w:type="spellEnd"/>
      <w:r>
        <w:t xml:space="preserve">, BYOD financial institution against the combined pressure of GDPR, DORA and the UK Cyber Security and Resilience Bill [1][2][4][5][6]. ISO 27001 offers </w:t>
      </w:r>
      <w:r w:rsidR="00A34FC8">
        <w:t xml:space="preserve">an </w:t>
      </w:r>
      <w:r>
        <w:t>invaluable governance structure</w:t>
      </w:r>
      <w:r w:rsidR="00A34FC8">
        <w:t>;</w:t>
      </w:r>
      <w:r>
        <w:t xml:space="preserve"> however</w:t>
      </w:r>
      <w:r w:rsidR="00A34FC8">
        <w:t>,</w:t>
      </w:r>
      <w:r>
        <w:t xml:space="preserve"> without functional integration</w:t>
      </w:r>
      <w:r w:rsidR="00A34FC8">
        <w:t>,</w:t>
      </w:r>
      <w:r>
        <w:t xml:space="preserve"> it can remain an institutional 'paper shield'; ITIL 4, while offering valuable process discipline, does not provide the depth of security required to counter FSB's threat landscape.</w:t>
      </w:r>
    </w:p>
    <w:p w14:paraId="63B8E986" w14:textId="77777777" w:rsidR="00D50B41" w:rsidRDefault="00D50B41" w:rsidP="00107B47">
      <w:pPr>
        <w:pBdr>
          <w:bottom w:val="single" w:sz="6" w:space="1" w:color="000000"/>
        </w:pBdr>
        <w:spacing w:after="120"/>
        <w:jc w:val="both"/>
      </w:pPr>
      <w:r>
        <w:t>The proposed FSB Integrated Security Governance Model addresses this through a three-layer system where ISO 27001 controls provides the high-level governance framework; the ITIL 4 value streams enable those controls to be operationalized and measured in daily practice; and a Zero Trust Architecture-implemented via AI driven monitoring, multi-factor authentication, AES-256 encryption, containerized BYOD solutions, and immutable backup-transform those policies into concrete and adaptive defense [1][2][3][11][13].</w:t>
      </w:r>
    </w:p>
    <w:p w14:paraId="12C9E7ED" w14:textId="3D84B35D" w:rsidR="0092136F" w:rsidRDefault="00D50B41" w:rsidP="00107B47">
      <w:pPr>
        <w:pBdr>
          <w:bottom w:val="single" w:sz="6" w:space="1" w:color="000000"/>
        </w:pBdr>
        <w:spacing w:after="120"/>
        <w:jc w:val="both"/>
      </w:pPr>
      <w:r>
        <w:t xml:space="preserve">This model ultimately establishes regulatory compliance not as an objective in and of itself, but as an emergent outcome of a governance structure demonstrably aligned with security best practice. GDPR, DORA and the UK Cyber Security and Resilience Bill are not simply administrative requirements, but are the mandatory enablers </w:t>
      </w:r>
      <w:r w:rsidR="00311ED5">
        <w:t>that</w:t>
      </w:r>
      <w:r>
        <w:t xml:space="preserve"> FSB will ultimately need to implement to address the gap created by its </w:t>
      </w:r>
      <w:r>
        <w:lastRenderedPageBreak/>
        <w:t xml:space="preserve">hyper-aggressive expansion [4][5][6]. The stark choice confronting FSB is between building governance capability to foster sustained resilience or waiting for </w:t>
      </w:r>
      <w:r w:rsidR="00311ED5">
        <w:t xml:space="preserve">an </w:t>
      </w:r>
      <w:r>
        <w:t xml:space="preserve">inevitable breach through unchecked </w:t>
      </w:r>
      <w:proofErr w:type="spellStart"/>
      <w:proofErr w:type="gramStart"/>
      <w:r>
        <w:t>vulnerability.</w:t>
      </w:r>
      <w:r w:rsidR="009438C0" w:rsidRPr="009438C0">
        <w:t>This</w:t>
      </w:r>
      <w:proofErr w:type="spellEnd"/>
      <w:proofErr w:type="gramEnd"/>
      <w:r w:rsidR="009438C0" w:rsidRPr="009438C0">
        <w:t xml:space="preserve"> model is not without limitations. Zero Trust Architecture implementation carries </w:t>
      </w:r>
      <w:r w:rsidR="009438C0">
        <w:t>a high</w:t>
      </w:r>
      <w:r w:rsidR="009438C0" w:rsidRPr="009438C0">
        <w:t xml:space="preserve"> cost and architectural complexity, particularly for a resource-constrained growing institution such as FSB. AI-driven monitoring systems are susceptible to false positives and model drift, necessitating ongoing human oversight. These constraints must be acknowledged in any phased deployment plan</w:t>
      </w:r>
    </w:p>
    <w:p w14:paraId="02F3D173" w14:textId="77777777" w:rsidR="009438C0" w:rsidRDefault="009438C0" w:rsidP="00107B47">
      <w:pPr>
        <w:pBdr>
          <w:bottom w:val="single" w:sz="6" w:space="1" w:color="000000"/>
        </w:pBdr>
        <w:spacing w:after="120"/>
        <w:jc w:val="both"/>
      </w:pPr>
    </w:p>
    <w:p w14:paraId="66D3215F" w14:textId="77777777" w:rsidR="0092136F" w:rsidRDefault="00000000" w:rsidP="00107B47">
      <w:pPr>
        <w:spacing w:before="200" w:after="120"/>
        <w:jc w:val="both"/>
      </w:pPr>
      <w:r>
        <w:rPr>
          <w:b/>
          <w:bCs/>
          <w:sz w:val="24"/>
          <w:szCs w:val="24"/>
        </w:rPr>
        <w:t>References</w:t>
      </w:r>
    </w:p>
    <w:p w14:paraId="4CB43525" w14:textId="6970D76B" w:rsidR="0092136F" w:rsidRDefault="00000000" w:rsidP="00107B47">
      <w:pPr>
        <w:spacing w:after="60"/>
        <w:ind w:left="360" w:hanging="360"/>
        <w:jc w:val="both"/>
      </w:pPr>
      <w:r>
        <w:rPr>
          <w:sz w:val="20"/>
          <w:szCs w:val="20"/>
        </w:rPr>
        <w:t xml:space="preserve">[1] International </w:t>
      </w:r>
      <w:proofErr w:type="spellStart"/>
      <w:r w:rsidR="00311ED5">
        <w:rPr>
          <w:sz w:val="20"/>
          <w:szCs w:val="20"/>
        </w:rPr>
        <w:t>Organisation</w:t>
      </w:r>
      <w:proofErr w:type="spellEnd"/>
      <w:r>
        <w:rPr>
          <w:sz w:val="20"/>
          <w:szCs w:val="20"/>
        </w:rPr>
        <w:t xml:space="preserve"> for </w:t>
      </w:r>
      <w:proofErr w:type="spellStart"/>
      <w:r w:rsidR="00311ED5">
        <w:rPr>
          <w:sz w:val="20"/>
          <w:szCs w:val="20"/>
        </w:rPr>
        <w:t>Standardisation</w:t>
      </w:r>
      <w:proofErr w:type="spellEnd"/>
      <w:r>
        <w:rPr>
          <w:sz w:val="20"/>
          <w:szCs w:val="20"/>
        </w:rPr>
        <w:t xml:space="preserve"> (ISO), ISO/IEC 27001:2022 Information security, cybersecurity and privacy protection. Geneva: ISO, 2022.</w:t>
      </w:r>
    </w:p>
    <w:p w14:paraId="38679B0B" w14:textId="29050967" w:rsidR="0092136F" w:rsidRDefault="00000000" w:rsidP="00107B47">
      <w:pPr>
        <w:spacing w:after="60"/>
        <w:ind w:left="360" w:hanging="360"/>
        <w:jc w:val="both"/>
      </w:pPr>
      <w:r>
        <w:rPr>
          <w:sz w:val="20"/>
          <w:szCs w:val="20"/>
        </w:rPr>
        <w:t>[2] Axelos, ITIL Foundation: ITIL 4 Edition. London: TSO, 2019.</w:t>
      </w:r>
    </w:p>
    <w:p w14:paraId="79B3BD39" w14:textId="41466C9D" w:rsidR="0092136F" w:rsidRDefault="00000000" w:rsidP="00107B47">
      <w:pPr>
        <w:spacing w:after="60"/>
        <w:ind w:left="360" w:hanging="360"/>
        <w:jc w:val="both"/>
      </w:pPr>
      <w:r>
        <w:rPr>
          <w:sz w:val="20"/>
          <w:szCs w:val="20"/>
        </w:rPr>
        <w:t>[3] National Institute of Standards and Technology (NIST), Zero Trust Architecture, Special Publication 800-207. Gaithersburg, MD: NIST, 2020.</w:t>
      </w:r>
    </w:p>
    <w:p w14:paraId="7F6F37CD" w14:textId="45C1A5B7" w:rsidR="0092136F" w:rsidRDefault="00000000" w:rsidP="00107B47">
      <w:pPr>
        <w:spacing w:after="60"/>
        <w:ind w:left="360" w:hanging="360"/>
        <w:jc w:val="both"/>
      </w:pPr>
      <w:r>
        <w:rPr>
          <w:sz w:val="20"/>
          <w:szCs w:val="20"/>
        </w:rPr>
        <w:t>[4] European Union, General Data Protection Regulation, Regulation (EU) 2016/679. Official Journal of the European Union, 2016.</w:t>
      </w:r>
    </w:p>
    <w:p w14:paraId="68BCBCAA" w14:textId="30FF3FCA" w:rsidR="0092136F" w:rsidRDefault="00000000" w:rsidP="00107B47">
      <w:pPr>
        <w:spacing w:after="60"/>
        <w:ind w:left="360" w:hanging="360"/>
        <w:jc w:val="both"/>
      </w:pPr>
      <w:r>
        <w:rPr>
          <w:sz w:val="20"/>
          <w:szCs w:val="20"/>
        </w:rPr>
        <w:t>[5] European Parliament and Council, Regulation (EU) 2022/2554 on digital operational resilience for the financial sector (DORA). Official Journal of the European Union, 2022.</w:t>
      </w:r>
    </w:p>
    <w:p w14:paraId="2B9EB614" w14:textId="4B3EE7D9" w:rsidR="0092136F" w:rsidRDefault="00000000" w:rsidP="00107B47">
      <w:pPr>
        <w:spacing w:after="60"/>
        <w:ind w:left="360" w:hanging="360"/>
        <w:jc w:val="both"/>
      </w:pPr>
      <w:r>
        <w:rPr>
          <w:sz w:val="20"/>
          <w:szCs w:val="20"/>
        </w:rPr>
        <w:t>[6] UK Parliament, Cyber Security and Resilience (Network and Information Systems) Bill 2024–26. London: House of Commons Library, 2025.</w:t>
      </w:r>
    </w:p>
    <w:p w14:paraId="02BBDB76" w14:textId="475143E7" w:rsidR="0092136F" w:rsidRDefault="00000000" w:rsidP="00107B47">
      <w:pPr>
        <w:spacing w:after="60"/>
        <w:ind w:left="360" w:hanging="360"/>
        <w:jc w:val="both"/>
      </w:pPr>
      <w:r>
        <w:rPr>
          <w:sz w:val="20"/>
          <w:szCs w:val="20"/>
        </w:rPr>
        <w:t>[7] K. I. Ullah, '</w:t>
      </w:r>
      <w:proofErr w:type="spellStart"/>
      <w:r w:rsidR="00311ED5">
        <w:rPr>
          <w:sz w:val="20"/>
          <w:szCs w:val="20"/>
        </w:rPr>
        <w:t>Operationalising</w:t>
      </w:r>
      <w:proofErr w:type="spellEnd"/>
      <w:r>
        <w:rPr>
          <w:sz w:val="20"/>
          <w:szCs w:val="20"/>
        </w:rPr>
        <w:t xml:space="preserve"> Information Security Governance: From Framework Adoption to Control Effectiveness,' Research Corridor Journal of Engineering Science, vol. 1, no. 2, 2024.</w:t>
      </w:r>
    </w:p>
    <w:p w14:paraId="7BDEE833" w14:textId="13A6C71E" w:rsidR="0092136F" w:rsidRDefault="00000000" w:rsidP="00107B47">
      <w:pPr>
        <w:spacing w:after="60"/>
        <w:ind w:left="360" w:hanging="360"/>
        <w:jc w:val="both"/>
      </w:pPr>
      <w:r>
        <w:rPr>
          <w:sz w:val="20"/>
          <w:szCs w:val="20"/>
        </w:rPr>
        <w:t xml:space="preserve">[8] M. B. </w:t>
      </w:r>
      <w:proofErr w:type="spellStart"/>
      <w:r>
        <w:rPr>
          <w:sz w:val="20"/>
          <w:szCs w:val="20"/>
        </w:rPr>
        <w:t>Kekgathetse</w:t>
      </w:r>
      <w:proofErr w:type="spellEnd"/>
      <w:r>
        <w:rPr>
          <w:sz w:val="20"/>
          <w:szCs w:val="20"/>
        </w:rPr>
        <w:t xml:space="preserve">, B. Lucas, and M. </w:t>
      </w:r>
      <w:proofErr w:type="spellStart"/>
      <w:r>
        <w:rPr>
          <w:sz w:val="20"/>
          <w:szCs w:val="20"/>
        </w:rPr>
        <w:t>Sebapalo</w:t>
      </w:r>
      <w:proofErr w:type="spellEnd"/>
      <w:r>
        <w:rPr>
          <w:sz w:val="20"/>
          <w:szCs w:val="20"/>
        </w:rPr>
        <w:t>, 'A Systematic Review on Cyber Security Integration in Information Technology Governance,' IEEE Conference Proceedings, 2024.</w:t>
      </w:r>
    </w:p>
    <w:p w14:paraId="51E61221" w14:textId="00318758" w:rsidR="009438C0" w:rsidRDefault="00000000" w:rsidP="00107B47">
      <w:pPr>
        <w:spacing w:after="60"/>
        <w:ind w:left="360" w:hanging="360"/>
        <w:jc w:val="both"/>
      </w:pPr>
      <w:r>
        <w:rPr>
          <w:sz w:val="20"/>
          <w:szCs w:val="20"/>
        </w:rPr>
        <w:t xml:space="preserve">[9] </w:t>
      </w:r>
      <w:r w:rsidR="009438C0">
        <w:t xml:space="preserve">M. Ratchford, O. El-Gayar, C. Noteboom, and Y. Wang, 'BYOD security issues: A systematic literature review,' </w:t>
      </w:r>
      <w:r w:rsidR="009438C0">
        <w:rPr>
          <w:rStyle w:val="Emphasis"/>
        </w:rPr>
        <w:t>Information Security Journal: A Global Perspective</w:t>
      </w:r>
      <w:r w:rsidR="009438C0">
        <w:t>, vol. 31, no. 3, pp. 253–273, 2022.</w:t>
      </w:r>
    </w:p>
    <w:p w14:paraId="6B27A362" w14:textId="71BF45CF" w:rsidR="0092136F" w:rsidRDefault="00000000" w:rsidP="00107B47">
      <w:pPr>
        <w:spacing w:after="60"/>
        <w:ind w:left="360" w:hanging="360"/>
        <w:jc w:val="both"/>
      </w:pPr>
      <w:r>
        <w:rPr>
          <w:sz w:val="20"/>
          <w:szCs w:val="20"/>
        </w:rPr>
        <w:t>[10] National Institute of Standards and Technology (NIST), Guide for Conducting Risk Assessments, Special Publication 800-30 Rev. 1. Gaithersburg, MD: NIST, 2012.</w:t>
      </w:r>
    </w:p>
    <w:p w14:paraId="6AB3D1BF" w14:textId="77777777" w:rsidR="0092136F" w:rsidRDefault="00000000" w:rsidP="00107B47">
      <w:pPr>
        <w:spacing w:after="60"/>
        <w:ind w:left="360" w:hanging="360"/>
        <w:jc w:val="both"/>
      </w:pPr>
      <w:r>
        <w:rPr>
          <w:sz w:val="20"/>
          <w:szCs w:val="20"/>
        </w:rPr>
        <w:t xml:space="preserve">[11] M. Asmar and A. </w:t>
      </w:r>
      <w:proofErr w:type="spellStart"/>
      <w:r>
        <w:rPr>
          <w:sz w:val="20"/>
          <w:szCs w:val="20"/>
        </w:rPr>
        <w:t>Tuqan</w:t>
      </w:r>
      <w:proofErr w:type="spellEnd"/>
      <w:r>
        <w:rPr>
          <w:sz w:val="20"/>
          <w:szCs w:val="20"/>
        </w:rPr>
        <w:t xml:space="preserve">, 'Integrating machine learning for sustaining cybersecurity in digital banks,' </w:t>
      </w:r>
      <w:proofErr w:type="spellStart"/>
      <w:r>
        <w:rPr>
          <w:sz w:val="20"/>
          <w:szCs w:val="20"/>
        </w:rPr>
        <w:t>Heliyon</w:t>
      </w:r>
      <w:proofErr w:type="spellEnd"/>
      <w:r>
        <w:rPr>
          <w:sz w:val="20"/>
          <w:szCs w:val="20"/>
        </w:rPr>
        <w:t>, vol. 10, no. 17, p. e37571, 2024.</w:t>
      </w:r>
    </w:p>
    <w:p w14:paraId="0F828300" w14:textId="77777777" w:rsidR="0092136F" w:rsidRDefault="00000000" w:rsidP="00107B47">
      <w:pPr>
        <w:spacing w:after="60"/>
        <w:ind w:left="360" w:hanging="360"/>
        <w:jc w:val="both"/>
      </w:pPr>
      <w:r>
        <w:rPr>
          <w:sz w:val="20"/>
          <w:szCs w:val="20"/>
        </w:rPr>
        <w:t>[12] H. Joshi, 'Emerging technologies driving zero trust maturity across industries,' IEEE Open Journal of the Computer Society, vol. 6, pp. 25–36, 2025.</w:t>
      </w:r>
    </w:p>
    <w:p w14:paraId="1CE85F15" w14:textId="4061CFA8" w:rsidR="0092136F" w:rsidRDefault="00000000" w:rsidP="00107B47">
      <w:pPr>
        <w:spacing w:after="60"/>
        <w:ind w:left="360" w:hanging="360"/>
        <w:jc w:val="both"/>
      </w:pPr>
      <w:r>
        <w:rPr>
          <w:sz w:val="20"/>
          <w:szCs w:val="20"/>
        </w:rPr>
        <w:t xml:space="preserve">[13] </w:t>
      </w:r>
      <w:r w:rsidR="00B47FF9" w:rsidRPr="00B47FF9">
        <w:rPr>
          <w:sz w:val="20"/>
          <w:szCs w:val="20"/>
        </w:rPr>
        <w:t xml:space="preserve">M. Hussain, S. Pal, Z. Jadidi, E. Foo, and S. Kanhere, 'Federated Zero Trust Architecture using Artificial Intelligence,' </w:t>
      </w:r>
      <w:r w:rsidR="00B47FF9" w:rsidRPr="00B47FF9">
        <w:rPr>
          <w:i/>
          <w:iCs/>
          <w:sz w:val="20"/>
          <w:szCs w:val="20"/>
        </w:rPr>
        <w:t>IEEE Wireless Communications</w:t>
      </w:r>
      <w:r w:rsidR="00B47FF9" w:rsidRPr="00B47FF9">
        <w:rPr>
          <w:sz w:val="20"/>
          <w:szCs w:val="20"/>
        </w:rPr>
        <w:t>, vol. 31, no. 2, pp. 30–35, 2024.</w:t>
      </w:r>
    </w:p>
    <w:p w14:paraId="1918DA06" w14:textId="77777777" w:rsidR="009438C0" w:rsidRDefault="00000000" w:rsidP="00107B47">
      <w:pPr>
        <w:spacing w:after="60"/>
        <w:ind w:left="360" w:hanging="360"/>
        <w:jc w:val="both"/>
        <w:rPr>
          <w:sz w:val="20"/>
          <w:szCs w:val="20"/>
        </w:rPr>
      </w:pPr>
      <w:r>
        <w:rPr>
          <w:sz w:val="20"/>
          <w:szCs w:val="20"/>
        </w:rPr>
        <w:t xml:space="preserve">[14] </w:t>
      </w:r>
      <w:r w:rsidR="009438C0" w:rsidRPr="009438C0">
        <w:rPr>
          <w:sz w:val="20"/>
          <w:szCs w:val="20"/>
        </w:rPr>
        <w:t xml:space="preserve">T. Daah, A. Qureshi, and A. Awan, 'Zero Trust Model Implementation Considerations in Financial Institutions: A Proposed Framework,' in </w:t>
      </w:r>
      <w:r w:rsidR="009438C0" w:rsidRPr="009438C0">
        <w:rPr>
          <w:i/>
          <w:iCs/>
          <w:sz w:val="20"/>
          <w:szCs w:val="20"/>
        </w:rPr>
        <w:t>Proc. IEEE International Conference on Future Internet of Things and Cloud (</w:t>
      </w:r>
      <w:proofErr w:type="spellStart"/>
      <w:r w:rsidR="009438C0" w:rsidRPr="009438C0">
        <w:rPr>
          <w:i/>
          <w:iCs/>
          <w:sz w:val="20"/>
          <w:szCs w:val="20"/>
        </w:rPr>
        <w:t>FiCloud</w:t>
      </w:r>
      <w:proofErr w:type="spellEnd"/>
      <w:r w:rsidR="009438C0" w:rsidRPr="009438C0">
        <w:rPr>
          <w:i/>
          <w:iCs/>
          <w:sz w:val="20"/>
          <w:szCs w:val="20"/>
        </w:rPr>
        <w:t>)</w:t>
      </w:r>
      <w:r w:rsidR="009438C0" w:rsidRPr="009438C0">
        <w:rPr>
          <w:sz w:val="20"/>
          <w:szCs w:val="20"/>
        </w:rPr>
        <w:t xml:space="preserve">, Marrakesh, Morocco, 2023, pp. 71–77, </w:t>
      </w:r>
      <w:proofErr w:type="spellStart"/>
      <w:r w:rsidR="009438C0" w:rsidRPr="009438C0">
        <w:rPr>
          <w:sz w:val="20"/>
          <w:szCs w:val="20"/>
        </w:rPr>
        <w:t>doi</w:t>
      </w:r>
      <w:proofErr w:type="spellEnd"/>
      <w:r w:rsidR="009438C0" w:rsidRPr="009438C0">
        <w:rPr>
          <w:sz w:val="20"/>
          <w:szCs w:val="20"/>
        </w:rPr>
        <w:t>: 10.1109/FiCloud58648.2023.00019.</w:t>
      </w:r>
    </w:p>
    <w:p w14:paraId="6FDCD898" w14:textId="19A63A57" w:rsidR="0092136F" w:rsidRDefault="00000000" w:rsidP="00107B47">
      <w:pPr>
        <w:spacing w:after="60"/>
        <w:ind w:left="360" w:hanging="360"/>
        <w:jc w:val="both"/>
      </w:pPr>
      <w:r>
        <w:rPr>
          <w:sz w:val="20"/>
          <w:szCs w:val="20"/>
        </w:rPr>
        <w:t>[15] X. Hu, H. Wang, Y. Chen, Z. Jin, and J. Li, 'An authentication mechanism based on zero trust with radio frequency fingerprint for internet of things networks,' IEEE Internet of Things Journal, vol. 11, no. 13, pp. 23683–23698, 2024.</w:t>
      </w:r>
    </w:p>
    <w:sectPr w:rsidR="0092136F">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FB8E8" w14:textId="77777777" w:rsidR="00D81BAC" w:rsidRDefault="00D81BAC" w:rsidP="007E65B8">
      <w:r>
        <w:separator/>
      </w:r>
    </w:p>
  </w:endnote>
  <w:endnote w:type="continuationSeparator" w:id="0">
    <w:p w14:paraId="43096983" w14:textId="77777777" w:rsidR="00D81BAC" w:rsidRDefault="00D81BAC" w:rsidP="007E65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B8F45" w14:textId="77777777" w:rsidR="00D81BAC" w:rsidRDefault="00D81BAC" w:rsidP="007E65B8">
      <w:r>
        <w:separator/>
      </w:r>
    </w:p>
  </w:footnote>
  <w:footnote w:type="continuationSeparator" w:id="0">
    <w:p w14:paraId="09B27251" w14:textId="77777777" w:rsidR="00D81BAC" w:rsidRDefault="00D81BAC" w:rsidP="007E65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B1A59"/>
    <w:multiLevelType w:val="hybridMultilevel"/>
    <w:tmpl w:val="11425990"/>
    <w:lvl w:ilvl="0" w:tplc="55A0460A">
      <w:start w:val="1"/>
      <w:numFmt w:val="bullet"/>
      <w:lvlText w:val="●"/>
      <w:lvlJc w:val="left"/>
      <w:pPr>
        <w:ind w:left="720" w:hanging="360"/>
      </w:pPr>
    </w:lvl>
    <w:lvl w:ilvl="1" w:tplc="3FFC2948">
      <w:start w:val="1"/>
      <w:numFmt w:val="bullet"/>
      <w:lvlText w:val="○"/>
      <w:lvlJc w:val="left"/>
      <w:pPr>
        <w:ind w:left="1440" w:hanging="360"/>
      </w:pPr>
    </w:lvl>
    <w:lvl w:ilvl="2" w:tplc="36F263BE">
      <w:start w:val="1"/>
      <w:numFmt w:val="bullet"/>
      <w:lvlText w:val="■"/>
      <w:lvlJc w:val="left"/>
      <w:pPr>
        <w:ind w:left="2160" w:hanging="360"/>
      </w:pPr>
    </w:lvl>
    <w:lvl w:ilvl="3" w:tplc="F4EED29C">
      <w:start w:val="1"/>
      <w:numFmt w:val="bullet"/>
      <w:lvlText w:val="●"/>
      <w:lvlJc w:val="left"/>
      <w:pPr>
        <w:ind w:left="2880" w:hanging="360"/>
      </w:pPr>
    </w:lvl>
    <w:lvl w:ilvl="4" w:tplc="5CD8572C">
      <w:start w:val="1"/>
      <w:numFmt w:val="bullet"/>
      <w:lvlText w:val="○"/>
      <w:lvlJc w:val="left"/>
      <w:pPr>
        <w:ind w:left="3600" w:hanging="360"/>
      </w:pPr>
    </w:lvl>
    <w:lvl w:ilvl="5" w:tplc="99A6F724">
      <w:start w:val="1"/>
      <w:numFmt w:val="bullet"/>
      <w:lvlText w:val="■"/>
      <w:lvlJc w:val="left"/>
      <w:pPr>
        <w:ind w:left="4320" w:hanging="360"/>
      </w:pPr>
    </w:lvl>
    <w:lvl w:ilvl="6" w:tplc="BF7213E0">
      <w:start w:val="1"/>
      <w:numFmt w:val="bullet"/>
      <w:lvlText w:val="●"/>
      <w:lvlJc w:val="left"/>
      <w:pPr>
        <w:ind w:left="5040" w:hanging="360"/>
      </w:pPr>
    </w:lvl>
    <w:lvl w:ilvl="7" w:tplc="C358B64A">
      <w:start w:val="1"/>
      <w:numFmt w:val="bullet"/>
      <w:lvlText w:val="●"/>
      <w:lvlJc w:val="left"/>
      <w:pPr>
        <w:ind w:left="5760" w:hanging="360"/>
      </w:pPr>
    </w:lvl>
    <w:lvl w:ilvl="8" w:tplc="AE4C0D7C">
      <w:start w:val="1"/>
      <w:numFmt w:val="bullet"/>
      <w:lvlText w:val="●"/>
      <w:lvlJc w:val="left"/>
      <w:pPr>
        <w:ind w:left="6480" w:hanging="360"/>
      </w:pPr>
    </w:lvl>
  </w:abstractNum>
  <w:num w:numId="1" w16cid:durableId="214361928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136F"/>
    <w:rsid w:val="00006286"/>
    <w:rsid w:val="000845D7"/>
    <w:rsid w:val="00107B47"/>
    <w:rsid w:val="001209B1"/>
    <w:rsid w:val="001E6375"/>
    <w:rsid w:val="00311ED5"/>
    <w:rsid w:val="005317B8"/>
    <w:rsid w:val="0054079B"/>
    <w:rsid w:val="005724E1"/>
    <w:rsid w:val="005C00E1"/>
    <w:rsid w:val="00655D54"/>
    <w:rsid w:val="007A0A60"/>
    <w:rsid w:val="007E65B8"/>
    <w:rsid w:val="00880588"/>
    <w:rsid w:val="0092136F"/>
    <w:rsid w:val="00926AA1"/>
    <w:rsid w:val="009438C0"/>
    <w:rsid w:val="009D627E"/>
    <w:rsid w:val="00A34FC8"/>
    <w:rsid w:val="00B15B40"/>
    <w:rsid w:val="00B47FF9"/>
    <w:rsid w:val="00B7509F"/>
    <w:rsid w:val="00BC641A"/>
    <w:rsid w:val="00BC66F8"/>
    <w:rsid w:val="00BD5762"/>
    <w:rsid w:val="00BD57CE"/>
    <w:rsid w:val="00C01A58"/>
    <w:rsid w:val="00D50B41"/>
    <w:rsid w:val="00D76E40"/>
    <w:rsid w:val="00D81BAC"/>
    <w:rsid w:val="00E867EA"/>
    <w:rsid w:val="00FD4170"/>
    <w:rsid w:val="00FE4A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84287"/>
  <w15:docId w15:val="{CAB406C3-6BE6-4191-B215-A0DB96DE0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7E65B8"/>
    <w:pPr>
      <w:tabs>
        <w:tab w:val="center" w:pos="4680"/>
        <w:tab w:val="right" w:pos="9360"/>
      </w:tabs>
    </w:pPr>
  </w:style>
  <w:style w:type="character" w:customStyle="1" w:styleId="HeaderChar">
    <w:name w:val="Header Char"/>
    <w:basedOn w:val="DefaultParagraphFont"/>
    <w:link w:val="Header"/>
    <w:uiPriority w:val="99"/>
    <w:rsid w:val="007E65B8"/>
  </w:style>
  <w:style w:type="paragraph" w:styleId="Footer">
    <w:name w:val="footer"/>
    <w:basedOn w:val="Normal"/>
    <w:link w:val="FooterChar"/>
    <w:uiPriority w:val="99"/>
    <w:unhideWhenUsed/>
    <w:rsid w:val="007E65B8"/>
    <w:pPr>
      <w:tabs>
        <w:tab w:val="center" w:pos="4680"/>
        <w:tab w:val="right" w:pos="9360"/>
      </w:tabs>
    </w:pPr>
  </w:style>
  <w:style w:type="character" w:customStyle="1" w:styleId="FooterChar">
    <w:name w:val="Footer Char"/>
    <w:basedOn w:val="DefaultParagraphFont"/>
    <w:link w:val="Footer"/>
    <w:uiPriority w:val="99"/>
    <w:rsid w:val="007E65B8"/>
  </w:style>
  <w:style w:type="character" w:styleId="Emphasis">
    <w:name w:val="Emphasis"/>
    <w:basedOn w:val="DefaultParagraphFont"/>
    <w:uiPriority w:val="20"/>
    <w:qFormat/>
    <w:rsid w:val="009438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3755</Words>
  <Characters>21405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Rajul Gupta (2523934)</cp:lastModifiedBy>
  <cp:revision>2</cp:revision>
  <dcterms:created xsi:type="dcterms:W3CDTF">2026-04-19T15:14:00Z</dcterms:created>
  <dcterms:modified xsi:type="dcterms:W3CDTF">2026-04-19T15:14:00Z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c14d0018-d730-449a-9d4a-4a3ce6bcd313</vt:lpwstr>
  </property>
</Properties>
</file>