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70381574"/>
        <w:docPartObj>
          <w:docPartGallery w:val="Cover Pages"/>
          <w:docPartUnique/>
        </w:docPartObj>
      </w:sdtPr>
      <w:sdtEndPr>
        <w:rPr>
          <w:rFonts w:ascii="Arial Black" w:hAnsi="Arial Black" w:cs="Arial"/>
          <w:sz w:val="24"/>
          <w:szCs w:val="24"/>
        </w:rPr>
      </w:sdtEndPr>
      <w:sdtContent>
        <w:p w14:paraId="575D0B18" w14:textId="41433B0F" w:rsidR="00275099" w:rsidRDefault="00275099"/>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275099" w14:paraId="5F7389C6" w14:textId="77777777" w:rsidTr="00275099">
            <w:tc>
              <w:tcPr>
                <w:tcW w:w="7209" w:type="dxa"/>
                <w:tcMar>
                  <w:top w:w="216" w:type="dxa"/>
                  <w:left w:w="115" w:type="dxa"/>
                  <w:bottom w:w="216" w:type="dxa"/>
                  <w:right w:w="115" w:type="dxa"/>
                </w:tcMar>
              </w:tcPr>
              <w:p w14:paraId="277F7335" w14:textId="02DA77FA" w:rsidR="00275099" w:rsidRDefault="00275099">
                <w:pPr>
                  <w:pStyle w:val="NoSpacing"/>
                  <w:rPr>
                    <w:color w:val="2F5496" w:themeColor="accent1" w:themeShade="BF"/>
                    <w:sz w:val="24"/>
                  </w:rPr>
                </w:pPr>
              </w:p>
            </w:tc>
          </w:tr>
          <w:tr w:rsidR="00275099" w14:paraId="41CE0FDB" w14:textId="77777777" w:rsidTr="00275099">
            <w:tc>
              <w:tcPr>
                <w:tcW w:w="7209" w:type="dxa"/>
              </w:tcPr>
              <w:p w14:paraId="6E7962BE" w14:textId="47DF8B6F" w:rsidR="00275099" w:rsidRPr="00275099" w:rsidRDefault="00275099">
                <w:pPr>
                  <w:pStyle w:val="NoSpacing"/>
                  <w:spacing w:line="216" w:lineRule="auto"/>
                  <w:rPr>
                    <w:rFonts w:ascii="Arial Black" w:eastAsiaTheme="majorEastAsia" w:hAnsi="Arial Black" w:cstheme="majorBidi"/>
                    <w:color w:val="4472C4" w:themeColor="accent1"/>
                    <w:sz w:val="88"/>
                    <w:szCs w:val="88"/>
                  </w:rPr>
                </w:pPr>
                <w:r w:rsidRPr="00275099">
                  <w:rPr>
                    <w:rFonts w:ascii="Arial Black" w:eastAsiaTheme="majorEastAsia" w:hAnsi="Arial Black" w:cstheme="majorBidi"/>
                    <w:color w:val="4472C4" w:themeColor="accent1"/>
                    <w:sz w:val="88"/>
                    <w:szCs w:val="88"/>
                    <w:lang w:val="en-GB"/>
                  </w:rPr>
                  <w:t>Fostering Growth and Development in Healthy Communities Swansea</w:t>
                </w:r>
              </w:p>
            </w:tc>
          </w:tr>
          <w:tr w:rsidR="00275099" w14:paraId="3CBE9A13" w14:textId="77777777" w:rsidTr="00275099">
            <w:tc>
              <w:tcPr>
                <w:tcW w:w="7209" w:type="dxa"/>
                <w:tcMar>
                  <w:top w:w="216" w:type="dxa"/>
                  <w:left w:w="115" w:type="dxa"/>
                  <w:bottom w:w="216" w:type="dxa"/>
                  <w:right w:w="115" w:type="dxa"/>
                </w:tcMar>
              </w:tcPr>
              <w:p w14:paraId="19430FB7" w14:textId="5AFD2881" w:rsidR="00275099" w:rsidRDefault="00275099">
                <w:pPr>
                  <w:pStyle w:val="NoSpacing"/>
                  <w:rPr>
                    <w:color w:val="2F5496" w:themeColor="accent1" w:themeShade="BF"/>
                    <w:sz w:val="24"/>
                  </w:rPr>
                </w:pPr>
              </w:p>
            </w:tc>
          </w:tr>
        </w:tbl>
        <w:p w14:paraId="225739F8" w14:textId="22FCD4C4" w:rsidR="00275099" w:rsidRDefault="00275099" w:rsidP="00275099">
          <w:pPr>
            <w:pStyle w:val="Caption"/>
            <w:keepNext/>
          </w:pPr>
        </w:p>
        <w:p w14:paraId="4EDB8A7F" w14:textId="7E028207" w:rsidR="00275099" w:rsidRDefault="00275099">
          <w:pPr>
            <w:rPr>
              <w:rFonts w:ascii="Arial Black" w:hAnsi="Arial Black" w:cs="Arial"/>
              <w:sz w:val="24"/>
              <w:szCs w:val="24"/>
            </w:rPr>
          </w:pPr>
          <w:r>
            <w:rPr>
              <w:rFonts w:ascii="Arial Black" w:hAnsi="Arial Black" w:cs="Arial"/>
              <w:sz w:val="24"/>
              <w:szCs w:val="24"/>
            </w:rPr>
            <w:br w:type="page"/>
          </w:r>
        </w:p>
      </w:sdtContent>
    </w:sdt>
    <w:p w14:paraId="296AFBED" w14:textId="44641738" w:rsidR="006D05D7" w:rsidRPr="00F63366" w:rsidRDefault="006D05D7" w:rsidP="00EF346A">
      <w:pPr>
        <w:rPr>
          <w:rFonts w:ascii="Arial Black" w:hAnsi="Arial Black" w:cs="Arial"/>
          <w:sz w:val="24"/>
          <w:szCs w:val="24"/>
        </w:rPr>
      </w:pPr>
      <w:r w:rsidRPr="00F63366">
        <w:rPr>
          <w:rFonts w:ascii="Arial Black" w:hAnsi="Arial Black" w:cs="Arial"/>
          <w:sz w:val="24"/>
          <w:szCs w:val="24"/>
        </w:rPr>
        <w:lastRenderedPageBreak/>
        <w:t>Executive summary</w:t>
      </w:r>
    </w:p>
    <w:p w14:paraId="1CD39216" w14:textId="08BBFB5F" w:rsidR="006D05D7" w:rsidRDefault="006D05D7" w:rsidP="002F46DC">
      <w:pPr>
        <w:spacing w:line="360" w:lineRule="auto"/>
        <w:rPr>
          <w:rFonts w:ascii="Arial" w:hAnsi="Arial" w:cs="Arial"/>
          <w:sz w:val="24"/>
          <w:szCs w:val="24"/>
        </w:rPr>
      </w:pPr>
      <w:r w:rsidRPr="006D05D7">
        <w:rPr>
          <w:rFonts w:ascii="Arial" w:hAnsi="Arial" w:cs="Arial"/>
          <w:sz w:val="24"/>
          <w:szCs w:val="24"/>
        </w:rPr>
        <w:t>This re</w:t>
      </w:r>
      <w:r>
        <w:rPr>
          <w:rFonts w:ascii="Arial" w:hAnsi="Arial" w:cs="Arial"/>
          <w:sz w:val="24"/>
          <w:szCs w:val="24"/>
        </w:rPr>
        <w:t>port</w:t>
      </w:r>
      <w:r w:rsidRPr="006D05D7">
        <w:rPr>
          <w:rFonts w:ascii="Arial" w:hAnsi="Arial" w:cs="Arial"/>
          <w:sz w:val="24"/>
          <w:szCs w:val="24"/>
        </w:rPr>
        <w:t xml:space="preserve"> examines Healthy Communities Swansea, a vibrant and varied community dedicated to promoting health and well-being. The community's dedication to supporting growth and development is exemplified by its diverse methods and approaches, which include imagery, cultural involvement, societal effect, economic initiatives, political engagement, and environmental sustainability.</w:t>
      </w:r>
      <w:r>
        <w:rPr>
          <w:rFonts w:ascii="Arial" w:hAnsi="Arial" w:cs="Arial"/>
          <w:sz w:val="24"/>
          <w:szCs w:val="24"/>
        </w:rPr>
        <w:t xml:space="preserve">                         </w:t>
      </w:r>
      <w:r w:rsidRPr="006D05D7">
        <w:rPr>
          <w:rFonts w:ascii="Arial" w:hAnsi="Arial" w:cs="Arial"/>
          <w:sz w:val="24"/>
          <w:szCs w:val="24"/>
        </w:rPr>
        <w:t>Healthy Communities Swansea thrives on its variety, with people of different ages, ethnicities, and occupations coming together to promote health and wellness. To address health-related concerns thoroughly, the community actively interacts with healthcare professionals, local businesses, educational institutions, and governmental organisations. Its interactive engagement with residents via educational programmes, events, and initiatives promotes health awareness and good behavioural changes</w:t>
      </w:r>
      <w:r w:rsidR="00F63366">
        <w:rPr>
          <w:rFonts w:ascii="Arial" w:hAnsi="Arial" w:cs="Arial"/>
          <w:sz w:val="24"/>
          <w:szCs w:val="24"/>
        </w:rPr>
        <w:t xml:space="preserve">.                                                                                                                                                                                                                            </w:t>
      </w:r>
      <w:r w:rsidR="00F63366" w:rsidRPr="00F63366">
        <w:rPr>
          <w:rFonts w:ascii="Arial" w:hAnsi="Arial" w:cs="Arial"/>
          <w:sz w:val="24"/>
          <w:szCs w:val="24"/>
        </w:rPr>
        <w:t>Recognising the significant impact of economic circumstances, the community campaigns for equitable access to healthcare, job opportunities, and affordable healthy living. Initiatives to combat income disparity and expand educational opportunities demonstrate the government's commitment to fostering an equitable economic environment.</w:t>
      </w:r>
      <w:r w:rsidR="00F63366">
        <w:rPr>
          <w:rFonts w:ascii="Arial" w:hAnsi="Arial" w:cs="Arial"/>
          <w:sz w:val="24"/>
          <w:szCs w:val="24"/>
        </w:rPr>
        <w:t xml:space="preserve">                                                                                                                                        </w:t>
      </w:r>
      <w:r w:rsidR="00F63366" w:rsidRPr="00F63366">
        <w:rPr>
          <w:rFonts w:ascii="Arial" w:hAnsi="Arial" w:cs="Arial"/>
          <w:sz w:val="24"/>
          <w:szCs w:val="24"/>
        </w:rPr>
        <w:t>This study also highlights Healthy Communities Swansea's problems, such as access restrictions and resource limitations, while recognising the organization's continued efforts to create long-term improvements in community health and well-being.</w:t>
      </w:r>
    </w:p>
    <w:p w14:paraId="6E09EE6D" w14:textId="77777777" w:rsidR="006D05D7" w:rsidRDefault="006D05D7" w:rsidP="002F46DC">
      <w:pPr>
        <w:spacing w:line="360" w:lineRule="auto"/>
        <w:rPr>
          <w:rFonts w:ascii="Arial" w:hAnsi="Arial" w:cs="Arial"/>
          <w:sz w:val="24"/>
          <w:szCs w:val="24"/>
        </w:rPr>
      </w:pPr>
    </w:p>
    <w:p w14:paraId="1B974D5C" w14:textId="77777777" w:rsidR="006D05D7" w:rsidRDefault="006D05D7" w:rsidP="002F46DC">
      <w:pPr>
        <w:spacing w:line="360" w:lineRule="auto"/>
        <w:rPr>
          <w:rFonts w:ascii="Arial" w:hAnsi="Arial" w:cs="Arial"/>
          <w:sz w:val="24"/>
          <w:szCs w:val="24"/>
        </w:rPr>
      </w:pPr>
    </w:p>
    <w:p w14:paraId="3658C202" w14:textId="77777777" w:rsidR="006D05D7" w:rsidRDefault="006D05D7" w:rsidP="002F46DC">
      <w:pPr>
        <w:spacing w:line="360" w:lineRule="auto"/>
        <w:rPr>
          <w:rFonts w:ascii="Arial" w:hAnsi="Arial" w:cs="Arial"/>
          <w:sz w:val="24"/>
          <w:szCs w:val="24"/>
        </w:rPr>
      </w:pPr>
    </w:p>
    <w:p w14:paraId="510DA827" w14:textId="77777777" w:rsidR="006D05D7" w:rsidRDefault="006D05D7" w:rsidP="002F46DC">
      <w:pPr>
        <w:spacing w:line="360" w:lineRule="auto"/>
        <w:rPr>
          <w:rFonts w:ascii="Arial" w:hAnsi="Arial" w:cs="Arial"/>
          <w:sz w:val="24"/>
          <w:szCs w:val="24"/>
        </w:rPr>
      </w:pPr>
    </w:p>
    <w:p w14:paraId="48804AD6" w14:textId="77777777" w:rsidR="006D05D7" w:rsidRDefault="006D05D7" w:rsidP="002F46DC">
      <w:pPr>
        <w:spacing w:line="360" w:lineRule="auto"/>
        <w:rPr>
          <w:rFonts w:ascii="Arial" w:hAnsi="Arial" w:cs="Arial"/>
          <w:sz w:val="24"/>
          <w:szCs w:val="24"/>
        </w:rPr>
      </w:pPr>
    </w:p>
    <w:p w14:paraId="00D1E65D" w14:textId="77777777" w:rsidR="006D05D7" w:rsidRDefault="006D05D7" w:rsidP="002F46DC">
      <w:pPr>
        <w:spacing w:line="360" w:lineRule="auto"/>
        <w:rPr>
          <w:rFonts w:ascii="Arial" w:hAnsi="Arial" w:cs="Arial"/>
          <w:sz w:val="24"/>
          <w:szCs w:val="24"/>
        </w:rPr>
      </w:pPr>
    </w:p>
    <w:p w14:paraId="1BC5BDB5" w14:textId="77777777" w:rsidR="006D05D7" w:rsidRDefault="006D05D7" w:rsidP="002F46DC">
      <w:pPr>
        <w:spacing w:line="360" w:lineRule="auto"/>
        <w:rPr>
          <w:rFonts w:ascii="Arial" w:hAnsi="Arial" w:cs="Arial"/>
          <w:sz w:val="24"/>
          <w:szCs w:val="24"/>
        </w:rPr>
      </w:pPr>
    </w:p>
    <w:p w14:paraId="63AF01F4" w14:textId="77777777" w:rsidR="002F46DC" w:rsidRDefault="002F46DC" w:rsidP="002F46DC">
      <w:pPr>
        <w:spacing w:line="360" w:lineRule="auto"/>
        <w:rPr>
          <w:rFonts w:ascii="Arial" w:hAnsi="Arial" w:cs="Arial"/>
          <w:sz w:val="24"/>
          <w:szCs w:val="24"/>
        </w:rPr>
      </w:pPr>
    </w:p>
    <w:p w14:paraId="1E7C018B" w14:textId="46AC8675" w:rsidR="00EF346A" w:rsidRPr="00F63366" w:rsidRDefault="00EF346A" w:rsidP="002F46DC">
      <w:pPr>
        <w:spacing w:line="360" w:lineRule="auto"/>
        <w:rPr>
          <w:rFonts w:ascii="Arial Black" w:hAnsi="Arial Black" w:cs="Arial"/>
          <w:sz w:val="24"/>
          <w:szCs w:val="24"/>
        </w:rPr>
      </w:pPr>
      <w:r w:rsidRPr="00F63366">
        <w:rPr>
          <w:rFonts w:ascii="Arial Black" w:hAnsi="Arial Black" w:cs="Arial"/>
          <w:sz w:val="24"/>
          <w:szCs w:val="24"/>
        </w:rPr>
        <w:lastRenderedPageBreak/>
        <w:t xml:space="preserve">Introduction </w:t>
      </w:r>
    </w:p>
    <w:p w14:paraId="06EDDCE0" w14:textId="3604FBEE" w:rsidR="003A2F4E" w:rsidRDefault="00EF346A" w:rsidP="002F46DC">
      <w:pPr>
        <w:spacing w:line="360" w:lineRule="auto"/>
        <w:rPr>
          <w:rFonts w:ascii="Arial" w:hAnsi="Arial" w:cs="Arial"/>
          <w:sz w:val="24"/>
          <w:szCs w:val="24"/>
        </w:rPr>
      </w:pPr>
      <w:r w:rsidRPr="00EF346A">
        <w:rPr>
          <w:rFonts w:ascii="Arial" w:hAnsi="Arial" w:cs="Arial"/>
          <w:sz w:val="24"/>
          <w:szCs w:val="24"/>
        </w:rPr>
        <w:t xml:space="preserve">Communities are the lifeblood of society, bringing together people from all origins, experiences, and aspirations to form cohesive groups. These communities can differ greatly, influenced by elements such as ethnicity, race, age, class, and culture. Each community has its own distinct qualities and dynamics, which bond its members together via shared beliefs and goals. We delve into the complexities of "Healthy Communities Swansea," a lively and distinct community in our local area, in this report. </w:t>
      </w:r>
      <w:r>
        <w:rPr>
          <w:rFonts w:ascii="Arial" w:hAnsi="Arial" w:cs="Arial"/>
          <w:sz w:val="24"/>
          <w:szCs w:val="24"/>
        </w:rPr>
        <w:t xml:space="preserve">                                                                                                                                                       </w:t>
      </w:r>
      <w:r w:rsidRPr="00EF346A">
        <w:rPr>
          <w:rFonts w:ascii="Arial" w:hAnsi="Arial" w:cs="Arial"/>
          <w:sz w:val="24"/>
          <w:szCs w:val="24"/>
        </w:rPr>
        <w:t xml:space="preserve">The primary goal of this research is to examine the tactics and methodologies used by Healthy Communities Swansea in their quest </w:t>
      </w:r>
      <w:r>
        <w:rPr>
          <w:rFonts w:ascii="Arial" w:hAnsi="Arial" w:cs="Arial"/>
          <w:sz w:val="24"/>
          <w:szCs w:val="24"/>
        </w:rPr>
        <w:t>for</w:t>
      </w:r>
      <w:r w:rsidRPr="00EF346A">
        <w:rPr>
          <w:rFonts w:ascii="Arial" w:hAnsi="Arial" w:cs="Arial"/>
          <w:sz w:val="24"/>
          <w:szCs w:val="24"/>
        </w:rPr>
        <w:t xml:space="preserve"> growth and development, with a focus on the unique elements that influence this community. </w:t>
      </w:r>
      <w:r>
        <w:rPr>
          <w:rFonts w:ascii="Arial" w:hAnsi="Arial" w:cs="Arial"/>
          <w:sz w:val="24"/>
          <w:szCs w:val="24"/>
        </w:rPr>
        <w:t xml:space="preserve">                                                                </w:t>
      </w:r>
      <w:r w:rsidRPr="00EF346A">
        <w:rPr>
          <w:rFonts w:ascii="Arial" w:hAnsi="Arial" w:cs="Arial"/>
          <w:sz w:val="24"/>
          <w:szCs w:val="24"/>
        </w:rPr>
        <w:t xml:space="preserve">This </w:t>
      </w:r>
      <w:r>
        <w:rPr>
          <w:rFonts w:ascii="Arial" w:hAnsi="Arial" w:cs="Arial"/>
          <w:sz w:val="24"/>
          <w:szCs w:val="24"/>
        </w:rPr>
        <w:t>report</w:t>
      </w:r>
      <w:r w:rsidRPr="00EF346A">
        <w:rPr>
          <w:rFonts w:ascii="Arial" w:hAnsi="Arial" w:cs="Arial"/>
          <w:sz w:val="24"/>
          <w:szCs w:val="24"/>
        </w:rPr>
        <w:t xml:space="preserve"> bears witness to the community's unwavering commitment to nurturing holistic well-being, and it goes into the critical role that each of these factors plays in reaching that lofty aim. We go on a quest to unravel the inner workings of Healthy Communities Swansea, with a close eye on understanding the main concepts that underpin behavioural change within this unique community</w:t>
      </w:r>
      <w:r>
        <w:rPr>
          <w:rFonts w:ascii="Arial" w:hAnsi="Arial" w:cs="Arial"/>
          <w:sz w:val="24"/>
          <w:szCs w:val="24"/>
        </w:rPr>
        <w:t xml:space="preserve">.                                                                               </w:t>
      </w:r>
      <w:r w:rsidRPr="00EF346A">
        <w:rPr>
          <w:rFonts w:ascii="Arial" w:hAnsi="Arial" w:cs="Arial"/>
          <w:sz w:val="24"/>
          <w:szCs w:val="24"/>
        </w:rPr>
        <w:t xml:space="preserve">However, this exploration would be incomplete without an open discussion of the difficulties encountered along the road. As we progress through this report, we will confront these challenges </w:t>
      </w:r>
      <w:r>
        <w:rPr>
          <w:rFonts w:ascii="Arial" w:hAnsi="Arial" w:cs="Arial"/>
          <w:sz w:val="24"/>
          <w:szCs w:val="24"/>
        </w:rPr>
        <w:t>head-on</w:t>
      </w:r>
      <w:r w:rsidRPr="00EF346A">
        <w:rPr>
          <w:rFonts w:ascii="Arial" w:hAnsi="Arial" w:cs="Arial"/>
          <w:sz w:val="24"/>
          <w:szCs w:val="24"/>
        </w:rPr>
        <w:t>, acknowledging that the route to sustainable community development is not without its challenges.</w:t>
      </w:r>
      <w:r>
        <w:rPr>
          <w:rFonts w:ascii="Arial" w:hAnsi="Arial" w:cs="Arial"/>
          <w:sz w:val="24"/>
          <w:szCs w:val="24"/>
        </w:rPr>
        <w:t xml:space="preserve">                                                                               </w:t>
      </w:r>
      <w:r w:rsidRPr="00EF346A">
        <w:rPr>
          <w:rFonts w:ascii="Arial" w:hAnsi="Arial" w:cs="Arial"/>
          <w:sz w:val="24"/>
          <w:szCs w:val="24"/>
        </w:rPr>
        <w:t>Our trip comes to an end with a critical assessment of the community's ongoing efforts to achieve long-term improvements in community health and well-being. We hope that this comprehensive review will throw light on the outstanding accomplishments, lessons learned from the challenges encountered, and promising prospects that Healthy Communities Swansea will continue to pursue in its tireless pursuit of a healthier, more vibrant future.</w:t>
      </w:r>
    </w:p>
    <w:p w14:paraId="7D117871" w14:textId="7C0BEBF8" w:rsidR="00EF346A" w:rsidRPr="00F63366" w:rsidRDefault="00EF346A" w:rsidP="002F46DC">
      <w:pPr>
        <w:spacing w:line="360" w:lineRule="auto"/>
        <w:rPr>
          <w:rFonts w:ascii="Arial Black" w:hAnsi="Arial Black" w:cs="Arial"/>
          <w:sz w:val="24"/>
          <w:szCs w:val="24"/>
        </w:rPr>
      </w:pPr>
      <w:r w:rsidRPr="00F63366">
        <w:rPr>
          <w:rFonts w:ascii="Arial Black" w:hAnsi="Arial Black" w:cs="Arial"/>
          <w:sz w:val="24"/>
          <w:szCs w:val="24"/>
        </w:rPr>
        <w:t>Defining a community</w:t>
      </w:r>
    </w:p>
    <w:p w14:paraId="29C395EC" w14:textId="27927AFA" w:rsidR="00EF346A" w:rsidRDefault="00EF346A" w:rsidP="002F46DC">
      <w:pPr>
        <w:spacing w:line="360" w:lineRule="auto"/>
        <w:rPr>
          <w:rFonts w:ascii="Arial" w:hAnsi="Arial" w:cs="Arial"/>
          <w:sz w:val="24"/>
          <w:szCs w:val="24"/>
        </w:rPr>
      </w:pPr>
      <w:r w:rsidRPr="00EF346A">
        <w:rPr>
          <w:rFonts w:ascii="Arial" w:hAnsi="Arial" w:cs="Arial"/>
          <w:sz w:val="24"/>
          <w:szCs w:val="24"/>
        </w:rPr>
        <w:t xml:space="preserve">A community is a dynamic and ever-changing group of people who share shared traits, interests, and a strong sense of belonging. These common features can cover a wide range of elements, including age, ethnicity, race, socioeconomic status, and cultural heritage, as well as shared beliefs, objectives, and geographical proximity. Communities can exist as formal or informal affiliations, ranging in size from small, </w:t>
      </w:r>
      <w:r w:rsidRPr="00EF346A">
        <w:rPr>
          <w:rFonts w:ascii="Arial" w:hAnsi="Arial" w:cs="Arial"/>
          <w:sz w:val="24"/>
          <w:szCs w:val="24"/>
        </w:rPr>
        <w:lastRenderedPageBreak/>
        <w:t>close-knit groupings to large, diverse populations. Regardless of these differences, what unifies all communities is a strong feeling of identity and purpose that they provide to their members.</w:t>
      </w:r>
      <w:r w:rsidR="00605ED8" w:rsidRPr="00605ED8">
        <w:t xml:space="preserve"> </w:t>
      </w:r>
      <w:r w:rsidR="00605ED8">
        <w:t xml:space="preserve">                                                                                                                                          </w:t>
      </w:r>
      <w:r w:rsidR="00605ED8" w:rsidRPr="00605ED8">
        <w:rPr>
          <w:rFonts w:ascii="Arial" w:hAnsi="Arial" w:cs="Arial"/>
          <w:sz w:val="24"/>
          <w:szCs w:val="24"/>
        </w:rPr>
        <w:t>Communities serve as crucibles of human connection, where people may engage, collaborate, and form meaningful relationships. They symbolise a shared environment where people may cooperate, encourage one another, and work collaboratively towards common goals. Communities, whether they be a neighbourhood, an online club, a workplace, or a cultural organisation, provide a sense of belonging and fulfilment that is fundamental to human well-being.</w:t>
      </w:r>
      <w:r w:rsidR="00605ED8" w:rsidRPr="00605ED8">
        <w:t xml:space="preserve"> </w:t>
      </w:r>
      <w:r w:rsidR="00605ED8" w:rsidRPr="00605ED8">
        <w:rPr>
          <w:rFonts w:ascii="Arial" w:hAnsi="Arial" w:cs="Arial"/>
          <w:sz w:val="24"/>
          <w:szCs w:val="24"/>
        </w:rPr>
        <w:t>Individuals in communities frequently form profound bonds that exceed the sum of their unique characteristics. This sense of togetherness can develop trust, mutual support, and a sense of common purpose. It provides a forum for people to share their ideas, resources, and experiences, resulting in personal and societal improvement.</w:t>
      </w:r>
      <w:r w:rsidR="00605ED8">
        <w:rPr>
          <w:rFonts w:ascii="Arial" w:hAnsi="Arial" w:cs="Arial"/>
          <w:sz w:val="24"/>
          <w:szCs w:val="24"/>
        </w:rPr>
        <w:t xml:space="preserve">                                                                                                                                                                                          </w:t>
      </w:r>
      <w:r w:rsidR="00605ED8" w:rsidRPr="00605ED8">
        <w:rPr>
          <w:rFonts w:ascii="Arial" w:hAnsi="Arial" w:cs="Arial"/>
          <w:sz w:val="24"/>
          <w:szCs w:val="24"/>
        </w:rPr>
        <w:t>Furthermore, whether addressing local difficulties, campaigning for social justice, or promoting shared values and goals, communities serve as change agents. They provide a unique platform for individuals to raise their views, have a good effect, and contribute to the advancement of society.</w:t>
      </w:r>
      <w:r w:rsidR="00605ED8" w:rsidRPr="00605ED8">
        <w:t xml:space="preserve"> </w:t>
      </w:r>
      <w:r w:rsidR="00605ED8">
        <w:t xml:space="preserve">                                                                                                              </w:t>
      </w:r>
      <w:r w:rsidR="00605ED8" w:rsidRPr="00605ED8">
        <w:rPr>
          <w:rFonts w:ascii="Arial" w:hAnsi="Arial" w:cs="Arial"/>
          <w:sz w:val="24"/>
          <w:szCs w:val="24"/>
        </w:rPr>
        <w:t>Communities, in essence, are the heart and soul of society, giving individuals an essential feeling of identity, connection, and purpose. They are the lifeblood of human connection and collaboration, changing the fabric of our social, cultural, and societal landscapes. Communities, in all their complexities, serve as the foundation for a thriving and linked world.</w:t>
      </w:r>
    </w:p>
    <w:p w14:paraId="7770D9BE" w14:textId="77C7B34F" w:rsidR="000E09D5" w:rsidRPr="00F63366" w:rsidRDefault="000E09D5" w:rsidP="002F46DC">
      <w:pPr>
        <w:spacing w:line="360" w:lineRule="auto"/>
        <w:rPr>
          <w:rFonts w:ascii="Arial Black" w:hAnsi="Arial Black" w:cs="Arial"/>
          <w:sz w:val="24"/>
          <w:szCs w:val="24"/>
        </w:rPr>
      </w:pPr>
      <w:r w:rsidRPr="00F63366">
        <w:rPr>
          <w:rFonts w:ascii="Arial Black" w:hAnsi="Arial Black" w:cs="Arial"/>
          <w:sz w:val="24"/>
          <w:szCs w:val="24"/>
        </w:rPr>
        <w:t>Healthy Communities Swansea</w:t>
      </w:r>
    </w:p>
    <w:p w14:paraId="4F109703" w14:textId="4A7E2994" w:rsidR="002C3B5A" w:rsidRDefault="00065C5A" w:rsidP="002F46DC">
      <w:pPr>
        <w:spacing w:line="360" w:lineRule="auto"/>
        <w:rPr>
          <w:rFonts w:ascii="Arial" w:hAnsi="Arial" w:cs="Arial"/>
          <w:sz w:val="24"/>
          <w:szCs w:val="24"/>
        </w:rPr>
      </w:pPr>
      <w:r w:rsidRPr="00065C5A">
        <w:rPr>
          <w:rFonts w:ascii="Arial" w:hAnsi="Arial" w:cs="Arial"/>
          <w:sz w:val="24"/>
          <w:szCs w:val="24"/>
        </w:rPr>
        <w:t>Healthy Neighbourhoods Swansea is a beautiful and cohesive community situated within our immediate vicinity, distinguished by its continuous commitment to fostering health and well-being. This community exemplifies the value of teamwork and shared goals in improving the quality of life for its residents. Healthy Communities Swansea brings together people of various ages, backgrounds, and occupations who are united by a common goal: to build a healthier and more sustainable living environment for everybody.</w:t>
      </w:r>
      <w:r w:rsidRPr="00065C5A">
        <w:t xml:space="preserve"> </w:t>
      </w:r>
      <w:r>
        <w:t xml:space="preserve">                                                                                                                                                                                  </w:t>
      </w:r>
      <w:r w:rsidRPr="00065C5A">
        <w:rPr>
          <w:rFonts w:ascii="Arial" w:hAnsi="Arial" w:cs="Arial"/>
          <w:sz w:val="24"/>
          <w:szCs w:val="24"/>
        </w:rPr>
        <w:t xml:space="preserve">Residents are at the heart of Healthy Communities Swansea, representing the community's lifeblood. Individuals from all walks of life, from young children to the </w:t>
      </w:r>
      <w:r w:rsidRPr="00065C5A">
        <w:rPr>
          <w:rFonts w:ascii="Arial" w:hAnsi="Arial" w:cs="Arial"/>
          <w:sz w:val="24"/>
          <w:szCs w:val="24"/>
        </w:rPr>
        <w:lastRenderedPageBreak/>
        <w:t>elderly, come together under the banner of health advocacy. This intergenerational inclusion broadens the community's perspective and ensures that health efforts address the different needs and concerns of people of all ages.</w:t>
      </w:r>
      <w:r>
        <w:rPr>
          <w:rFonts w:ascii="Arial" w:hAnsi="Arial" w:cs="Arial"/>
          <w:sz w:val="24"/>
          <w:szCs w:val="24"/>
        </w:rPr>
        <w:t xml:space="preserve">                                                                    </w:t>
      </w:r>
      <w:r w:rsidRPr="00065C5A">
        <w:rPr>
          <w:rFonts w:ascii="Arial" w:hAnsi="Arial" w:cs="Arial"/>
          <w:sz w:val="24"/>
          <w:szCs w:val="24"/>
        </w:rPr>
        <w:t xml:space="preserve">Healthcare professionals play an important part in Healthy Communities Swansea, guiding health-related programmes and initiatives with their experience and insights. Their presence emphasises the significance of evidence-based practises and informed decision-making </w:t>
      </w:r>
      <w:r>
        <w:rPr>
          <w:rFonts w:ascii="Arial" w:hAnsi="Arial" w:cs="Arial"/>
          <w:sz w:val="24"/>
          <w:szCs w:val="24"/>
        </w:rPr>
        <w:t>with</w:t>
      </w:r>
      <w:r w:rsidRPr="00065C5A">
        <w:rPr>
          <w:rFonts w:ascii="Arial" w:hAnsi="Arial" w:cs="Arial"/>
          <w:sz w:val="24"/>
          <w:szCs w:val="24"/>
        </w:rPr>
        <w:t xml:space="preserve"> the goal of better community health.</w:t>
      </w:r>
      <w:r w:rsidRPr="00065C5A">
        <w:t xml:space="preserve"> </w:t>
      </w:r>
      <w:r>
        <w:t xml:space="preserve">                                                               </w:t>
      </w:r>
      <w:r w:rsidRPr="00065C5A">
        <w:rPr>
          <w:rFonts w:ascii="Arial" w:hAnsi="Arial" w:cs="Arial"/>
          <w:sz w:val="24"/>
          <w:szCs w:val="24"/>
        </w:rPr>
        <w:t>Local government officials regularly engage with the community, building partnerships and alliances that enable Healthy Communities Swansea to influence policy change. This dynamic interaction between community members and government institutions demonstrates the potential for collaborative efforts to improve health outcomes.</w:t>
      </w:r>
      <w:r>
        <w:rPr>
          <w:rFonts w:ascii="Arial" w:hAnsi="Arial" w:cs="Arial"/>
          <w:sz w:val="24"/>
          <w:szCs w:val="24"/>
        </w:rPr>
        <w:t xml:space="preserve">                                                                                                                                         </w:t>
      </w:r>
      <w:r w:rsidRPr="00065C5A">
        <w:rPr>
          <w:rFonts w:ascii="Arial" w:hAnsi="Arial" w:cs="Arial"/>
          <w:sz w:val="24"/>
          <w:szCs w:val="24"/>
        </w:rPr>
        <w:t>In addition to individual citizens, healthcare professionals, and government representatives, Healthy Communities Swansea is supported by a number of organisations. These organisations, which range from non-profits to educational institutions and local companies, provide resources, expertise, and support to the community's health-related initiatives.</w:t>
      </w:r>
      <w:r w:rsidR="00337335">
        <w:rPr>
          <w:rFonts w:ascii="Arial" w:hAnsi="Arial" w:cs="Arial"/>
          <w:sz w:val="24"/>
          <w:szCs w:val="24"/>
        </w:rPr>
        <w:t xml:space="preserve">                                                                                                                                                    </w:t>
      </w:r>
      <w:r w:rsidR="00337335" w:rsidRPr="00337335">
        <w:t xml:space="preserve"> </w:t>
      </w:r>
      <w:r w:rsidR="00337335" w:rsidRPr="00337335">
        <w:rPr>
          <w:rFonts w:ascii="Arial" w:hAnsi="Arial" w:cs="Arial"/>
          <w:sz w:val="24"/>
          <w:szCs w:val="24"/>
        </w:rPr>
        <w:t>Healthy Communities Swansea's diversified composition shows a comprehensive approach to community health and well-being. The commitment of this community to establishing a healthy living environment acts as an inspiration for collective action and collaborative efforts aimed at enhancing the overall quality of life for its members and the broader local community.</w:t>
      </w:r>
    </w:p>
    <w:p w14:paraId="10E1184C" w14:textId="77777777" w:rsidR="00337335" w:rsidRDefault="00337335" w:rsidP="002F46DC">
      <w:pPr>
        <w:spacing w:line="360" w:lineRule="auto"/>
        <w:rPr>
          <w:rFonts w:ascii="Arial" w:hAnsi="Arial" w:cs="Arial"/>
          <w:sz w:val="24"/>
          <w:szCs w:val="24"/>
        </w:rPr>
      </w:pPr>
    </w:p>
    <w:p w14:paraId="5E270B3B" w14:textId="05CBC952" w:rsidR="00337335" w:rsidRPr="00F63366" w:rsidRDefault="00337335" w:rsidP="002F46DC">
      <w:pPr>
        <w:spacing w:line="360" w:lineRule="auto"/>
        <w:rPr>
          <w:rFonts w:ascii="Arial Black" w:hAnsi="Arial Black" w:cs="Arial"/>
          <w:sz w:val="24"/>
          <w:szCs w:val="24"/>
        </w:rPr>
      </w:pPr>
      <w:r w:rsidRPr="00F63366">
        <w:rPr>
          <w:rFonts w:ascii="Arial Black" w:hAnsi="Arial Black" w:cs="Arial"/>
          <w:sz w:val="24"/>
          <w:szCs w:val="24"/>
        </w:rPr>
        <w:t>Key Characteristics of Healthy Communities Swansea</w:t>
      </w:r>
    </w:p>
    <w:p w14:paraId="697D6868" w14:textId="77777777" w:rsidR="00337335" w:rsidRPr="00337335" w:rsidRDefault="00337335" w:rsidP="002F46DC">
      <w:pPr>
        <w:pStyle w:val="ListParagraph"/>
        <w:numPr>
          <w:ilvl w:val="0"/>
          <w:numId w:val="1"/>
        </w:numPr>
        <w:spacing w:line="360" w:lineRule="auto"/>
        <w:rPr>
          <w:rFonts w:ascii="Arial" w:hAnsi="Arial" w:cs="Arial"/>
          <w:sz w:val="24"/>
          <w:szCs w:val="24"/>
        </w:rPr>
      </w:pPr>
      <w:r w:rsidRPr="00337335">
        <w:rPr>
          <w:rFonts w:ascii="Arial" w:hAnsi="Arial" w:cs="Arial"/>
          <w:sz w:val="24"/>
          <w:szCs w:val="24"/>
        </w:rPr>
        <w:t>Diversity: The amazing diversity of Healthy Communities Swansea is one of its defining characteristics. People from many walks of life, backgrounds, and occupations come together in this community to share a common dedication to health and well-being. Every age group, from young children to elderly people, actively participates in this welcoming community. This variety broadens the community's viewpoint and guarantees that health programmes consider the particular requirements and worries of various age groups and backgrounds.</w:t>
      </w:r>
      <w:r w:rsidRPr="00337335">
        <w:t xml:space="preserve"> </w:t>
      </w:r>
    </w:p>
    <w:p w14:paraId="2A5AB53D" w14:textId="77777777" w:rsidR="00337335" w:rsidRPr="00337335" w:rsidRDefault="00337335" w:rsidP="002F46DC">
      <w:pPr>
        <w:pStyle w:val="ListParagraph"/>
        <w:numPr>
          <w:ilvl w:val="0"/>
          <w:numId w:val="1"/>
        </w:numPr>
        <w:spacing w:line="360" w:lineRule="auto"/>
        <w:rPr>
          <w:rFonts w:ascii="Arial" w:hAnsi="Arial" w:cs="Arial"/>
          <w:sz w:val="24"/>
          <w:szCs w:val="24"/>
        </w:rPr>
      </w:pPr>
      <w:r w:rsidRPr="00337335">
        <w:rPr>
          <w:rFonts w:ascii="Arial" w:hAnsi="Arial" w:cs="Arial"/>
          <w:sz w:val="24"/>
          <w:szCs w:val="24"/>
        </w:rPr>
        <w:lastRenderedPageBreak/>
        <w:t>Common Objectives: Healthy Communities Swansea is uniting behind a common and laudable goal: creating a healthier living environment. Residents and stakeholders in this community are united in their determination to reduce health inequities, promote equitable access to healthcare, and improve the general well-being of its members. This common vision inspires community members to work together and purposefully to improve individual and collective health.</w:t>
      </w:r>
      <w:r w:rsidRPr="00337335">
        <w:t xml:space="preserve"> </w:t>
      </w:r>
    </w:p>
    <w:p w14:paraId="4A1798B9" w14:textId="77777777" w:rsidR="00337335" w:rsidRDefault="00337335" w:rsidP="002F46DC">
      <w:pPr>
        <w:pStyle w:val="ListParagraph"/>
        <w:numPr>
          <w:ilvl w:val="0"/>
          <w:numId w:val="1"/>
        </w:numPr>
        <w:spacing w:line="360" w:lineRule="auto"/>
        <w:rPr>
          <w:rFonts w:ascii="Arial" w:hAnsi="Arial" w:cs="Arial"/>
          <w:sz w:val="24"/>
          <w:szCs w:val="24"/>
        </w:rPr>
      </w:pPr>
      <w:r w:rsidRPr="00337335">
        <w:rPr>
          <w:rFonts w:ascii="Arial" w:hAnsi="Arial" w:cs="Arial"/>
          <w:sz w:val="24"/>
          <w:szCs w:val="24"/>
        </w:rPr>
        <w:t>Collaboration: Healthy Communities Swansea depends on collaboration to survive. The community's members, who include medical experts, nearby companies, academic institutions, and governmental organisations, actively promote and support collaboration. A thorough and multifaceted solution to health-related concerns is made possible by this collaborative approach. In order to improve community health, healthcare practitioners offer their experience, local businesses supply resources and support, schools offer educational opportunities, and government organisations help to modify policies. All of these parties work together harmoniously.</w:t>
      </w:r>
    </w:p>
    <w:p w14:paraId="3E017F59" w14:textId="77777777" w:rsidR="00337335" w:rsidRPr="00337335" w:rsidRDefault="00337335" w:rsidP="002F46DC">
      <w:pPr>
        <w:pStyle w:val="ListParagraph"/>
        <w:numPr>
          <w:ilvl w:val="0"/>
          <w:numId w:val="1"/>
        </w:numPr>
        <w:spacing w:line="360" w:lineRule="auto"/>
        <w:rPr>
          <w:rFonts w:ascii="Arial" w:hAnsi="Arial" w:cs="Arial"/>
          <w:sz w:val="24"/>
          <w:szCs w:val="24"/>
        </w:rPr>
      </w:pPr>
      <w:r w:rsidRPr="00337335">
        <w:t xml:space="preserve"> </w:t>
      </w:r>
      <w:r w:rsidRPr="00337335">
        <w:rPr>
          <w:rFonts w:ascii="Arial" w:hAnsi="Arial" w:cs="Arial"/>
          <w:sz w:val="24"/>
          <w:szCs w:val="24"/>
        </w:rPr>
        <w:t>Participation of the Community: Healthy Communities Swansea sets itself apart with its vibrant interaction with locals. Proactively engaging with its members through a variety of educational programmes, events, and projects is highly valued by the community. These initiatives are carefully planned to promote healthy habits, support good behavioural changes, and increase public knowledge of health-related concerns. Community engagement is always at the centre of their approach, whether they are holding health workshops, planning exercise regimens, or running awareness campaigns.</w:t>
      </w:r>
      <w:r w:rsidRPr="00337335">
        <w:t xml:space="preserve"> </w:t>
      </w:r>
    </w:p>
    <w:p w14:paraId="1E0DD42C" w14:textId="70D29F20" w:rsidR="00337335" w:rsidRDefault="00337335" w:rsidP="002F46DC">
      <w:pPr>
        <w:pStyle w:val="ListParagraph"/>
        <w:numPr>
          <w:ilvl w:val="0"/>
          <w:numId w:val="1"/>
        </w:numPr>
        <w:spacing w:line="360" w:lineRule="auto"/>
        <w:rPr>
          <w:rFonts w:ascii="Arial" w:hAnsi="Arial" w:cs="Arial"/>
          <w:sz w:val="24"/>
          <w:szCs w:val="24"/>
        </w:rPr>
      </w:pPr>
      <w:r w:rsidRPr="00337335">
        <w:rPr>
          <w:rFonts w:ascii="Arial" w:hAnsi="Arial" w:cs="Arial"/>
          <w:sz w:val="24"/>
          <w:szCs w:val="24"/>
        </w:rPr>
        <w:t xml:space="preserve">Sustainability: At the foundation of Healthy Communities Swansea is the principle of sustainability. The community understands that long-term health advantages and a healthy living environment for future generations depend on sustainable </w:t>
      </w:r>
      <w:r>
        <w:rPr>
          <w:rFonts w:ascii="Arial" w:hAnsi="Arial" w:cs="Arial"/>
          <w:sz w:val="24"/>
          <w:szCs w:val="24"/>
        </w:rPr>
        <w:t>practices</w:t>
      </w:r>
      <w:r w:rsidRPr="00337335">
        <w:rPr>
          <w:rFonts w:ascii="Arial" w:hAnsi="Arial" w:cs="Arial"/>
          <w:sz w:val="24"/>
          <w:szCs w:val="24"/>
        </w:rPr>
        <w:t xml:space="preserve"> and environmental considerations. In addition to addressing urgent health issues, Healthy Communities Swansea initiatives work to put into place long-term solutions that advance </w:t>
      </w:r>
      <w:r>
        <w:rPr>
          <w:rFonts w:ascii="Arial" w:hAnsi="Arial" w:cs="Arial"/>
          <w:sz w:val="24"/>
          <w:szCs w:val="24"/>
        </w:rPr>
        <w:t>well-being</w:t>
      </w:r>
      <w:r w:rsidRPr="00337335">
        <w:rPr>
          <w:rFonts w:ascii="Arial" w:hAnsi="Arial" w:cs="Arial"/>
          <w:sz w:val="24"/>
          <w:szCs w:val="24"/>
        </w:rPr>
        <w:t xml:space="preserve"> while protecting the environment.</w:t>
      </w:r>
    </w:p>
    <w:p w14:paraId="77C50901" w14:textId="09F62C20" w:rsidR="002C3B5A" w:rsidRDefault="002C3B5A" w:rsidP="002F46DC">
      <w:pPr>
        <w:spacing w:line="360" w:lineRule="auto"/>
        <w:rPr>
          <w:rFonts w:ascii="Arial" w:hAnsi="Arial" w:cs="Arial"/>
          <w:sz w:val="24"/>
          <w:szCs w:val="24"/>
        </w:rPr>
      </w:pPr>
      <w:r w:rsidRPr="002C3B5A">
        <w:rPr>
          <w:rFonts w:ascii="Arial" w:hAnsi="Arial" w:cs="Arial"/>
          <w:sz w:val="24"/>
          <w:szCs w:val="24"/>
        </w:rPr>
        <w:t xml:space="preserve">Healthy Communities Swansea exemplifies how diverse individuals united by a shared commitment to health and well-being can effectively collaborate to build a </w:t>
      </w:r>
      <w:r w:rsidRPr="002C3B5A">
        <w:rPr>
          <w:rFonts w:ascii="Arial" w:hAnsi="Arial" w:cs="Arial"/>
          <w:sz w:val="24"/>
          <w:szCs w:val="24"/>
        </w:rPr>
        <w:lastRenderedPageBreak/>
        <w:t xml:space="preserve">healthier and more sustainable living environment. The variety of the community, shared goals, collaborative spirit, community involvement activities, and commitment to sustainability all contribute to the community's identity as a pathfinder in the quest </w:t>
      </w:r>
      <w:r>
        <w:rPr>
          <w:rFonts w:ascii="Arial" w:hAnsi="Arial" w:cs="Arial"/>
          <w:sz w:val="24"/>
          <w:szCs w:val="24"/>
        </w:rPr>
        <w:t>for</w:t>
      </w:r>
      <w:r w:rsidRPr="002C3B5A">
        <w:rPr>
          <w:rFonts w:ascii="Arial" w:hAnsi="Arial" w:cs="Arial"/>
          <w:sz w:val="24"/>
          <w:szCs w:val="24"/>
        </w:rPr>
        <w:t xml:space="preserve"> greater health and wellness for all members and the broader local community.</w:t>
      </w:r>
    </w:p>
    <w:p w14:paraId="60FBB655" w14:textId="6F282876" w:rsidR="002C3B5A" w:rsidRPr="00F63366" w:rsidRDefault="002C3B5A" w:rsidP="002F46DC">
      <w:pPr>
        <w:spacing w:line="360" w:lineRule="auto"/>
        <w:rPr>
          <w:rFonts w:ascii="Arial Black" w:hAnsi="Arial Black" w:cs="Arial"/>
          <w:sz w:val="24"/>
          <w:szCs w:val="24"/>
        </w:rPr>
      </w:pPr>
      <w:r w:rsidRPr="00F63366">
        <w:rPr>
          <w:rFonts w:ascii="Arial Black" w:hAnsi="Arial Black" w:cs="Arial"/>
          <w:sz w:val="24"/>
          <w:szCs w:val="24"/>
        </w:rPr>
        <w:t>Economic factors</w:t>
      </w:r>
    </w:p>
    <w:p w14:paraId="445EA065" w14:textId="3D7612C1" w:rsidR="002C3B5A" w:rsidRDefault="002C3B5A" w:rsidP="002F46DC">
      <w:pPr>
        <w:spacing w:line="360" w:lineRule="auto"/>
        <w:rPr>
          <w:rFonts w:ascii="Arial" w:hAnsi="Arial" w:cs="Arial"/>
          <w:sz w:val="24"/>
          <w:szCs w:val="24"/>
        </w:rPr>
      </w:pPr>
      <w:r w:rsidRPr="002C3B5A">
        <w:rPr>
          <w:rFonts w:ascii="Arial" w:hAnsi="Arial" w:cs="Arial"/>
          <w:sz w:val="24"/>
          <w:szCs w:val="24"/>
        </w:rPr>
        <w:t>The economic aspect has a significant impact on Healthy Communities Swansea's ability to thrive and effect positive change in the community. This multidimensional factor includes a variety of components that, when combined, have an impact on the community's growth and development.</w:t>
      </w:r>
    </w:p>
    <w:p w14:paraId="3B639050" w14:textId="77777777" w:rsidR="002C3B5A" w:rsidRDefault="002C3B5A" w:rsidP="002F46DC">
      <w:pPr>
        <w:pStyle w:val="ListParagraph"/>
        <w:numPr>
          <w:ilvl w:val="0"/>
          <w:numId w:val="2"/>
        </w:numPr>
        <w:spacing w:line="360" w:lineRule="auto"/>
        <w:rPr>
          <w:rFonts w:ascii="Arial" w:hAnsi="Arial" w:cs="Arial"/>
          <w:sz w:val="24"/>
          <w:szCs w:val="24"/>
        </w:rPr>
      </w:pPr>
      <w:r w:rsidRPr="002C3B5A">
        <w:rPr>
          <w:rFonts w:ascii="Arial" w:hAnsi="Arial" w:cs="Arial"/>
          <w:sz w:val="24"/>
          <w:szCs w:val="24"/>
        </w:rPr>
        <w:t>Access to Healthcare: In the community, access to healthcare services is greatly impacted by economic circumstances. Higher earners might have easier access to healthcare facilities, while individuals with less money might encounter difficulties getting the necessary medical care. By promoting fair access to healthcare services and working with nearby healthcare providers to provide accessible options for all locals, Healthy Communities Swansea aims to close these gaps.</w:t>
      </w:r>
    </w:p>
    <w:p w14:paraId="66115BF3" w14:textId="77777777" w:rsidR="006D05D7" w:rsidRPr="006D05D7" w:rsidRDefault="002C3B5A" w:rsidP="002F46DC">
      <w:pPr>
        <w:pStyle w:val="ListParagraph"/>
        <w:numPr>
          <w:ilvl w:val="0"/>
          <w:numId w:val="2"/>
        </w:numPr>
        <w:spacing w:line="360" w:lineRule="auto"/>
        <w:rPr>
          <w:rFonts w:ascii="Arial" w:hAnsi="Arial" w:cs="Arial"/>
          <w:sz w:val="24"/>
          <w:szCs w:val="24"/>
        </w:rPr>
      </w:pPr>
      <w:r w:rsidRPr="002C3B5A">
        <w:t xml:space="preserve"> </w:t>
      </w:r>
      <w:r w:rsidRPr="002C3B5A">
        <w:rPr>
          <w:rFonts w:ascii="Arial" w:hAnsi="Arial" w:cs="Arial"/>
          <w:sz w:val="24"/>
          <w:szCs w:val="24"/>
        </w:rPr>
        <w:t>Employment Opportunities: The general well-being of community members is shaped by economic factors, such as the availability of jobs and income levels. People's capacity to sustain healthy lifestyles might be impacted by financial instability brought on by high unemployment rates or low-paying jobs. To increase work prospects and financial security, the community participates in programmes that foster entrepreneurship, job training, and local economic growth.</w:t>
      </w:r>
      <w:r w:rsidRPr="002C3B5A">
        <w:t xml:space="preserve"> </w:t>
      </w:r>
    </w:p>
    <w:p w14:paraId="5F14CF8F" w14:textId="0CCB15D6" w:rsidR="006D05D7" w:rsidRPr="006D05D7" w:rsidRDefault="002C3B5A" w:rsidP="002F46DC">
      <w:pPr>
        <w:pStyle w:val="ListParagraph"/>
        <w:numPr>
          <w:ilvl w:val="0"/>
          <w:numId w:val="2"/>
        </w:numPr>
        <w:spacing w:line="360" w:lineRule="auto"/>
        <w:rPr>
          <w:rFonts w:ascii="Arial" w:hAnsi="Arial" w:cs="Arial"/>
          <w:sz w:val="24"/>
          <w:szCs w:val="24"/>
        </w:rPr>
      </w:pPr>
      <w:r w:rsidRPr="006D05D7">
        <w:rPr>
          <w:rFonts w:ascii="Arial" w:hAnsi="Arial" w:cs="Arial"/>
          <w:sz w:val="24"/>
          <w:szCs w:val="24"/>
        </w:rPr>
        <w:t>Affordability of Healthy Living: The community's ability to afford healthy living is greatly impacted by economic factors. For those with lesser earnings, access to safe housing, wholesome food, and leisure activities may be restricted. Healthy Communities Swansea works in partnership with neighbourhood establishments and governmental organisations to guarantee that everyone, regardless of financial situation, has access to reasonably priced healthy options.</w:t>
      </w:r>
      <w:r w:rsidRPr="002C3B5A">
        <w:t xml:space="preserve"> </w:t>
      </w:r>
    </w:p>
    <w:p w14:paraId="27267974" w14:textId="77777777" w:rsidR="006D05D7" w:rsidRDefault="002C3B5A" w:rsidP="002F46DC">
      <w:pPr>
        <w:pStyle w:val="ListParagraph"/>
        <w:numPr>
          <w:ilvl w:val="0"/>
          <w:numId w:val="2"/>
        </w:numPr>
        <w:spacing w:line="360" w:lineRule="auto"/>
        <w:rPr>
          <w:rFonts w:ascii="Arial" w:hAnsi="Arial" w:cs="Arial"/>
          <w:sz w:val="24"/>
          <w:szCs w:val="24"/>
        </w:rPr>
      </w:pPr>
      <w:r w:rsidRPr="002C3B5A">
        <w:rPr>
          <w:rFonts w:ascii="Arial" w:hAnsi="Arial" w:cs="Arial"/>
          <w:sz w:val="24"/>
          <w:szCs w:val="24"/>
        </w:rPr>
        <w:t xml:space="preserve">Healthcare Infrastructure: The availability and calibre of healthcare infrastructure in a community are also influenced by economic variables. To </w:t>
      </w:r>
      <w:r w:rsidRPr="002C3B5A">
        <w:rPr>
          <w:rFonts w:ascii="Arial" w:hAnsi="Arial" w:cs="Arial"/>
          <w:sz w:val="24"/>
          <w:szCs w:val="24"/>
        </w:rPr>
        <w:lastRenderedPageBreak/>
        <w:t>guarantee that locals receive top-notch care regardless of their financial situation, the community pushes for improvements in healthcare facilities, physicians, and technological advancements.</w:t>
      </w:r>
    </w:p>
    <w:p w14:paraId="7563334C" w14:textId="77777777" w:rsidR="006D05D7" w:rsidRPr="006D05D7" w:rsidRDefault="006D05D7" w:rsidP="002F46DC">
      <w:pPr>
        <w:pStyle w:val="ListParagraph"/>
        <w:numPr>
          <w:ilvl w:val="0"/>
          <w:numId w:val="2"/>
        </w:numPr>
        <w:spacing w:line="360" w:lineRule="auto"/>
        <w:rPr>
          <w:rFonts w:ascii="Arial" w:hAnsi="Arial" w:cs="Arial"/>
          <w:sz w:val="24"/>
          <w:szCs w:val="24"/>
        </w:rPr>
      </w:pPr>
      <w:r w:rsidRPr="006D05D7">
        <w:rPr>
          <w:rFonts w:ascii="Arial" w:hAnsi="Arial" w:cs="Arial"/>
          <w:sz w:val="24"/>
          <w:szCs w:val="24"/>
        </w:rPr>
        <w:t>Possibilities for Education: One of the main forces behind economic mobility is education. The availability of high-quality education is influenced by economic circumstances, and this has an effect on people's future earning potential and general well-being. In an effort to assist locals in pursuing further education and enhancing their economic opportunities, Healthy Communities Swansea actively participates in educational activities, such as tutoring and scholarship programmes.</w:t>
      </w:r>
      <w:r w:rsidRPr="006D05D7">
        <w:t xml:space="preserve"> </w:t>
      </w:r>
    </w:p>
    <w:p w14:paraId="06CB1EA1" w14:textId="58A2B76A" w:rsidR="002C3B5A" w:rsidRDefault="006D05D7" w:rsidP="002F46DC">
      <w:pPr>
        <w:pStyle w:val="ListParagraph"/>
        <w:numPr>
          <w:ilvl w:val="0"/>
          <w:numId w:val="2"/>
        </w:numPr>
        <w:spacing w:line="360" w:lineRule="auto"/>
        <w:rPr>
          <w:rFonts w:ascii="Arial" w:hAnsi="Arial" w:cs="Arial"/>
          <w:sz w:val="24"/>
          <w:szCs w:val="24"/>
        </w:rPr>
      </w:pPr>
      <w:r w:rsidRPr="006D05D7">
        <w:rPr>
          <w:rFonts w:ascii="Arial" w:hAnsi="Arial" w:cs="Arial"/>
          <w:sz w:val="24"/>
          <w:szCs w:val="24"/>
        </w:rPr>
        <w:t>Income Inequality: Health differences may be made worse by income inequality, which in turn may be caused by economic inequities within the community. To establish a more equitable economic environment, Healthy Communities Swansea promotes laws and initiatives that combat income inequality, such as raising the minimum wage and expanding social safety nets.</w:t>
      </w:r>
    </w:p>
    <w:p w14:paraId="062460A9" w14:textId="042752AD" w:rsidR="006D05D7" w:rsidRDefault="006D05D7" w:rsidP="002F46DC">
      <w:pPr>
        <w:spacing w:line="360" w:lineRule="auto"/>
        <w:rPr>
          <w:rFonts w:ascii="Arial" w:hAnsi="Arial" w:cs="Arial"/>
          <w:sz w:val="24"/>
          <w:szCs w:val="24"/>
        </w:rPr>
      </w:pPr>
      <w:r w:rsidRPr="006D05D7">
        <w:rPr>
          <w:rFonts w:ascii="Arial" w:hAnsi="Arial" w:cs="Arial"/>
          <w:sz w:val="24"/>
          <w:szCs w:val="24"/>
        </w:rPr>
        <w:t>Economic issues have a significant impact on the well-being and growth of Healthy Communities Swansea. The community recognises that economic factors have a significant impact on health outcomes and works to reduce inequities through advocacy, collaboration, and focused efforts. Healthy Communities Swansea aspires to establish an environment in which all citizens, regardless of economic conditions, have the opportunity to have healthy, satisfying lives by tackling economic problems completely.</w:t>
      </w:r>
    </w:p>
    <w:p w14:paraId="7169BC60" w14:textId="77777777" w:rsidR="009911DA" w:rsidRDefault="009911DA" w:rsidP="002F46DC">
      <w:pPr>
        <w:spacing w:line="360" w:lineRule="auto"/>
        <w:rPr>
          <w:rFonts w:ascii="Arial" w:hAnsi="Arial" w:cs="Arial"/>
          <w:sz w:val="24"/>
          <w:szCs w:val="24"/>
        </w:rPr>
      </w:pPr>
    </w:p>
    <w:p w14:paraId="611E6B1F" w14:textId="77777777" w:rsidR="009911DA" w:rsidRDefault="009911DA" w:rsidP="002F46DC">
      <w:pPr>
        <w:spacing w:line="360" w:lineRule="auto"/>
        <w:rPr>
          <w:rFonts w:ascii="Arial" w:hAnsi="Arial" w:cs="Arial"/>
          <w:sz w:val="24"/>
          <w:szCs w:val="24"/>
        </w:rPr>
      </w:pPr>
    </w:p>
    <w:p w14:paraId="173D6505" w14:textId="77777777" w:rsidR="009911DA" w:rsidRDefault="009911DA" w:rsidP="002F46DC">
      <w:pPr>
        <w:spacing w:line="360" w:lineRule="auto"/>
        <w:rPr>
          <w:rFonts w:ascii="Arial" w:hAnsi="Arial" w:cs="Arial"/>
          <w:sz w:val="24"/>
          <w:szCs w:val="24"/>
        </w:rPr>
      </w:pPr>
    </w:p>
    <w:p w14:paraId="5D30D324" w14:textId="77777777" w:rsidR="009911DA" w:rsidRDefault="009911DA" w:rsidP="002F46DC">
      <w:pPr>
        <w:spacing w:line="360" w:lineRule="auto"/>
        <w:rPr>
          <w:rFonts w:ascii="Arial" w:hAnsi="Arial" w:cs="Arial"/>
          <w:sz w:val="24"/>
          <w:szCs w:val="24"/>
        </w:rPr>
      </w:pPr>
    </w:p>
    <w:p w14:paraId="453AF2ED" w14:textId="77777777" w:rsidR="009911DA" w:rsidRDefault="009911DA" w:rsidP="002F46DC">
      <w:pPr>
        <w:spacing w:line="360" w:lineRule="auto"/>
        <w:rPr>
          <w:rFonts w:ascii="Arial" w:hAnsi="Arial" w:cs="Arial"/>
          <w:sz w:val="24"/>
          <w:szCs w:val="24"/>
        </w:rPr>
      </w:pPr>
    </w:p>
    <w:p w14:paraId="0E31EEF7" w14:textId="77777777" w:rsidR="002F46DC" w:rsidRDefault="002F46DC" w:rsidP="002F46DC">
      <w:pPr>
        <w:spacing w:line="360" w:lineRule="auto"/>
        <w:rPr>
          <w:rFonts w:ascii="Arial" w:hAnsi="Arial" w:cs="Arial"/>
          <w:sz w:val="24"/>
          <w:szCs w:val="24"/>
        </w:rPr>
      </w:pPr>
    </w:p>
    <w:p w14:paraId="766D112C" w14:textId="77777777" w:rsidR="009911DA" w:rsidRDefault="009911DA" w:rsidP="002F46DC">
      <w:pPr>
        <w:spacing w:line="360" w:lineRule="auto"/>
        <w:rPr>
          <w:rFonts w:ascii="Arial" w:hAnsi="Arial" w:cs="Arial"/>
          <w:sz w:val="24"/>
          <w:szCs w:val="24"/>
        </w:rPr>
      </w:pPr>
    </w:p>
    <w:p w14:paraId="0B25266D" w14:textId="2A5E53D7" w:rsidR="009911DA" w:rsidRPr="00C70A85" w:rsidRDefault="009911DA" w:rsidP="006D05D7">
      <w:pPr>
        <w:rPr>
          <w:rFonts w:ascii="Arial Black" w:hAnsi="Arial Black" w:cs="Arial"/>
          <w:sz w:val="24"/>
          <w:szCs w:val="24"/>
        </w:rPr>
      </w:pPr>
      <w:r w:rsidRPr="00C70A85">
        <w:rPr>
          <w:rFonts w:ascii="Arial Black" w:hAnsi="Arial Black" w:cs="Arial"/>
          <w:sz w:val="24"/>
          <w:szCs w:val="24"/>
        </w:rPr>
        <w:lastRenderedPageBreak/>
        <w:t>References list</w:t>
      </w:r>
    </w:p>
    <w:p w14:paraId="0C3E2E97" w14:textId="77777777" w:rsidR="00C70A85" w:rsidRPr="00C70A85" w:rsidRDefault="00C70A85" w:rsidP="00C70A85">
      <w:pPr>
        <w:rPr>
          <w:rFonts w:ascii="Arial" w:hAnsi="Arial" w:cs="Arial"/>
          <w:sz w:val="24"/>
          <w:szCs w:val="24"/>
        </w:rPr>
      </w:pPr>
      <w:r w:rsidRPr="00C70A85">
        <w:rPr>
          <w:rFonts w:ascii="Arial" w:hAnsi="Arial" w:cs="Arial"/>
          <w:sz w:val="24"/>
          <w:szCs w:val="24"/>
        </w:rPr>
        <w:t>Baum, F., &amp; Fisher, M. (2014). Why behavioural health promotion endures despite its failure to reduce health inequities. Sociology of Health &amp; Illness, 36(2), 213-225.</w:t>
      </w:r>
    </w:p>
    <w:p w14:paraId="0C68ADF8" w14:textId="77777777" w:rsidR="00C70A85" w:rsidRPr="00C70A85" w:rsidRDefault="00C70A85" w:rsidP="00C70A85">
      <w:pPr>
        <w:rPr>
          <w:rFonts w:ascii="Arial" w:hAnsi="Arial" w:cs="Arial"/>
          <w:sz w:val="24"/>
          <w:szCs w:val="24"/>
        </w:rPr>
      </w:pPr>
      <w:r w:rsidRPr="00C70A85">
        <w:rPr>
          <w:rFonts w:ascii="Arial" w:hAnsi="Arial" w:cs="Arial"/>
          <w:sz w:val="24"/>
          <w:szCs w:val="24"/>
        </w:rPr>
        <w:t>Berkman, L. F., &amp; Kawachi, I. (2000). Social epidemiology. Oxford University Press.</w:t>
      </w:r>
    </w:p>
    <w:p w14:paraId="7B0B1B50" w14:textId="77777777" w:rsidR="00C70A85" w:rsidRPr="00C70A85" w:rsidRDefault="00C70A85" w:rsidP="00C70A85">
      <w:pPr>
        <w:rPr>
          <w:rFonts w:ascii="Arial" w:hAnsi="Arial" w:cs="Arial"/>
          <w:sz w:val="24"/>
          <w:szCs w:val="24"/>
        </w:rPr>
      </w:pPr>
      <w:r w:rsidRPr="00C70A85">
        <w:rPr>
          <w:rFonts w:ascii="Arial" w:hAnsi="Arial" w:cs="Arial"/>
          <w:sz w:val="24"/>
          <w:szCs w:val="24"/>
        </w:rPr>
        <w:t>Braveman, P., &amp; Gottlieb, L. (2014). The social determinants of health: It's time to consider the causes of the causes. Public Health Reports, 129(1_suppl2), 19-31.</w:t>
      </w:r>
    </w:p>
    <w:p w14:paraId="61E1FD94" w14:textId="3F022FAA" w:rsidR="00C70A85" w:rsidRPr="00C70A85" w:rsidRDefault="00C70A85" w:rsidP="00C70A85">
      <w:pPr>
        <w:rPr>
          <w:rFonts w:ascii="Arial" w:hAnsi="Arial" w:cs="Arial"/>
          <w:sz w:val="24"/>
          <w:szCs w:val="24"/>
        </w:rPr>
      </w:pPr>
      <w:r w:rsidRPr="00C70A85">
        <w:rPr>
          <w:rFonts w:ascii="Arial" w:hAnsi="Arial" w:cs="Arial"/>
          <w:sz w:val="24"/>
          <w:szCs w:val="24"/>
        </w:rPr>
        <w:t>Butterfoss, F. D., Goodman, R. M., &amp; Wandersman, A. (1993). Community coalitions for prevention and health promotion. Health Education Research, 8(3), 315-330.</w:t>
      </w:r>
    </w:p>
    <w:p w14:paraId="35CA0D9A" w14:textId="48B76749" w:rsidR="00C70A85" w:rsidRDefault="00C70A85" w:rsidP="00C70A85">
      <w:pPr>
        <w:rPr>
          <w:rFonts w:ascii="Arial" w:hAnsi="Arial" w:cs="Arial"/>
          <w:sz w:val="24"/>
          <w:szCs w:val="24"/>
        </w:rPr>
      </w:pPr>
      <w:r>
        <w:rPr>
          <w:rFonts w:ascii="Arial" w:hAnsi="Arial" w:cs="Arial"/>
          <w:sz w:val="24"/>
          <w:szCs w:val="24"/>
        </w:rPr>
        <w:t>Centres</w:t>
      </w:r>
      <w:r w:rsidRPr="00C70A85">
        <w:rPr>
          <w:rFonts w:ascii="Arial" w:hAnsi="Arial" w:cs="Arial"/>
          <w:sz w:val="24"/>
          <w:szCs w:val="24"/>
        </w:rPr>
        <w:t xml:space="preserve"> for Disease Control and Prevention. (2021). Community </w:t>
      </w:r>
      <w:r>
        <w:rPr>
          <w:rFonts w:ascii="Arial" w:hAnsi="Arial" w:cs="Arial"/>
          <w:sz w:val="24"/>
          <w:szCs w:val="24"/>
        </w:rPr>
        <w:t>Health Assessment</w:t>
      </w:r>
      <w:r w:rsidRPr="00C70A85">
        <w:rPr>
          <w:rFonts w:ascii="Arial" w:hAnsi="Arial" w:cs="Arial"/>
          <w:sz w:val="24"/>
          <w:szCs w:val="24"/>
        </w:rPr>
        <w:t xml:space="preserve"> and group evaluation (CHANGE) action guide: Building a foundation of knowledge to prioritize community needs. </w:t>
      </w:r>
      <w:hyperlink r:id="rId7" w:history="1">
        <w:r w:rsidRPr="005E7654">
          <w:rPr>
            <w:rStyle w:val="Hyperlink"/>
            <w:rFonts w:ascii="Arial" w:hAnsi="Arial" w:cs="Arial"/>
            <w:sz w:val="24"/>
            <w:szCs w:val="24"/>
          </w:rPr>
          <w:t>https://www.cdc.gov/obesity/downloads/CHANGE-Action-Guide-2012.pdf</w:t>
        </w:r>
      </w:hyperlink>
    </w:p>
    <w:p w14:paraId="671BF942" w14:textId="77777777" w:rsidR="00C70A85" w:rsidRPr="00C70A85" w:rsidRDefault="00C70A85" w:rsidP="00C70A85">
      <w:pPr>
        <w:rPr>
          <w:rFonts w:ascii="Arial" w:hAnsi="Arial" w:cs="Arial"/>
          <w:sz w:val="24"/>
          <w:szCs w:val="24"/>
        </w:rPr>
      </w:pPr>
      <w:r w:rsidRPr="00C70A85">
        <w:rPr>
          <w:rFonts w:ascii="Arial" w:hAnsi="Arial" w:cs="Arial"/>
          <w:sz w:val="24"/>
          <w:szCs w:val="24"/>
        </w:rPr>
        <w:t>Cockerham, W. C. (2014). Medical sociology. Routledge.</w:t>
      </w:r>
    </w:p>
    <w:p w14:paraId="3805AE0B" w14:textId="77777777" w:rsidR="00C70A85" w:rsidRPr="00C70A85" w:rsidRDefault="00C70A85" w:rsidP="00C70A85">
      <w:pPr>
        <w:rPr>
          <w:rFonts w:ascii="Arial" w:hAnsi="Arial" w:cs="Arial"/>
          <w:sz w:val="24"/>
          <w:szCs w:val="24"/>
        </w:rPr>
      </w:pPr>
      <w:r w:rsidRPr="00C70A85">
        <w:rPr>
          <w:rFonts w:ascii="Arial" w:hAnsi="Arial" w:cs="Arial"/>
          <w:sz w:val="24"/>
          <w:szCs w:val="24"/>
        </w:rPr>
        <w:t>Green, L. W., &amp; Kreuter, M. W. (1999). Health promotion planning: An educational and ecological approach (4th ed.). Mayfield Publishing Company.</w:t>
      </w:r>
    </w:p>
    <w:p w14:paraId="31476F47" w14:textId="4D53DD3B" w:rsidR="00C70A85" w:rsidRDefault="00C70A85" w:rsidP="00C70A85">
      <w:r w:rsidRPr="00C70A85">
        <w:rPr>
          <w:rFonts w:ascii="Arial" w:hAnsi="Arial" w:cs="Arial"/>
          <w:sz w:val="24"/>
          <w:szCs w:val="24"/>
        </w:rPr>
        <w:t>Hawe, P., King, L., Noort, M., Jordens, C., &amp; Lloyd, B. (2000). Indicators to help with capacity building in health promotion. Sydney Southwest Area Health Service.</w:t>
      </w:r>
    </w:p>
    <w:p w14:paraId="23CD542B" w14:textId="7EF8FE79" w:rsidR="00C70A85" w:rsidRPr="00C70A85" w:rsidRDefault="00C70A85" w:rsidP="00C70A85">
      <w:pPr>
        <w:rPr>
          <w:rFonts w:ascii="Arial" w:hAnsi="Arial" w:cs="Arial"/>
          <w:sz w:val="24"/>
          <w:szCs w:val="24"/>
        </w:rPr>
      </w:pPr>
      <w:r w:rsidRPr="00C70A85">
        <w:rPr>
          <w:rFonts w:ascii="Arial" w:hAnsi="Arial" w:cs="Arial"/>
          <w:sz w:val="24"/>
          <w:szCs w:val="24"/>
        </w:rPr>
        <w:t>Kickbusch, I., Pelikan, J. M., Apfel, F., &amp; Tsouros, A. D. (Eds.). (2013). Health literacy: The solid facts. World Health Organization Regional Office for Europe.</w:t>
      </w:r>
    </w:p>
    <w:p w14:paraId="29CEDDF6" w14:textId="77777777" w:rsidR="00C70A85" w:rsidRPr="00C70A85" w:rsidRDefault="00C70A85" w:rsidP="00C70A85">
      <w:pPr>
        <w:rPr>
          <w:rFonts w:ascii="Arial" w:hAnsi="Arial" w:cs="Arial"/>
          <w:sz w:val="24"/>
          <w:szCs w:val="24"/>
        </w:rPr>
      </w:pPr>
      <w:r w:rsidRPr="00C70A85">
        <w:rPr>
          <w:rFonts w:ascii="Arial" w:hAnsi="Arial" w:cs="Arial"/>
          <w:sz w:val="24"/>
          <w:szCs w:val="24"/>
        </w:rPr>
        <w:t>Labonté, R., &amp; Laverack, G. (2001). Capacity building in health promotion, Part 1: For whom? And for what purpose? Critical Public Health, 11(2), 111-127.</w:t>
      </w:r>
    </w:p>
    <w:p w14:paraId="40E43701" w14:textId="1C84D26F" w:rsidR="00C70A85" w:rsidRPr="00C70A85" w:rsidRDefault="00C70A85" w:rsidP="00C70A85">
      <w:pPr>
        <w:rPr>
          <w:rFonts w:ascii="Arial" w:hAnsi="Arial" w:cs="Arial"/>
          <w:sz w:val="24"/>
          <w:szCs w:val="24"/>
        </w:rPr>
      </w:pPr>
      <w:r w:rsidRPr="00C70A85">
        <w:rPr>
          <w:rFonts w:ascii="Arial" w:hAnsi="Arial" w:cs="Arial"/>
          <w:sz w:val="24"/>
          <w:szCs w:val="24"/>
        </w:rPr>
        <w:t>Laverack, G. (2004). Health promotion practice: Building empowered communities. Open University Press.</w:t>
      </w:r>
    </w:p>
    <w:p w14:paraId="0E1F0253" w14:textId="0D0801D1" w:rsidR="00C70A85" w:rsidRPr="00C70A85" w:rsidRDefault="00C70A85" w:rsidP="00C70A85">
      <w:pPr>
        <w:rPr>
          <w:rFonts w:ascii="Arial" w:hAnsi="Arial" w:cs="Arial"/>
          <w:sz w:val="24"/>
          <w:szCs w:val="24"/>
        </w:rPr>
      </w:pPr>
      <w:r w:rsidRPr="00C70A85">
        <w:rPr>
          <w:rFonts w:ascii="Arial" w:hAnsi="Arial" w:cs="Arial"/>
          <w:sz w:val="24"/>
          <w:szCs w:val="24"/>
        </w:rPr>
        <w:t>McLeroy, K. R., Bibeau, D., Steckler, A., &amp; Glanz, K. (1988). An ecological perspective on health promotion programs. Health Education &amp; Behaviour, 15(4), 351-377.</w:t>
      </w:r>
    </w:p>
    <w:p w14:paraId="278A7851" w14:textId="77777777" w:rsidR="00C70A85" w:rsidRPr="00C70A85" w:rsidRDefault="00C70A85" w:rsidP="00C70A85">
      <w:pPr>
        <w:rPr>
          <w:rFonts w:ascii="Arial" w:hAnsi="Arial" w:cs="Arial"/>
          <w:sz w:val="24"/>
          <w:szCs w:val="24"/>
        </w:rPr>
      </w:pPr>
      <w:r w:rsidRPr="00C70A85">
        <w:rPr>
          <w:rFonts w:ascii="Arial" w:hAnsi="Arial" w:cs="Arial"/>
          <w:sz w:val="24"/>
          <w:szCs w:val="24"/>
        </w:rPr>
        <w:t>Marmot, M. (2015). The health gap: The challenge of an unequal world. Bloomsbury Publishing.</w:t>
      </w:r>
    </w:p>
    <w:p w14:paraId="7FCF8841" w14:textId="2E89A56C" w:rsidR="00C70A85" w:rsidRPr="00C70A85" w:rsidRDefault="00C70A85" w:rsidP="00C70A85">
      <w:pPr>
        <w:rPr>
          <w:rFonts w:ascii="Arial" w:hAnsi="Arial" w:cs="Arial"/>
          <w:sz w:val="24"/>
          <w:szCs w:val="24"/>
        </w:rPr>
      </w:pPr>
      <w:r w:rsidRPr="00C70A85">
        <w:rPr>
          <w:rFonts w:ascii="Arial" w:hAnsi="Arial" w:cs="Arial"/>
          <w:sz w:val="24"/>
          <w:szCs w:val="24"/>
        </w:rPr>
        <w:t>McMillan, D. W., &amp; Chavis, D. M. (1986). Sense of community: A definition and theory. Journal of Community Psychology, 14(1), 6-23.</w:t>
      </w:r>
    </w:p>
    <w:p w14:paraId="57AB1F12" w14:textId="77777777" w:rsidR="00C70A85" w:rsidRPr="00C70A85" w:rsidRDefault="00C70A85" w:rsidP="00C70A85">
      <w:pPr>
        <w:rPr>
          <w:rFonts w:ascii="Arial" w:hAnsi="Arial" w:cs="Arial"/>
          <w:sz w:val="24"/>
          <w:szCs w:val="24"/>
        </w:rPr>
      </w:pPr>
      <w:r w:rsidRPr="00C70A85">
        <w:rPr>
          <w:rFonts w:ascii="Arial" w:hAnsi="Arial" w:cs="Arial"/>
          <w:sz w:val="24"/>
          <w:szCs w:val="24"/>
        </w:rPr>
        <w:t>Potvin, L., Gendron, S., Bilodeau, A., &amp; Chabot, P. (2005). Integrating social theory into public health practice. American Journal of Public Health, 95(4), 591-595.</w:t>
      </w:r>
    </w:p>
    <w:p w14:paraId="0D5130B0" w14:textId="77777777" w:rsidR="00C70A85" w:rsidRPr="00C70A85" w:rsidRDefault="00C70A85" w:rsidP="00C70A85">
      <w:pPr>
        <w:rPr>
          <w:rFonts w:ascii="Arial" w:hAnsi="Arial" w:cs="Arial"/>
          <w:sz w:val="24"/>
          <w:szCs w:val="24"/>
        </w:rPr>
      </w:pPr>
      <w:r w:rsidRPr="00C70A85">
        <w:rPr>
          <w:rFonts w:ascii="Arial" w:hAnsi="Arial" w:cs="Arial"/>
          <w:sz w:val="24"/>
          <w:szCs w:val="24"/>
        </w:rPr>
        <w:t>Putnam, R. D. (2000). Bowling alone: The collapse and revival of American community. Simon &amp; Schuster.</w:t>
      </w:r>
    </w:p>
    <w:p w14:paraId="1A30CABB" w14:textId="255AFD32" w:rsidR="00C70A85" w:rsidRDefault="00C70A85" w:rsidP="00C70A85">
      <w:r w:rsidRPr="00C70A85">
        <w:rPr>
          <w:rFonts w:ascii="Arial" w:hAnsi="Arial" w:cs="Arial"/>
          <w:sz w:val="24"/>
          <w:szCs w:val="24"/>
        </w:rPr>
        <w:t>Wallerstein, N., &amp; Duran, B. (2006). Using community-based participatory research to address health disparities. Health Promotion Practice, 7(3), 312-323.</w:t>
      </w:r>
    </w:p>
    <w:p w14:paraId="311893FC" w14:textId="2E9EB920" w:rsidR="00C70A85" w:rsidRPr="00C70A85" w:rsidRDefault="00C70A85" w:rsidP="00C70A85">
      <w:pPr>
        <w:rPr>
          <w:rFonts w:ascii="Arial" w:hAnsi="Arial" w:cs="Arial"/>
          <w:sz w:val="24"/>
          <w:szCs w:val="24"/>
        </w:rPr>
      </w:pPr>
      <w:r w:rsidRPr="00C70A85">
        <w:rPr>
          <w:rFonts w:ascii="Arial" w:hAnsi="Arial" w:cs="Arial"/>
          <w:sz w:val="24"/>
          <w:szCs w:val="24"/>
        </w:rPr>
        <w:lastRenderedPageBreak/>
        <w:t>WHO Commission on Social Determinants of Health. (2008). Closing the gap in a generation: Health equity through action on the social determinants of health. World Health Organization.</w:t>
      </w:r>
    </w:p>
    <w:p w14:paraId="5BA53266" w14:textId="77777777" w:rsidR="00C70A85" w:rsidRPr="00C70A85" w:rsidRDefault="00C70A85" w:rsidP="00C70A85">
      <w:pPr>
        <w:rPr>
          <w:rFonts w:ascii="Arial" w:hAnsi="Arial" w:cs="Arial"/>
          <w:sz w:val="24"/>
          <w:szCs w:val="24"/>
        </w:rPr>
      </w:pPr>
      <w:r w:rsidRPr="00C70A85">
        <w:rPr>
          <w:rFonts w:ascii="Arial" w:hAnsi="Arial" w:cs="Arial"/>
          <w:sz w:val="24"/>
          <w:szCs w:val="24"/>
        </w:rPr>
        <w:t>World Health Organization. (1986). The Ottawa Charter for Health Promotion: First International Conference on Health Promotion, Ottawa, 21 November 1986. World Health Organization.</w:t>
      </w:r>
    </w:p>
    <w:p w14:paraId="7DCBA056" w14:textId="665A06C4" w:rsidR="009911DA" w:rsidRDefault="00C70A85" w:rsidP="00C70A85">
      <w:pPr>
        <w:rPr>
          <w:rFonts w:ascii="Arial" w:hAnsi="Arial" w:cs="Arial"/>
          <w:sz w:val="24"/>
          <w:szCs w:val="24"/>
        </w:rPr>
      </w:pPr>
      <w:r w:rsidRPr="00C70A85">
        <w:rPr>
          <w:rFonts w:ascii="Arial" w:hAnsi="Arial" w:cs="Arial"/>
          <w:sz w:val="24"/>
          <w:szCs w:val="24"/>
        </w:rPr>
        <w:t xml:space="preserve">World Health Organization. (2021). Healthy cities. </w:t>
      </w:r>
      <w:hyperlink r:id="rId8" w:history="1">
        <w:r w:rsidRPr="005E7654">
          <w:rPr>
            <w:rStyle w:val="Hyperlink"/>
            <w:rFonts w:ascii="Arial" w:hAnsi="Arial" w:cs="Arial"/>
            <w:sz w:val="24"/>
            <w:szCs w:val="24"/>
          </w:rPr>
          <w:t>https://www.who.int/healthpromotion/healthy-cities/en/</w:t>
        </w:r>
      </w:hyperlink>
    </w:p>
    <w:p w14:paraId="53801244" w14:textId="77777777" w:rsidR="00C70A85" w:rsidRPr="006D05D7" w:rsidRDefault="00C70A85" w:rsidP="00C70A85">
      <w:pPr>
        <w:rPr>
          <w:rFonts w:ascii="Arial" w:hAnsi="Arial" w:cs="Arial"/>
          <w:sz w:val="24"/>
          <w:szCs w:val="24"/>
        </w:rPr>
      </w:pPr>
    </w:p>
    <w:sectPr w:rsidR="00C70A85" w:rsidRPr="006D05D7" w:rsidSect="0027509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F15B96" w14:textId="77777777" w:rsidR="004B0E14" w:rsidRDefault="004B0E14" w:rsidP="00337335">
      <w:pPr>
        <w:spacing w:after="0" w:line="240" w:lineRule="auto"/>
      </w:pPr>
      <w:r>
        <w:separator/>
      </w:r>
    </w:p>
  </w:endnote>
  <w:endnote w:type="continuationSeparator" w:id="0">
    <w:p w14:paraId="7D5D5D67" w14:textId="77777777" w:rsidR="004B0E14" w:rsidRDefault="004B0E14" w:rsidP="003373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451C6E" w14:textId="77777777" w:rsidR="004B0E14" w:rsidRDefault="004B0E14" w:rsidP="00337335">
      <w:pPr>
        <w:spacing w:after="0" w:line="240" w:lineRule="auto"/>
      </w:pPr>
      <w:r>
        <w:separator/>
      </w:r>
    </w:p>
  </w:footnote>
  <w:footnote w:type="continuationSeparator" w:id="0">
    <w:p w14:paraId="2C5207CB" w14:textId="77777777" w:rsidR="004B0E14" w:rsidRDefault="004B0E14" w:rsidP="003373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5370EB"/>
    <w:multiLevelType w:val="hybridMultilevel"/>
    <w:tmpl w:val="02167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6A27D07"/>
    <w:multiLevelType w:val="hybridMultilevel"/>
    <w:tmpl w:val="6D8CF0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06743083">
    <w:abstractNumId w:val="1"/>
  </w:num>
  <w:num w:numId="2" w16cid:durableId="14032893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346A"/>
    <w:rsid w:val="00021278"/>
    <w:rsid w:val="00065C5A"/>
    <w:rsid w:val="000E09D5"/>
    <w:rsid w:val="00275099"/>
    <w:rsid w:val="002C3B5A"/>
    <w:rsid w:val="002F46DC"/>
    <w:rsid w:val="00337335"/>
    <w:rsid w:val="00375E32"/>
    <w:rsid w:val="003A2141"/>
    <w:rsid w:val="003A2F4E"/>
    <w:rsid w:val="004B0E14"/>
    <w:rsid w:val="006059E3"/>
    <w:rsid w:val="00605ED8"/>
    <w:rsid w:val="006D05D7"/>
    <w:rsid w:val="008E1B80"/>
    <w:rsid w:val="009911DA"/>
    <w:rsid w:val="00C70A85"/>
    <w:rsid w:val="00EF346A"/>
    <w:rsid w:val="00F633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BA07195"/>
  <w15:chartTrackingRefBased/>
  <w15:docId w15:val="{A817A9D9-478C-4DFF-9A2F-F76E3CEA39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373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7335"/>
  </w:style>
  <w:style w:type="paragraph" w:styleId="Footer">
    <w:name w:val="footer"/>
    <w:basedOn w:val="Normal"/>
    <w:link w:val="FooterChar"/>
    <w:uiPriority w:val="99"/>
    <w:unhideWhenUsed/>
    <w:rsid w:val="003373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7335"/>
  </w:style>
  <w:style w:type="paragraph" w:styleId="ListParagraph">
    <w:name w:val="List Paragraph"/>
    <w:basedOn w:val="Normal"/>
    <w:uiPriority w:val="34"/>
    <w:qFormat/>
    <w:rsid w:val="00337335"/>
    <w:pPr>
      <w:ind w:left="720"/>
      <w:contextualSpacing/>
    </w:pPr>
  </w:style>
  <w:style w:type="character" w:styleId="Hyperlink">
    <w:name w:val="Hyperlink"/>
    <w:basedOn w:val="DefaultParagraphFont"/>
    <w:uiPriority w:val="99"/>
    <w:unhideWhenUsed/>
    <w:rsid w:val="00C70A85"/>
    <w:rPr>
      <w:color w:val="0563C1" w:themeColor="hyperlink"/>
      <w:u w:val="single"/>
    </w:rPr>
  </w:style>
  <w:style w:type="character" w:styleId="UnresolvedMention">
    <w:name w:val="Unresolved Mention"/>
    <w:basedOn w:val="DefaultParagraphFont"/>
    <w:uiPriority w:val="99"/>
    <w:semiHidden/>
    <w:unhideWhenUsed/>
    <w:rsid w:val="00C70A85"/>
    <w:rPr>
      <w:color w:val="605E5C"/>
      <w:shd w:val="clear" w:color="auto" w:fill="E1DFDD"/>
    </w:rPr>
  </w:style>
  <w:style w:type="paragraph" w:styleId="NoSpacing">
    <w:name w:val="No Spacing"/>
    <w:link w:val="NoSpacingChar"/>
    <w:uiPriority w:val="1"/>
    <w:qFormat/>
    <w:rsid w:val="0027509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75099"/>
    <w:rPr>
      <w:rFonts w:eastAsiaTheme="minorEastAsia"/>
      <w:kern w:val="0"/>
      <w:lang w:val="en-US"/>
      <w14:ligatures w14:val="none"/>
    </w:rPr>
  </w:style>
  <w:style w:type="paragraph" w:styleId="Caption">
    <w:name w:val="caption"/>
    <w:basedOn w:val="Normal"/>
    <w:next w:val="Normal"/>
    <w:uiPriority w:val="35"/>
    <w:unhideWhenUsed/>
    <w:qFormat/>
    <w:rsid w:val="00275099"/>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healthpromotion/healthy-cities/en/" TargetMode="External"/><Relationship Id="rId3" Type="http://schemas.openxmlformats.org/officeDocument/2006/relationships/settings" Target="settings.xml"/><Relationship Id="rId7" Type="http://schemas.openxmlformats.org/officeDocument/2006/relationships/hyperlink" Target="https://www.cdc.gov/obesity/downloads/CHANGE-Action-Guide-2012.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2639</Words>
  <Characters>16632</Characters>
  <Application>Microsoft Office Word</Application>
  <DocSecurity>0</DocSecurity>
  <Lines>308</Lines>
  <Paragraphs>59</Paragraphs>
  <ScaleCrop>false</ScaleCrop>
  <HeadingPairs>
    <vt:vector size="2" baseType="variant">
      <vt:variant>
        <vt:lpstr>Title</vt:lpstr>
      </vt:variant>
      <vt:variant>
        <vt:i4>1</vt:i4>
      </vt:variant>
    </vt:vector>
  </HeadingPairs>
  <TitlesOfParts>
    <vt:vector size="1" baseType="lpstr">
      <vt:lpstr>Assignment 2-</vt:lpstr>
    </vt:vector>
  </TitlesOfParts>
  <Company/>
  <LinksUpToDate>false</LinksUpToDate>
  <CharactersWithSpaces>19212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
  <dc:creator>Mirabela Voic</dc:creator>
  <cp:keywords/>
  <dc:description/>
  <cp:lastModifiedBy>Mirabela Voican (1907947)</cp:lastModifiedBy>
  <cp:revision>3</cp:revision>
  <dcterms:created xsi:type="dcterms:W3CDTF">2023-11-11T01:22:00Z</dcterms:created>
  <dcterms:modified xsi:type="dcterms:W3CDTF">2023-11-15T17:29:00Z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b2384667-96d8-4c48-a484-3107956e2ac7</vt:lpwstr>
  </property>
</Properties>
</file>