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4ED8429"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848D4">
              <w:rPr>
                <w:rFonts w:ascii="Times New Roman" w:hAnsi="Times New Roman" w:cs="Times New Roman"/>
                <w:b/>
                <w:color w:val="auto"/>
                <w:sz w:val="48"/>
              </w:rPr>
              <w:t>Lauren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7A61E0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848D4">
              <w:rPr>
                <w:rFonts w:ascii="Times New Roman" w:hAnsi="Times New Roman" w:cs="Times New Roman"/>
                <w:b/>
                <w:color w:val="auto"/>
                <w:sz w:val="48"/>
              </w:rPr>
              <w:t xml:space="preserve"> </w:t>
            </w:r>
            <w:hyperlink r:id="rId11" w:history="1">
              <w:r w:rsidR="002848D4" w:rsidRPr="009A6AF8">
                <w:rPr>
                  <w:rStyle w:val="Hyperlink"/>
                  <w:rFonts w:ascii="Times New Roman" w:hAnsi="Times New Roman" w:cs="Times New Roman"/>
                  <w:b/>
                  <w:sz w:val="48"/>
                </w:rPr>
                <w:t>2328348@student.uwtsd.ac.uk</w:t>
              </w:r>
            </w:hyperlink>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205C7B6" w14:textId="208C68D7" w:rsidR="002848D4" w:rsidRPr="005D3F07" w:rsidRDefault="002848D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2328348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12259F42" w14:textId="77777777" w:rsidR="00DC1E20" w:rsidRPr="00C4640C" w:rsidRDefault="00DC1E20" w:rsidP="00DC1E20">
            <w:pPr>
              <w:jc w:val="both"/>
              <w:rPr>
                <w:rFonts w:asciiTheme="minorHAnsi" w:hAnsiTheme="minorHAnsi" w:cstheme="minorHAnsi"/>
                <w:i/>
                <w:iCs/>
                <w:color w:val="2E74B5" w:themeColor="accent5" w:themeShade="BF"/>
                <w:sz w:val="24"/>
                <w:szCs w:val="24"/>
              </w:rPr>
            </w:pPr>
            <w:r w:rsidRPr="00C4640C">
              <w:rPr>
                <w:rFonts w:asciiTheme="minorHAnsi" w:hAnsiTheme="minorHAnsi" w:cstheme="minorHAnsi"/>
                <w:i/>
                <w:iCs/>
                <w:color w:val="2E74B5" w:themeColor="accent5" w:themeShade="BF"/>
                <w:sz w:val="24"/>
                <w:szCs w:val="24"/>
              </w:rPr>
              <w:t xml:space="preserve">To ensure confidentiality and anonymity, I will be referring to the individuals as 1 for the children and 2 for their parent. The details of the area I work in will not be discussed or identified. </w:t>
            </w:r>
          </w:p>
          <w:p w14:paraId="31E75145" w14:textId="77777777" w:rsidR="00DC1E20" w:rsidRDefault="00DC1E20" w:rsidP="00FF7EBB">
            <w:pPr>
              <w:jc w:val="both"/>
              <w:rPr>
                <w:i/>
                <w:sz w:val="24"/>
                <w:szCs w:val="24"/>
              </w:rPr>
            </w:pPr>
          </w:p>
          <w:p w14:paraId="20370495" w14:textId="631BDFCF" w:rsidR="00D3203C" w:rsidRPr="00B15F0F" w:rsidRDefault="00DC1E20"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In order to critically reflect this case study I have chosen, I will be using Gibbs (1998) reflective cycle</w:t>
            </w:r>
            <w:r w:rsidR="00D062A9" w:rsidRPr="00B15F0F">
              <w:rPr>
                <w:rFonts w:asciiTheme="minorHAnsi" w:hAnsiTheme="minorHAnsi" w:cstheme="minorHAnsi"/>
                <w:iCs/>
                <w:sz w:val="24"/>
                <w:szCs w:val="24"/>
              </w:rPr>
              <w:t xml:space="preserve"> which involves six stages of reflection in order to deeply engage with this case study, improving my understanding and professional practice. I will briefly ‘describe’ the case study and the key events, I will reflect throughout this case study on my ‘feelings’ and address any issues of power dynamics, I will ‘evaluate’ what went well and things I could improve on in the future, I will ‘analyse’ the situation by breaking down the factors contributing to social services involvement and I will reach a ‘conclusion’ and have an ‘action plan’ in mind to consider what I have learned and what I would do differently in future.</w:t>
            </w:r>
          </w:p>
          <w:p w14:paraId="443B58AF" w14:textId="77777777" w:rsidR="00D062A9" w:rsidRPr="00B15F0F" w:rsidRDefault="00D062A9" w:rsidP="00B15F0F">
            <w:pPr>
              <w:spacing w:line="360" w:lineRule="auto"/>
              <w:jc w:val="both"/>
              <w:rPr>
                <w:rFonts w:asciiTheme="minorHAnsi" w:hAnsiTheme="minorHAnsi" w:cstheme="minorHAnsi"/>
                <w:iCs/>
                <w:sz w:val="24"/>
                <w:szCs w:val="24"/>
              </w:rPr>
            </w:pPr>
          </w:p>
          <w:p w14:paraId="4CED92FE" w14:textId="70259BF7" w:rsidR="00D062A9" w:rsidRPr="00B15F0F" w:rsidRDefault="00D062A9"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lastRenderedPageBreak/>
              <w:t>I will demonstrate how this case study relates to the most recent safeguarding legislation, policies, strategies and procedures and ensure that I use social work theories to support my reflective case study. I will also talk about the specific dimensions of working within Wales.</w:t>
            </w:r>
          </w:p>
          <w:p w14:paraId="36830EAF" w14:textId="77777777" w:rsidR="006B1A9D" w:rsidRPr="00B15F0F" w:rsidRDefault="006B1A9D" w:rsidP="00B15F0F">
            <w:pPr>
              <w:spacing w:line="360" w:lineRule="auto"/>
              <w:jc w:val="both"/>
              <w:rPr>
                <w:rFonts w:asciiTheme="minorHAnsi" w:hAnsiTheme="minorHAnsi" w:cstheme="minorHAnsi"/>
                <w:iCs/>
                <w:sz w:val="24"/>
                <w:szCs w:val="24"/>
              </w:rPr>
            </w:pPr>
          </w:p>
          <w:p w14:paraId="7FC833B7" w14:textId="3DDFFEC6" w:rsidR="00D062A9" w:rsidRPr="00B15F0F" w:rsidRDefault="00D062A9"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Within my role as a social worker in the Single Point of Contact Team for Children’s Services, a large part of my work undertaken and my caseload involves assessing risk and safeguarding concerns. There are duties placed on the Local Authority under the Social Services and Wellbeing (Wales) Act 2014 (SSWBA, 2014)</w:t>
            </w:r>
            <w:r w:rsidR="004B425F" w:rsidRPr="00B15F0F">
              <w:rPr>
                <w:rFonts w:asciiTheme="minorHAnsi" w:hAnsiTheme="minorHAnsi" w:cstheme="minorHAnsi"/>
                <w:iCs/>
                <w:sz w:val="24"/>
                <w:szCs w:val="24"/>
              </w:rPr>
              <w:t xml:space="preserve"> which</w:t>
            </w:r>
            <w:r w:rsidR="001A55D5" w:rsidRPr="00B15F0F">
              <w:rPr>
                <w:rFonts w:asciiTheme="minorHAnsi" w:hAnsiTheme="minorHAnsi" w:cstheme="minorHAnsi"/>
                <w:iCs/>
                <w:sz w:val="24"/>
                <w:szCs w:val="24"/>
              </w:rPr>
              <w:t xml:space="preserve"> is central to social work practice in Wales, focusing on promoting well-being, preventing harm, and ensuring that children and families receive support and protection in a timely manner. The Act places a duty on Local Authorities to take action to safeguard children at risk of harm, and this is particularly relevant in cases of neglect and substance misuse which are the main concerns in the case study I will be critically reflecting on. Part 7 of the Act are especially relevant (SSWBA, 2014). It establishes the duty to investigate cases where a child may be at risk of significant harm, as well as the obligation to work collaboratively across agencies.</w:t>
            </w:r>
          </w:p>
          <w:p w14:paraId="6496C1A7" w14:textId="77777777" w:rsidR="00E705E0" w:rsidRPr="00B15F0F" w:rsidRDefault="00E705E0" w:rsidP="00B15F0F">
            <w:pPr>
              <w:spacing w:line="360" w:lineRule="auto"/>
              <w:jc w:val="both"/>
              <w:rPr>
                <w:rFonts w:asciiTheme="minorHAnsi" w:hAnsiTheme="minorHAnsi" w:cstheme="minorHAnsi"/>
                <w:iCs/>
                <w:sz w:val="24"/>
                <w:szCs w:val="24"/>
              </w:rPr>
            </w:pPr>
          </w:p>
          <w:p w14:paraId="250C1C70" w14:textId="068626C9" w:rsidR="00D062A9" w:rsidRPr="00B15F0F" w:rsidRDefault="00E705E0"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The Social Services and Wellbeing (Wales) Act 2014 (SSWBA, 2014) works closely alongside the All Wales Safeguarding Procedures </w:t>
            </w:r>
            <w:r w:rsidR="008D0DB0" w:rsidRPr="00B15F0F">
              <w:rPr>
                <w:rFonts w:asciiTheme="minorHAnsi" w:hAnsiTheme="minorHAnsi" w:cstheme="minorHAnsi"/>
                <w:iCs/>
                <w:sz w:val="24"/>
                <w:szCs w:val="24"/>
              </w:rPr>
              <w:t xml:space="preserve">(2019) </w:t>
            </w:r>
            <w:r w:rsidRPr="00B15F0F">
              <w:rPr>
                <w:rFonts w:asciiTheme="minorHAnsi" w:hAnsiTheme="minorHAnsi" w:cstheme="minorHAnsi"/>
                <w:iCs/>
                <w:sz w:val="24"/>
                <w:szCs w:val="24"/>
              </w:rPr>
              <w:t>which provides a comprehensive framework for safeguarding children, outlining the protocols that social workers must follow when there are concerns about a child’s safety. This includes investigation protocols, multi-agency collaboration, and the role of the child protection plan.</w:t>
            </w:r>
          </w:p>
          <w:p w14:paraId="288950B9" w14:textId="77777777" w:rsidR="00E705E0" w:rsidRPr="00B15F0F" w:rsidRDefault="00E705E0" w:rsidP="00B15F0F">
            <w:pPr>
              <w:spacing w:line="360" w:lineRule="auto"/>
              <w:jc w:val="both"/>
              <w:rPr>
                <w:rFonts w:asciiTheme="minorHAnsi" w:hAnsiTheme="minorHAnsi" w:cstheme="minorHAnsi"/>
                <w:iCs/>
                <w:sz w:val="24"/>
                <w:szCs w:val="24"/>
              </w:rPr>
            </w:pPr>
          </w:p>
          <w:p w14:paraId="4AF854E0" w14:textId="5B2B9E1A" w:rsidR="006B1A9D" w:rsidRDefault="00D239AD"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This case study involved my role and intervention whereby safeguarding concerns were reported by the Police to the Social Services department. 2 was found under the influence of substances whilst 1 was in their care. </w:t>
            </w:r>
            <w:r w:rsidR="00BE6897" w:rsidRPr="00B15F0F">
              <w:rPr>
                <w:rFonts w:asciiTheme="minorHAnsi" w:hAnsiTheme="minorHAnsi" w:cstheme="minorHAnsi"/>
                <w:iCs/>
                <w:sz w:val="24"/>
                <w:szCs w:val="24"/>
              </w:rPr>
              <w:t>This led to the Police exercising their powers of protection due to no family members or friends being suitable and 1 had to be placed in temporary foster care.</w:t>
            </w:r>
            <w:r w:rsidR="00F5689E" w:rsidRPr="00B15F0F">
              <w:rPr>
                <w:rFonts w:asciiTheme="minorHAnsi" w:hAnsiTheme="minorHAnsi" w:cstheme="minorHAnsi"/>
                <w:iCs/>
                <w:sz w:val="24"/>
                <w:szCs w:val="24"/>
              </w:rPr>
              <w:t xml:space="preserve"> The family are White Welsh, </w:t>
            </w:r>
            <w:r w:rsidR="00924E4E" w:rsidRPr="00B15F0F">
              <w:rPr>
                <w:rFonts w:asciiTheme="minorHAnsi" w:hAnsiTheme="minorHAnsi" w:cstheme="minorHAnsi"/>
                <w:iCs/>
                <w:sz w:val="24"/>
                <w:szCs w:val="24"/>
              </w:rPr>
              <w:t>non-Welsh</w:t>
            </w:r>
            <w:r w:rsidR="00F5689E" w:rsidRPr="00B15F0F">
              <w:rPr>
                <w:rFonts w:asciiTheme="minorHAnsi" w:hAnsiTheme="minorHAnsi" w:cstheme="minorHAnsi"/>
                <w:iCs/>
                <w:sz w:val="24"/>
                <w:szCs w:val="24"/>
              </w:rPr>
              <w:t xml:space="preserve"> speakers who live in a densely populated area of Wales.</w:t>
            </w:r>
          </w:p>
          <w:p w14:paraId="6A151C77" w14:textId="77777777" w:rsidR="001D29EB" w:rsidRDefault="001D29EB" w:rsidP="00B15F0F">
            <w:pPr>
              <w:spacing w:line="360" w:lineRule="auto"/>
              <w:jc w:val="both"/>
              <w:rPr>
                <w:rFonts w:asciiTheme="minorHAnsi" w:hAnsiTheme="minorHAnsi" w:cstheme="minorHAnsi"/>
                <w:iCs/>
                <w:sz w:val="24"/>
                <w:szCs w:val="24"/>
              </w:rPr>
            </w:pPr>
          </w:p>
          <w:p w14:paraId="7F31C546" w14:textId="07C8A2B4" w:rsidR="00EC0155" w:rsidRPr="00B15F0F" w:rsidRDefault="001D29EB"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Due to the safeguarding concerns reported, under Section 47 of the Children Act (CA, 1989) child protection procedures need to be considered when a child is potentially at risk of significant harm. </w:t>
            </w:r>
            <w:r>
              <w:rPr>
                <w:rFonts w:asciiTheme="minorHAnsi" w:hAnsiTheme="minorHAnsi" w:cstheme="minorHAnsi"/>
                <w:iCs/>
                <w:sz w:val="24"/>
                <w:szCs w:val="24"/>
              </w:rPr>
              <w:lastRenderedPageBreak/>
              <w:t>This was my role, along with complet</w:t>
            </w:r>
            <w:r w:rsidR="00EB3C49">
              <w:rPr>
                <w:rFonts w:asciiTheme="minorHAnsi" w:hAnsiTheme="minorHAnsi" w:cstheme="minorHAnsi"/>
                <w:iCs/>
                <w:sz w:val="24"/>
                <w:szCs w:val="24"/>
              </w:rPr>
              <w:t xml:space="preserve">ing a Children and Young Persons Service Assessment (CYPS) which falls under part 4 of the Social Services and Wellbeing (Wales) Act 2014 (SSWBA, 2014) when it is felt there are safeguarding concerns to consider and care and support needs to identify. </w:t>
            </w:r>
          </w:p>
          <w:p w14:paraId="29E7DE4D" w14:textId="77777777" w:rsidR="00A965AE" w:rsidRPr="00B15F0F" w:rsidRDefault="00A965AE" w:rsidP="00B15F0F">
            <w:pPr>
              <w:spacing w:line="360" w:lineRule="auto"/>
              <w:jc w:val="both"/>
              <w:rPr>
                <w:rFonts w:asciiTheme="minorHAnsi" w:hAnsiTheme="minorHAnsi" w:cstheme="minorHAnsi"/>
                <w:iCs/>
                <w:sz w:val="24"/>
                <w:szCs w:val="24"/>
              </w:rPr>
            </w:pPr>
          </w:p>
          <w:p w14:paraId="48431287" w14:textId="331D91AB" w:rsidR="00A965AE" w:rsidRPr="00B15F0F" w:rsidRDefault="00A965AE"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The </w:t>
            </w:r>
            <w:r w:rsidR="00EF070E" w:rsidRPr="00B15F0F">
              <w:rPr>
                <w:rFonts w:asciiTheme="minorHAnsi" w:hAnsiTheme="minorHAnsi" w:cstheme="minorHAnsi"/>
                <w:iCs/>
                <w:sz w:val="24"/>
                <w:szCs w:val="24"/>
              </w:rPr>
              <w:t>specific legislation that will be discussed in relation to this case study includes The Children Act 1989 (CA 1989)</w:t>
            </w:r>
            <w:r w:rsidR="00986AB3" w:rsidRPr="00B15F0F">
              <w:rPr>
                <w:rFonts w:asciiTheme="minorHAnsi" w:hAnsiTheme="minorHAnsi" w:cstheme="minorHAnsi"/>
                <w:iCs/>
                <w:sz w:val="24"/>
                <w:szCs w:val="24"/>
              </w:rPr>
              <w:t xml:space="preserve"> and the Social Services and Wellbeing (Wales) Act 2014 (SSWBA, 2014)</w:t>
            </w:r>
            <w:r w:rsidR="0076364D" w:rsidRPr="00B15F0F">
              <w:rPr>
                <w:rFonts w:asciiTheme="minorHAnsi" w:hAnsiTheme="minorHAnsi" w:cstheme="minorHAnsi"/>
                <w:iCs/>
                <w:sz w:val="24"/>
                <w:szCs w:val="24"/>
              </w:rPr>
              <w:t>, the United Nations Convention on the Rights of the Child (UNCRC), The Human Rights Act 1998 (HRA, 1998) and I will also be touching on the All Wales Safeguarding Procedures which are specific to Wales.</w:t>
            </w:r>
          </w:p>
          <w:p w14:paraId="35F51B6C" w14:textId="77777777" w:rsidR="006A08AF" w:rsidRPr="00B15F0F" w:rsidRDefault="006A08AF" w:rsidP="00B15F0F">
            <w:pPr>
              <w:spacing w:line="360" w:lineRule="auto"/>
              <w:jc w:val="both"/>
              <w:rPr>
                <w:rFonts w:asciiTheme="minorHAnsi" w:hAnsiTheme="minorHAnsi" w:cstheme="minorHAnsi"/>
                <w:iCs/>
                <w:sz w:val="24"/>
                <w:szCs w:val="24"/>
              </w:rPr>
            </w:pPr>
          </w:p>
          <w:p w14:paraId="2B282087" w14:textId="5F907E1E" w:rsidR="001A312D" w:rsidRPr="00B15F0F" w:rsidRDefault="006A08AF"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Under Section 46 of the Children Act 1989 (CA 1989</w:t>
            </w:r>
            <w:r w:rsidR="001A312D" w:rsidRPr="00B15F0F">
              <w:rPr>
                <w:rFonts w:asciiTheme="minorHAnsi" w:hAnsiTheme="minorHAnsi" w:cstheme="minorHAnsi"/>
                <w:iCs/>
                <w:sz w:val="24"/>
                <w:szCs w:val="24"/>
              </w:rPr>
              <w:t xml:space="preserve">) </w:t>
            </w:r>
            <w:r w:rsidR="00F5689E" w:rsidRPr="00B15F0F">
              <w:rPr>
                <w:rFonts w:asciiTheme="minorHAnsi" w:hAnsiTheme="minorHAnsi" w:cstheme="minorHAnsi"/>
                <w:iCs/>
                <w:sz w:val="24"/>
                <w:szCs w:val="24"/>
              </w:rPr>
              <w:t>a police constable has the legal right to remove a child from accommodation where they have reasonable cause to believe the child would otherwise be likely to suffer significant harm</w:t>
            </w:r>
            <w:r w:rsidR="00F735A3" w:rsidRPr="00B15F0F">
              <w:rPr>
                <w:rFonts w:asciiTheme="minorHAnsi" w:hAnsiTheme="minorHAnsi" w:cstheme="minorHAnsi"/>
                <w:iCs/>
                <w:sz w:val="24"/>
                <w:szCs w:val="24"/>
              </w:rPr>
              <w:t xml:space="preserve"> (Child Law Advice, 2024)</w:t>
            </w:r>
            <w:r w:rsidR="00F5689E" w:rsidRPr="00B15F0F">
              <w:rPr>
                <w:rFonts w:asciiTheme="minorHAnsi" w:hAnsiTheme="minorHAnsi" w:cstheme="minorHAnsi"/>
                <w:iCs/>
                <w:sz w:val="24"/>
                <w:szCs w:val="24"/>
              </w:rPr>
              <w:t xml:space="preserve">. </w:t>
            </w:r>
          </w:p>
          <w:p w14:paraId="66DD448C" w14:textId="77777777" w:rsidR="00BE6897" w:rsidRPr="00B15F0F" w:rsidRDefault="00BE6897" w:rsidP="00B15F0F">
            <w:pPr>
              <w:spacing w:line="360" w:lineRule="auto"/>
              <w:jc w:val="both"/>
              <w:rPr>
                <w:rFonts w:asciiTheme="minorHAnsi" w:hAnsiTheme="minorHAnsi" w:cstheme="minorHAnsi"/>
                <w:iCs/>
                <w:sz w:val="24"/>
                <w:szCs w:val="24"/>
              </w:rPr>
            </w:pPr>
          </w:p>
          <w:p w14:paraId="57726EE7" w14:textId="032DE2B0" w:rsidR="00957021" w:rsidRDefault="00BE6897"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The Police powers of protection only last for 72 hours, so my role was to explore Mother’s wishes in relation to support and whether she consented to 1 remaining in foster care whilst assessments were ongoing. 2 acknowledged that she had a problem with substances which she desperately wanted support to </w:t>
            </w:r>
            <w:r w:rsidR="000B4D61" w:rsidRPr="00B15F0F">
              <w:rPr>
                <w:rFonts w:asciiTheme="minorHAnsi" w:hAnsiTheme="minorHAnsi" w:cstheme="minorHAnsi"/>
                <w:iCs/>
                <w:sz w:val="24"/>
                <w:szCs w:val="24"/>
              </w:rPr>
              <w:t>address and</w:t>
            </w:r>
            <w:r w:rsidRPr="00B15F0F">
              <w:rPr>
                <w:rFonts w:asciiTheme="minorHAnsi" w:hAnsiTheme="minorHAnsi" w:cstheme="minorHAnsi"/>
                <w:iCs/>
                <w:sz w:val="24"/>
                <w:szCs w:val="24"/>
              </w:rPr>
              <w:t xml:space="preserve"> signed </w:t>
            </w:r>
            <w:r w:rsidR="000B4D61">
              <w:rPr>
                <w:rFonts w:asciiTheme="minorHAnsi" w:hAnsiTheme="minorHAnsi" w:cstheme="minorHAnsi"/>
                <w:iCs/>
                <w:sz w:val="24"/>
                <w:szCs w:val="24"/>
              </w:rPr>
              <w:t xml:space="preserve">the </w:t>
            </w:r>
            <w:r w:rsidRPr="00B15F0F">
              <w:rPr>
                <w:rFonts w:asciiTheme="minorHAnsi" w:hAnsiTheme="minorHAnsi" w:cstheme="minorHAnsi"/>
                <w:iCs/>
                <w:sz w:val="24"/>
                <w:szCs w:val="24"/>
              </w:rPr>
              <w:t>Section 76 paperwork to consent to 1 remaining in Local Authority foster care on a short term basis whilst assessments were ongoing and whilst she accessed the correct support.</w:t>
            </w:r>
          </w:p>
          <w:p w14:paraId="388297A1" w14:textId="77777777" w:rsidR="00795BF0" w:rsidRDefault="00795BF0" w:rsidP="00B15F0F">
            <w:pPr>
              <w:spacing w:line="360" w:lineRule="auto"/>
              <w:jc w:val="both"/>
              <w:rPr>
                <w:rFonts w:asciiTheme="minorHAnsi" w:hAnsiTheme="minorHAnsi" w:cstheme="minorHAnsi"/>
                <w:iCs/>
                <w:sz w:val="24"/>
                <w:szCs w:val="24"/>
              </w:rPr>
            </w:pPr>
          </w:p>
          <w:p w14:paraId="3E7492C4" w14:textId="61DA442C" w:rsidR="00BE6897" w:rsidRDefault="00795BF0"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The use of Section 76 of the Social Services and Wellbeing (Wales) Act 2014 (SSWBA, 2014) to accommodate children can lead to positive outcomes for children and their families. It can prevent the need to initiate court proceedings and can be very positive when utilised appropriately. It is important to note that the use of Section 76 under the SSWBA (2014) is to work with parents towards positive outcomes, it is not permitted to prevent a person with parental responsibility from removing a child from local authority accommodation. If 2 wanted to refuse to sign, and wanted the child back in their care, then a decision would be made regarding the risks and whether it was felt a court order was necessary in order to protect the child. Working with parents and families collaboratively is an essential part of S76 (</w:t>
            </w:r>
            <w:r w:rsidRPr="00795BF0">
              <w:rPr>
                <w:rFonts w:asciiTheme="minorHAnsi" w:hAnsiTheme="minorHAnsi" w:cstheme="minorHAnsi"/>
                <w:iCs/>
                <w:sz w:val="24"/>
                <w:szCs w:val="24"/>
              </w:rPr>
              <w:t>2021</w:t>
            </w:r>
            <w:r>
              <w:rPr>
                <w:rFonts w:asciiTheme="minorHAnsi" w:hAnsiTheme="minorHAnsi" w:cstheme="minorHAnsi"/>
                <w:iCs/>
                <w:sz w:val="24"/>
                <w:szCs w:val="24"/>
              </w:rPr>
              <w:t xml:space="preserve">). </w:t>
            </w:r>
          </w:p>
          <w:p w14:paraId="77E7514E" w14:textId="77777777" w:rsidR="00EC0155" w:rsidRDefault="00EC0155" w:rsidP="00B15F0F">
            <w:pPr>
              <w:spacing w:line="360" w:lineRule="auto"/>
              <w:jc w:val="both"/>
              <w:rPr>
                <w:rFonts w:asciiTheme="minorHAnsi" w:hAnsiTheme="minorHAnsi" w:cstheme="minorHAnsi"/>
                <w:iCs/>
                <w:sz w:val="24"/>
                <w:szCs w:val="24"/>
              </w:rPr>
            </w:pPr>
          </w:p>
          <w:p w14:paraId="1D40E681" w14:textId="77777777" w:rsidR="001C56A2" w:rsidRDefault="00EC0155"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It was important for me to remember the social work procedures involved in this case including parental consent and the right to withdraw. Since 2 had signed Section 76 paperwork consenting to the child remaining in care, it was important for me to recognise that this consent can be reviewed or withdrawn at any time. If 2 changed her mind and there were concerns about her ability to meet the child’s needs, further decisions may have needed to be made at that stage, including potentially initiating a court application for a care order under Section 31a of the Children Act 1989 (CA, 1989)</w:t>
            </w:r>
            <w:r w:rsidR="001C56A2">
              <w:rPr>
                <w:rFonts w:asciiTheme="minorHAnsi" w:hAnsiTheme="minorHAnsi" w:cstheme="minorHAnsi"/>
                <w:iCs/>
                <w:sz w:val="24"/>
                <w:szCs w:val="24"/>
              </w:rPr>
              <w:t>.</w:t>
            </w:r>
          </w:p>
          <w:p w14:paraId="351C3D58" w14:textId="77777777" w:rsidR="001C56A2" w:rsidRDefault="001C56A2" w:rsidP="00B15F0F">
            <w:pPr>
              <w:spacing w:line="360" w:lineRule="auto"/>
              <w:jc w:val="both"/>
              <w:rPr>
                <w:rFonts w:asciiTheme="minorHAnsi" w:hAnsiTheme="minorHAnsi" w:cstheme="minorHAnsi"/>
                <w:iCs/>
                <w:sz w:val="24"/>
                <w:szCs w:val="24"/>
              </w:rPr>
            </w:pPr>
          </w:p>
          <w:p w14:paraId="78C75BBD" w14:textId="0AD030AD" w:rsidR="00EC0155" w:rsidRDefault="001C56A2"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Multi-agency working in this case was crucial to providing holistic support for both 1 and 2. I had to ensure that I collaborated with health professionals, Police colleagues and substance misuse services. I had to initiate the first of many regular meetings such as a Looked After Children’s review, to </w:t>
            </w:r>
            <w:r w:rsidR="00962A6F">
              <w:rPr>
                <w:rFonts w:asciiTheme="minorHAnsi" w:hAnsiTheme="minorHAnsi" w:cstheme="minorHAnsi"/>
                <w:iCs/>
                <w:sz w:val="24"/>
                <w:szCs w:val="24"/>
              </w:rPr>
              <w:t>monitor</w:t>
            </w:r>
            <w:r>
              <w:rPr>
                <w:rFonts w:asciiTheme="minorHAnsi" w:hAnsiTheme="minorHAnsi" w:cstheme="minorHAnsi"/>
                <w:iCs/>
                <w:sz w:val="24"/>
                <w:szCs w:val="24"/>
              </w:rPr>
              <w:t xml:space="preserve"> the child’s progress and determine the ongoing suitability of the foster care placement. </w:t>
            </w:r>
            <w:r w:rsidR="00D73DE1">
              <w:rPr>
                <w:rFonts w:asciiTheme="minorHAnsi" w:hAnsiTheme="minorHAnsi" w:cstheme="minorHAnsi"/>
                <w:iCs/>
                <w:sz w:val="24"/>
                <w:szCs w:val="24"/>
              </w:rPr>
              <w:t>Looked After Children’s reviews are held under the Care Planning, Placement and Case Review (Wales) Regulations 2015 (CPPCRR, 2015)</w:t>
            </w:r>
            <w:r w:rsidR="00EC0155">
              <w:rPr>
                <w:rFonts w:asciiTheme="minorHAnsi" w:hAnsiTheme="minorHAnsi" w:cstheme="minorHAnsi"/>
                <w:iCs/>
                <w:sz w:val="24"/>
                <w:szCs w:val="24"/>
              </w:rPr>
              <w:t xml:space="preserve"> </w:t>
            </w:r>
            <w:r w:rsidR="00C63F43">
              <w:rPr>
                <w:rFonts w:asciiTheme="minorHAnsi" w:hAnsiTheme="minorHAnsi" w:cstheme="minorHAnsi"/>
                <w:iCs/>
                <w:sz w:val="24"/>
                <w:szCs w:val="24"/>
              </w:rPr>
              <w:t xml:space="preserve">which make provision about care planning for looked after children. </w:t>
            </w:r>
          </w:p>
          <w:p w14:paraId="44BD44E4" w14:textId="77777777" w:rsidR="00205EC3" w:rsidRDefault="00205EC3" w:rsidP="00B15F0F">
            <w:pPr>
              <w:spacing w:line="360" w:lineRule="auto"/>
              <w:jc w:val="both"/>
              <w:rPr>
                <w:rFonts w:asciiTheme="minorHAnsi" w:hAnsiTheme="minorHAnsi" w:cstheme="minorHAnsi"/>
                <w:iCs/>
                <w:sz w:val="24"/>
                <w:szCs w:val="24"/>
              </w:rPr>
            </w:pPr>
          </w:p>
          <w:p w14:paraId="62DE299B" w14:textId="32C72701" w:rsidR="00205EC3" w:rsidRDefault="00205EC3"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The outcome of my assessment and S47 enquiries were that due to 1 being looked after in a foster placement, the risk of significant harm was no longer present</w:t>
            </w:r>
            <w:r w:rsidR="005D7DB2">
              <w:rPr>
                <w:rFonts w:asciiTheme="minorHAnsi" w:hAnsiTheme="minorHAnsi" w:cstheme="minorHAnsi"/>
                <w:iCs/>
                <w:sz w:val="24"/>
                <w:szCs w:val="24"/>
              </w:rPr>
              <w:t xml:space="preserve"> therefore an initial child protection conference was not required</w:t>
            </w:r>
            <w:r>
              <w:rPr>
                <w:rFonts w:asciiTheme="minorHAnsi" w:hAnsiTheme="minorHAnsi" w:cstheme="minorHAnsi"/>
                <w:iCs/>
                <w:sz w:val="24"/>
                <w:szCs w:val="24"/>
              </w:rPr>
              <w:t xml:space="preserve">. However in order to proceed to a Looked After Children’s review, I had to prepare a report outlining the reasons for the meeting and any suggestions for 1’s care plan going forward. I had to share this report in a timely manner as outlined in the Care Planning, Placement and Case Review (Wales) Regulations 2015 (CPPCRR, 2015) and my recommendation was that 2 engages in a substance misuse programme, working with the local authority to reduce the risks and at which point the local authority can potentially rehabilitate 1 home safely. </w:t>
            </w:r>
          </w:p>
          <w:p w14:paraId="087642C0" w14:textId="77777777" w:rsidR="00641125" w:rsidRPr="00B15F0F" w:rsidRDefault="00641125" w:rsidP="00B15F0F">
            <w:pPr>
              <w:spacing w:line="360" w:lineRule="auto"/>
              <w:jc w:val="both"/>
              <w:rPr>
                <w:rFonts w:asciiTheme="minorHAnsi" w:hAnsiTheme="minorHAnsi" w:cstheme="minorHAnsi"/>
                <w:iCs/>
                <w:sz w:val="24"/>
                <w:szCs w:val="24"/>
              </w:rPr>
            </w:pPr>
          </w:p>
          <w:p w14:paraId="42BEEA9A" w14:textId="3F829658" w:rsidR="00BE6897" w:rsidRPr="00B15F0F" w:rsidRDefault="00BE6897"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It is extremely important as a social worker to </w:t>
            </w:r>
            <w:r w:rsidR="00714305" w:rsidRPr="00B15F0F">
              <w:rPr>
                <w:rFonts w:asciiTheme="minorHAnsi" w:hAnsiTheme="minorHAnsi" w:cstheme="minorHAnsi"/>
                <w:iCs/>
                <w:sz w:val="24"/>
                <w:szCs w:val="24"/>
              </w:rPr>
              <w:t xml:space="preserve">know the current legislation when it comes to safeguarding children. I had a role as a children’s social worker to protect that child from future harm and risk, however I had to ensure I was upholding 2’s rights as their parent, as they still had parental responsibility and need to be involved during every step and every decision. Should a parent not give consent for things such as child protection medicals and social services intervention, then this is for </w:t>
            </w:r>
            <w:r w:rsidR="00714305" w:rsidRPr="00B15F0F">
              <w:rPr>
                <w:rFonts w:asciiTheme="minorHAnsi" w:hAnsiTheme="minorHAnsi" w:cstheme="minorHAnsi"/>
                <w:iCs/>
                <w:sz w:val="24"/>
                <w:szCs w:val="24"/>
              </w:rPr>
              <w:lastRenderedPageBreak/>
              <w:t xml:space="preserve">the Local Authority to assess the risk and potentially ask a Judge to make a decision on how best to safeguard the child. This is why it is important to work in partnership with parents and ultimately remember that they are the ones with parental rights and responsibility until a Judge orders otherwise. </w:t>
            </w:r>
          </w:p>
          <w:p w14:paraId="2D041EA7" w14:textId="77777777" w:rsidR="00F735A3" w:rsidRDefault="00F735A3" w:rsidP="00B15F0F">
            <w:pPr>
              <w:spacing w:line="360" w:lineRule="auto"/>
              <w:jc w:val="both"/>
              <w:rPr>
                <w:rFonts w:asciiTheme="minorHAnsi" w:hAnsiTheme="minorHAnsi" w:cstheme="minorHAnsi"/>
                <w:iCs/>
                <w:sz w:val="24"/>
                <w:szCs w:val="24"/>
              </w:rPr>
            </w:pPr>
          </w:p>
          <w:p w14:paraId="53AA5E7D" w14:textId="5C4534C4" w:rsidR="00641125" w:rsidRDefault="00641125"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The Human Rights Act 1998 (HRA 1998) </w:t>
            </w:r>
            <w:r w:rsidR="00F03A33">
              <w:rPr>
                <w:rFonts w:asciiTheme="minorHAnsi" w:hAnsiTheme="minorHAnsi" w:cstheme="minorHAnsi"/>
                <w:iCs/>
                <w:sz w:val="24"/>
                <w:szCs w:val="24"/>
              </w:rPr>
              <w:t>integrates the European Convention on Human Rights (ECHR) into domestic law. In this case, there are key provisions relevant. Article 8 of the Human Rights Act (1998) is ‘the right to family life’. 2 has the right to family life, however this must be balanced against the child’s right to protection and safety. Given that the child was placed into a foster care placement under parental consent, this article guides the balance between respecting 2’s rights and ensuring the child’s welfare.</w:t>
            </w:r>
          </w:p>
          <w:p w14:paraId="178BB305" w14:textId="77777777" w:rsidR="00F03A33" w:rsidRDefault="00F03A33" w:rsidP="00B15F0F">
            <w:pPr>
              <w:spacing w:line="360" w:lineRule="auto"/>
              <w:jc w:val="both"/>
              <w:rPr>
                <w:rFonts w:asciiTheme="minorHAnsi" w:hAnsiTheme="minorHAnsi" w:cstheme="minorHAnsi"/>
                <w:iCs/>
                <w:sz w:val="24"/>
                <w:szCs w:val="24"/>
              </w:rPr>
            </w:pPr>
          </w:p>
          <w:p w14:paraId="1B47FC65" w14:textId="6B616B79" w:rsidR="00F03A33" w:rsidRDefault="00F03A33"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Also important, given that 1 was placed into foster care is Article 3 of the Act. This is the ‘prohibition of Inhuman or degrading treatment’. 1’s safety, health and overall wellbeing must be ensured under this provision. </w:t>
            </w:r>
          </w:p>
          <w:p w14:paraId="2CF8228C" w14:textId="77777777" w:rsidR="00EB3C49" w:rsidRDefault="00EB3C49" w:rsidP="00B15F0F">
            <w:pPr>
              <w:spacing w:line="360" w:lineRule="auto"/>
              <w:jc w:val="both"/>
              <w:rPr>
                <w:rFonts w:asciiTheme="minorHAnsi" w:hAnsiTheme="minorHAnsi" w:cstheme="minorHAnsi"/>
                <w:iCs/>
                <w:sz w:val="24"/>
                <w:szCs w:val="24"/>
              </w:rPr>
            </w:pPr>
          </w:p>
          <w:p w14:paraId="57E7F0F1" w14:textId="37B0863B" w:rsidR="00EB3C49" w:rsidRDefault="00EB3C49"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The United Nations Convention on the Rights of the Child (Unicef, 2024) is fundamental in ensuring that children’s rights are at the centre of decision making. Article 3 ‘best interests of the child’ supports the child’s right to live in a safe and healthy environment free from abuse and neglect. </w:t>
            </w:r>
          </w:p>
          <w:p w14:paraId="2568CDF4" w14:textId="77777777" w:rsidR="00F03A33" w:rsidRPr="00B15F0F" w:rsidRDefault="00F03A33" w:rsidP="00B15F0F">
            <w:pPr>
              <w:spacing w:line="360" w:lineRule="auto"/>
              <w:jc w:val="both"/>
              <w:rPr>
                <w:rFonts w:asciiTheme="minorHAnsi" w:hAnsiTheme="minorHAnsi" w:cstheme="minorHAnsi"/>
                <w:iCs/>
                <w:sz w:val="24"/>
                <w:szCs w:val="24"/>
              </w:rPr>
            </w:pPr>
          </w:p>
          <w:p w14:paraId="5321652A" w14:textId="01B4BA84" w:rsidR="00F735A3" w:rsidRPr="00B15F0F" w:rsidRDefault="00F735A3"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The European Convention of Human Rights</w:t>
            </w:r>
            <w:r w:rsidR="00F03A33">
              <w:rPr>
                <w:rFonts w:asciiTheme="minorHAnsi" w:hAnsiTheme="minorHAnsi" w:cstheme="minorHAnsi"/>
                <w:iCs/>
                <w:sz w:val="24"/>
                <w:szCs w:val="24"/>
              </w:rPr>
              <w:t xml:space="preserve"> (ECHR</w:t>
            </w:r>
            <w:r w:rsidR="00962A6F">
              <w:rPr>
                <w:rFonts w:asciiTheme="minorHAnsi" w:hAnsiTheme="minorHAnsi" w:cstheme="minorHAnsi"/>
                <w:iCs/>
                <w:sz w:val="24"/>
                <w:szCs w:val="24"/>
              </w:rPr>
              <w:t>, n.d.</w:t>
            </w:r>
            <w:r w:rsidR="00F03A33">
              <w:rPr>
                <w:rFonts w:asciiTheme="minorHAnsi" w:hAnsiTheme="minorHAnsi" w:cstheme="minorHAnsi"/>
                <w:iCs/>
                <w:sz w:val="24"/>
                <w:szCs w:val="24"/>
              </w:rPr>
              <w:t xml:space="preserve">) protects the human rights of people in countries that belong to the Council of Europe, Wales being one of those countries. It consists of a number of articles protecting basic human rights. </w:t>
            </w:r>
            <w:r w:rsidR="001D29EB">
              <w:rPr>
                <w:rFonts w:asciiTheme="minorHAnsi" w:hAnsiTheme="minorHAnsi" w:cstheme="minorHAnsi"/>
                <w:iCs/>
                <w:sz w:val="24"/>
                <w:szCs w:val="24"/>
              </w:rPr>
              <w:t>I had to ensure that I respected not only the rights of the child but the rights of the parent in this case which proved to be difficult on times given the competing factors.</w:t>
            </w:r>
          </w:p>
          <w:p w14:paraId="5471D0C3" w14:textId="77777777" w:rsidR="0053487B" w:rsidRPr="00B15F0F" w:rsidRDefault="0053487B" w:rsidP="00B15F0F">
            <w:pPr>
              <w:spacing w:line="360" w:lineRule="auto"/>
              <w:jc w:val="both"/>
              <w:rPr>
                <w:rFonts w:asciiTheme="minorHAnsi" w:hAnsiTheme="minorHAnsi" w:cstheme="minorHAnsi"/>
                <w:iCs/>
                <w:sz w:val="24"/>
                <w:szCs w:val="24"/>
              </w:rPr>
            </w:pPr>
          </w:p>
          <w:p w14:paraId="3E962C56" w14:textId="31167B49" w:rsidR="00957021" w:rsidRPr="00B15F0F" w:rsidRDefault="00957021"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When it comes to critically reflecting on previous practice and previous cases, it is important to consider the ethical dilemmas and social work values</w:t>
            </w:r>
            <w:r w:rsidR="00BD466E" w:rsidRPr="00B15F0F">
              <w:rPr>
                <w:rFonts w:asciiTheme="minorHAnsi" w:hAnsiTheme="minorHAnsi" w:cstheme="minorHAnsi"/>
                <w:iCs/>
                <w:sz w:val="24"/>
                <w:szCs w:val="24"/>
              </w:rPr>
              <w:t xml:space="preserve">. In this case, working with a parent with substance misuse issues and a child exposed to neglect and substance misuse issues presents several </w:t>
            </w:r>
            <w:r w:rsidR="00BD466E" w:rsidRPr="00B15F0F">
              <w:rPr>
                <w:rFonts w:asciiTheme="minorHAnsi" w:hAnsiTheme="minorHAnsi" w:cstheme="minorHAnsi"/>
                <w:iCs/>
                <w:sz w:val="24"/>
                <w:szCs w:val="24"/>
              </w:rPr>
              <w:lastRenderedPageBreak/>
              <w:t xml:space="preserve">ethical dilemmas and requires the application of key social work values. These values guide practice and decision-making, while the ethical dilemmas often stem from the tension between competing interests and professional responsibilities. </w:t>
            </w:r>
          </w:p>
          <w:p w14:paraId="6119E826" w14:textId="77777777" w:rsidR="00BD466E" w:rsidRPr="00B15F0F" w:rsidRDefault="00BD466E" w:rsidP="00B15F0F">
            <w:pPr>
              <w:spacing w:line="360" w:lineRule="auto"/>
              <w:jc w:val="both"/>
              <w:rPr>
                <w:rFonts w:asciiTheme="minorHAnsi" w:hAnsiTheme="minorHAnsi" w:cstheme="minorHAnsi"/>
                <w:iCs/>
                <w:sz w:val="24"/>
                <w:szCs w:val="24"/>
              </w:rPr>
            </w:pPr>
          </w:p>
          <w:p w14:paraId="26F534AF" w14:textId="1505FD8E" w:rsidR="00BD466E" w:rsidRDefault="00BD466E"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Whilst working this case, the key ethical dilemma I felt was balancing the child’s safety with parental autonomy</w:t>
            </w:r>
            <w:r w:rsidR="00B15F0F" w:rsidRPr="00B15F0F">
              <w:rPr>
                <w:rFonts w:asciiTheme="minorHAnsi" w:hAnsiTheme="minorHAnsi" w:cstheme="minorHAnsi"/>
                <w:iCs/>
                <w:sz w:val="24"/>
                <w:szCs w:val="24"/>
              </w:rPr>
              <w:t xml:space="preserve">. I faced the challenge of respecting the mother’s right to make decisions about her life, while ensuring the child’s safety and wellbeing. The decision to escalate to child protection or potentially removing the child from </w:t>
            </w:r>
            <w:r w:rsidR="00B6075D">
              <w:rPr>
                <w:rFonts w:asciiTheme="minorHAnsi" w:hAnsiTheme="minorHAnsi" w:cstheme="minorHAnsi"/>
                <w:iCs/>
                <w:sz w:val="24"/>
                <w:szCs w:val="24"/>
              </w:rPr>
              <w:t>their home can be difficult, particularly if the parent has not explicitly requested help prior to safeguarding concerns coming to the attention of social services.</w:t>
            </w:r>
          </w:p>
          <w:p w14:paraId="33FD7647" w14:textId="77777777" w:rsidR="00B6075D" w:rsidRDefault="00B6075D" w:rsidP="00B15F0F">
            <w:pPr>
              <w:spacing w:line="360" w:lineRule="auto"/>
              <w:jc w:val="both"/>
              <w:rPr>
                <w:rFonts w:asciiTheme="minorHAnsi" w:hAnsiTheme="minorHAnsi" w:cstheme="minorHAnsi"/>
                <w:iCs/>
                <w:sz w:val="24"/>
                <w:szCs w:val="24"/>
              </w:rPr>
            </w:pPr>
          </w:p>
          <w:p w14:paraId="67BD912A" w14:textId="1818ED50" w:rsidR="00B6075D" w:rsidRDefault="00B6075D"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Another dilemma I faced was parental capacity against parental rights. I faced a dilemma whereby I had to assess in a short space of time whether 2’s substance misuse impaired her ability to care for 1. However, even if there is evidence of neglect or risk, parents may argue their right to retain custody, potentially leading to a conflict between the desire to protect the child and respecting parental rights.</w:t>
            </w:r>
          </w:p>
          <w:p w14:paraId="634C7552" w14:textId="77777777" w:rsidR="00A177FD" w:rsidRDefault="00A177FD" w:rsidP="00B15F0F">
            <w:pPr>
              <w:spacing w:line="360" w:lineRule="auto"/>
              <w:jc w:val="both"/>
              <w:rPr>
                <w:rFonts w:asciiTheme="minorHAnsi" w:hAnsiTheme="minorHAnsi" w:cstheme="minorHAnsi"/>
                <w:iCs/>
                <w:sz w:val="24"/>
                <w:szCs w:val="24"/>
              </w:rPr>
            </w:pPr>
          </w:p>
          <w:p w14:paraId="06CDB252" w14:textId="1C3EA625" w:rsidR="00795BF0" w:rsidRDefault="00A177FD"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In line with the Code of Professional Practice (Social Care Wales, 2018), integrity and professionalism </w:t>
            </w:r>
            <w:r w:rsidR="004B4005">
              <w:rPr>
                <w:rFonts w:asciiTheme="minorHAnsi" w:hAnsiTheme="minorHAnsi" w:cstheme="minorHAnsi"/>
                <w:iCs/>
                <w:sz w:val="24"/>
                <w:szCs w:val="24"/>
              </w:rPr>
              <w:t>is imperative in social work practice. Social workers are expected to be honest, trustworthy and accountable. In this case, I had to provide accurate information to 2 about the potential consequences of her substance misuse on 1, and uphold ethical standards in reporting and intervention, even when I faced difficult decisions.</w:t>
            </w:r>
          </w:p>
          <w:p w14:paraId="6E1EE0E7" w14:textId="77777777" w:rsidR="00795BF0" w:rsidRDefault="00795BF0" w:rsidP="00B15F0F">
            <w:pPr>
              <w:spacing w:line="360" w:lineRule="auto"/>
              <w:jc w:val="both"/>
              <w:rPr>
                <w:rFonts w:asciiTheme="minorHAnsi" w:hAnsiTheme="minorHAnsi" w:cstheme="minorHAnsi"/>
                <w:iCs/>
                <w:sz w:val="24"/>
                <w:szCs w:val="24"/>
              </w:rPr>
            </w:pPr>
          </w:p>
          <w:p w14:paraId="6BDA9AC0" w14:textId="64080F18" w:rsidR="00795BF0" w:rsidRDefault="00795BF0"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Navigating the complex ethical dilemmas in cases involving substance misuse, neglect and child welfare requires a careful balance of professional values. In this case I had to protect the child’s safety, respect the parent’s rights and ensure that interventions are both effective and compassionate, all while adhering to the ethical principles and values of the profession. </w:t>
            </w:r>
            <w:r w:rsidR="00962A6F">
              <w:rPr>
                <w:rFonts w:asciiTheme="minorHAnsi" w:hAnsiTheme="minorHAnsi" w:cstheme="minorHAnsi"/>
                <w:iCs/>
                <w:sz w:val="24"/>
                <w:szCs w:val="24"/>
              </w:rPr>
              <w:t>These decisions</w:t>
            </w:r>
            <w:r>
              <w:rPr>
                <w:rFonts w:asciiTheme="minorHAnsi" w:hAnsiTheme="minorHAnsi" w:cstheme="minorHAnsi"/>
                <w:iCs/>
                <w:sz w:val="24"/>
                <w:szCs w:val="24"/>
              </w:rPr>
              <w:t xml:space="preserve"> are not only difficult but often have long-lasting impacts on both the individuals and their families.</w:t>
            </w:r>
          </w:p>
          <w:p w14:paraId="20EF1EA4" w14:textId="77777777" w:rsidR="00386DC7" w:rsidRPr="00B15F0F" w:rsidRDefault="00386DC7" w:rsidP="00B15F0F">
            <w:pPr>
              <w:spacing w:line="360" w:lineRule="auto"/>
              <w:jc w:val="both"/>
              <w:rPr>
                <w:rFonts w:asciiTheme="minorHAnsi" w:hAnsiTheme="minorHAnsi" w:cstheme="minorHAnsi"/>
                <w:sz w:val="24"/>
                <w:szCs w:val="24"/>
              </w:rPr>
            </w:pPr>
          </w:p>
          <w:p w14:paraId="297DAFBC" w14:textId="6F3595C4" w:rsidR="006535CE" w:rsidRPr="00B15F0F" w:rsidRDefault="00F34AA8"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In order to </w:t>
            </w:r>
            <w:r w:rsidR="000F57C3" w:rsidRPr="00B15F0F">
              <w:rPr>
                <w:rFonts w:asciiTheme="minorHAnsi" w:hAnsiTheme="minorHAnsi" w:cstheme="minorHAnsi"/>
                <w:iCs/>
                <w:sz w:val="24"/>
                <w:szCs w:val="24"/>
              </w:rPr>
              <w:t xml:space="preserve">demonstrate an understanding of the interface between social services provision in Wales and the broader frameworks of the United Kingdom, the European Union (EU) and outside the EU </w:t>
            </w:r>
            <w:r w:rsidR="000F57C3" w:rsidRPr="00B15F0F">
              <w:rPr>
                <w:rFonts w:asciiTheme="minorHAnsi" w:hAnsiTheme="minorHAnsi" w:cstheme="minorHAnsi"/>
                <w:iCs/>
                <w:sz w:val="24"/>
                <w:szCs w:val="24"/>
              </w:rPr>
              <w:lastRenderedPageBreak/>
              <w:t>required me to reflect on the key areas where international and national frameworks intersect. This includes understanding how Welsh Social Services are shaped by both local (Welsh) policies and laws, UK-wide legislation, and EU law.</w:t>
            </w:r>
          </w:p>
          <w:p w14:paraId="49E83E91" w14:textId="77777777" w:rsidR="000F57C3" w:rsidRPr="00B15F0F" w:rsidRDefault="000F57C3" w:rsidP="00B15F0F">
            <w:pPr>
              <w:spacing w:line="360" w:lineRule="auto"/>
              <w:jc w:val="both"/>
              <w:rPr>
                <w:rFonts w:asciiTheme="minorHAnsi" w:hAnsiTheme="minorHAnsi" w:cstheme="minorHAnsi"/>
                <w:iCs/>
                <w:sz w:val="24"/>
                <w:szCs w:val="24"/>
              </w:rPr>
            </w:pPr>
          </w:p>
          <w:p w14:paraId="57D28B1B" w14:textId="32D955AC" w:rsidR="000F57C3" w:rsidRPr="00B15F0F" w:rsidRDefault="000F57C3"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The Social Services and Wellbeing (Wales) Act 2014 (SSWBA, 2014) </w:t>
            </w:r>
            <w:r w:rsidR="00ED54C3" w:rsidRPr="00B15F0F">
              <w:rPr>
                <w:rFonts w:asciiTheme="minorHAnsi" w:hAnsiTheme="minorHAnsi" w:cstheme="minorHAnsi"/>
                <w:iCs/>
                <w:sz w:val="24"/>
                <w:szCs w:val="24"/>
              </w:rPr>
              <w:t>is the primary framework that governs social services in Wales. This Act is a devolved piece of legislation, meaning it is specific to Wales and reflects the needs of Welsh citizens. It emphasises multi-agency working across health, social care and other public sectors in Wales, and it provides a framework for multi-agency collaboration. This means that Welsh social workers must navigate local services and frameworks while ensuring they are also aligned with wider UK provisions for example any health services or other public sectors they work with in Wales.</w:t>
            </w:r>
          </w:p>
          <w:p w14:paraId="7DA271B4" w14:textId="77777777" w:rsidR="00087A93" w:rsidRPr="00B15F0F" w:rsidRDefault="00087A93" w:rsidP="00B15F0F">
            <w:pPr>
              <w:spacing w:line="360" w:lineRule="auto"/>
              <w:jc w:val="both"/>
              <w:rPr>
                <w:rFonts w:asciiTheme="minorHAnsi" w:hAnsiTheme="minorHAnsi" w:cstheme="minorHAnsi"/>
                <w:iCs/>
                <w:sz w:val="24"/>
                <w:szCs w:val="24"/>
              </w:rPr>
            </w:pPr>
          </w:p>
          <w:p w14:paraId="46B3DCB1" w14:textId="67BA245C" w:rsidR="00087A93" w:rsidRPr="00B15F0F" w:rsidRDefault="00087A93"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Whilst Wales has devolved authority over many areas, social services provisions in Wales must also align with certain UK-wide legislation and frameworks. For example, the Children Act 1989 (CA 1989), although a UK-wide law, this serves as a key reference for social workers in Wales, especially in child protection cases. </w:t>
            </w:r>
          </w:p>
          <w:p w14:paraId="22CCEA36" w14:textId="77777777" w:rsidR="00087A93" w:rsidRPr="00B15F0F" w:rsidRDefault="00087A93" w:rsidP="00B15F0F">
            <w:pPr>
              <w:spacing w:line="360" w:lineRule="auto"/>
              <w:jc w:val="both"/>
              <w:rPr>
                <w:rFonts w:asciiTheme="minorHAnsi" w:hAnsiTheme="minorHAnsi" w:cstheme="minorHAnsi"/>
                <w:iCs/>
                <w:sz w:val="24"/>
                <w:szCs w:val="24"/>
              </w:rPr>
            </w:pPr>
          </w:p>
          <w:p w14:paraId="3B710BDB" w14:textId="1C6ECFE4" w:rsidR="00087A93" w:rsidRPr="00B15F0F" w:rsidRDefault="00087A93"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The European Convention on Human Rights (ECHR) was incorporated into UK law via the Human Rights Act 1998 (HRA 1998) and protected the rights of individuals, including children, and informed social services practice in relation to factors such as non-discrimination and right to family life.</w:t>
            </w:r>
          </w:p>
          <w:p w14:paraId="065087B2" w14:textId="77777777" w:rsidR="00087A93" w:rsidRPr="00B15F0F" w:rsidRDefault="00087A93" w:rsidP="00B15F0F">
            <w:pPr>
              <w:spacing w:line="360" w:lineRule="auto"/>
              <w:jc w:val="both"/>
              <w:rPr>
                <w:rFonts w:asciiTheme="minorHAnsi" w:hAnsiTheme="minorHAnsi" w:cstheme="minorHAnsi"/>
                <w:iCs/>
                <w:sz w:val="24"/>
                <w:szCs w:val="24"/>
              </w:rPr>
            </w:pPr>
          </w:p>
          <w:p w14:paraId="746DBFC3" w14:textId="22BE9269" w:rsidR="00087A93" w:rsidRPr="00B15F0F" w:rsidRDefault="00E45791"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With regard to the interface outside of the EU, post Brexit, Wales is still bound by key international treaties and conventions that affect social services provision including, The United Nations Convention on the Rights of the Child and immigration laws. Welsh social workers must be aware of immigration laws and their impact on the provision of services. For example, refugees or asylum seekers in Wales may require social services and it is essential Welsh social workers understand the immigration system so that individuals receive appropriate care and protection.</w:t>
            </w:r>
          </w:p>
          <w:p w14:paraId="152111A4" w14:textId="77777777" w:rsidR="00E45791" w:rsidRPr="00B15F0F" w:rsidRDefault="00E45791" w:rsidP="00B15F0F">
            <w:pPr>
              <w:spacing w:line="360" w:lineRule="auto"/>
              <w:jc w:val="both"/>
              <w:rPr>
                <w:rFonts w:asciiTheme="minorHAnsi" w:hAnsiTheme="minorHAnsi" w:cstheme="minorHAnsi"/>
                <w:iCs/>
                <w:sz w:val="24"/>
                <w:szCs w:val="24"/>
              </w:rPr>
            </w:pPr>
          </w:p>
          <w:p w14:paraId="3395217F" w14:textId="33A3E557" w:rsidR="00E45791" w:rsidRPr="00B15F0F" w:rsidRDefault="00E45791"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lastRenderedPageBreak/>
              <w:t>Welsh social workers must navigate these intersections when working with diverse families, for example EU nationals and refugees and when reflecting on this case study, it is important to understand how the Social Services and Wellbeing (Wales) Act 2014 (SSWBA, 2014) fits within the broader UK and international legal frameworks.</w:t>
            </w:r>
          </w:p>
          <w:p w14:paraId="5DF6F02E" w14:textId="77777777" w:rsidR="008D0DB0" w:rsidRPr="00B15F0F" w:rsidRDefault="008D0DB0" w:rsidP="00B15F0F">
            <w:pPr>
              <w:spacing w:line="360" w:lineRule="auto"/>
              <w:jc w:val="both"/>
              <w:rPr>
                <w:rFonts w:asciiTheme="minorHAnsi" w:hAnsiTheme="minorHAnsi" w:cstheme="minorHAnsi"/>
                <w:iCs/>
                <w:sz w:val="24"/>
                <w:szCs w:val="24"/>
              </w:rPr>
            </w:pPr>
          </w:p>
          <w:p w14:paraId="0906E132" w14:textId="7C3CAFC9" w:rsidR="008D0DB0" w:rsidRPr="00B15F0F" w:rsidRDefault="008D0DB0"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The Welsh Language standards and the “More than just words” framework is imperative when working with individuals accessing services from the local authority. </w:t>
            </w:r>
            <w:r w:rsidR="009B710C">
              <w:rPr>
                <w:rFonts w:asciiTheme="minorHAnsi" w:hAnsiTheme="minorHAnsi" w:cstheme="minorHAnsi"/>
                <w:iCs/>
                <w:sz w:val="24"/>
                <w:szCs w:val="24"/>
              </w:rPr>
              <w:t xml:space="preserve">The Welsh Language Standards are part of the legal framework introduced by the Welsh Language (Wales) Measure 2011 (WLM, 2011) which require social workers to provide services in Welsh and ensure Welsh speakers can communicate in their preferred language. If 2 spoke Welsh, they had the right to access social services, including substance misuse support and child protection services in Welsh. I would be obligated to offer support in Welsh if the offer was accepted. This would mean all written correspondence would need to be provided in Welsh also. </w:t>
            </w:r>
          </w:p>
          <w:p w14:paraId="308FDB41" w14:textId="77777777" w:rsidR="004E565B" w:rsidRPr="00B15F0F" w:rsidRDefault="004E565B" w:rsidP="00B15F0F">
            <w:pPr>
              <w:spacing w:line="360" w:lineRule="auto"/>
              <w:jc w:val="both"/>
              <w:rPr>
                <w:rFonts w:asciiTheme="minorHAnsi" w:hAnsiTheme="minorHAnsi" w:cstheme="minorHAnsi"/>
                <w:iCs/>
                <w:sz w:val="24"/>
                <w:szCs w:val="24"/>
              </w:rPr>
            </w:pPr>
          </w:p>
          <w:p w14:paraId="0403887C" w14:textId="4A1C62B4" w:rsidR="004E565B" w:rsidRPr="00B15F0F" w:rsidRDefault="004E565B"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An important safeguarding board specific to Wales is the National Independent Safeguarding Board Wales (2017). This was set up under the Social Services and Wellbeing (Wales) Act 2014 (SSWBA, 2014)</w:t>
            </w:r>
            <w:r w:rsidR="002E63AF" w:rsidRPr="00B15F0F">
              <w:rPr>
                <w:rFonts w:asciiTheme="minorHAnsi" w:hAnsiTheme="minorHAnsi" w:cstheme="minorHAnsi"/>
                <w:iCs/>
                <w:sz w:val="24"/>
                <w:szCs w:val="24"/>
              </w:rPr>
              <w:t xml:space="preserve"> and this independent board help the safeguarding boards in Wales to work well, they report on how well they protect individuals from abuse and feed back to the Welsh Government how the work of the safeguarding boards could improve. </w:t>
            </w:r>
          </w:p>
          <w:p w14:paraId="274B2209" w14:textId="77777777" w:rsidR="002E63AF" w:rsidRPr="00B15F0F" w:rsidRDefault="002E63AF" w:rsidP="00B15F0F">
            <w:pPr>
              <w:spacing w:line="360" w:lineRule="auto"/>
              <w:jc w:val="both"/>
              <w:rPr>
                <w:rFonts w:asciiTheme="minorHAnsi" w:hAnsiTheme="minorHAnsi" w:cstheme="minorHAnsi"/>
                <w:iCs/>
                <w:sz w:val="24"/>
                <w:szCs w:val="24"/>
              </w:rPr>
            </w:pPr>
          </w:p>
          <w:p w14:paraId="3723280A" w14:textId="0FE72B31" w:rsidR="002E63AF" w:rsidRDefault="002E63AF"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On reflection during this case study, I should have referred to this board and better understood the key messages in relation to safeguarding in Wales. Although legislation and process </w:t>
            </w:r>
            <w:r w:rsidR="00962A6F" w:rsidRPr="00B15F0F">
              <w:rPr>
                <w:rFonts w:asciiTheme="minorHAnsi" w:hAnsiTheme="minorHAnsi" w:cstheme="minorHAnsi"/>
                <w:iCs/>
                <w:sz w:val="24"/>
                <w:szCs w:val="24"/>
              </w:rPr>
              <w:t>underpin</w:t>
            </w:r>
            <w:r w:rsidRPr="00B15F0F">
              <w:rPr>
                <w:rFonts w:asciiTheme="minorHAnsi" w:hAnsiTheme="minorHAnsi" w:cstheme="minorHAnsi"/>
                <w:iCs/>
                <w:sz w:val="24"/>
                <w:szCs w:val="24"/>
              </w:rPr>
              <w:t xml:space="preserve"> my work, I could have referred to the more specific guidance for Wales during my work with this family to inform my practice better.</w:t>
            </w:r>
          </w:p>
          <w:p w14:paraId="6F5299DB" w14:textId="77777777" w:rsidR="00924E4E" w:rsidRDefault="00924E4E" w:rsidP="00B15F0F">
            <w:pPr>
              <w:spacing w:line="360" w:lineRule="auto"/>
              <w:jc w:val="both"/>
              <w:rPr>
                <w:rFonts w:asciiTheme="minorHAnsi" w:hAnsiTheme="minorHAnsi" w:cstheme="minorHAnsi"/>
                <w:iCs/>
                <w:sz w:val="24"/>
                <w:szCs w:val="24"/>
              </w:rPr>
            </w:pPr>
          </w:p>
          <w:p w14:paraId="5048484F" w14:textId="3D2480A8" w:rsidR="00924E4E" w:rsidRDefault="00924E4E"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The social work values that are relevant to this case include self-determination. Social workers respect the rights of individuals to make their own decisions. In this case, 2’s autonomy to choose treatment and recovery plans should be honoured. Encouraging 2’s active participation in her recovery plan and ensuring she understood the consequences of her actions is critical.</w:t>
            </w:r>
          </w:p>
          <w:p w14:paraId="5C222972" w14:textId="259CE14B" w:rsidR="00D3203C" w:rsidRPr="00B15F0F" w:rsidRDefault="00D3203C" w:rsidP="00B15F0F">
            <w:pPr>
              <w:spacing w:line="360" w:lineRule="auto"/>
              <w:jc w:val="both"/>
              <w:rPr>
                <w:rFonts w:asciiTheme="minorHAnsi" w:hAnsiTheme="minorHAnsi" w:cstheme="minorHAnsi"/>
                <w:i/>
                <w:sz w:val="24"/>
                <w:szCs w:val="24"/>
              </w:rPr>
            </w:pPr>
          </w:p>
          <w:p w14:paraId="217E2F02" w14:textId="7AEDCE5D" w:rsidR="008D0DB0" w:rsidRPr="00B15F0F" w:rsidRDefault="00715A81"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I have reflected on the social work theories that were relevant to this case study. Attachment theory</w:t>
            </w:r>
            <w:r w:rsidR="006E4CE0">
              <w:rPr>
                <w:rFonts w:asciiTheme="minorHAnsi" w:hAnsiTheme="minorHAnsi" w:cstheme="minorHAnsi"/>
                <w:iCs/>
                <w:sz w:val="24"/>
                <w:szCs w:val="24"/>
              </w:rPr>
              <w:t xml:space="preserve"> (Bowlby, 1969)</w:t>
            </w:r>
            <w:r w:rsidRPr="00B15F0F">
              <w:rPr>
                <w:rFonts w:asciiTheme="minorHAnsi" w:hAnsiTheme="minorHAnsi" w:cstheme="minorHAnsi"/>
                <w:iCs/>
                <w:sz w:val="24"/>
                <w:szCs w:val="24"/>
              </w:rPr>
              <w:t xml:space="preserve"> focuses on the bond between the child and their primary caregiver, which is crucial for emotional and psychological development. In this case, 2’s substance misuse was impacting on her ability to provide consistent care and attachment theory helps understand how the child might develop insecure attachment patterns, leading to potential issues with trust, emotional regulation and relationship building in the future.</w:t>
            </w:r>
          </w:p>
          <w:p w14:paraId="44FA77EE" w14:textId="77777777" w:rsidR="00715A81" w:rsidRPr="00B15F0F" w:rsidRDefault="00715A81" w:rsidP="00B15F0F">
            <w:pPr>
              <w:spacing w:line="360" w:lineRule="auto"/>
              <w:jc w:val="both"/>
              <w:rPr>
                <w:rFonts w:asciiTheme="minorHAnsi" w:hAnsiTheme="minorHAnsi" w:cstheme="minorHAnsi"/>
                <w:iCs/>
                <w:sz w:val="24"/>
                <w:szCs w:val="24"/>
              </w:rPr>
            </w:pPr>
          </w:p>
          <w:p w14:paraId="0AD59E85" w14:textId="51A31E05" w:rsidR="00715A81" w:rsidRPr="00B15F0F" w:rsidRDefault="00715A81"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I have reflected on how 1’s emotional needs were potentially not being met and the long-term impacts of disrupted attachment. </w:t>
            </w:r>
          </w:p>
          <w:p w14:paraId="1D4C37CC" w14:textId="77777777" w:rsidR="00933099" w:rsidRPr="00B15F0F" w:rsidRDefault="00933099" w:rsidP="00B15F0F">
            <w:pPr>
              <w:spacing w:line="360" w:lineRule="auto"/>
              <w:jc w:val="both"/>
              <w:rPr>
                <w:rFonts w:asciiTheme="minorHAnsi" w:hAnsiTheme="minorHAnsi" w:cstheme="minorHAnsi"/>
                <w:iCs/>
                <w:sz w:val="24"/>
                <w:szCs w:val="24"/>
              </w:rPr>
            </w:pPr>
          </w:p>
          <w:p w14:paraId="363AB8C4" w14:textId="609A0DE7" w:rsidR="00933099" w:rsidRPr="00B15F0F" w:rsidRDefault="00933099"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Systems theory</w:t>
            </w:r>
            <w:r w:rsidR="006E4CE0">
              <w:rPr>
                <w:rFonts w:asciiTheme="minorHAnsi" w:hAnsiTheme="minorHAnsi" w:cstheme="minorHAnsi"/>
                <w:iCs/>
                <w:sz w:val="24"/>
                <w:szCs w:val="24"/>
              </w:rPr>
              <w:t xml:space="preserve"> (Bronfenbrenner, 1977)</w:t>
            </w:r>
            <w:r w:rsidRPr="00B15F0F">
              <w:rPr>
                <w:rFonts w:asciiTheme="minorHAnsi" w:hAnsiTheme="minorHAnsi" w:cstheme="minorHAnsi"/>
                <w:iCs/>
                <w:sz w:val="24"/>
                <w:szCs w:val="24"/>
              </w:rPr>
              <w:t xml:space="preserve"> was an important part of this case, as the concerns centred around 2’s substance misuse. Systems theory emphasises that individuals are part of larger systems that affect their behaviour. 2’s substance misuse is likely part of a larger system involving family dynamics, community support and external pressures. </w:t>
            </w:r>
          </w:p>
          <w:p w14:paraId="4D7E8DCF" w14:textId="77777777" w:rsidR="00933099" w:rsidRPr="00B15F0F" w:rsidRDefault="00933099" w:rsidP="00B15F0F">
            <w:pPr>
              <w:spacing w:line="360" w:lineRule="auto"/>
              <w:jc w:val="both"/>
              <w:rPr>
                <w:rFonts w:asciiTheme="minorHAnsi" w:hAnsiTheme="minorHAnsi" w:cstheme="minorHAnsi"/>
                <w:iCs/>
                <w:sz w:val="24"/>
                <w:szCs w:val="24"/>
              </w:rPr>
            </w:pPr>
          </w:p>
          <w:p w14:paraId="78BBB036" w14:textId="3D3B774E" w:rsidR="00933099" w:rsidRPr="00B15F0F" w:rsidRDefault="00933099"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I reflected on how I used systems theory throughout my work with 2. Through looking at previous assessments and in depth discussions with 2, I was able to identify that there was a significant family history of substance misuse, and 2 had been exposed to this themselves as a child. 2 identified that their friendship circle was a problem for them, as all of their friends were users of substances. This meant I could take this into consideration when planning and considering support, as I was able to highlight how difficult it would be for 2 to make these changes and allow time for them to get themselves out of this lifestyle. </w:t>
            </w:r>
          </w:p>
          <w:p w14:paraId="584AA072" w14:textId="77777777" w:rsidR="00933099" w:rsidRPr="00B15F0F" w:rsidRDefault="00933099" w:rsidP="00B15F0F">
            <w:pPr>
              <w:spacing w:line="360" w:lineRule="auto"/>
              <w:jc w:val="both"/>
              <w:rPr>
                <w:rFonts w:asciiTheme="minorHAnsi" w:hAnsiTheme="minorHAnsi" w:cstheme="minorHAnsi"/>
                <w:iCs/>
                <w:sz w:val="24"/>
                <w:szCs w:val="24"/>
              </w:rPr>
            </w:pPr>
          </w:p>
          <w:p w14:paraId="31AF1C35" w14:textId="203DEDA6" w:rsidR="00933099" w:rsidRPr="00B15F0F" w:rsidRDefault="00933099"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Trauma Informed Practice </w:t>
            </w:r>
            <w:r w:rsidR="006E4CE0">
              <w:rPr>
                <w:rFonts w:asciiTheme="minorHAnsi" w:hAnsiTheme="minorHAnsi" w:cstheme="minorHAnsi"/>
                <w:iCs/>
                <w:sz w:val="24"/>
                <w:szCs w:val="24"/>
              </w:rPr>
              <w:t xml:space="preserve">(2022) </w:t>
            </w:r>
            <w:r w:rsidRPr="00B15F0F">
              <w:rPr>
                <w:rFonts w:asciiTheme="minorHAnsi" w:hAnsiTheme="minorHAnsi" w:cstheme="minorHAnsi"/>
                <w:iCs/>
                <w:sz w:val="24"/>
                <w:szCs w:val="24"/>
              </w:rPr>
              <w:t xml:space="preserve">was also a relevant social work theory when working this case. It was extremely important to consider the trauma that 2 had faced throughout their childhood and life, and how this is impacting on their behaviours and coping mechanisms now as an adult. It was clear that 2 had been exposed to neglect and parental alcohol misuse as a child, which would have impacted on how 2 saw the world and how 2 coped with their own emotions and feelings. Trauma Informed </w:t>
            </w:r>
            <w:r w:rsidRPr="00B15F0F">
              <w:rPr>
                <w:rFonts w:asciiTheme="minorHAnsi" w:hAnsiTheme="minorHAnsi" w:cstheme="minorHAnsi"/>
                <w:iCs/>
                <w:sz w:val="24"/>
                <w:szCs w:val="24"/>
              </w:rPr>
              <w:lastRenderedPageBreak/>
              <w:t xml:space="preserve">Practice creates a safe space for healing and support and allowed me to reflect on how this trauma was influencing 2’s current behaviours and parenting. I was able to reflect on what strategies could be used to provide a safe, empathetic approach to their engagement with social services. </w:t>
            </w:r>
          </w:p>
          <w:p w14:paraId="01328A51" w14:textId="77777777" w:rsidR="00933099" w:rsidRPr="00B15F0F" w:rsidRDefault="00933099" w:rsidP="00B15F0F">
            <w:pPr>
              <w:spacing w:line="360" w:lineRule="auto"/>
              <w:jc w:val="both"/>
              <w:rPr>
                <w:rFonts w:asciiTheme="minorHAnsi" w:hAnsiTheme="minorHAnsi" w:cstheme="minorHAnsi"/>
                <w:iCs/>
                <w:sz w:val="24"/>
                <w:szCs w:val="24"/>
              </w:rPr>
            </w:pPr>
          </w:p>
          <w:p w14:paraId="566A6B8B" w14:textId="688E0151" w:rsidR="00933099" w:rsidRPr="00B15F0F" w:rsidRDefault="00933099"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I have reflected on my three learning outcomes including applying analysis in assessment to inform interventions, working collaboratively with people in need of care and support, their carers and other professionals and intervention and application of professional judgement in increasingly complex situations.</w:t>
            </w:r>
          </w:p>
          <w:p w14:paraId="574AC4FC" w14:textId="77777777" w:rsidR="00933099" w:rsidRPr="00B15F0F" w:rsidRDefault="00933099" w:rsidP="00B15F0F">
            <w:pPr>
              <w:spacing w:line="360" w:lineRule="auto"/>
              <w:jc w:val="both"/>
              <w:rPr>
                <w:rFonts w:asciiTheme="minorHAnsi" w:hAnsiTheme="minorHAnsi" w:cstheme="minorHAnsi"/>
                <w:iCs/>
                <w:sz w:val="24"/>
                <w:szCs w:val="24"/>
              </w:rPr>
            </w:pPr>
          </w:p>
          <w:p w14:paraId="6E5F59BD" w14:textId="1B2D3179" w:rsidR="00933099" w:rsidRPr="00B15F0F" w:rsidRDefault="00933099"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When applying analysis in assessment in this case, my role was to assess the risk of harm to the child and the factors contributing to 2’s substance misuse. I gathered information from various sources through assessment sessions with 2, phone calls and emails to professionals such as the Police and the health visitor and observations of family time between 1 and 2 to inform my understanding of the family’s situation. The social work theories I have reflected on so far, allowed me to identify the key areas of concern such as 1’s emotional needs and the environmental stressors 2 faced. I used the information gathered to ensure my assessment was evidence based, considering all potential risks and protective factors, and balancing the rights of the parent with the child’s safety. This allowed me to best inform interventions moving forward.</w:t>
            </w:r>
          </w:p>
          <w:p w14:paraId="35CF4471" w14:textId="77777777" w:rsidR="00183DDA" w:rsidRPr="00B15F0F" w:rsidRDefault="00183DDA" w:rsidP="00B15F0F">
            <w:pPr>
              <w:spacing w:line="360" w:lineRule="auto"/>
              <w:jc w:val="both"/>
              <w:rPr>
                <w:rFonts w:asciiTheme="minorHAnsi" w:hAnsiTheme="minorHAnsi" w:cstheme="minorHAnsi"/>
                <w:iCs/>
                <w:sz w:val="24"/>
                <w:szCs w:val="24"/>
              </w:rPr>
            </w:pPr>
          </w:p>
          <w:p w14:paraId="62E01A25" w14:textId="382E8C4D" w:rsidR="00183DDA" w:rsidRPr="00B15F0F" w:rsidRDefault="00933099" w:rsidP="00B15F0F">
            <w:pPr>
              <w:spacing w:line="360" w:lineRule="auto"/>
              <w:jc w:val="both"/>
              <w:rPr>
                <w:rFonts w:asciiTheme="minorHAnsi" w:hAnsiTheme="minorHAnsi" w:cstheme="minorHAnsi"/>
                <w:sz w:val="24"/>
                <w:szCs w:val="24"/>
              </w:rPr>
            </w:pPr>
            <w:r w:rsidRPr="00B15F0F">
              <w:rPr>
                <w:rFonts w:asciiTheme="minorHAnsi" w:hAnsiTheme="minorHAnsi" w:cstheme="minorHAnsi"/>
                <w:sz w:val="24"/>
                <w:szCs w:val="24"/>
              </w:rPr>
              <w:t xml:space="preserve">I </w:t>
            </w:r>
            <w:r w:rsidR="005741A8" w:rsidRPr="00B15F0F">
              <w:rPr>
                <w:rFonts w:asciiTheme="minorHAnsi" w:hAnsiTheme="minorHAnsi" w:cstheme="minorHAnsi"/>
                <w:sz w:val="24"/>
                <w:szCs w:val="24"/>
              </w:rPr>
              <w:t xml:space="preserve">ensured that I used a strengths-based approach </w:t>
            </w:r>
            <w:r w:rsidR="00EC0155">
              <w:rPr>
                <w:rFonts w:asciiTheme="minorHAnsi" w:hAnsiTheme="minorHAnsi" w:cstheme="minorHAnsi"/>
                <w:sz w:val="24"/>
                <w:szCs w:val="24"/>
              </w:rPr>
              <w:t xml:space="preserve">(2024) </w:t>
            </w:r>
            <w:r w:rsidR="005741A8" w:rsidRPr="00B15F0F">
              <w:rPr>
                <w:rFonts w:asciiTheme="minorHAnsi" w:hAnsiTheme="minorHAnsi" w:cstheme="minorHAnsi"/>
                <w:sz w:val="24"/>
                <w:szCs w:val="24"/>
              </w:rPr>
              <w:t xml:space="preserve">when working with 2, to engage her in the process. I used empathy, acknowledging that this was scary for them as a parent however allowed them to feel heard and understood. I was able to build a rapport and trust with 2, considering their vulnerability and possible resistance to intervention. 2 initially was not honest with me about their substance misuse, however later explained to me that the only reason they did this was because they were so scared of the consequences. I acknowledged this and reassured 2 that despite the complexities of their substance misuse, the local authority want to work with them to address the concerns. </w:t>
            </w:r>
          </w:p>
          <w:p w14:paraId="3C659628" w14:textId="77777777" w:rsidR="005741A8" w:rsidRPr="00B15F0F" w:rsidRDefault="005741A8" w:rsidP="00B15F0F">
            <w:pPr>
              <w:spacing w:line="360" w:lineRule="auto"/>
              <w:jc w:val="both"/>
              <w:rPr>
                <w:rFonts w:asciiTheme="minorHAnsi" w:hAnsiTheme="minorHAnsi" w:cstheme="minorHAnsi"/>
                <w:sz w:val="24"/>
                <w:szCs w:val="24"/>
              </w:rPr>
            </w:pPr>
          </w:p>
          <w:p w14:paraId="12398F8D" w14:textId="5D9BD437" w:rsidR="005741A8" w:rsidRPr="00B15F0F" w:rsidRDefault="005741A8" w:rsidP="00B15F0F">
            <w:pPr>
              <w:spacing w:line="360" w:lineRule="auto"/>
              <w:jc w:val="both"/>
              <w:rPr>
                <w:rFonts w:asciiTheme="minorHAnsi" w:hAnsiTheme="minorHAnsi" w:cstheme="minorHAnsi"/>
                <w:sz w:val="24"/>
                <w:szCs w:val="24"/>
              </w:rPr>
            </w:pPr>
            <w:r w:rsidRPr="00B15F0F">
              <w:rPr>
                <w:rFonts w:asciiTheme="minorHAnsi" w:hAnsiTheme="minorHAnsi" w:cstheme="minorHAnsi"/>
                <w:sz w:val="24"/>
                <w:szCs w:val="24"/>
              </w:rPr>
              <w:lastRenderedPageBreak/>
              <w:t xml:space="preserve">I ensured that I maintained a multi-agency way of working, ensuring that all professionals involved were fully informed of the process and next steps. 1 had to attend a child protection medical, following this the outcome of the medical was shared by myself with the Police and social work managers. </w:t>
            </w:r>
          </w:p>
          <w:p w14:paraId="4D2DD5A8" w14:textId="77777777" w:rsidR="005741A8" w:rsidRPr="00B15F0F" w:rsidRDefault="005741A8" w:rsidP="00B15F0F">
            <w:pPr>
              <w:spacing w:line="360" w:lineRule="auto"/>
              <w:jc w:val="both"/>
              <w:rPr>
                <w:rFonts w:asciiTheme="minorHAnsi" w:hAnsiTheme="minorHAnsi" w:cstheme="minorHAnsi"/>
                <w:sz w:val="24"/>
                <w:szCs w:val="24"/>
              </w:rPr>
            </w:pPr>
          </w:p>
          <w:p w14:paraId="752E5E0E" w14:textId="2F19EC9F" w:rsidR="005741A8" w:rsidRPr="00B15F0F" w:rsidRDefault="005741A8" w:rsidP="00B15F0F">
            <w:pPr>
              <w:spacing w:line="360" w:lineRule="auto"/>
              <w:jc w:val="both"/>
              <w:rPr>
                <w:rFonts w:asciiTheme="minorHAnsi" w:hAnsiTheme="minorHAnsi" w:cstheme="minorHAnsi"/>
                <w:sz w:val="24"/>
                <w:szCs w:val="24"/>
              </w:rPr>
            </w:pPr>
            <w:r w:rsidRPr="00B15F0F">
              <w:rPr>
                <w:rFonts w:asciiTheme="minorHAnsi" w:hAnsiTheme="minorHAnsi" w:cstheme="minorHAnsi"/>
                <w:sz w:val="24"/>
                <w:szCs w:val="24"/>
              </w:rPr>
              <w:t xml:space="preserve">I ensured that throughout the process, I involved 2 in all of the steps, which ensured that she attended every health appointment for 1. This was important, despite the risks and concerns initially, as 2 still had parental responsibility and they had to be given an opportunity to attend all appointments for the child. </w:t>
            </w:r>
          </w:p>
          <w:p w14:paraId="7D2D5720" w14:textId="77777777" w:rsidR="001003DB" w:rsidRPr="00B15F0F" w:rsidRDefault="001003DB" w:rsidP="00B15F0F">
            <w:pPr>
              <w:spacing w:line="360" w:lineRule="auto"/>
              <w:jc w:val="both"/>
              <w:rPr>
                <w:rFonts w:asciiTheme="minorHAnsi" w:hAnsiTheme="minorHAnsi" w:cstheme="minorHAnsi"/>
                <w:iCs/>
                <w:sz w:val="24"/>
                <w:szCs w:val="24"/>
              </w:rPr>
            </w:pPr>
          </w:p>
          <w:p w14:paraId="3C358BD2" w14:textId="69E84A27" w:rsidR="001003DB" w:rsidRPr="00B15F0F" w:rsidRDefault="001003DB"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This case tested my application of professional judgement as this was an increasingly complex situation. I had to balance the risk to the child’s safety, with the need to support 2’s autonomy and potential for recovery. The Police initially took out their powers of protection, however through discussion with my managers it was felt that the local authority needed to intervene and ask 2 to sign the Section 76 paperwork voluntarily signing 1 over to Local Authority foster care whilst assessments were ongoing. </w:t>
            </w:r>
          </w:p>
          <w:p w14:paraId="17010C80" w14:textId="77777777" w:rsidR="001003DB" w:rsidRPr="00B15F0F" w:rsidRDefault="001003DB" w:rsidP="00B15F0F">
            <w:pPr>
              <w:spacing w:line="360" w:lineRule="auto"/>
              <w:jc w:val="both"/>
              <w:rPr>
                <w:rFonts w:asciiTheme="minorHAnsi" w:hAnsiTheme="minorHAnsi" w:cstheme="minorHAnsi"/>
                <w:iCs/>
                <w:sz w:val="24"/>
                <w:szCs w:val="24"/>
              </w:rPr>
            </w:pPr>
          </w:p>
          <w:p w14:paraId="7E2E4B35" w14:textId="4312265B" w:rsidR="001003DB" w:rsidRPr="00B15F0F" w:rsidRDefault="001003DB"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This threw up a lot of ethical dilemmas and challenges in decision making, as there was a dilemma of protecting the child and supporting the family preservation and the child’s right to family life. I had to navigate very difficult situations, whereby 2 did not always show insight into their substance misuse and this meant that they would get frustrated and upset with myself and the process. I had to approach these situations carefully as I was aware of how upsetting this situation was for the parent, whilst at the same time describing the worries and concerns and helping them to understand.</w:t>
            </w:r>
          </w:p>
          <w:p w14:paraId="487C0E25" w14:textId="77777777" w:rsidR="001003DB" w:rsidRPr="00B15F0F" w:rsidRDefault="001003DB" w:rsidP="00B15F0F">
            <w:pPr>
              <w:spacing w:line="360" w:lineRule="auto"/>
              <w:jc w:val="both"/>
              <w:rPr>
                <w:rFonts w:asciiTheme="minorHAnsi" w:hAnsiTheme="minorHAnsi" w:cstheme="minorHAnsi"/>
                <w:iCs/>
                <w:sz w:val="24"/>
                <w:szCs w:val="24"/>
              </w:rPr>
            </w:pPr>
          </w:p>
          <w:p w14:paraId="1D75CB59" w14:textId="087F29B4" w:rsidR="001003DB" w:rsidRPr="00B15F0F" w:rsidRDefault="001003DB"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t xml:space="preserve">This case study has allowed my practice to evolve, my skills in assessment, collaboration and intervention have strengthened as I have worked through the complexities of this case leading to 2 thanking me for </w:t>
            </w:r>
            <w:r w:rsidR="00962A6F" w:rsidRPr="00B15F0F">
              <w:rPr>
                <w:rFonts w:asciiTheme="minorHAnsi" w:hAnsiTheme="minorHAnsi" w:cstheme="minorHAnsi"/>
                <w:iCs/>
                <w:sz w:val="24"/>
                <w:szCs w:val="24"/>
              </w:rPr>
              <w:t>all</w:t>
            </w:r>
            <w:r w:rsidRPr="00B15F0F">
              <w:rPr>
                <w:rFonts w:asciiTheme="minorHAnsi" w:hAnsiTheme="minorHAnsi" w:cstheme="minorHAnsi"/>
                <w:iCs/>
                <w:sz w:val="24"/>
                <w:szCs w:val="24"/>
              </w:rPr>
              <w:t xml:space="preserve"> </w:t>
            </w:r>
            <w:r w:rsidR="00962A6F">
              <w:rPr>
                <w:rFonts w:asciiTheme="minorHAnsi" w:hAnsiTheme="minorHAnsi" w:cstheme="minorHAnsi"/>
                <w:iCs/>
                <w:sz w:val="24"/>
                <w:szCs w:val="24"/>
              </w:rPr>
              <w:t xml:space="preserve">of </w:t>
            </w:r>
            <w:r w:rsidRPr="00B15F0F">
              <w:rPr>
                <w:rFonts w:asciiTheme="minorHAnsi" w:hAnsiTheme="minorHAnsi" w:cstheme="minorHAnsi"/>
                <w:iCs/>
                <w:sz w:val="24"/>
                <w:szCs w:val="24"/>
              </w:rPr>
              <w:t xml:space="preserve">my support and help, despite initiating the difficult processes. </w:t>
            </w:r>
          </w:p>
          <w:p w14:paraId="0DCC6A6F" w14:textId="77777777" w:rsidR="001003DB" w:rsidRPr="00B15F0F" w:rsidRDefault="001003DB" w:rsidP="00B15F0F">
            <w:pPr>
              <w:spacing w:line="360" w:lineRule="auto"/>
              <w:jc w:val="both"/>
              <w:rPr>
                <w:rFonts w:asciiTheme="minorHAnsi" w:hAnsiTheme="minorHAnsi" w:cstheme="minorHAnsi"/>
                <w:iCs/>
                <w:sz w:val="24"/>
                <w:szCs w:val="24"/>
              </w:rPr>
            </w:pPr>
          </w:p>
          <w:p w14:paraId="26B6B3B0" w14:textId="4203A47C" w:rsidR="001003DB" w:rsidRDefault="001003DB" w:rsidP="00B15F0F">
            <w:pPr>
              <w:spacing w:line="360" w:lineRule="auto"/>
              <w:jc w:val="both"/>
              <w:rPr>
                <w:rFonts w:asciiTheme="minorHAnsi" w:hAnsiTheme="minorHAnsi" w:cstheme="minorHAnsi"/>
                <w:iCs/>
                <w:sz w:val="24"/>
                <w:szCs w:val="24"/>
              </w:rPr>
            </w:pPr>
            <w:r w:rsidRPr="00B15F0F">
              <w:rPr>
                <w:rFonts w:asciiTheme="minorHAnsi" w:hAnsiTheme="minorHAnsi" w:cstheme="minorHAnsi"/>
                <w:iCs/>
                <w:sz w:val="24"/>
                <w:szCs w:val="24"/>
              </w:rPr>
              <w:lastRenderedPageBreak/>
              <w:t>I have recognised that I will continue to grow in each of these areas, and I would like to develop on some of my skills including my knowledge of substance misuse treatment options and my understanding of trauma-informed approaches. Following this case, I have strived to attend further training around this called “Working with Trauma Experienced parents” which I am finding extremely beneficial and relating it to my previous practice, identifying where I could improve in the future.</w:t>
            </w:r>
          </w:p>
          <w:p w14:paraId="35A64E7C" w14:textId="77777777" w:rsidR="000966DA" w:rsidRDefault="000966DA" w:rsidP="00B15F0F">
            <w:pPr>
              <w:spacing w:line="360" w:lineRule="auto"/>
              <w:jc w:val="both"/>
              <w:rPr>
                <w:rFonts w:asciiTheme="minorHAnsi" w:hAnsiTheme="minorHAnsi" w:cstheme="minorHAnsi"/>
                <w:iCs/>
                <w:sz w:val="24"/>
                <w:szCs w:val="24"/>
              </w:rPr>
            </w:pPr>
          </w:p>
          <w:p w14:paraId="38FA4B6E" w14:textId="67C629F8" w:rsidR="000966DA" w:rsidRPr="00B15F0F" w:rsidRDefault="000966DA" w:rsidP="00B15F0F">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I hope to continue to develop my practice as I have seen first hand the benefits of multi-agency working, supervision and peer support can have on my confidence and resilience as a social worker and in turn the support I am able to provide families. I have recognised how my confidence has grown not only since qualifying as a social worker but since I have taken on more complex cases. </w:t>
            </w:r>
          </w:p>
          <w:p w14:paraId="01000E97" w14:textId="77777777" w:rsidR="001003DB" w:rsidRDefault="001003DB" w:rsidP="00FF7EBB">
            <w:pPr>
              <w:jc w:val="both"/>
              <w:rPr>
                <w:iCs/>
                <w:sz w:val="24"/>
                <w:szCs w:val="24"/>
              </w:rPr>
            </w:pPr>
          </w:p>
          <w:p w14:paraId="657D945F" w14:textId="4E627A37" w:rsidR="001003DB" w:rsidRPr="000966DA" w:rsidRDefault="001003DB" w:rsidP="000966DA">
            <w:pPr>
              <w:spacing w:line="360" w:lineRule="auto"/>
              <w:jc w:val="both"/>
              <w:rPr>
                <w:rFonts w:asciiTheme="minorHAnsi" w:hAnsiTheme="minorHAnsi" w:cstheme="minorHAnsi"/>
                <w:iCs/>
                <w:sz w:val="24"/>
                <w:szCs w:val="24"/>
              </w:rPr>
            </w:pPr>
          </w:p>
          <w:p w14:paraId="5A5B3B2C" w14:textId="0FA9683B" w:rsidR="001003DB" w:rsidRPr="000966DA" w:rsidRDefault="001003DB" w:rsidP="000966DA">
            <w:pPr>
              <w:spacing w:line="360" w:lineRule="auto"/>
              <w:jc w:val="both"/>
              <w:rPr>
                <w:rFonts w:asciiTheme="minorHAnsi" w:hAnsiTheme="minorHAnsi" w:cstheme="minorHAnsi"/>
                <w:iCs/>
                <w:sz w:val="24"/>
                <w:szCs w:val="24"/>
              </w:rPr>
            </w:pPr>
            <w:r w:rsidRPr="000966DA">
              <w:rPr>
                <w:rFonts w:asciiTheme="minorHAnsi" w:hAnsiTheme="minorHAnsi" w:cstheme="minorHAnsi"/>
                <w:iCs/>
                <w:sz w:val="24"/>
                <w:szCs w:val="24"/>
              </w:rPr>
              <w:t xml:space="preserve">Word Count : </w:t>
            </w:r>
            <w:r w:rsidR="00C63F43" w:rsidRPr="000966DA">
              <w:rPr>
                <w:rFonts w:asciiTheme="minorHAnsi" w:hAnsiTheme="minorHAnsi" w:cstheme="minorHAnsi"/>
                <w:iCs/>
                <w:sz w:val="24"/>
                <w:szCs w:val="24"/>
              </w:rPr>
              <w:t>3</w:t>
            </w:r>
            <w:r w:rsidR="000966DA" w:rsidRPr="000966DA">
              <w:rPr>
                <w:rFonts w:asciiTheme="minorHAnsi" w:hAnsiTheme="minorHAnsi" w:cstheme="minorHAnsi"/>
                <w:iCs/>
                <w:sz w:val="24"/>
                <w:szCs w:val="24"/>
              </w:rPr>
              <w:t>83</w:t>
            </w:r>
            <w:r w:rsidR="00924E4E">
              <w:rPr>
                <w:rFonts w:asciiTheme="minorHAnsi" w:hAnsiTheme="minorHAnsi" w:cstheme="minorHAnsi"/>
                <w:iCs/>
                <w:sz w:val="24"/>
                <w:szCs w:val="24"/>
              </w:rPr>
              <w:t>3</w:t>
            </w: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DEEDA9F" w:rsidR="00A5656A" w:rsidRDefault="00A5656A">
    <w:pPr>
      <w:pStyle w:val="Header"/>
    </w:pPr>
    <w:r>
      <w:t xml:space="preserve">Version </w:t>
    </w:r>
    <w:r w:rsidR="00DC2924">
      <w:t xml:space="preserve">1_Cohort </w:t>
    </w:r>
    <w:r w:rsidR="002848D4">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98391C"/>
    <w:multiLevelType w:val="hybridMultilevel"/>
    <w:tmpl w:val="4AC25FC2"/>
    <w:lvl w:ilvl="0" w:tplc="31E4514E">
      <w:start w:val="1"/>
      <w:numFmt w:val="bullet"/>
      <w:lvlText w:val="•"/>
      <w:lvlJc w:val="left"/>
      <w:pPr>
        <w:tabs>
          <w:tab w:val="num" w:pos="720"/>
        </w:tabs>
        <w:ind w:left="720" w:hanging="360"/>
      </w:pPr>
      <w:rPr>
        <w:rFonts w:ascii="Arial" w:hAnsi="Arial" w:hint="default"/>
      </w:rPr>
    </w:lvl>
    <w:lvl w:ilvl="1" w:tplc="916078D0" w:tentative="1">
      <w:start w:val="1"/>
      <w:numFmt w:val="bullet"/>
      <w:lvlText w:val="•"/>
      <w:lvlJc w:val="left"/>
      <w:pPr>
        <w:tabs>
          <w:tab w:val="num" w:pos="1440"/>
        </w:tabs>
        <w:ind w:left="1440" w:hanging="360"/>
      </w:pPr>
      <w:rPr>
        <w:rFonts w:ascii="Arial" w:hAnsi="Arial" w:hint="default"/>
      </w:rPr>
    </w:lvl>
    <w:lvl w:ilvl="2" w:tplc="5224B756" w:tentative="1">
      <w:start w:val="1"/>
      <w:numFmt w:val="bullet"/>
      <w:lvlText w:val="•"/>
      <w:lvlJc w:val="left"/>
      <w:pPr>
        <w:tabs>
          <w:tab w:val="num" w:pos="2160"/>
        </w:tabs>
        <w:ind w:left="2160" w:hanging="360"/>
      </w:pPr>
      <w:rPr>
        <w:rFonts w:ascii="Arial" w:hAnsi="Arial" w:hint="default"/>
      </w:rPr>
    </w:lvl>
    <w:lvl w:ilvl="3" w:tplc="E07EF150" w:tentative="1">
      <w:start w:val="1"/>
      <w:numFmt w:val="bullet"/>
      <w:lvlText w:val="•"/>
      <w:lvlJc w:val="left"/>
      <w:pPr>
        <w:tabs>
          <w:tab w:val="num" w:pos="2880"/>
        </w:tabs>
        <w:ind w:left="2880" w:hanging="360"/>
      </w:pPr>
      <w:rPr>
        <w:rFonts w:ascii="Arial" w:hAnsi="Arial" w:hint="default"/>
      </w:rPr>
    </w:lvl>
    <w:lvl w:ilvl="4" w:tplc="31AC24C2" w:tentative="1">
      <w:start w:val="1"/>
      <w:numFmt w:val="bullet"/>
      <w:lvlText w:val="•"/>
      <w:lvlJc w:val="left"/>
      <w:pPr>
        <w:tabs>
          <w:tab w:val="num" w:pos="3600"/>
        </w:tabs>
        <w:ind w:left="3600" w:hanging="360"/>
      </w:pPr>
      <w:rPr>
        <w:rFonts w:ascii="Arial" w:hAnsi="Arial" w:hint="default"/>
      </w:rPr>
    </w:lvl>
    <w:lvl w:ilvl="5" w:tplc="AF224C1C" w:tentative="1">
      <w:start w:val="1"/>
      <w:numFmt w:val="bullet"/>
      <w:lvlText w:val="•"/>
      <w:lvlJc w:val="left"/>
      <w:pPr>
        <w:tabs>
          <w:tab w:val="num" w:pos="4320"/>
        </w:tabs>
        <w:ind w:left="4320" w:hanging="360"/>
      </w:pPr>
      <w:rPr>
        <w:rFonts w:ascii="Arial" w:hAnsi="Arial" w:hint="default"/>
      </w:rPr>
    </w:lvl>
    <w:lvl w:ilvl="6" w:tplc="63DC6BF2" w:tentative="1">
      <w:start w:val="1"/>
      <w:numFmt w:val="bullet"/>
      <w:lvlText w:val="•"/>
      <w:lvlJc w:val="left"/>
      <w:pPr>
        <w:tabs>
          <w:tab w:val="num" w:pos="5040"/>
        </w:tabs>
        <w:ind w:left="5040" w:hanging="360"/>
      </w:pPr>
      <w:rPr>
        <w:rFonts w:ascii="Arial" w:hAnsi="Arial" w:hint="default"/>
      </w:rPr>
    </w:lvl>
    <w:lvl w:ilvl="7" w:tplc="996E99C8" w:tentative="1">
      <w:start w:val="1"/>
      <w:numFmt w:val="bullet"/>
      <w:lvlText w:val="•"/>
      <w:lvlJc w:val="left"/>
      <w:pPr>
        <w:tabs>
          <w:tab w:val="num" w:pos="5760"/>
        </w:tabs>
        <w:ind w:left="5760" w:hanging="360"/>
      </w:pPr>
      <w:rPr>
        <w:rFonts w:ascii="Arial" w:hAnsi="Arial" w:hint="default"/>
      </w:rPr>
    </w:lvl>
    <w:lvl w:ilvl="8" w:tplc="13FAA4C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012A70"/>
    <w:multiLevelType w:val="hybridMultilevel"/>
    <w:tmpl w:val="A524D422"/>
    <w:lvl w:ilvl="0" w:tplc="B2086CD4">
      <w:start w:val="1"/>
      <w:numFmt w:val="bullet"/>
      <w:lvlText w:val="•"/>
      <w:lvlJc w:val="left"/>
      <w:pPr>
        <w:tabs>
          <w:tab w:val="num" w:pos="720"/>
        </w:tabs>
        <w:ind w:left="720" w:hanging="360"/>
      </w:pPr>
      <w:rPr>
        <w:rFonts w:ascii="Arial" w:hAnsi="Arial" w:hint="default"/>
      </w:rPr>
    </w:lvl>
    <w:lvl w:ilvl="1" w:tplc="8506B778" w:tentative="1">
      <w:start w:val="1"/>
      <w:numFmt w:val="bullet"/>
      <w:lvlText w:val="•"/>
      <w:lvlJc w:val="left"/>
      <w:pPr>
        <w:tabs>
          <w:tab w:val="num" w:pos="1440"/>
        </w:tabs>
        <w:ind w:left="1440" w:hanging="360"/>
      </w:pPr>
      <w:rPr>
        <w:rFonts w:ascii="Arial" w:hAnsi="Arial" w:hint="default"/>
      </w:rPr>
    </w:lvl>
    <w:lvl w:ilvl="2" w:tplc="11DA542A" w:tentative="1">
      <w:start w:val="1"/>
      <w:numFmt w:val="bullet"/>
      <w:lvlText w:val="•"/>
      <w:lvlJc w:val="left"/>
      <w:pPr>
        <w:tabs>
          <w:tab w:val="num" w:pos="2160"/>
        </w:tabs>
        <w:ind w:left="2160" w:hanging="360"/>
      </w:pPr>
      <w:rPr>
        <w:rFonts w:ascii="Arial" w:hAnsi="Arial" w:hint="default"/>
      </w:rPr>
    </w:lvl>
    <w:lvl w:ilvl="3" w:tplc="33AEECAC" w:tentative="1">
      <w:start w:val="1"/>
      <w:numFmt w:val="bullet"/>
      <w:lvlText w:val="•"/>
      <w:lvlJc w:val="left"/>
      <w:pPr>
        <w:tabs>
          <w:tab w:val="num" w:pos="2880"/>
        </w:tabs>
        <w:ind w:left="2880" w:hanging="360"/>
      </w:pPr>
      <w:rPr>
        <w:rFonts w:ascii="Arial" w:hAnsi="Arial" w:hint="default"/>
      </w:rPr>
    </w:lvl>
    <w:lvl w:ilvl="4" w:tplc="0908D95C" w:tentative="1">
      <w:start w:val="1"/>
      <w:numFmt w:val="bullet"/>
      <w:lvlText w:val="•"/>
      <w:lvlJc w:val="left"/>
      <w:pPr>
        <w:tabs>
          <w:tab w:val="num" w:pos="3600"/>
        </w:tabs>
        <w:ind w:left="3600" w:hanging="360"/>
      </w:pPr>
      <w:rPr>
        <w:rFonts w:ascii="Arial" w:hAnsi="Arial" w:hint="default"/>
      </w:rPr>
    </w:lvl>
    <w:lvl w:ilvl="5" w:tplc="3956F84C" w:tentative="1">
      <w:start w:val="1"/>
      <w:numFmt w:val="bullet"/>
      <w:lvlText w:val="•"/>
      <w:lvlJc w:val="left"/>
      <w:pPr>
        <w:tabs>
          <w:tab w:val="num" w:pos="4320"/>
        </w:tabs>
        <w:ind w:left="4320" w:hanging="360"/>
      </w:pPr>
      <w:rPr>
        <w:rFonts w:ascii="Arial" w:hAnsi="Arial" w:hint="default"/>
      </w:rPr>
    </w:lvl>
    <w:lvl w:ilvl="6" w:tplc="3BD6D65A" w:tentative="1">
      <w:start w:val="1"/>
      <w:numFmt w:val="bullet"/>
      <w:lvlText w:val="•"/>
      <w:lvlJc w:val="left"/>
      <w:pPr>
        <w:tabs>
          <w:tab w:val="num" w:pos="5040"/>
        </w:tabs>
        <w:ind w:left="5040" w:hanging="360"/>
      </w:pPr>
      <w:rPr>
        <w:rFonts w:ascii="Arial" w:hAnsi="Arial" w:hint="default"/>
      </w:rPr>
    </w:lvl>
    <w:lvl w:ilvl="7" w:tplc="DEAE4B82" w:tentative="1">
      <w:start w:val="1"/>
      <w:numFmt w:val="bullet"/>
      <w:lvlText w:val="•"/>
      <w:lvlJc w:val="left"/>
      <w:pPr>
        <w:tabs>
          <w:tab w:val="num" w:pos="5760"/>
        </w:tabs>
        <w:ind w:left="5760" w:hanging="360"/>
      </w:pPr>
      <w:rPr>
        <w:rFonts w:ascii="Arial" w:hAnsi="Arial" w:hint="default"/>
      </w:rPr>
    </w:lvl>
    <w:lvl w:ilvl="8" w:tplc="4022CF7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5"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7"/>
  </w:num>
  <w:num w:numId="4" w16cid:durableId="1850633156">
    <w:abstractNumId w:val="49"/>
  </w:num>
  <w:num w:numId="5" w16cid:durableId="2042589495">
    <w:abstractNumId w:val="36"/>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5"/>
  </w:num>
  <w:num w:numId="11" w16cid:durableId="141846751">
    <w:abstractNumId w:val="17"/>
  </w:num>
  <w:num w:numId="12" w16cid:durableId="1310867263">
    <w:abstractNumId w:val="16"/>
  </w:num>
  <w:num w:numId="13" w16cid:durableId="65736213">
    <w:abstractNumId w:val="29"/>
  </w:num>
  <w:num w:numId="14" w16cid:durableId="825441142">
    <w:abstractNumId w:val="8"/>
  </w:num>
  <w:num w:numId="15" w16cid:durableId="1016493186">
    <w:abstractNumId w:val="28"/>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19"/>
  </w:num>
  <w:num w:numId="21" w16cid:durableId="798959287">
    <w:abstractNumId w:val="14"/>
  </w:num>
  <w:num w:numId="22" w16cid:durableId="352731724">
    <w:abstractNumId w:val="11"/>
  </w:num>
  <w:num w:numId="23" w16cid:durableId="456266206">
    <w:abstractNumId w:val="30"/>
  </w:num>
  <w:num w:numId="24" w16cid:durableId="317615789">
    <w:abstractNumId w:val="20"/>
  </w:num>
  <w:num w:numId="25" w16cid:durableId="856430468">
    <w:abstractNumId w:val="43"/>
  </w:num>
  <w:num w:numId="26" w16cid:durableId="1104690971">
    <w:abstractNumId w:val="37"/>
  </w:num>
  <w:num w:numId="27" w16cid:durableId="1201670287">
    <w:abstractNumId w:val="42"/>
  </w:num>
  <w:num w:numId="28" w16cid:durableId="598562144">
    <w:abstractNumId w:val="21"/>
  </w:num>
  <w:num w:numId="29" w16cid:durableId="871068292">
    <w:abstractNumId w:val="45"/>
  </w:num>
  <w:num w:numId="30" w16cid:durableId="482159744">
    <w:abstractNumId w:val="33"/>
  </w:num>
  <w:num w:numId="31" w16cid:durableId="1565527110">
    <w:abstractNumId w:val="12"/>
  </w:num>
  <w:num w:numId="32" w16cid:durableId="1175995731">
    <w:abstractNumId w:val="46"/>
  </w:num>
  <w:num w:numId="33" w16cid:durableId="694232600">
    <w:abstractNumId w:val="41"/>
  </w:num>
  <w:num w:numId="34" w16cid:durableId="1062095063">
    <w:abstractNumId w:val="5"/>
  </w:num>
  <w:num w:numId="35" w16cid:durableId="2051881075">
    <w:abstractNumId w:val="48"/>
  </w:num>
  <w:num w:numId="36" w16cid:durableId="2107188112">
    <w:abstractNumId w:val="44"/>
  </w:num>
  <w:num w:numId="37" w16cid:durableId="1313413796">
    <w:abstractNumId w:val="38"/>
  </w:num>
  <w:num w:numId="38" w16cid:durableId="1682197957">
    <w:abstractNumId w:val="39"/>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0"/>
  </w:num>
  <w:num w:numId="45" w16cid:durableId="891695978">
    <w:abstractNumId w:val="0"/>
  </w:num>
  <w:num w:numId="46" w16cid:durableId="827289017">
    <w:abstractNumId w:val="14"/>
  </w:num>
  <w:num w:numId="47" w16cid:durableId="167212813">
    <w:abstractNumId w:val="50"/>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30"/>
  </w:num>
  <w:num w:numId="51" w16cid:durableId="536360681">
    <w:abstractNumId w:val="26"/>
  </w:num>
  <w:num w:numId="52" w16cid:durableId="1666274935">
    <w:abstractNumId w:val="22"/>
  </w:num>
  <w:num w:numId="53" w16cid:durableId="435172075">
    <w:abstractNumId w:val="2"/>
  </w:num>
  <w:num w:numId="54" w16cid:durableId="1131174565">
    <w:abstractNumId w:val="23"/>
  </w:num>
  <w:num w:numId="55" w16cid:durableId="508570400">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49BA"/>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7A93"/>
    <w:rsid w:val="00090160"/>
    <w:rsid w:val="00091F52"/>
    <w:rsid w:val="00092970"/>
    <w:rsid w:val="00093720"/>
    <w:rsid w:val="000938E6"/>
    <w:rsid w:val="00093B3C"/>
    <w:rsid w:val="0009488C"/>
    <w:rsid w:val="00095C1B"/>
    <w:rsid w:val="000966DA"/>
    <w:rsid w:val="00096DEA"/>
    <w:rsid w:val="000A3A25"/>
    <w:rsid w:val="000A4240"/>
    <w:rsid w:val="000A469A"/>
    <w:rsid w:val="000A584A"/>
    <w:rsid w:val="000A6458"/>
    <w:rsid w:val="000B4D61"/>
    <w:rsid w:val="000C378F"/>
    <w:rsid w:val="000C6892"/>
    <w:rsid w:val="000C6FFE"/>
    <w:rsid w:val="000C7105"/>
    <w:rsid w:val="000D0BB6"/>
    <w:rsid w:val="000D2ED2"/>
    <w:rsid w:val="000D3096"/>
    <w:rsid w:val="000D6653"/>
    <w:rsid w:val="000E0D51"/>
    <w:rsid w:val="000E26B0"/>
    <w:rsid w:val="000E37C2"/>
    <w:rsid w:val="000E38C3"/>
    <w:rsid w:val="000F1599"/>
    <w:rsid w:val="000F1769"/>
    <w:rsid w:val="000F1A97"/>
    <w:rsid w:val="000F42AE"/>
    <w:rsid w:val="000F57C3"/>
    <w:rsid w:val="000F6196"/>
    <w:rsid w:val="000F6BC3"/>
    <w:rsid w:val="001003DB"/>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3DDA"/>
    <w:rsid w:val="0019496C"/>
    <w:rsid w:val="001961CF"/>
    <w:rsid w:val="001A312D"/>
    <w:rsid w:val="001A55D5"/>
    <w:rsid w:val="001A59BB"/>
    <w:rsid w:val="001A607E"/>
    <w:rsid w:val="001A6A51"/>
    <w:rsid w:val="001A79C4"/>
    <w:rsid w:val="001B331A"/>
    <w:rsid w:val="001C0237"/>
    <w:rsid w:val="001C0E74"/>
    <w:rsid w:val="001C4DB8"/>
    <w:rsid w:val="001C50B8"/>
    <w:rsid w:val="001C56A2"/>
    <w:rsid w:val="001D229F"/>
    <w:rsid w:val="001D29EB"/>
    <w:rsid w:val="001E2EB6"/>
    <w:rsid w:val="001F4552"/>
    <w:rsid w:val="002019EB"/>
    <w:rsid w:val="00204B58"/>
    <w:rsid w:val="00205051"/>
    <w:rsid w:val="00205EC3"/>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434"/>
    <w:rsid w:val="002657E9"/>
    <w:rsid w:val="0026665E"/>
    <w:rsid w:val="0027147E"/>
    <w:rsid w:val="002761F4"/>
    <w:rsid w:val="002775E1"/>
    <w:rsid w:val="00277979"/>
    <w:rsid w:val="002848D4"/>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3AF"/>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73C"/>
    <w:rsid w:val="00373A36"/>
    <w:rsid w:val="0037419E"/>
    <w:rsid w:val="00375AF5"/>
    <w:rsid w:val="003761BD"/>
    <w:rsid w:val="00377448"/>
    <w:rsid w:val="00377884"/>
    <w:rsid w:val="003826BD"/>
    <w:rsid w:val="0038348A"/>
    <w:rsid w:val="00385414"/>
    <w:rsid w:val="00386DC7"/>
    <w:rsid w:val="00390074"/>
    <w:rsid w:val="00392F73"/>
    <w:rsid w:val="00393600"/>
    <w:rsid w:val="0039762B"/>
    <w:rsid w:val="003A0C37"/>
    <w:rsid w:val="003A1B6B"/>
    <w:rsid w:val="003A46C0"/>
    <w:rsid w:val="003A600E"/>
    <w:rsid w:val="003A6513"/>
    <w:rsid w:val="003B16C7"/>
    <w:rsid w:val="003B29BC"/>
    <w:rsid w:val="003B3115"/>
    <w:rsid w:val="003B5847"/>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1DC3"/>
    <w:rsid w:val="004B4005"/>
    <w:rsid w:val="004B425F"/>
    <w:rsid w:val="004B5553"/>
    <w:rsid w:val="004B5866"/>
    <w:rsid w:val="004B600B"/>
    <w:rsid w:val="004B6822"/>
    <w:rsid w:val="004B69F6"/>
    <w:rsid w:val="004C2D3A"/>
    <w:rsid w:val="004D03C4"/>
    <w:rsid w:val="004D0BF1"/>
    <w:rsid w:val="004D0F4E"/>
    <w:rsid w:val="004D3278"/>
    <w:rsid w:val="004D35A4"/>
    <w:rsid w:val="004D445F"/>
    <w:rsid w:val="004E087B"/>
    <w:rsid w:val="004E44A4"/>
    <w:rsid w:val="004E565B"/>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7F99"/>
    <w:rsid w:val="00521123"/>
    <w:rsid w:val="00521221"/>
    <w:rsid w:val="0052250B"/>
    <w:rsid w:val="00522768"/>
    <w:rsid w:val="005305C6"/>
    <w:rsid w:val="0053487B"/>
    <w:rsid w:val="00540EEC"/>
    <w:rsid w:val="005414F4"/>
    <w:rsid w:val="0054489B"/>
    <w:rsid w:val="00546187"/>
    <w:rsid w:val="00547B11"/>
    <w:rsid w:val="00557D77"/>
    <w:rsid w:val="00562EAA"/>
    <w:rsid w:val="00563B58"/>
    <w:rsid w:val="005640C4"/>
    <w:rsid w:val="0056684C"/>
    <w:rsid w:val="0057046A"/>
    <w:rsid w:val="005741A8"/>
    <w:rsid w:val="00574A0C"/>
    <w:rsid w:val="0057780F"/>
    <w:rsid w:val="00581E0A"/>
    <w:rsid w:val="00586D89"/>
    <w:rsid w:val="005877C8"/>
    <w:rsid w:val="00587923"/>
    <w:rsid w:val="00594F9F"/>
    <w:rsid w:val="005A1B4C"/>
    <w:rsid w:val="005A545C"/>
    <w:rsid w:val="005B271A"/>
    <w:rsid w:val="005B3A2D"/>
    <w:rsid w:val="005C1567"/>
    <w:rsid w:val="005C28D3"/>
    <w:rsid w:val="005C5FDB"/>
    <w:rsid w:val="005C6CE5"/>
    <w:rsid w:val="005D3F07"/>
    <w:rsid w:val="005D4A1E"/>
    <w:rsid w:val="005D4F72"/>
    <w:rsid w:val="005D7DB2"/>
    <w:rsid w:val="005E13EA"/>
    <w:rsid w:val="005E17F1"/>
    <w:rsid w:val="005E3B47"/>
    <w:rsid w:val="005F64AA"/>
    <w:rsid w:val="005F7851"/>
    <w:rsid w:val="00606E27"/>
    <w:rsid w:val="006108C9"/>
    <w:rsid w:val="00614DF7"/>
    <w:rsid w:val="006179BB"/>
    <w:rsid w:val="0062158D"/>
    <w:rsid w:val="006223FD"/>
    <w:rsid w:val="006326D1"/>
    <w:rsid w:val="00632E0A"/>
    <w:rsid w:val="00633165"/>
    <w:rsid w:val="00641125"/>
    <w:rsid w:val="006447DE"/>
    <w:rsid w:val="00644889"/>
    <w:rsid w:val="0065276E"/>
    <w:rsid w:val="006535C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081F"/>
    <w:rsid w:val="0069625A"/>
    <w:rsid w:val="00696A88"/>
    <w:rsid w:val="00696F65"/>
    <w:rsid w:val="00697572"/>
    <w:rsid w:val="006A08AF"/>
    <w:rsid w:val="006B1A9D"/>
    <w:rsid w:val="006B4496"/>
    <w:rsid w:val="006B5E67"/>
    <w:rsid w:val="006B6612"/>
    <w:rsid w:val="006C2EB5"/>
    <w:rsid w:val="006D18A3"/>
    <w:rsid w:val="006D5970"/>
    <w:rsid w:val="006E0F4D"/>
    <w:rsid w:val="006E481E"/>
    <w:rsid w:val="006E4CE0"/>
    <w:rsid w:val="006E7764"/>
    <w:rsid w:val="006E795F"/>
    <w:rsid w:val="006F0862"/>
    <w:rsid w:val="006F1438"/>
    <w:rsid w:val="006F2A9E"/>
    <w:rsid w:val="006F5ED3"/>
    <w:rsid w:val="00700249"/>
    <w:rsid w:val="007069CD"/>
    <w:rsid w:val="00706BB5"/>
    <w:rsid w:val="0071231A"/>
    <w:rsid w:val="00712E90"/>
    <w:rsid w:val="00713B7E"/>
    <w:rsid w:val="00714305"/>
    <w:rsid w:val="00715A81"/>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64D"/>
    <w:rsid w:val="00763B2D"/>
    <w:rsid w:val="00764C84"/>
    <w:rsid w:val="007710AD"/>
    <w:rsid w:val="00772924"/>
    <w:rsid w:val="0078112D"/>
    <w:rsid w:val="00786DD4"/>
    <w:rsid w:val="007872F2"/>
    <w:rsid w:val="007873F9"/>
    <w:rsid w:val="007908E0"/>
    <w:rsid w:val="00793EB3"/>
    <w:rsid w:val="00794205"/>
    <w:rsid w:val="0079422A"/>
    <w:rsid w:val="00795BF0"/>
    <w:rsid w:val="007A1F6A"/>
    <w:rsid w:val="007A2DA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704F"/>
    <w:rsid w:val="008B07DE"/>
    <w:rsid w:val="008B1309"/>
    <w:rsid w:val="008B28E7"/>
    <w:rsid w:val="008B67F6"/>
    <w:rsid w:val="008C14C7"/>
    <w:rsid w:val="008C2FFB"/>
    <w:rsid w:val="008C633F"/>
    <w:rsid w:val="008C6EEA"/>
    <w:rsid w:val="008C7770"/>
    <w:rsid w:val="008C79C7"/>
    <w:rsid w:val="008D03B0"/>
    <w:rsid w:val="008D0D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4E4E"/>
    <w:rsid w:val="00926436"/>
    <w:rsid w:val="00926C53"/>
    <w:rsid w:val="0093018C"/>
    <w:rsid w:val="00933099"/>
    <w:rsid w:val="0094495F"/>
    <w:rsid w:val="009544C0"/>
    <w:rsid w:val="00954FA4"/>
    <w:rsid w:val="00956AE9"/>
    <w:rsid w:val="00957021"/>
    <w:rsid w:val="00962A6F"/>
    <w:rsid w:val="00964CC6"/>
    <w:rsid w:val="00967BFA"/>
    <w:rsid w:val="0098262C"/>
    <w:rsid w:val="0098427C"/>
    <w:rsid w:val="00986AB3"/>
    <w:rsid w:val="00986B43"/>
    <w:rsid w:val="00986C0B"/>
    <w:rsid w:val="00986D46"/>
    <w:rsid w:val="00991F8D"/>
    <w:rsid w:val="00991FDA"/>
    <w:rsid w:val="00992ACA"/>
    <w:rsid w:val="009A5F3B"/>
    <w:rsid w:val="009A5F79"/>
    <w:rsid w:val="009A6F87"/>
    <w:rsid w:val="009B0B61"/>
    <w:rsid w:val="009B28C0"/>
    <w:rsid w:val="009B3178"/>
    <w:rsid w:val="009B3E46"/>
    <w:rsid w:val="009B5A4E"/>
    <w:rsid w:val="009B710C"/>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177FD"/>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65A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569"/>
    <w:rsid w:val="00B07E79"/>
    <w:rsid w:val="00B12295"/>
    <w:rsid w:val="00B137BE"/>
    <w:rsid w:val="00B15998"/>
    <w:rsid w:val="00B15F0F"/>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075D"/>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466E"/>
    <w:rsid w:val="00BE0F7B"/>
    <w:rsid w:val="00BE10C2"/>
    <w:rsid w:val="00BE6897"/>
    <w:rsid w:val="00BF0569"/>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3F43"/>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62A9"/>
    <w:rsid w:val="00D07026"/>
    <w:rsid w:val="00D146AE"/>
    <w:rsid w:val="00D21843"/>
    <w:rsid w:val="00D22C8F"/>
    <w:rsid w:val="00D239AD"/>
    <w:rsid w:val="00D3203C"/>
    <w:rsid w:val="00D33491"/>
    <w:rsid w:val="00D3442D"/>
    <w:rsid w:val="00D36F00"/>
    <w:rsid w:val="00D378E8"/>
    <w:rsid w:val="00D44B67"/>
    <w:rsid w:val="00D44F8E"/>
    <w:rsid w:val="00D51FD5"/>
    <w:rsid w:val="00D55DE0"/>
    <w:rsid w:val="00D607EF"/>
    <w:rsid w:val="00D60F88"/>
    <w:rsid w:val="00D646BD"/>
    <w:rsid w:val="00D65558"/>
    <w:rsid w:val="00D71201"/>
    <w:rsid w:val="00D720C7"/>
    <w:rsid w:val="00D73DE1"/>
    <w:rsid w:val="00D82C77"/>
    <w:rsid w:val="00D84841"/>
    <w:rsid w:val="00D876E6"/>
    <w:rsid w:val="00D90958"/>
    <w:rsid w:val="00DA1025"/>
    <w:rsid w:val="00DA22EC"/>
    <w:rsid w:val="00DA5682"/>
    <w:rsid w:val="00DA5860"/>
    <w:rsid w:val="00DA5C0C"/>
    <w:rsid w:val="00DB2767"/>
    <w:rsid w:val="00DC1B10"/>
    <w:rsid w:val="00DC1E2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5791"/>
    <w:rsid w:val="00E50821"/>
    <w:rsid w:val="00E51F91"/>
    <w:rsid w:val="00E5498A"/>
    <w:rsid w:val="00E559CE"/>
    <w:rsid w:val="00E60F42"/>
    <w:rsid w:val="00E6746C"/>
    <w:rsid w:val="00E705E0"/>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3C49"/>
    <w:rsid w:val="00EB62E6"/>
    <w:rsid w:val="00EB695F"/>
    <w:rsid w:val="00EC0155"/>
    <w:rsid w:val="00EC3A85"/>
    <w:rsid w:val="00EC4B89"/>
    <w:rsid w:val="00EC59A5"/>
    <w:rsid w:val="00EC6E15"/>
    <w:rsid w:val="00ED1B30"/>
    <w:rsid w:val="00ED54C3"/>
    <w:rsid w:val="00ED5D03"/>
    <w:rsid w:val="00EE01ED"/>
    <w:rsid w:val="00EE1AC1"/>
    <w:rsid w:val="00EE39D6"/>
    <w:rsid w:val="00EE52AD"/>
    <w:rsid w:val="00EE5BC3"/>
    <w:rsid w:val="00EE6FAB"/>
    <w:rsid w:val="00EF070E"/>
    <w:rsid w:val="00EF328C"/>
    <w:rsid w:val="00EF3491"/>
    <w:rsid w:val="00EF68BB"/>
    <w:rsid w:val="00F01F92"/>
    <w:rsid w:val="00F030D4"/>
    <w:rsid w:val="00F03A33"/>
    <w:rsid w:val="00F04053"/>
    <w:rsid w:val="00F06573"/>
    <w:rsid w:val="00F10A08"/>
    <w:rsid w:val="00F15354"/>
    <w:rsid w:val="00F22AC5"/>
    <w:rsid w:val="00F254D1"/>
    <w:rsid w:val="00F32B82"/>
    <w:rsid w:val="00F34AA8"/>
    <w:rsid w:val="00F34C86"/>
    <w:rsid w:val="00F4043E"/>
    <w:rsid w:val="00F41795"/>
    <w:rsid w:val="00F41BBC"/>
    <w:rsid w:val="00F444F0"/>
    <w:rsid w:val="00F446FF"/>
    <w:rsid w:val="00F45521"/>
    <w:rsid w:val="00F50847"/>
    <w:rsid w:val="00F53F27"/>
    <w:rsid w:val="00F546D1"/>
    <w:rsid w:val="00F5689E"/>
    <w:rsid w:val="00F60281"/>
    <w:rsid w:val="00F66272"/>
    <w:rsid w:val="00F709C0"/>
    <w:rsid w:val="00F735A3"/>
    <w:rsid w:val="00F81FEC"/>
    <w:rsid w:val="00F927A1"/>
    <w:rsid w:val="00F92E4D"/>
    <w:rsid w:val="00F95D08"/>
    <w:rsid w:val="00FA23BD"/>
    <w:rsid w:val="00FA2636"/>
    <w:rsid w:val="00FA3764"/>
    <w:rsid w:val="00FA41C7"/>
    <w:rsid w:val="00FA4A79"/>
    <w:rsid w:val="00FA56ED"/>
    <w:rsid w:val="00FA7630"/>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775207">
      <w:bodyDiv w:val="1"/>
      <w:marLeft w:val="0"/>
      <w:marRight w:val="0"/>
      <w:marTop w:val="0"/>
      <w:marBottom w:val="0"/>
      <w:divBdr>
        <w:top w:val="none" w:sz="0" w:space="0" w:color="auto"/>
        <w:left w:val="none" w:sz="0" w:space="0" w:color="auto"/>
        <w:bottom w:val="none" w:sz="0" w:space="0" w:color="auto"/>
        <w:right w:val="none" w:sz="0" w:space="0" w:color="auto"/>
      </w:divBdr>
      <w:divsChild>
        <w:div w:id="1256086992">
          <w:marLeft w:val="274"/>
          <w:marRight w:val="0"/>
          <w:marTop w:val="150"/>
          <w:marBottom w:val="0"/>
          <w:divBdr>
            <w:top w:val="none" w:sz="0" w:space="0" w:color="auto"/>
            <w:left w:val="none" w:sz="0" w:space="0" w:color="auto"/>
            <w:bottom w:val="none" w:sz="0" w:space="0" w:color="auto"/>
            <w:right w:val="none" w:sz="0" w:space="0" w:color="auto"/>
          </w:divBdr>
        </w:div>
      </w:divsChild>
    </w:div>
    <w:div w:id="43748246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55839611">
      <w:bodyDiv w:val="1"/>
      <w:marLeft w:val="0"/>
      <w:marRight w:val="0"/>
      <w:marTop w:val="0"/>
      <w:marBottom w:val="0"/>
      <w:divBdr>
        <w:top w:val="none" w:sz="0" w:space="0" w:color="auto"/>
        <w:left w:val="none" w:sz="0" w:space="0" w:color="auto"/>
        <w:bottom w:val="none" w:sz="0" w:space="0" w:color="auto"/>
        <w:right w:val="none" w:sz="0" w:space="0" w:color="auto"/>
      </w:divBdr>
      <w:divsChild>
        <w:div w:id="1776053031">
          <w:marLeft w:val="274"/>
          <w:marRight w:val="0"/>
          <w:marTop w:val="15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28348@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13</Pages>
  <Words>4078</Words>
  <Characters>21235</Characters>
  <Application>Microsoft Office Word</Application>
  <DocSecurity>0</DocSecurity>
  <Lines>176</Lines>
  <Paragraphs>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25263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Jones</cp:lastModifiedBy>
  <cp:revision>49</cp:revision>
  <cp:lastPrinted>2020-02-11T19:20:00Z</cp:lastPrinted>
  <dcterms:created xsi:type="dcterms:W3CDTF">2025-02-16T18:08:00Z</dcterms:created>
  <dcterms:modified xsi:type="dcterms:W3CDTF">2025-02-19T09:50:00Z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