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E6043" w14:textId="77777777" w:rsidR="00273D18" w:rsidRDefault="00273D18" w:rsidP="00273D18">
      <w:pPr>
        <w:pStyle w:val="NormalWeb"/>
        <w:spacing w:before="0" w:beforeAutospacing="0" w:after="0" w:afterAutospacing="0"/>
        <w:ind w:left="-180" w:right="-334"/>
      </w:pPr>
      <w:r>
        <w:rPr>
          <w:noProof/>
        </w:rPr>
        <w:drawing>
          <wp:inline distT="0" distB="0" distL="0" distR="0" wp14:anchorId="092CBAA7" wp14:editId="14015297">
            <wp:extent cx="1905635" cy="632460"/>
            <wp:effectExtent l="25400" t="25400" r="12065" b="1524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635" cy="632460"/>
                    </a:xfrm>
                    <a:prstGeom prst="rect">
                      <a:avLst/>
                    </a:prstGeom>
                    <a:noFill/>
                    <a:ln w="19050" cmpd="sng">
                      <a:solidFill>
                        <a:srgbClr val="000000"/>
                      </a:solidFill>
                      <a:miter lim="800000"/>
                      <a:headEnd/>
                      <a:tailEnd/>
                    </a:ln>
                    <a:effectLst/>
                  </pic:spPr>
                </pic:pic>
              </a:graphicData>
            </a:graphic>
          </wp:inline>
        </w:drawing>
      </w:r>
    </w:p>
    <w:p w14:paraId="06EFDA10" w14:textId="77777777" w:rsidR="00273D18" w:rsidRDefault="00273D18" w:rsidP="00273D18">
      <w:pPr>
        <w:pStyle w:val="NormalWeb"/>
        <w:spacing w:before="0" w:beforeAutospacing="0" w:after="0" w:afterAutospacing="0"/>
        <w:ind w:left="-180" w:right="-334"/>
      </w:pPr>
    </w:p>
    <w:p w14:paraId="3A8D449F" w14:textId="77777777" w:rsidR="00273D18" w:rsidRDefault="00273D18" w:rsidP="00273D18">
      <w:pPr>
        <w:pStyle w:val="NormalWeb"/>
        <w:spacing w:before="0" w:beforeAutospacing="0" w:after="0" w:afterAutospacing="0"/>
        <w:ind w:left="-180" w:right="-334"/>
      </w:pPr>
    </w:p>
    <w:p w14:paraId="588E5310" w14:textId="77777777" w:rsidR="00273D18" w:rsidRDefault="00273D18" w:rsidP="00273D1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7157BB4" w14:textId="77777777" w:rsidR="00273D18" w:rsidRPr="00230F35" w:rsidRDefault="00273D18" w:rsidP="00273D1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E37A200" w14:textId="77777777" w:rsidR="00273D18" w:rsidRPr="00230F35" w:rsidRDefault="00273D18" w:rsidP="00273D18">
      <w:pPr>
        <w:rPr>
          <w:rFonts w:ascii="Arial" w:hAnsi="Arial" w:cs="Arial"/>
          <w:sz w:val="28"/>
          <w:szCs w:val="28"/>
          <w:lang w:val="cy-GB"/>
        </w:rPr>
      </w:pPr>
    </w:p>
    <w:p w14:paraId="774EAC45" w14:textId="77777777" w:rsidR="00273D18" w:rsidRDefault="00273D18" w:rsidP="00273D18">
      <w:pPr>
        <w:pStyle w:val="Heading3"/>
        <w:jc w:val="center"/>
        <w:rPr>
          <w:lang w:val="cy-GB"/>
        </w:rPr>
      </w:pPr>
      <w:r>
        <w:rPr>
          <w:lang w:val="cy-GB"/>
        </w:rPr>
        <w:t>THIS SHEET MUST BE THE FIRST PAGE OF THE ASSIGNMENT YOU ARE SUBMITTING  (DO NOT SEND AS A SEPARATE FILE)</w:t>
      </w:r>
    </w:p>
    <w:p w14:paraId="2033BDD7" w14:textId="77777777" w:rsidR="00273D18" w:rsidRDefault="00273D18" w:rsidP="00273D1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73D18" w:rsidRPr="00230F35" w14:paraId="2852F231" w14:textId="77777777" w:rsidTr="00971867">
        <w:trPr>
          <w:trHeight w:val="614"/>
        </w:trPr>
        <w:tc>
          <w:tcPr>
            <w:tcW w:w="8856" w:type="dxa"/>
            <w:gridSpan w:val="5"/>
          </w:tcPr>
          <w:p w14:paraId="7C06B4CC"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73D18" w:rsidRPr="00230F35" w14:paraId="7EC55002" w14:textId="77777777" w:rsidTr="00971867">
        <w:trPr>
          <w:trHeight w:val="718"/>
        </w:trPr>
        <w:tc>
          <w:tcPr>
            <w:tcW w:w="8856" w:type="dxa"/>
            <w:gridSpan w:val="5"/>
          </w:tcPr>
          <w:p w14:paraId="112213DA"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Gabrielle Joanne Mooney</w:t>
            </w:r>
          </w:p>
          <w:p w14:paraId="636041B3" w14:textId="77777777" w:rsidR="00273D18" w:rsidRPr="00230F35" w:rsidRDefault="00273D18" w:rsidP="00971867">
            <w:pPr>
              <w:pStyle w:val="NormalWeb"/>
              <w:spacing w:before="0" w:beforeAutospacing="0" w:after="0" w:afterAutospacing="0"/>
              <w:ind w:right="34"/>
              <w:rPr>
                <w:rFonts w:ascii="Arial" w:hAnsi="Arial" w:cs="Arial"/>
                <w:sz w:val="22"/>
                <w:szCs w:val="22"/>
              </w:rPr>
            </w:pPr>
          </w:p>
        </w:tc>
      </w:tr>
      <w:tr w:rsidR="00273D18" w:rsidRPr="00230F35" w14:paraId="30D57537" w14:textId="77777777" w:rsidTr="00971867">
        <w:trPr>
          <w:trHeight w:val="849"/>
        </w:trPr>
        <w:tc>
          <w:tcPr>
            <w:tcW w:w="4788" w:type="dxa"/>
          </w:tcPr>
          <w:p w14:paraId="729B50B6"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HPCA7013</w:t>
            </w:r>
          </w:p>
          <w:p w14:paraId="4B745D36" w14:textId="77777777" w:rsidR="00273D18" w:rsidRPr="00230F35" w:rsidRDefault="00273D18" w:rsidP="00971867">
            <w:pPr>
              <w:pStyle w:val="NormalWeb"/>
              <w:spacing w:before="0" w:beforeAutospacing="0" w:after="0" w:afterAutospacing="0"/>
              <w:ind w:right="34"/>
              <w:rPr>
                <w:rFonts w:ascii="Arial" w:hAnsi="Arial" w:cs="Arial"/>
                <w:sz w:val="22"/>
                <w:szCs w:val="22"/>
              </w:rPr>
            </w:pPr>
          </w:p>
          <w:p w14:paraId="4A28CDA3"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531122">
              <w:rPr>
                <w:rFonts w:ascii="Arial" w:hAnsi="Arial" w:cs="Arial"/>
                <w:sz w:val="22"/>
                <w:szCs w:val="22"/>
              </w:rPr>
              <w:t>COSMOLOGY,</w:t>
            </w:r>
            <w:r>
              <w:rPr>
                <w:rFonts w:ascii="Arial" w:hAnsi="Arial" w:cs="Arial"/>
                <w:sz w:val="22"/>
                <w:szCs w:val="22"/>
              </w:rPr>
              <w:t xml:space="preserve"> </w:t>
            </w:r>
            <w:r w:rsidRPr="00531122">
              <w:rPr>
                <w:rFonts w:ascii="Arial" w:hAnsi="Arial" w:cs="Arial"/>
                <w:sz w:val="22"/>
                <w:szCs w:val="22"/>
              </w:rPr>
              <w:t>MAGIC AND DIVINATION</w:t>
            </w:r>
          </w:p>
          <w:p w14:paraId="1A65CB12" w14:textId="77777777" w:rsidR="00273D18" w:rsidRPr="00230F35" w:rsidRDefault="00273D18" w:rsidP="00971867">
            <w:pPr>
              <w:pStyle w:val="NormalWeb"/>
              <w:spacing w:before="0" w:beforeAutospacing="0" w:after="0" w:afterAutospacing="0"/>
              <w:ind w:right="34"/>
              <w:rPr>
                <w:rFonts w:ascii="Arial" w:hAnsi="Arial" w:cs="Arial"/>
                <w:sz w:val="22"/>
                <w:szCs w:val="22"/>
              </w:rPr>
            </w:pPr>
          </w:p>
        </w:tc>
        <w:tc>
          <w:tcPr>
            <w:tcW w:w="2266" w:type="dxa"/>
            <w:gridSpan w:val="3"/>
          </w:tcPr>
          <w:p w14:paraId="4E2C37BF"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637BCC" w14:textId="77777777" w:rsidR="00273D18" w:rsidRPr="00230F35" w:rsidRDefault="00273D18" w:rsidP="00971867">
            <w:pPr>
              <w:pStyle w:val="NormalWeb"/>
              <w:spacing w:before="0" w:beforeAutospacing="0" w:after="0" w:afterAutospacing="0"/>
              <w:ind w:right="34"/>
              <w:rPr>
                <w:rFonts w:ascii="Arial" w:hAnsi="Arial" w:cs="Arial"/>
                <w:sz w:val="22"/>
                <w:szCs w:val="22"/>
              </w:rPr>
            </w:pPr>
            <w:r>
              <w:rPr>
                <w:rFonts w:ascii="Arial" w:hAnsi="Arial" w:cs="Arial"/>
                <w:sz w:val="22"/>
                <w:szCs w:val="22"/>
              </w:rPr>
              <w:t>1905543</w:t>
            </w:r>
          </w:p>
        </w:tc>
        <w:tc>
          <w:tcPr>
            <w:tcW w:w="1802" w:type="dxa"/>
          </w:tcPr>
          <w:p w14:paraId="3090F9AE"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4C7675F"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531122">
              <w:rPr>
                <w:rFonts w:ascii="Arial" w:hAnsi="Arial" w:cs="Arial"/>
                <w:b/>
                <w:bCs/>
                <w:sz w:val="22"/>
                <w:szCs w:val="22"/>
              </w:rPr>
              <w:t>Yes</w:t>
            </w:r>
            <w:r w:rsidRPr="00230F35">
              <w:rPr>
                <w:rFonts w:ascii="Arial" w:hAnsi="Arial" w:cs="Arial"/>
                <w:sz w:val="22"/>
                <w:szCs w:val="22"/>
              </w:rPr>
              <w:t>/</w:t>
            </w:r>
            <w:r w:rsidRPr="00531122">
              <w:rPr>
                <w:rFonts w:ascii="Arial" w:hAnsi="Arial" w:cs="Arial"/>
                <w:strike/>
                <w:sz w:val="22"/>
                <w:szCs w:val="22"/>
              </w:rPr>
              <w:t>No</w:t>
            </w:r>
          </w:p>
        </w:tc>
      </w:tr>
      <w:tr w:rsidR="00273D18" w:rsidRPr="00230F35" w14:paraId="5278767B" w14:textId="77777777" w:rsidTr="00971867">
        <w:trPr>
          <w:trHeight w:val="1139"/>
        </w:trPr>
        <w:tc>
          <w:tcPr>
            <w:tcW w:w="8856" w:type="dxa"/>
            <w:gridSpan w:val="5"/>
          </w:tcPr>
          <w:p w14:paraId="07FE8052" w14:textId="77777777" w:rsidR="00273D18" w:rsidRPr="00230F35" w:rsidRDefault="00273D18" w:rsidP="0097186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Drs Dorian Greenbaum, Crystal </w:t>
            </w:r>
            <w:proofErr w:type="spellStart"/>
            <w:r>
              <w:rPr>
                <w:rFonts w:ascii="Arial" w:hAnsi="Arial" w:cs="Arial"/>
                <w:sz w:val="22"/>
                <w:szCs w:val="22"/>
              </w:rPr>
              <w:t>Addey</w:t>
            </w:r>
            <w:proofErr w:type="spellEnd"/>
            <w:r>
              <w:rPr>
                <w:rFonts w:ascii="Arial" w:hAnsi="Arial" w:cs="Arial"/>
                <w:sz w:val="22"/>
                <w:szCs w:val="22"/>
              </w:rPr>
              <w:t xml:space="preserve"> and Dawn Collins</w:t>
            </w:r>
          </w:p>
          <w:p w14:paraId="498D8C40" w14:textId="77777777" w:rsidR="00273D18" w:rsidRPr="00230F35" w:rsidRDefault="00273D18" w:rsidP="00971867">
            <w:pPr>
              <w:pStyle w:val="NormalWeb"/>
              <w:spacing w:before="0" w:beforeAutospacing="0" w:after="0" w:afterAutospacing="0"/>
              <w:ind w:right="34"/>
              <w:rPr>
                <w:rFonts w:ascii="Arial" w:hAnsi="Arial" w:cs="Arial"/>
                <w:sz w:val="22"/>
                <w:szCs w:val="22"/>
              </w:rPr>
            </w:pPr>
          </w:p>
          <w:p w14:paraId="564A5182" w14:textId="77777777" w:rsidR="00273D18" w:rsidRDefault="00273D18" w:rsidP="00971867">
            <w:pPr>
              <w:pStyle w:val="NormalWeb"/>
              <w:spacing w:before="0" w:beforeAutospacing="0" w:after="0" w:afterAutospacing="0"/>
              <w:ind w:right="34"/>
              <w:rPr>
                <w:rFonts w:ascii="Arial" w:hAnsi="Arial" w:cs="Arial"/>
                <w:sz w:val="22"/>
                <w:szCs w:val="22"/>
              </w:rPr>
            </w:pPr>
          </w:p>
          <w:p w14:paraId="7C25D565"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29/03/21. (extended deadline)</w:t>
            </w:r>
          </w:p>
        </w:tc>
      </w:tr>
      <w:tr w:rsidR="00273D18" w:rsidRPr="00230F35" w14:paraId="36784859" w14:textId="77777777" w:rsidTr="00971867">
        <w:trPr>
          <w:trHeight w:val="978"/>
        </w:trPr>
        <w:tc>
          <w:tcPr>
            <w:tcW w:w="8856" w:type="dxa"/>
            <w:gridSpan w:val="5"/>
            <w:tcBorders>
              <w:bottom w:val="single" w:sz="4" w:space="0" w:color="000000"/>
            </w:tcBorders>
          </w:tcPr>
          <w:p w14:paraId="72663103" w14:textId="77777777" w:rsidR="00273D18" w:rsidRDefault="00273D18" w:rsidP="00971867">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5573223F" w14:textId="77777777" w:rsidR="00273D18" w:rsidRDefault="00273D18" w:rsidP="00971867">
            <w:pPr>
              <w:rPr>
                <w:rFonts w:ascii="Arial" w:hAnsi="Arial" w:cs="Arial"/>
                <w:sz w:val="22"/>
                <w:szCs w:val="22"/>
              </w:rPr>
            </w:pPr>
          </w:p>
          <w:p w14:paraId="3CF5A2EE" w14:textId="77777777" w:rsidR="00273D18" w:rsidRPr="00230F35" w:rsidRDefault="00273D18" w:rsidP="00971867">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AF1A76">
              <w:rPr>
                <w:rFonts w:ascii="Arial" w:hAnsi="Arial" w:cs="Arial"/>
                <w:sz w:val="22"/>
                <w:szCs w:val="22"/>
              </w:rPr>
            </w:r>
            <w:r w:rsidR="00AF1A76">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AF1A76">
              <w:rPr>
                <w:rFonts w:ascii="Arial" w:hAnsi="Arial" w:cs="Arial"/>
                <w:sz w:val="22"/>
                <w:szCs w:val="22"/>
              </w:rPr>
            </w:r>
            <w:r w:rsidR="00AF1A76">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AF1A76">
              <w:rPr>
                <w:rFonts w:ascii="Arial" w:hAnsi="Arial" w:cs="Arial"/>
                <w:sz w:val="22"/>
                <w:szCs w:val="22"/>
              </w:rPr>
            </w:r>
            <w:r w:rsidR="00AF1A76">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AF1A76">
              <w:rPr>
                <w:rFonts w:ascii="Arial" w:hAnsi="Arial" w:cs="Arial"/>
                <w:sz w:val="22"/>
                <w:szCs w:val="22"/>
              </w:rPr>
            </w:r>
            <w:r w:rsidR="00AF1A76">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AF1A76">
              <w:rPr>
                <w:rFonts w:ascii="Arial" w:hAnsi="Arial" w:cs="Arial"/>
                <w:sz w:val="22"/>
                <w:szCs w:val="22"/>
              </w:rPr>
            </w:r>
            <w:r w:rsidR="00AF1A76">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AF1A76">
              <w:rPr>
                <w:rFonts w:ascii="Arial" w:hAnsi="Arial" w:cs="Arial"/>
                <w:sz w:val="22"/>
                <w:szCs w:val="22"/>
              </w:rPr>
            </w:r>
            <w:r w:rsidR="00AF1A76">
              <w:rPr>
                <w:rFonts w:ascii="Arial" w:hAnsi="Arial" w:cs="Arial"/>
                <w:sz w:val="22"/>
                <w:szCs w:val="22"/>
              </w:rPr>
              <w:fldChar w:fldCharType="separate"/>
            </w:r>
            <w:r w:rsidRPr="00230F35">
              <w:rPr>
                <w:rFonts w:ascii="Arial" w:hAnsi="Arial" w:cs="Arial"/>
                <w:sz w:val="22"/>
                <w:szCs w:val="22"/>
              </w:rPr>
              <w:fldChar w:fldCharType="end"/>
            </w:r>
            <w:bookmarkEnd w:id="5"/>
          </w:p>
        </w:tc>
      </w:tr>
      <w:tr w:rsidR="00273D18" w:rsidRPr="00230F35" w14:paraId="78573AD9" w14:textId="77777777" w:rsidTr="00971867">
        <w:trPr>
          <w:trHeight w:val="978"/>
        </w:trPr>
        <w:tc>
          <w:tcPr>
            <w:tcW w:w="8856" w:type="dxa"/>
            <w:gridSpan w:val="5"/>
            <w:shd w:val="clear" w:color="auto" w:fill="D9D9D9"/>
          </w:tcPr>
          <w:p w14:paraId="3F7C478A" w14:textId="77777777" w:rsidR="00273D18" w:rsidRPr="00230F35"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DD13E5E" w14:textId="77777777" w:rsidR="00273D18" w:rsidRDefault="00273D18" w:rsidP="009718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Gabrielle Mooney</w:t>
            </w:r>
            <w:r w:rsidRPr="00230F35">
              <w:rPr>
                <w:rFonts w:ascii="Arial" w:hAnsi="Arial" w:cs="Arial"/>
                <w:sz w:val="22"/>
                <w:szCs w:val="22"/>
              </w:rPr>
              <w:t>………</w:t>
            </w:r>
          </w:p>
          <w:p w14:paraId="7F526FB1" w14:textId="77777777" w:rsidR="00273D18" w:rsidRDefault="00273D18" w:rsidP="0097186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1893C773" w14:textId="77777777" w:rsidR="00273D18" w:rsidRPr="00230F35" w:rsidRDefault="00273D18" w:rsidP="0097186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273D18" w:rsidRPr="00230F35" w14:paraId="63246790" w14:textId="77777777" w:rsidTr="00971867">
        <w:trPr>
          <w:trHeight w:val="3972"/>
        </w:trPr>
        <w:tc>
          <w:tcPr>
            <w:tcW w:w="8856" w:type="dxa"/>
            <w:gridSpan w:val="5"/>
          </w:tcPr>
          <w:p w14:paraId="4579A040" w14:textId="77777777" w:rsidR="00273D18" w:rsidRDefault="00273D18" w:rsidP="00971867">
            <w:pPr>
              <w:rPr>
                <w:rFonts w:ascii="Arial" w:hAnsi="Arial"/>
                <w:b/>
              </w:rPr>
            </w:pPr>
          </w:p>
          <w:p w14:paraId="6605962F" w14:textId="77777777" w:rsidR="00273D18" w:rsidRPr="00116CE6" w:rsidRDefault="00273D18" w:rsidP="0097186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73D18" w:rsidRPr="00116CE6" w14:paraId="415C1870" w14:textId="77777777" w:rsidTr="00971867">
              <w:tc>
                <w:tcPr>
                  <w:tcW w:w="6970" w:type="dxa"/>
                </w:tcPr>
                <w:p w14:paraId="7F5F683B" w14:textId="77777777" w:rsidR="00273D18" w:rsidRPr="00116CE6" w:rsidRDefault="00273D18" w:rsidP="00971867">
                  <w:pPr>
                    <w:rPr>
                      <w:rFonts w:ascii="Arial" w:hAnsi="Arial"/>
                      <w:sz w:val="20"/>
                      <w:szCs w:val="20"/>
                    </w:rPr>
                  </w:pPr>
                </w:p>
                <w:p w14:paraId="0A2E9380" w14:textId="77777777" w:rsidR="00273D18" w:rsidRPr="00116CE6" w:rsidRDefault="00273D18" w:rsidP="0097186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7DD56EA" w14:textId="77777777" w:rsidR="00273D18" w:rsidRPr="00116CE6" w:rsidRDefault="00273D18" w:rsidP="00971867">
                  <w:pPr>
                    <w:rPr>
                      <w:rFonts w:ascii="Arial" w:hAnsi="Arial"/>
                      <w:sz w:val="20"/>
                      <w:szCs w:val="20"/>
                    </w:rPr>
                  </w:pPr>
                </w:p>
              </w:tc>
            </w:tr>
            <w:tr w:rsidR="00273D18" w:rsidRPr="00116CE6" w14:paraId="4508B90C" w14:textId="77777777" w:rsidTr="00971867">
              <w:tc>
                <w:tcPr>
                  <w:tcW w:w="6970" w:type="dxa"/>
                </w:tcPr>
                <w:p w14:paraId="05225AD5" w14:textId="77777777" w:rsidR="00273D18" w:rsidRPr="00116CE6" w:rsidRDefault="00273D18" w:rsidP="00971867">
                  <w:pPr>
                    <w:rPr>
                      <w:rFonts w:ascii="Arial" w:hAnsi="Arial"/>
                      <w:sz w:val="20"/>
                      <w:szCs w:val="20"/>
                    </w:rPr>
                  </w:pPr>
                </w:p>
                <w:p w14:paraId="12033E33" w14:textId="77777777" w:rsidR="00273D18" w:rsidRPr="00116CE6" w:rsidRDefault="00273D18" w:rsidP="0097186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175F36F" w14:textId="77777777" w:rsidR="00273D18" w:rsidRPr="00116CE6" w:rsidRDefault="00273D18" w:rsidP="00971867">
                  <w:pPr>
                    <w:rPr>
                      <w:rFonts w:ascii="Arial" w:hAnsi="Arial"/>
                      <w:sz w:val="20"/>
                      <w:szCs w:val="20"/>
                    </w:rPr>
                  </w:pPr>
                </w:p>
              </w:tc>
            </w:tr>
            <w:tr w:rsidR="00273D18" w:rsidRPr="00116CE6" w14:paraId="6E75B6E9" w14:textId="77777777" w:rsidTr="00971867">
              <w:tc>
                <w:tcPr>
                  <w:tcW w:w="6970" w:type="dxa"/>
                </w:tcPr>
                <w:p w14:paraId="7AAFE563" w14:textId="77777777" w:rsidR="00273D18" w:rsidRPr="006367FD" w:rsidRDefault="00273D18" w:rsidP="00971867">
                  <w:pPr>
                    <w:rPr>
                      <w:rFonts w:ascii="Arial" w:hAnsi="Arial"/>
                      <w:color w:val="000000"/>
                      <w:sz w:val="20"/>
                      <w:szCs w:val="20"/>
                    </w:rPr>
                  </w:pPr>
                  <w:r w:rsidRPr="006367FD">
                    <w:rPr>
                      <w:rFonts w:ascii="Arial" w:hAnsi="Arial"/>
                      <w:color w:val="000000"/>
                      <w:sz w:val="20"/>
                      <w:szCs w:val="20"/>
                    </w:rPr>
                    <w:t xml:space="preserve">Agreed Internal Mark: </w:t>
                  </w:r>
                </w:p>
                <w:p w14:paraId="48FFF39C" w14:textId="77777777" w:rsidR="00273D18" w:rsidRPr="00E14D2E" w:rsidRDefault="00273D18" w:rsidP="00971867">
                  <w:pPr>
                    <w:rPr>
                      <w:rFonts w:ascii="Arial" w:hAnsi="Arial"/>
                      <w:sz w:val="20"/>
                      <w:szCs w:val="20"/>
                      <w:highlight w:val="yellow"/>
                    </w:rPr>
                  </w:pPr>
                </w:p>
              </w:tc>
              <w:tc>
                <w:tcPr>
                  <w:tcW w:w="1660" w:type="dxa"/>
                </w:tcPr>
                <w:p w14:paraId="1E319033" w14:textId="77777777" w:rsidR="00273D18" w:rsidRPr="00E14D2E" w:rsidRDefault="00273D18" w:rsidP="00971867">
                  <w:pPr>
                    <w:rPr>
                      <w:rFonts w:ascii="Arial" w:hAnsi="Arial"/>
                      <w:sz w:val="20"/>
                      <w:szCs w:val="20"/>
                      <w:highlight w:val="yellow"/>
                    </w:rPr>
                  </w:pPr>
                </w:p>
              </w:tc>
            </w:tr>
            <w:tr w:rsidR="00273D18" w:rsidRPr="00116CE6" w14:paraId="52E8B2D6" w14:textId="77777777" w:rsidTr="00971867">
              <w:tc>
                <w:tcPr>
                  <w:tcW w:w="6970" w:type="dxa"/>
                </w:tcPr>
                <w:p w14:paraId="34F7064D" w14:textId="77777777" w:rsidR="00273D18" w:rsidRPr="00116CE6" w:rsidRDefault="00273D18" w:rsidP="00971867">
                  <w:pPr>
                    <w:rPr>
                      <w:rFonts w:ascii="Arial" w:hAnsi="Arial"/>
                      <w:sz w:val="20"/>
                      <w:szCs w:val="20"/>
                    </w:rPr>
                  </w:pPr>
                </w:p>
                <w:p w14:paraId="03B982FB" w14:textId="77777777" w:rsidR="00273D18" w:rsidRPr="00116CE6" w:rsidRDefault="00273D18" w:rsidP="0097186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EE283D6" w14:textId="77777777" w:rsidR="00273D18" w:rsidRPr="00116CE6" w:rsidRDefault="00273D18" w:rsidP="00971867">
                  <w:pPr>
                    <w:rPr>
                      <w:rFonts w:ascii="Arial" w:hAnsi="Arial"/>
                      <w:sz w:val="20"/>
                      <w:szCs w:val="20"/>
                    </w:rPr>
                  </w:pPr>
                </w:p>
              </w:tc>
            </w:tr>
            <w:tr w:rsidR="00273D18" w:rsidRPr="00116CE6" w14:paraId="1CA96C11" w14:textId="77777777" w:rsidTr="00971867">
              <w:tc>
                <w:tcPr>
                  <w:tcW w:w="6970" w:type="dxa"/>
                </w:tcPr>
                <w:p w14:paraId="44218C97" w14:textId="77777777" w:rsidR="00273D18" w:rsidRDefault="00273D18" w:rsidP="00971867">
                  <w:pPr>
                    <w:rPr>
                      <w:rFonts w:ascii="Arial" w:hAnsi="Arial"/>
                      <w:sz w:val="20"/>
                      <w:szCs w:val="20"/>
                    </w:rPr>
                  </w:pPr>
                </w:p>
                <w:p w14:paraId="561B5652" w14:textId="77777777" w:rsidR="00273D18" w:rsidRPr="00022345" w:rsidRDefault="00273D18" w:rsidP="00971867">
                  <w:pPr>
                    <w:rPr>
                      <w:rFonts w:ascii="Arial" w:hAnsi="Arial"/>
                      <w:b/>
                      <w:sz w:val="20"/>
                      <w:szCs w:val="20"/>
                    </w:rPr>
                  </w:pPr>
                  <w:r w:rsidRPr="00022345">
                    <w:rPr>
                      <w:rFonts w:ascii="Arial" w:hAnsi="Arial"/>
                      <w:b/>
                      <w:sz w:val="20"/>
                      <w:szCs w:val="20"/>
                    </w:rPr>
                    <w:t>Final Mark</w:t>
                  </w:r>
                </w:p>
                <w:p w14:paraId="71CB5CFB" w14:textId="77777777" w:rsidR="00273D18" w:rsidRPr="00116CE6" w:rsidRDefault="00273D18" w:rsidP="00971867">
                  <w:pPr>
                    <w:rPr>
                      <w:rFonts w:ascii="Arial" w:hAnsi="Arial"/>
                      <w:sz w:val="20"/>
                      <w:szCs w:val="20"/>
                    </w:rPr>
                  </w:pPr>
                </w:p>
              </w:tc>
              <w:tc>
                <w:tcPr>
                  <w:tcW w:w="1660" w:type="dxa"/>
                </w:tcPr>
                <w:p w14:paraId="21BAF72E" w14:textId="77777777" w:rsidR="00273D18" w:rsidRPr="00116CE6" w:rsidRDefault="00273D18" w:rsidP="00971867">
                  <w:pPr>
                    <w:rPr>
                      <w:rFonts w:ascii="Arial" w:hAnsi="Arial"/>
                      <w:sz w:val="20"/>
                      <w:szCs w:val="20"/>
                    </w:rPr>
                  </w:pPr>
                </w:p>
              </w:tc>
            </w:tr>
          </w:tbl>
          <w:p w14:paraId="2AA37F2D" w14:textId="77777777" w:rsidR="00273D18" w:rsidRDefault="00273D18" w:rsidP="00971867">
            <w:pPr>
              <w:pStyle w:val="NormalWeb"/>
              <w:spacing w:before="0" w:beforeAutospacing="0" w:after="0" w:afterAutospacing="0"/>
              <w:ind w:left="142" w:right="34"/>
              <w:rPr>
                <w:rFonts w:ascii="Arial" w:hAnsi="Arial" w:cs="Arial"/>
                <w:b/>
                <w:sz w:val="22"/>
                <w:szCs w:val="22"/>
              </w:rPr>
            </w:pPr>
          </w:p>
          <w:p w14:paraId="5D52A143" w14:textId="77777777" w:rsidR="00273D18" w:rsidRPr="00230F35" w:rsidRDefault="00273D18" w:rsidP="0097186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6015EDB" w14:textId="77777777" w:rsidR="00273D18" w:rsidRDefault="00273D18" w:rsidP="00971867">
            <w:pPr>
              <w:pStyle w:val="NormalWeb"/>
              <w:spacing w:before="0" w:beforeAutospacing="0" w:after="0" w:afterAutospacing="0"/>
              <w:rPr>
                <w:rFonts w:ascii="Arial" w:hAnsi="Arial" w:cs="Arial"/>
                <w:b/>
                <w:sz w:val="22"/>
                <w:szCs w:val="22"/>
              </w:rPr>
            </w:pPr>
          </w:p>
          <w:p w14:paraId="3DA0D764" w14:textId="77777777" w:rsidR="00273D18" w:rsidRDefault="00273D18" w:rsidP="00971867">
            <w:pPr>
              <w:pStyle w:val="NormalWeb"/>
              <w:spacing w:before="0" w:beforeAutospacing="0" w:after="0" w:afterAutospacing="0"/>
              <w:rPr>
                <w:rFonts w:ascii="Arial" w:hAnsi="Arial" w:cs="Arial"/>
                <w:b/>
                <w:sz w:val="22"/>
                <w:szCs w:val="22"/>
              </w:rPr>
            </w:pPr>
          </w:p>
          <w:p w14:paraId="5E73FD61" w14:textId="77777777" w:rsidR="00273D18" w:rsidRDefault="00273D18" w:rsidP="00971867">
            <w:pPr>
              <w:pStyle w:val="NormalWeb"/>
              <w:spacing w:before="0" w:beforeAutospacing="0" w:after="0" w:afterAutospacing="0"/>
              <w:rPr>
                <w:rFonts w:ascii="Arial" w:hAnsi="Arial" w:cs="Arial"/>
                <w:b/>
                <w:sz w:val="22"/>
                <w:szCs w:val="22"/>
              </w:rPr>
            </w:pPr>
          </w:p>
          <w:p w14:paraId="22CC5B37" w14:textId="77777777" w:rsidR="00273D18" w:rsidRDefault="00273D18" w:rsidP="00971867">
            <w:pPr>
              <w:pStyle w:val="NormalWeb"/>
              <w:spacing w:before="0" w:beforeAutospacing="0" w:after="0" w:afterAutospacing="0"/>
              <w:rPr>
                <w:rFonts w:ascii="Arial" w:hAnsi="Arial" w:cs="Arial"/>
                <w:b/>
                <w:sz w:val="22"/>
                <w:szCs w:val="22"/>
              </w:rPr>
            </w:pPr>
          </w:p>
          <w:p w14:paraId="14D412D1" w14:textId="77777777" w:rsidR="00273D18" w:rsidRPr="00230F35" w:rsidRDefault="00273D18" w:rsidP="0097186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6E29A7E" w14:textId="77777777" w:rsidR="00273D18" w:rsidRDefault="00273D18" w:rsidP="0097186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4DA0F3" w14:textId="77777777" w:rsidR="00273D18" w:rsidRPr="00001C3B" w:rsidRDefault="00273D18" w:rsidP="00971867">
            <w:pPr>
              <w:pStyle w:val="NormalWeb"/>
              <w:rPr>
                <w:rFonts w:ascii="Arial" w:hAnsi="Arial" w:cs="Arial"/>
                <w:sz w:val="22"/>
                <w:szCs w:val="22"/>
              </w:rPr>
            </w:pPr>
          </w:p>
        </w:tc>
      </w:tr>
      <w:tr w:rsidR="00273D18" w:rsidRPr="00230F35" w14:paraId="388B0984" w14:textId="77777777" w:rsidTr="00971867">
        <w:trPr>
          <w:trHeight w:val="492"/>
        </w:trPr>
        <w:tc>
          <w:tcPr>
            <w:tcW w:w="6768" w:type="dxa"/>
            <w:gridSpan w:val="3"/>
          </w:tcPr>
          <w:p w14:paraId="06A5DEA0" w14:textId="77777777" w:rsidR="00273D18" w:rsidRPr="00230F35" w:rsidRDefault="00273D18" w:rsidP="00971867">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45A5567" w14:textId="77777777" w:rsidR="00273D18" w:rsidRPr="00230F35" w:rsidRDefault="00273D18" w:rsidP="00971867">
            <w:pPr>
              <w:pStyle w:val="NormalWeb"/>
              <w:spacing w:after="0"/>
              <w:ind w:left="142" w:right="34"/>
              <w:rPr>
                <w:rFonts w:ascii="Arial" w:hAnsi="Arial" w:cs="Arial"/>
                <w:sz w:val="22"/>
                <w:szCs w:val="22"/>
              </w:rPr>
            </w:pPr>
            <w:r w:rsidRPr="00230F35">
              <w:rPr>
                <w:rFonts w:ascii="Arial" w:hAnsi="Arial" w:cs="Arial"/>
                <w:sz w:val="22"/>
                <w:szCs w:val="22"/>
              </w:rPr>
              <w:t>Date:</w:t>
            </w:r>
          </w:p>
        </w:tc>
      </w:tr>
      <w:tr w:rsidR="00273D18" w:rsidRPr="002F467C" w14:paraId="082E62B1" w14:textId="77777777" w:rsidTr="00971867">
        <w:tc>
          <w:tcPr>
            <w:tcW w:w="8856" w:type="dxa"/>
            <w:gridSpan w:val="5"/>
          </w:tcPr>
          <w:p w14:paraId="48F8D02A" w14:textId="77777777" w:rsidR="00273D18" w:rsidRPr="00230F35" w:rsidRDefault="00273D18" w:rsidP="00971867">
            <w:pPr>
              <w:pStyle w:val="NormalWeb"/>
              <w:spacing w:before="0" w:beforeAutospacing="0" w:after="0" w:afterAutospacing="0"/>
              <w:ind w:right="-334"/>
              <w:rPr>
                <w:rFonts w:ascii="Arial" w:hAnsi="Arial" w:cs="Arial"/>
                <w:bCs/>
                <w:i/>
                <w:sz w:val="22"/>
                <w:szCs w:val="22"/>
              </w:rPr>
            </w:pPr>
          </w:p>
          <w:p w14:paraId="0C56B27A" w14:textId="77777777" w:rsidR="00273D18" w:rsidRPr="00230F35" w:rsidRDefault="00273D18" w:rsidP="0097186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509B647" w14:textId="77777777" w:rsidR="00273D18" w:rsidRPr="00230F35" w:rsidRDefault="00273D18" w:rsidP="00971867">
            <w:pPr>
              <w:pStyle w:val="NormalWeb"/>
              <w:spacing w:before="0" w:beforeAutospacing="0" w:after="0" w:afterAutospacing="0"/>
              <w:ind w:right="-334"/>
              <w:rPr>
                <w:rFonts w:ascii="Arial" w:hAnsi="Arial" w:cs="Arial"/>
                <w:b/>
                <w:bCs/>
                <w:sz w:val="22"/>
                <w:szCs w:val="22"/>
              </w:rPr>
            </w:pPr>
          </w:p>
          <w:p w14:paraId="10A2B855"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D865624"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35A384EF"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5D2FA734"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tc>
      </w:tr>
      <w:tr w:rsidR="00273D18" w:rsidRPr="002F467C" w14:paraId="6AEB25B3" w14:textId="77777777" w:rsidTr="00971867">
        <w:trPr>
          <w:trHeight w:val="720"/>
        </w:trPr>
        <w:tc>
          <w:tcPr>
            <w:tcW w:w="5211" w:type="dxa"/>
            <w:gridSpan w:val="2"/>
          </w:tcPr>
          <w:p w14:paraId="768CC9E2"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229DC0A"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73D18" w:rsidRPr="002F467C" w14:paraId="18565783" w14:textId="77777777" w:rsidTr="00971867">
        <w:trPr>
          <w:trHeight w:val="720"/>
        </w:trPr>
        <w:tc>
          <w:tcPr>
            <w:tcW w:w="8856" w:type="dxa"/>
            <w:gridSpan w:val="5"/>
          </w:tcPr>
          <w:p w14:paraId="5A123B76" w14:textId="77777777" w:rsidR="00273D18" w:rsidRPr="006367FD" w:rsidRDefault="00273D18" w:rsidP="00971867">
            <w:pPr>
              <w:rPr>
                <w:rFonts w:ascii="Arial" w:hAnsi="Arial" w:cs="Arial"/>
                <w:b/>
                <w:sz w:val="22"/>
                <w:szCs w:val="22"/>
              </w:rPr>
            </w:pPr>
            <w:r w:rsidRPr="006367FD">
              <w:rPr>
                <w:rFonts w:ascii="Arial" w:hAnsi="Arial" w:cs="Arial"/>
                <w:b/>
                <w:sz w:val="22"/>
                <w:szCs w:val="22"/>
              </w:rPr>
              <w:t>AGREED INTERNAL MARK (where necessary):</w:t>
            </w:r>
          </w:p>
          <w:p w14:paraId="08800C64" w14:textId="77777777" w:rsidR="00273D18" w:rsidRPr="006367FD" w:rsidRDefault="00273D18" w:rsidP="00971867">
            <w:pPr>
              <w:rPr>
                <w:rFonts w:ascii="Arial" w:hAnsi="Arial" w:cs="Arial"/>
                <w:b/>
                <w:sz w:val="22"/>
                <w:szCs w:val="22"/>
              </w:rPr>
            </w:pPr>
          </w:p>
          <w:p w14:paraId="336808BC" w14:textId="77777777" w:rsidR="00273D18" w:rsidRDefault="00273D18" w:rsidP="00971867">
            <w:pPr>
              <w:rPr>
                <w:rFonts w:ascii="Arial" w:hAnsi="Arial" w:cs="Arial"/>
                <w:b/>
                <w:sz w:val="22"/>
                <w:szCs w:val="22"/>
              </w:rPr>
            </w:pPr>
            <w:r w:rsidRPr="006367FD">
              <w:rPr>
                <w:rFonts w:ascii="Arial" w:hAnsi="Arial" w:cs="Arial"/>
                <w:b/>
                <w:sz w:val="22"/>
                <w:szCs w:val="22"/>
              </w:rPr>
              <w:t>Comment on process of arriving at agreed mark:</w:t>
            </w:r>
          </w:p>
          <w:p w14:paraId="3923D4D0" w14:textId="77777777" w:rsidR="00273D18" w:rsidRDefault="00273D18" w:rsidP="00971867">
            <w:pPr>
              <w:rPr>
                <w:rFonts w:ascii="Arial" w:hAnsi="Arial" w:cs="Arial"/>
                <w:b/>
                <w:sz w:val="22"/>
                <w:szCs w:val="22"/>
              </w:rPr>
            </w:pPr>
          </w:p>
          <w:p w14:paraId="2EA7F21A" w14:textId="77777777" w:rsidR="00273D18" w:rsidRDefault="00273D18" w:rsidP="00971867">
            <w:pPr>
              <w:rPr>
                <w:rFonts w:ascii="Arial" w:hAnsi="Arial" w:cs="Arial"/>
                <w:b/>
                <w:sz w:val="22"/>
                <w:szCs w:val="22"/>
              </w:rPr>
            </w:pPr>
          </w:p>
          <w:p w14:paraId="7BFF8E4F" w14:textId="77777777" w:rsidR="00273D18" w:rsidRDefault="00273D18" w:rsidP="00971867">
            <w:pPr>
              <w:rPr>
                <w:rFonts w:ascii="Arial" w:hAnsi="Arial" w:cs="Arial"/>
                <w:b/>
                <w:sz w:val="22"/>
                <w:szCs w:val="22"/>
              </w:rPr>
            </w:pPr>
          </w:p>
          <w:p w14:paraId="160355C0" w14:textId="77777777" w:rsidR="00273D18" w:rsidRDefault="00273D18" w:rsidP="00971867">
            <w:pPr>
              <w:rPr>
                <w:rFonts w:ascii="Arial" w:hAnsi="Arial" w:cs="Arial"/>
                <w:b/>
                <w:sz w:val="22"/>
                <w:szCs w:val="22"/>
              </w:rPr>
            </w:pPr>
          </w:p>
          <w:p w14:paraId="18FD73B4" w14:textId="77777777" w:rsidR="00273D18" w:rsidRDefault="00273D18" w:rsidP="00971867">
            <w:pPr>
              <w:rPr>
                <w:rFonts w:ascii="Arial" w:hAnsi="Arial" w:cs="Arial"/>
                <w:b/>
                <w:sz w:val="22"/>
                <w:szCs w:val="22"/>
              </w:rPr>
            </w:pPr>
          </w:p>
          <w:p w14:paraId="4E4C88C5" w14:textId="77777777" w:rsidR="00273D18" w:rsidRDefault="00273D18" w:rsidP="00971867">
            <w:pPr>
              <w:rPr>
                <w:rFonts w:ascii="Arial" w:hAnsi="Arial" w:cs="Arial"/>
                <w:b/>
                <w:sz w:val="22"/>
                <w:szCs w:val="22"/>
              </w:rPr>
            </w:pPr>
          </w:p>
          <w:p w14:paraId="6927D93C" w14:textId="77777777" w:rsidR="00273D18" w:rsidRDefault="00273D18" w:rsidP="00971867">
            <w:pPr>
              <w:rPr>
                <w:rFonts w:ascii="Arial" w:hAnsi="Arial" w:cs="Arial"/>
                <w:b/>
                <w:sz w:val="22"/>
                <w:szCs w:val="22"/>
              </w:rPr>
            </w:pPr>
          </w:p>
          <w:p w14:paraId="38C5D3AD" w14:textId="77777777" w:rsidR="00273D18" w:rsidRPr="00B34964" w:rsidRDefault="00273D18" w:rsidP="00971867">
            <w:pPr>
              <w:rPr>
                <w:rFonts w:ascii="Arial" w:hAnsi="Arial" w:cs="Arial"/>
                <w:b/>
                <w:sz w:val="22"/>
                <w:szCs w:val="22"/>
              </w:rPr>
            </w:pPr>
          </w:p>
        </w:tc>
      </w:tr>
      <w:tr w:rsidR="00273D18" w:rsidRPr="002F467C" w14:paraId="15DDF6E5" w14:textId="77777777" w:rsidTr="00971867">
        <w:trPr>
          <w:trHeight w:val="720"/>
        </w:trPr>
        <w:tc>
          <w:tcPr>
            <w:tcW w:w="8856" w:type="dxa"/>
            <w:gridSpan w:val="5"/>
          </w:tcPr>
          <w:p w14:paraId="4367F0E4" w14:textId="77777777" w:rsidR="00273D18" w:rsidRPr="00B34964" w:rsidRDefault="00273D18" w:rsidP="00971867">
            <w:pPr>
              <w:rPr>
                <w:rFonts w:ascii="Arial" w:hAnsi="Arial" w:cs="Arial"/>
                <w:b/>
                <w:sz w:val="22"/>
                <w:szCs w:val="22"/>
              </w:rPr>
            </w:pPr>
            <w:r w:rsidRPr="00B34964">
              <w:rPr>
                <w:rFonts w:ascii="Arial" w:hAnsi="Arial" w:cs="Arial"/>
                <w:b/>
                <w:sz w:val="22"/>
                <w:szCs w:val="22"/>
              </w:rPr>
              <w:t>External Examiner’s comments (if relevant)</w:t>
            </w:r>
          </w:p>
          <w:p w14:paraId="05912C6E" w14:textId="77777777" w:rsidR="00273D18" w:rsidRDefault="00273D18" w:rsidP="00971867">
            <w:pPr>
              <w:pStyle w:val="NormalWeb"/>
              <w:spacing w:before="0" w:beforeAutospacing="0" w:after="0" w:afterAutospacing="0"/>
              <w:ind w:right="-334"/>
              <w:rPr>
                <w:rFonts w:ascii="Arial" w:hAnsi="Arial" w:cs="Arial"/>
                <w:bCs/>
                <w:sz w:val="22"/>
                <w:szCs w:val="22"/>
              </w:rPr>
            </w:pPr>
          </w:p>
          <w:p w14:paraId="2D622405" w14:textId="77777777" w:rsidR="00273D18" w:rsidRDefault="00273D18" w:rsidP="00971867">
            <w:pPr>
              <w:pStyle w:val="NormalWeb"/>
              <w:spacing w:before="0" w:beforeAutospacing="0" w:after="0" w:afterAutospacing="0"/>
              <w:ind w:right="-334"/>
              <w:rPr>
                <w:rFonts w:ascii="Arial" w:hAnsi="Arial" w:cs="Arial"/>
                <w:bCs/>
                <w:sz w:val="22"/>
                <w:szCs w:val="22"/>
              </w:rPr>
            </w:pPr>
          </w:p>
          <w:p w14:paraId="290CA62A" w14:textId="77777777" w:rsidR="00273D18" w:rsidRDefault="00273D18" w:rsidP="00971867">
            <w:pPr>
              <w:pStyle w:val="NormalWeb"/>
              <w:spacing w:before="0" w:beforeAutospacing="0" w:after="0" w:afterAutospacing="0"/>
              <w:ind w:right="-334"/>
              <w:rPr>
                <w:rFonts w:ascii="Arial" w:hAnsi="Arial" w:cs="Arial"/>
                <w:bCs/>
                <w:sz w:val="22"/>
                <w:szCs w:val="22"/>
              </w:rPr>
            </w:pPr>
          </w:p>
          <w:p w14:paraId="654F64A2" w14:textId="77777777" w:rsidR="00273D18" w:rsidRDefault="00273D18" w:rsidP="00971867">
            <w:pPr>
              <w:pStyle w:val="NormalWeb"/>
              <w:spacing w:before="0" w:beforeAutospacing="0" w:after="0" w:afterAutospacing="0"/>
              <w:ind w:right="-334"/>
              <w:rPr>
                <w:rFonts w:ascii="Arial" w:hAnsi="Arial" w:cs="Arial"/>
                <w:bCs/>
                <w:sz w:val="22"/>
                <w:szCs w:val="22"/>
              </w:rPr>
            </w:pPr>
          </w:p>
          <w:p w14:paraId="31D490B7"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42C08B9B"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p w14:paraId="6FB88BF4" w14:textId="77777777" w:rsidR="00273D18" w:rsidRPr="00230F35" w:rsidRDefault="00273D18" w:rsidP="00971867">
            <w:pPr>
              <w:pStyle w:val="NormalWeb"/>
              <w:spacing w:before="0" w:beforeAutospacing="0" w:after="0" w:afterAutospacing="0"/>
              <w:ind w:right="-334"/>
              <w:rPr>
                <w:rFonts w:ascii="Arial" w:hAnsi="Arial" w:cs="Arial"/>
                <w:bCs/>
                <w:sz w:val="22"/>
                <w:szCs w:val="22"/>
              </w:rPr>
            </w:pPr>
          </w:p>
        </w:tc>
      </w:tr>
      <w:tr w:rsidR="00273D18" w:rsidRPr="002F467C" w14:paraId="0134CB3C" w14:textId="77777777" w:rsidTr="00971867">
        <w:trPr>
          <w:trHeight w:val="720"/>
        </w:trPr>
        <w:tc>
          <w:tcPr>
            <w:tcW w:w="5211" w:type="dxa"/>
            <w:gridSpan w:val="2"/>
          </w:tcPr>
          <w:p w14:paraId="7F556E5A" w14:textId="77777777" w:rsidR="00273D18" w:rsidRPr="00230F35" w:rsidRDefault="00273D18" w:rsidP="00971867">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B77779F" w14:textId="77777777" w:rsidR="00273D18" w:rsidRPr="00230F35" w:rsidRDefault="00273D18" w:rsidP="00971867">
            <w:pPr>
              <w:rPr>
                <w:rFonts w:ascii="Arial" w:hAnsi="Arial" w:cs="Arial"/>
                <w:sz w:val="22"/>
                <w:szCs w:val="22"/>
              </w:rPr>
            </w:pPr>
            <w:r w:rsidRPr="00230F35">
              <w:rPr>
                <w:rFonts w:ascii="Arial" w:hAnsi="Arial" w:cs="Arial"/>
                <w:sz w:val="22"/>
                <w:szCs w:val="22"/>
              </w:rPr>
              <w:t>Date:</w:t>
            </w:r>
          </w:p>
        </w:tc>
      </w:tr>
    </w:tbl>
    <w:p w14:paraId="61656050" w14:textId="77777777" w:rsidR="00273D18" w:rsidRPr="00D67BF8" w:rsidRDefault="00273D18" w:rsidP="00273D18">
      <w:pPr>
        <w:pStyle w:val="NormalWeb"/>
        <w:spacing w:before="0" w:beforeAutospacing="0" w:after="0" w:afterAutospacing="0"/>
        <w:ind w:right="-334"/>
        <w:rPr>
          <w:rFonts w:ascii="Trebuchet MS" w:hAnsi="Trebuchet MS" w:cs="Tahoma"/>
          <w:bCs/>
          <w:sz w:val="24"/>
          <w:szCs w:val="24"/>
        </w:rPr>
      </w:pPr>
    </w:p>
    <w:p w14:paraId="0A7F47B3" w14:textId="77777777" w:rsidR="00273D18" w:rsidRDefault="00273D18">
      <w:pPr>
        <w:rPr>
          <w:rFonts w:ascii="Cambria" w:hAnsi="Cambria" w:cs="Arial"/>
          <w:b/>
          <w:bCs/>
        </w:rPr>
      </w:pPr>
      <w:r>
        <w:rPr>
          <w:rFonts w:ascii="Cambria" w:hAnsi="Cambria" w:cs="Arial"/>
          <w:b/>
          <w:bCs/>
        </w:rPr>
        <w:br w:type="page"/>
      </w:r>
    </w:p>
    <w:p w14:paraId="3F5B9CE6" w14:textId="07F62F3F" w:rsidR="005E7BD1" w:rsidRDefault="00E06782">
      <w:pPr>
        <w:rPr>
          <w:rFonts w:ascii="Cambria" w:hAnsi="Cambria" w:cs="Arial"/>
          <w:b/>
          <w:bCs/>
          <w:iCs/>
        </w:rPr>
      </w:pPr>
      <w:r w:rsidRPr="00A70618">
        <w:rPr>
          <w:rFonts w:ascii="Cambria" w:hAnsi="Cambria" w:cs="Arial"/>
          <w:b/>
          <w:bCs/>
        </w:rPr>
        <w:lastRenderedPageBreak/>
        <w:t xml:space="preserve">A Critical Review of Iamblichus’ Arguments for Divination in </w:t>
      </w:r>
      <w:r w:rsidRPr="00A70618">
        <w:rPr>
          <w:rFonts w:ascii="Cambria" w:hAnsi="Cambria" w:cs="Arial"/>
          <w:b/>
          <w:bCs/>
          <w:i/>
        </w:rPr>
        <w:t xml:space="preserve">De </w:t>
      </w:r>
      <w:proofErr w:type="spellStart"/>
      <w:r w:rsidRPr="00A70618">
        <w:rPr>
          <w:rFonts w:ascii="Cambria" w:hAnsi="Cambria" w:cs="Arial"/>
          <w:b/>
          <w:bCs/>
          <w:i/>
        </w:rPr>
        <w:t>Mysteriis</w:t>
      </w:r>
      <w:proofErr w:type="spellEnd"/>
    </w:p>
    <w:p w14:paraId="1D09C444" w14:textId="1ABB28AA" w:rsidR="00A70618" w:rsidRDefault="00A70618">
      <w:pPr>
        <w:rPr>
          <w:rFonts w:ascii="Cambria" w:hAnsi="Cambria" w:cs="Arial"/>
          <w:b/>
          <w:bCs/>
          <w:iCs/>
        </w:rPr>
      </w:pPr>
    </w:p>
    <w:p w14:paraId="1913D1EF" w14:textId="729597CC" w:rsidR="00A70618" w:rsidRDefault="00A70618">
      <w:pPr>
        <w:rPr>
          <w:rFonts w:ascii="Cambria" w:hAnsi="Cambria" w:cs="Arial"/>
          <w:iCs/>
        </w:rPr>
      </w:pPr>
      <w:r>
        <w:rPr>
          <w:rFonts w:ascii="Cambria" w:hAnsi="Cambria" w:cs="Arial"/>
          <w:iCs/>
        </w:rPr>
        <w:t xml:space="preserve">Word count: </w:t>
      </w:r>
      <w:r w:rsidR="00273D18">
        <w:rPr>
          <w:rFonts w:ascii="Cambria" w:hAnsi="Cambria" w:cs="Arial"/>
          <w:iCs/>
        </w:rPr>
        <w:t>21</w:t>
      </w:r>
      <w:r w:rsidR="008A121E">
        <w:rPr>
          <w:rFonts w:ascii="Cambria" w:hAnsi="Cambria" w:cs="Arial"/>
          <w:iCs/>
        </w:rPr>
        <w:t>81</w:t>
      </w:r>
    </w:p>
    <w:p w14:paraId="2C6482EC" w14:textId="26FF51A8" w:rsidR="00A70618" w:rsidRDefault="00A70618">
      <w:pPr>
        <w:rPr>
          <w:rFonts w:ascii="Cambria" w:hAnsi="Cambria" w:cs="Arial"/>
          <w:iCs/>
        </w:rPr>
      </w:pPr>
    </w:p>
    <w:p w14:paraId="2BEC5D2B" w14:textId="548BE71F" w:rsidR="00A70618" w:rsidRDefault="00A70618" w:rsidP="008052F7">
      <w:pPr>
        <w:spacing w:line="480" w:lineRule="auto"/>
        <w:rPr>
          <w:rFonts w:ascii="Cambria" w:hAnsi="Cambria"/>
          <w:iCs/>
        </w:rPr>
      </w:pPr>
      <w:r>
        <w:rPr>
          <w:rFonts w:ascii="Cambria" w:hAnsi="Cambria"/>
          <w:iCs/>
        </w:rPr>
        <w:t xml:space="preserve">This essay is a critical review of the arguments for divination given in the ancient text known as </w:t>
      </w:r>
      <w:r>
        <w:rPr>
          <w:rFonts w:ascii="Cambria" w:hAnsi="Cambria"/>
          <w:i/>
        </w:rPr>
        <w:t xml:space="preserve">De </w:t>
      </w:r>
      <w:proofErr w:type="spellStart"/>
      <w:r>
        <w:rPr>
          <w:rFonts w:ascii="Cambria" w:hAnsi="Cambria"/>
          <w:i/>
        </w:rPr>
        <w:t>Mysteriis</w:t>
      </w:r>
      <w:proofErr w:type="spellEnd"/>
      <w:r w:rsidR="00FB480D">
        <w:rPr>
          <w:rFonts w:ascii="Cambria" w:hAnsi="Cambria"/>
          <w:i/>
        </w:rPr>
        <w:t>.</w:t>
      </w:r>
      <w:r>
        <w:rPr>
          <w:rStyle w:val="FootnoteReference"/>
          <w:rFonts w:ascii="Cambria" w:hAnsi="Cambria"/>
          <w:i/>
        </w:rPr>
        <w:footnoteReference w:id="1"/>
      </w:r>
      <w:r>
        <w:rPr>
          <w:rFonts w:ascii="Cambria" w:hAnsi="Cambria"/>
          <w:iCs/>
        </w:rPr>
        <w:t xml:space="preserve"> </w:t>
      </w:r>
      <w:r>
        <w:rPr>
          <w:rFonts w:ascii="Cambria" w:hAnsi="Cambria"/>
          <w:i/>
        </w:rPr>
        <w:t xml:space="preserve">De </w:t>
      </w:r>
      <w:proofErr w:type="spellStart"/>
      <w:r>
        <w:rPr>
          <w:rFonts w:ascii="Cambria" w:hAnsi="Cambria"/>
          <w:i/>
        </w:rPr>
        <w:t>Mysteriis</w:t>
      </w:r>
      <w:proofErr w:type="spellEnd"/>
      <w:r>
        <w:rPr>
          <w:rFonts w:ascii="Cambria" w:hAnsi="Cambria"/>
          <w:i/>
        </w:rPr>
        <w:t xml:space="preserve"> </w:t>
      </w:r>
      <w:r>
        <w:rPr>
          <w:rFonts w:ascii="Cambria" w:hAnsi="Cambria"/>
          <w:iCs/>
        </w:rPr>
        <w:t>was written by Iamblichus, the philosopher, between 280 and 305 C.E.</w:t>
      </w:r>
      <w:r>
        <w:rPr>
          <w:rStyle w:val="FootnoteReference"/>
          <w:rFonts w:ascii="Cambria" w:hAnsi="Cambria"/>
          <w:iCs/>
        </w:rPr>
        <w:footnoteReference w:id="2"/>
      </w:r>
      <w:r>
        <w:rPr>
          <w:rFonts w:ascii="Cambria" w:hAnsi="Cambria"/>
          <w:iCs/>
        </w:rPr>
        <w:t xml:space="preserve">  It was most likely written in </w:t>
      </w:r>
      <w:proofErr w:type="spellStart"/>
      <w:r>
        <w:rPr>
          <w:rFonts w:ascii="Cambria" w:hAnsi="Cambria"/>
          <w:iCs/>
        </w:rPr>
        <w:t>Apamea</w:t>
      </w:r>
      <w:proofErr w:type="spellEnd"/>
      <w:r>
        <w:rPr>
          <w:rFonts w:ascii="Cambria" w:hAnsi="Cambria"/>
          <w:iCs/>
        </w:rPr>
        <w:t xml:space="preserve"> </w:t>
      </w:r>
      <w:r w:rsidR="00EA66B0">
        <w:rPr>
          <w:rFonts w:ascii="Cambria" w:hAnsi="Cambria"/>
          <w:iCs/>
        </w:rPr>
        <w:t>(</w:t>
      </w:r>
      <w:r>
        <w:rPr>
          <w:rFonts w:ascii="Cambria" w:hAnsi="Cambria"/>
          <w:iCs/>
        </w:rPr>
        <w:t>in Syria</w:t>
      </w:r>
      <w:r w:rsidR="00EA66B0">
        <w:rPr>
          <w:rFonts w:ascii="Cambria" w:hAnsi="Cambria"/>
          <w:iCs/>
        </w:rPr>
        <w:t>)</w:t>
      </w:r>
      <w:r>
        <w:rPr>
          <w:rFonts w:ascii="Cambria" w:hAnsi="Cambria"/>
          <w:iCs/>
        </w:rPr>
        <w:t xml:space="preserve"> where Iamblichus</w:t>
      </w:r>
      <w:r w:rsidR="00502485">
        <w:rPr>
          <w:rFonts w:ascii="Cambria" w:hAnsi="Cambria"/>
          <w:iCs/>
        </w:rPr>
        <w:t xml:space="preserve">, who had been born in </w:t>
      </w:r>
      <w:r w:rsidR="00502485" w:rsidRPr="00F915AF">
        <w:rPr>
          <w:rFonts w:ascii="Cambria" w:hAnsi="Cambria"/>
          <w:iCs/>
        </w:rPr>
        <w:t>Chalcis</w:t>
      </w:r>
      <w:r w:rsidR="00502485">
        <w:rPr>
          <w:rFonts w:ascii="Cambria" w:hAnsi="Cambria"/>
          <w:iCs/>
        </w:rPr>
        <w:t>,</w:t>
      </w:r>
      <w:r>
        <w:rPr>
          <w:rFonts w:ascii="Cambria" w:hAnsi="Cambria"/>
          <w:iCs/>
        </w:rPr>
        <w:t xml:space="preserve"> had established a school of </w:t>
      </w:r>
      <w:r w:rsidR="00502485">
        <w:rPr>
          <w:rFonts w:ascii="Cambria" w:hAnsi="Cambria"/>
          <w:iCs/>
        </w:rPr>
        <w:t>Platonic</w:t>
      </w:r>
      <w:r>
        <w:rPr>
          <w:rFonts w:ascii="Cambria" w:hAnsi="Cambria"/>
          <w:iCs/>
        </w:rPr>
        <w:t xml:space="preserve"> philosophy</w:t>
      </w:r>
      <w:r w:rsidR="00FB480D">
        <w:rPr>
          <w:rFonts w:ascii="Cambria" w:hAnsi="Cambria"/>
          <w:iCs/>
        </w:rPr>
        <w:t>.</w:t>
      </w:r>
      <w:r>
        <w:rPr>
          <w:rStyle w:val="FootnoteReference"/>
          <w:rFonts w:ascii="Cambria" w:hAnsi="Cambria"/>
          <w:iCs/>
        </w:rPr>
        <w:footnoteReference w:id="3"/>
      </w:r>
      <w:r>
        <w:rPr>
          <w:rFonts w:ascii="Cambria" w:hAnsi="Cambria"/>
          <w:iCs/>
        </w:rPr>
        <w:t xml:space="preserve">   </w:t>
      </w:r>
    </w:p>
    <w:p w14:paraId="1B48FA90" w14:textId="7CC107DF" w:rsidR="00A70618" w:rsidRDefault="00A70618" w:rsidP="008052F7">
      <w:pPr>
        <w:spacing w:line="480" w:lineRule="auto"/>
        <w:rPr>
          <w:rFonts w:ascii="Cambria" w:hAnsi="Cambria"/>
          <w:iCs/>
        </w:rPr>
      </w:pPr>
    </w:p>
    <w:p w14:paraId="6D0E7FDC" w14:textId="71033A37" w:rsidR="00A70618" w:rsidRDefault="00A70618" w:rsidP="008052F7">
      <w:pPr>
        <w:spacing w:line="480" w:lineRule="auto"/>
        <w:rPr>
          <w:rFonts w:ascii="Cambria" w:hAnsi="Cambria"/>
          <w:iCs/>
        </w:rPr>
      </w:pPr>
      <w:r>
        <w:rPr>
          <w:rFonts w:ascii="Cambria" w:hAnsi="Cambria"/>
          <w:iCs/>
        </w:rPr>
        <w:t xml:space="preserve">Iamblichus wrote </w:t>
      </w:r>
      <w:r>
        <w:rPr>
          <w:rFonts w:ascii="Cambria" w:hAnsi="Cambria"/>
          <w:i/>
        </w:rPr>
        <w:t xml:space="preserve">De </w:t>
      </w:r>
      <w:proofErr w:type="spellStart"/>
      <w:r>
        <w:rPr>
          <w:rFonts w:ascii="Cambria" w:hAnsi="Cambria"/>
          <w:i/>
        </w:rPr>
        <w:t>Mysteriis</w:t>
      </w:r>
      <w:proofErr w:type="spellEnd"/>
      <w:r>
        <w:rPr>
          <w:rFonts w:ascii="Cambria" w:hAnsi="Cambria"/>
          <w:i/>
        </w:rPr>
        <w:t xml:space="preserve"> </w:t>
      </w:r>
      <w:r>
        <w:rPr>
          <w:rFonts w:ascii="Cambria" w:hAnsi="Cambria"/>
          <w:iCs/>
        </w:rPr>
        <w:t xml:space="preserve">as a response and a refutation of another work – Porphyry’s </w:t>
      </w:r>
      <w:r>
        <w:rPr>
          <w:rFonts w:ascii="Cambria" w:hAnsi="Cambria"/>
          <w:i/>
        </w:rPr>
        <w:t xml:space="preserve">Letter to </w:t>
      </w:r>
      <w:proofErr w:type="spellStart"/>
      <w:r>
        <w:rPr>
          <w:rFonts w:ascii="Cambria" w:hAnsi="Cambria"/>
          <w:i/>
        </w:rPr>
        <w:t>Anebo</w:t>
      </w:r>
      <w:proofErr w:type="spellEnd"/>
      <w:r>
        <w:rPr>
          <w:rFonts w:ascii="Cambria" w:hAnsi="Cambria"/>
          <w:iCs/>
        </w:rPr>
        <w:t xml:space="preserve"> – which was an attack on theurgy and probably </w:t>
      </w:r>
      <w:r w:rsidR="00502485">
        <w:rPr>
          <w:rFonts w:ascii="Cambria" w:hAnsi="Cambria"/>
          <w:iCs/>
        </w:rPr>
        <w:t>focused on</w:t>
      </w:r>
      <w:r>
        <w:rPr>
          <w:rFonts w:ascii="Cambria" w:hAnsi="Cambria"/>
          <w:iCs/>
        </w:rPr>
        <w:t xml:space="preserve"> Iamblichus and what he believed</w:t>
      </w:r>
      <w:r w:rsidR="00FB480D">
        <w:rPr>
          <w:rFonts w:ascii="Cambria" w:hAnsi="Cambria"/>
          <w:iCs/>
        </w:rPr>
        <w:t>.</w:t>
      </w:r>
      <w:r>
        <w:rPr>
          <w:rStyle w:val="FootnoteReference"/>
          <w:rFonts w:ascii="Cambria" w:hAnsi="Cambria"/>
          <w:iCs/>
        </w:rPr>
        <w:footnoteReference w:id="4"/>
      </w:r>
      <w:r w:rsidR="00C11668">
        <w:rPr>
          <w:rFonts w:ascii="Cambria" w:hAnsi="Cambria"/>
          <w:iCs/>
        </w:rPr>
        <w:t xml:space="preserve">   </w:t>
      </w:r>
      <w:r w:rsidR="00502485">
        <w:rPr>
          <w:rFonts w:ascii="Cambria" w:hAnsi="Cambria"/>
          <w:iCs/>
        </w:rPr>
        <w:t>Gregory Shaw contextualises the role Iamblichus had in the development of the Platonic tradition</w:t>
      </w:r>
      <w:r w:rsidR="00FB480D">
        <w:rPr>
          <w:rFonts w:ascii="Cambria" w:hAnsi="Cambria"/>
          <w:iCs/>
        </w:rPr>
        <w:t>.</w:t>
      </w:r>
      <w:r w:rsidR="00502485">
        <w:rPr>
          <w:rStyle w:val="FootnoteReference"/>
          <w:rFonts w:ascii="Cambria" w:hAnsi="Cambria"/>
          <w:iCs/>
        </w:rPr>
        <w:footnoteReference w:id="5"/>
      </w:r>
      <w:r w:rsidR="00502485">
        <w:rPr>
          <w:rFonts w:ascii="Cambria" w:hAnsi="Cambria"/>
          <w:iCs/>
        </w:rPr>
        <w:t xml:space="preserve"> He notes the major impact Iamblichus had by introducing the concept of ‘theurgy’ to the philosophy</w:t>
      </w:r>
      <w:r w:rsidR="00FB480D">
        <w:rPr>
          <w:rFonts w:ascii="Cambria" w:hAnsi="Cambria"/>
          <w:iCs/>
        </w:rPr>
        <w:t>.</w:t>
      </w:r>
      <w:r w:rsidR="00502485">
        <w:rPr>
          <w:rStyle w:val="FootnoteReference"/>
          <w:rFonts w:ascii="Cambria" w:hAnsi="Cambria"/>
          <w:iCs/>
        </w:rPr>
        <w:footnoteReference w:id="6"/>
      </w:r>
      <w:r w:rsidR="00502485">
        <w:rPr>
          <w:rFonts w:ascii="Cambria" w:hAnsi="Cambria"/>
          <w:iCs/>
        </w:rPr>
        <w:t xml:space="preserve">  Iamblichus introduced Egyptian and Chaldean rites </w:t>
      </w:r>
      <w:r w:rsidR="0041332E">
        <w:rPr>
          <w:rFonts w:ascii="Cambria" w:hAnsi="Cambria"/>
          <w:iCs/>
        </w:rPr>
        <w:t xml:space="preserve">and </w:t>
      </w:r>
      <w:r w:rsidR="00502485">
        <w:rPr>
          <w:rFonts w:ascii="Cambria" w:hAnsi="Cambria"/>
          <w:iCs/>
        </w:rPr>
        <w:t>rituals to the intellectual enquiry and teaching in his school – these he termed ‘theurgy’ and described them as divine acts or the workings of the Gods</w:t>
      </w:r>
      <w:r w:rsidR="00FB480D">
        <w:rPr>
          <w:rFonts w:ascii="Cambria" w:hAnsi="Cambria"/>
          <w:iCs/>
        </w:rPr>
        <w:t>.</w:t>
      </w:r>
      <w:r w:rsidR="00502485">
        <w:rPr>
          <w:rStyle w:val="FootnoteReference"/>
          <w:rFonts w:ascii="Cambria" w:hAnsi="Cambria"/>
          <w:iCs/>
        </w:rPr>
        <w:footnoteReference w:id="7"/>
      </w:r>
      <w:r w:rsidR="00502485">
        <w:rPr>
          <w:rFonts w:ascii="Cambria" w:hAnsi="Cambria"/>
          <w:iCs/>
        </w:rPr>
        <w:t xml:space="preserve"> Crystal </w:t>
      </w:r>
      <w:proofErr w:type="spellStart"/>
      <w:r w:rsidR="00502485">
        <w:rPr>
          <w:rFonts w:ascii="Cambria" w:hAnsi="Cambria"/>
          <w:iCs/>
        </w:rPr>
        <w:t>Addey</w:t>
      </w:r>
      <w:proofErr w:type="spellEnd"/>
      <w:r w:rsidR="00502485">
        <w:rPr>
          <w:rFonts w:ascii="Cambria" w:hAnsi="Cambria"/>
          <w:iCs/>
        </w:rPr>
        <w:t xml:space="preserve"> has argued that the core concern of the theurgist – one practicing theurgy – is to raise their </w:t>
      </w:r>
      <w:r w:rsidR="008A121E">
        <w:rPr>
          <w:rFonts w:ascii="Cambria" w:hAnsi="Cambria"/>
          <w:iCs/>
        </w:rPr>
        <w:t>‘</w:t>
      </w:r>
      <w:r w:rsidR="00502485">
        <w:rPr>
          <w:rFonts w:ascii="Cambria" w:hAnsi="Cambria"/>
          <w:iCs/>
        </w:rPr>
        <w:t>soul to divinity, to attain union with the gods.</w:t>
      </w:r>
      <w:r w:rsidR="00FB480D">
        <w:rPr>
          <w:rFonts w:ascii="Cambria" w:hAnsi="Cambria"/>
          <w:iCs/>
        </w:rPr>
        <w:t>’</w:t>
      </w:r>
      <w:r w:rsidR="00502485">
        <w:rPr>
          <w:rStyle w:val="FootnoteReference"/>
          <w:rFonts w:ascii="Cambria" w:hAnsi="Cambria"/>
          <w:iCs/>
        </w:rPr>
        <w:footnoteReference w:id="8"/>
      </w:r>
    </w:p>
    <w:p w14:paraId="176D7BD7" w14:textId="5E34A18C" w:rsidR="00502485" w:rsidRDefault="00502485" w:rsidP="008052F7">
      <w:pPr>
        <w:spacing w:line="480" w:lineRule="auto"/>
        <w:rPr>
          <w:rFonts w:ascii="Cambria" w:hAnsi="Cambria"/>
          <w:iCs/>
        </w:rPr>
      </w:pPr>
    </w:p>
    <w:p w14:paraId="24266BC7" w14:textId="67D29F0D" w:rsidR="00502485" w:rsidRDefault="00502485" w:rsidP="008052F7">
      <w:pPr>
        <w:spacing w:line="480" w:lineRule="auto"/>
        <w:rPr>
          <w:rFonts w:ascii="Cambria" w:hAnsi="Cambria"/>
          <w:iCs/>
        </w:rPr>
      </w:pPr>
      <w:r>
        <w:rPr>
          <w:rFonts w:ascii="Cambria" w:hAnsi="Cambria"/>
          <w:iCs/>
        </w:rPr>
        <w:lastRenderedPageBreak/>
        <w:t xml:space="preserve">This is an important when considering Iamblichus’ views and defence of divination in </w:t>
      </w:r>
      <w:r>
        <w:rPr>
          <w:rFonts w:ascii="Cambria" w:hAnsi="Cambria"/>
          <w:i/>
        </w:rPr>
        <w:t xml:space="preserve">De </w:t>
      </w:r>
      <w:proofErr w:type="spellStart"/>
      <w:r>
        <w:rPr>
          <w:rFonts w:ascii="Cambria" w:hAnsi="Cambria"/>
          <w:i/>
        </w:rPr>
        <w:t>Mysteriis</w:t>
      </w:r>
      <w:proofErr w:type="spellEnd"/>
      <w:r w:rsidR="0041332E">
        <w:rPr>
          <w:rFonts w:ascii="Cambria" w:hAnsi="Cambria"/>
          <w:iCs/>
        </w:rPr>
        <w:t xml:space="preserve">. Iamblichus </w:t>
      </w:r>
      <w:r w:rsidR="00F91B64">
        <w:rPr>
          <w:rFonts w:ascii="Cambria" w:hAnsi="Cambria"/>
          <w:iCs/>
        </w:rPr>
        <w:t>repeatedly</w:t>
      </w:r>
      <w:r w:rsidR="0041332E">
        <w:rPr>
          <w:rFonts w:ascii="Cambria" w:hAnsi="Cambria"/>
          <w:iCs/>
        </w:rPr>
        <w:t xml:space="preserve"> returns to the agency of the Gods as key in truthful or real divination</w:t>
      </w:r>
      <w:r w:rsidR="00FB480D">
        <w:rPr>
          <w:rFonts w:ascii="Cambria" w:hAnsi="Cambria"/>
          <w:iCs/>
        </w:rPr>
        <w:t>.</w:t>
      </w:r>
      <w:r w:rsidR="0041332E">
        <w:rPr>
          <w:rStyle w:val="FootnoteReference"/>
          <w:rFonts w:ascii="Cambria" w:hAnsi="Cambria"/>
          <w:iCs/>
        </w:rPr>
        <w:footnoteReference w:id="9"/>
      </w:r>
      <w:r w:rsidR="0041332E">
        <w:rPr>
          <w:rFonts w:ascii="Cambria" w:hAnsi="Cambria"/>
          <w:iCs/>
        </w:rPr>
        <w:t xml:space="preserve">  </w:t>
      </w:r>
      <w:r w:rsidR="0041332E" w:rsidRPr="00F91B64">
        <w:rPr>
          <w:rFonts w:ascii="Cambria" w:hAnsi="Cambria"/>
          <w:iCs/>
        </w:rPr>
        <w:t>It c</w:t>
      </w:r>
      <w:r w:rsidR="00F91B64">
        <w:rPr>
          <w:rFonts w:ascii="Cambria" w:hAnsi="Cambria"/>
          <w:iCs/>
        </w:rPr>
        <w:t>an</w:t>
      </w:r>
      <w:r w:rsidR="0041332E" w:rsidRPr="00F91B64">
        <w:rPr>
          <w:rFonts w:ascii="Cambria" w:hAnsi="Cambria"/>
          <w:iCs/>
        </w:rPr>
        <w:t xml:space="preserve"> be argued that one point of theurgy is to facilitate or engender the correct circumstances in which the God-given divination can occur</w:t>
      </w:r>
      <w:r w:rsidR="0041332E">
        <w:rPr>
          <w:rFonts w:ascii="Cambria" w:hAnsi="Cambria"/>
          <w:iCs/>
        </w:rPr>
        <w:t>.</w:t>
      </w:r>
      <w:r w:rsidR="0041332E">
        <w:rPr>
          <w:rStyle w:val="FootnoteReference"/>
          <w:rFonts w:ascii="Cambria" w:hAnsi="Cambria"/>
          <w:iCs/>
        </w:rPr>
        <w:footnoteReference w:id="10"/>
      </w:r>
    </w:p>
    <w:p w14:paraId="76E5C7B3" w14:textId="682B0666" w:rsidR="0041332E" w:rsidRDefault="0041332E">
      <w:pPr>
        <w:rPr>
          <w:rFonts w:ascii="Cambria" w:hAnsi="Cambria"/>
          <w:iCs/>
        </w:rPr>
      </w:pPr>
    </w:p>
    <w:p w14:paraId="05681209" w14:textId="74C7EB64" w:rsidR="0041332E" w:rsidRDefault="0041332E" w:rsidP="008052F7">
      <w:pPr>
        <w:spacing w:line="480" w:lineRule="auto"/>
        <w:rPr>
          <w:rFonts w:ascii="Cambria" w:hAnsi="Cambria"/>
          <w:iCs/>
        </w:rPr>
      </w:pPr>
      <w:proofErr w:type="spellStart"/>
      <w:r>
        <w:rPr>
          <w:rFonts w:ascii="Cambria" w:hAnsi="Cambria"/>
          <w:iCs/>
        </w:rPr>
        <w:t>Addey</w:t>
      </w:r>
      <w:proofErr w:type="spellEnd"/>
      <w:r>
        <w:rPr>
          <w:rFonts w:ascii="Cambria" w:hAnsi="Cambria"/>
          <w:iCs/>
        </w:rPr>
        <w:t xml:space="preserve"> notes that the current title of Iamblichus’ work – </w:t>
      </w:r>
      <w:r>
        <w:rPr>
          <w:rFonts w:ascii="Cambria" w:hAnsi="Cambria"/>
          <w:i/>
        </w:rPr>
        <w:t xml:space="preserve">De </w:t>
      </w:r>
      <w:proofErr w:type="spellStart"/>
      <w:r>
        <w:rPr>
          <w:rFonts w:ascii="Cambria" w:hAnsi="Cambria"/>
          <w:i/>
        </w:rPr>
        <w:t>Mysteriis</w:t>
      </w:r>
      <w:proofErr w:type="spellEnd"/>
      <w:r>
        <w:rPr>
          <w:rFonts w:ascii="Cambria" w:hAnsi="Cambria"/>
          <w:i/>
        </w:rPr>
        <w:t xml:space="preserve"> </w:t>
      </w:r>
      <w:proofErr w:type="spellStart"/>
      <w:r>
        <w:rPr>
          <w:rFonts w:ascii="Cambria" w:hAnsi="Cambria"/>
          <w:i/>
        </w:rPr>
        <w:t>Aegyptorium</w:t>
      </w:r>
      <w:proofErr w:type="spellEnd"/>
      <w:r>
        <w:rPr>
          <w:rFonts w:ascii="Cambria" w:hAnsi="Cambria"/>
          <w:i/>
        </w:rPr>
        <w:t xml:space="preserve">, </w:t>
      </w:r>
      <w:proofErr w:type="spellStart"/>
      <w:r>
        <w:rPr>
          <w:rFonts w:ascii="Cambria" w:hAnsi="Cambria"/>
          <w:i/>
        </w:rPr>
        <w:t>Chaldaeorum</w:t>
      </w:r>
      <w:proofErr w:type="spellEnd"/>
      <w:r>
        <w:rPr>
          <w:rFonts w:ascii="Cambria" w:hAnsi="Cambria"/>
          <w:i/>
        </w:rPr>
        <w:t xml:space="preserve">, </w:t>
      </w:r>
      <w:proofErr w:type="spellStart"/>
      <w:r>
        <w:rPr>
          <w:rFonts w:ascii="Cambria" w:hAnsi="Cambria"/>
          <w:i/>
        </w:rPr>
        <w:t>Assyrioum</w:t>
      </w:r>
      <w:proofErr w:type="spellEnd"/>
      <w:r>
        <w:rPr>
          <w:rFonts w:ascii="Cambria" w:hAnsi="Cambria"/>
          <w:i/>
        </w:rPr>
        <w:t xml:space="preserve"> </w:t>
      </w:r>
      <w:r>
        <w:rPr>
          <w:rFonts w:ascii="Cambria" w:hAnsi="Cambria"/>
          <w:iCs/>
        </w:rPr>
        <w:t xml:space="preserve">– was applied by </w:t>
      </w:r>
      <w:proofErr w:type="spellStart"/>
      <w:r>
        <w:rPr>
          <w:rFonts w:ascii="Cambria" w:hAnsi="Cambria"/>
          <w:iCs/>
        </w:rPr>
        <w:t>Marsilio</w:t>
      </w:r>
      <w:proofErr w:type="spellEnd"/>
      <w:r>
        <w:rPr>
          <w:rFonts w:ascii="Cambria" w:hAnsi="Cambria"/>
          <w:iCs/>
        </w:rPr>
        <w:t xml:space="preserve"> Ficino and that the original title is </w:t>
      </w:r>
      <w:r>
        <w:rPr>
          <w:rFonts w:ascii="Cambria" w:hAnsi="Cambria"/>
          <w:i/>
        </w:rPr>
        <w:t xml:space="preserve">The Reply of the Master </w:t>
      </w:r>
      <w:proofErr w:type="spellStart"/>
      <w:r>
        <w:rPr>
          <w:rFonts w:ascii="Cambria" w:hAnsi="Cambria"/>
          <w:i/>
        </w:rPr>
        <w:t>Abam</w:t>
      </w:r>
      <w:r w:rsidR="008052F7">
        <w:rPr>
          <w:rFonts w:ascii="Cambria" w:hAnsi="Cambria"/>
          <w:i/>
        </w:rPr>
        <w:t>m</w:t>
      </w:r>
      <w:r>
        <w:rPr>
          <w:rFonts w:ascii="Cambria" w:hAnsi="Cambria"/>
          <w:i/>
        </w:rPr>
        <w:t>on</w:t>
      </w:r>
      <w:proofErr w:type="spellEnd"/>
      <w:r>
        <w:rPr>
          <w:rFonts w:ascii="Cambria" w:hAnsi="Cambria"/>
          <w:i/>
        </w:rPr>
        <w:t xml:space="preserve"> to the Letter of Porphyry to </w:t>
      </w:r>
      <w:proofErr w:type="spellStart"/>
      <w:r>
        <w:rPr>
          <w:rFonts w:ascii="Cambria" w:hAnsi="Cambria"/>
          <w:i/>
        </w:rPr>
        <w:t>Anebo</w:t>
      </w:r>
      <w:proofErr w:type="spellEnd"/>
      <w:r>
        <w:rPr>
          <w:rFonts w:ascii="Cambria" w:hAnsi="Cambria"/>
          <w:i/>
        </w:rPr>
        <w:t>, and the Solutions to the Questions it Contains</w:t>
      </w:r>
      <w:r w:rsidR="00FB480D">
        <w:rPr>
          <w:rFonts w:ascii="Cambria" w:hAnsi="Cambria"/>
          <w:i/>
        </w:rPr>
        <w:t>.</w:t>
      </w:r>
      <w:r w:rsidRPr="00FB480D">
        <w:rPr>
          <w:rStyle w:val="FootnoteReference"/>
          <w:rFonts w:ascii="Cambria" w:hAnsi="Cambria"/>
          <w:iCs/>
        </w:rPr>
        <w:footnoteReference w:id="11"/>
      </w:r>
      <w:r>
        <w:rPr>
          <w:rFonts w:ascii="Cambria" w:hAnsi="Cambria"/>
          <w:iCs/>
        </w:rPr>
        <w:t xml:space="preserve"> This is worth stating as it conveniently situates Iamblichus’ (and Porphyry’s though only fragments of that survive) work firmly in the Platonic tradition of Socratic method – a co-operative, argumentative dialogue grounded in asking and answering questions</w:t>
      </w:r>
      <w:r w:rsidR="00FB480D">
        <w:rPr>
          <w:rFonts w:ascii="Cambria" w:hAnsi="Cambria"/>
          <w:iCs/>
        </w:rPr>
        <w:t>.</w:t>
      </w:r>
      <w:r>
        <w:rPr>
          <w:rStyle w:val="FootnoteReference"/>
          <w:rFonts w:ascii="Cambria" w:hAnsi="Cambria"/>
          <w:iCs/>
        </w:rPr>
        <w:footnoteReference w:id="12"/>
      </w:r>
      <w:r>
        <w:rPr>
          <w:rFonts w:ascii="Cambria" w:hAnsi="Cambria"/>
          <w:iCs/>
        </w:rPr>
        <w:t xml:space="preserve">  In </w:t>
      </w:r>
      <w:r>
        <w:rPr>
          <w:rFonts w:ascii="Cambria" w:hAnsi="Cambria"/>
          <w:i/>
        </w:rPr>
        <w:t xml:space="preserve">De </w:t>
      </w:r>
      <w:proofErr w:type="spellStart"/>
      <w:r>
        <w:rPr>
          <w:rFonts w:ascii="Cambria" w:hAnsi="Cambria"/>
          <w:i/>
        </w:rPr>
        <w:t>Mysteriis</w:t>
      </w:r>
      <w:proofErr w:type="spellEnd"/>
      <w:r>
        <w:rPr>
          <w:rFonts w:ascii="Cambria" w:hAnsi="Cambria"/>
          <w:iCs/>
        </w:rPr>
        <w:t xml:space="preserve">, the method </w:t>
      </w:r>
      <w:r w:rsidR="00E83A98">
        <w:rPr>
          <w:rFonts w:ascii="Cambria" w:hAnsi="Cambria"/>
          <w:iCs/>
        </w:rPr>
        <w:t>is</w:t>
      </w:r>
      <w:r>
        <w:rPr>
          <w:rFonts w:ascii="Cambria" w:hAnsi="Cambria"/>
          <w:iCs/>
        </w:rPr>
        <w:t xml:space="preserve"> obvious as Iamblichus helpfully quote</w:t>
      </w:r>
      <w:r w:rsidR="00E83A98">
        <w:rPr>
          <w:rFonts w:ascii="Cambria" w:hAnsi="Cambria"/>
          <w:iCs/>
        </w:rPr>
        <w:t>s</w:t>
      </w:r>
      <w:r>
        <w:rPr>
          <w:rFonts w:ascii="Cambria" w:hAnsi="Cambria"/>
          <w:iCs/>
        </w:rPr>
        <w:t xml:space="preserve"> from Porphyry’s letter in order to craft his rebuttal of the latter’s argument</w:t>
      </w:r>
      <w:r w:rsidR="00FB480D">
        <w:rPr>
          <w:rFonts w:ascii="Cambria" w:hAnsi="Cambria"/>
          <w:iCs/>
        </w:rPr>
        <w:t>.</w:t>
      </w:r>
      <w:r>
        <w:rPr>
          <w:rStyle w:val="FootnoteReference"/>
          <w:rFonts w:ascii="Cambria" w:hAnsi="Cambria"/>
          <w:iCs/>
        </w:rPr>
        <w:footnoteReference w:id="13"/>
      </w:r>
      <w:r w:rsidR="008052F7">
        <w:rPr>
          <w:rFonts w:ascii="Cambria" w:hAnsi="Cambria"/>
          <w:iCs/>
        </w:rPr>
        <w:t xml:space="preserve">  The fact that Iamblichus chooses to use a pseudonym of an ‘Egyptian priest’ perhaps was his of way of pointing </w:t>
      </w:r>
      <w:r w:rsidR="00F91B64">
        <w:rPr>
          <w:rFonts w:ascii="Cambria" w:hAnsi="Cambria"/>
          <w:iCs/>
        </w:rPr>
        <w:t xml:space="preserve">to </w:t>
      </w:r>
      <w:r w:rsidR="008052F7">
        <w:rPr>
          <w:rFonts w:ascii="Cambria" w:hAnsi="Cambria"/>
          <w:iCs/>
        </w:rPr>
        <w:t>a reverence for the Egyptian sources of the ritual framework although this has been disputed by Clarke and others</w:t>
      </w:r>
      <w:r w:rsidR="008052F7">
        <w:rPr>
          <w:rStyle w:val="FootnoteReference"/>
          <w:rFonts w:ascii="Cambria" w:hAnsi="Cambria"/>
          <w:iCs/>
        </w:rPr>
        <w:footnoteReference w:id="14"/>
      </w:r>
      <w:r w:rsidR="008052F7">
        <w:rPr>
          <w:rFonts w:ascii="Cambria" w:hAnsi="Cambria"/>
          <w:iCs/>
        </w:rPr>
        <w:t>.</w:t>
      </w:r>
    </w:p>
    <w:p w14:paraId="50D381BA" w14:textId="5D248CBE" w:rsidR="00E83A98" w:rsidRDefault="00E83A98" w:rsidP="008052F7">
      <w:pPr>
        <w:spacing w:line="480" w:lineRule="auto"/>
        <w:rPr>
          <w:rFonts w:ascii="Cambria" w:hAnsi="Cambria"/>
          <w:iCs/>
        </w:rPr>
      </w:pPr>
    </w:p>
    <w:p w14:paraId="0710C5CC" w14:textId="0E050639" w:rsidR="00E83A98" w:rsidRDefault="00E83A98" w:rsidP="008052F7">
      <w:pPr>
        <w:spacing w:line="480" w:lineRule="auto"/>
        <w:rPr>
          <w:rFonts w:ascii="Cambria" w:hAnsi="Cambria"/>
          <w:iCs/>
        </w:rPr>
      </w:pPr>
      <w:r>
        <w:rPr>
          <w:rFonts w:ascii="Cambria" w:hAnsi="Cambria"/>
          <w:iCs/>
        </w:rPr>
        <w:t xml:space="preserve">Iamblichus’ arguments for the nature of divination are found mainly in Book 3 of </w:t>
      </w:r>
      <w:r>
        <w:rPr>
          <w:rFonts w:ascii="Cambria" w:hAnsi="Cambria"/>
          <w:i/>
        </w:rPr>
        <w:t xml:space="preserve">De </w:t>
      </w:r>
      <w:proofErr w:type="spellStart"/>
      <w:r>
        <w:rPr>
          <w:rFonts w:ascii="Cambria" w:hAnsi="Cambria"/>
          <w:i/>
        </w:rPr>
        <w:t>Mysteriis</w:t>
      </w:r>
      <w:proofErr w:type="spellEnd"/>
      <w:r>
        <w:rPr>
          <w:rFonts w:ascii="Cambria" w:hAnsi="Cambria"/>
          <w:iCs/>
        </w:rPr>
        <w:t>.  He begins wit</w:t>
      </w:r>
      <w:r w:rsidR="008052F7">
        <w:rPr>
          <w:rFonts w:ascii="Cambria" w:hAnsi="Cambria"/>
          <w:iCs/>
        </w:rPr>
        <w:t xml:space="preserve">h considering Porphyry’s need to know </w:t>
      </w:r>
      <w:r w:rsidR="00FB480D">
        <w:rPr>
          <w:rFonts w:ascii="Cambria" w:hAnsi="Cambria"/>
          <w:iCs/>
        </w:rPr>
        <w:t>‘</w:t>
      </w:r>
      <w:r w:rsidR="008052F7">
        <w:rPr>
          <w:rFonts w:ascii="Cambria" w:hAnsi="Cambria"/>
          <w:iCs/>
        </w:rPr>
        <w:t>“what happens in predicting the future,”</w:t>
      </w:r>
      <w:r w:rsidR="00FB480D">
        <w:rPr>
          <w:rFonts w:ascii="Cambria" w:hAnsi="Cambria"/>
          <w:iCs/>
        </w:rPr>
        <w:t>’</w:t>
      </w:r>
      <w:r w:rsidR="008052F7">
        <w:rPr>
          <w:rStyle w:val="FootnoteReference"/>
          <w:rFonts w:ascii="Cambria" w:hAnsi="Cambria"/>
          <w:iCs/>
        </w:rPr>
        <w:footnoteReference w:id="15"/>
      </w:r>
      <w:r w:rsidR="008052F7">
        <w:rPr>
          <w:rFonts w:ascii="Cambria" w:hAnsi="Cambria"/>
          <w:iCs/>
        </w:rPr>
        <w:t xml:space="preserve"> and challenges prevailing notions of where divine signs </w:t>
      </w:r>
      <w:r w:rsidR="008052F7">
        <w:rPr>
          <w:rFonts w:ascii="Cambria" w:hAnsi="Cambria"/>
          <w:iCs/>
        </w:rPr>
        <w:lastRenderedPageBreak/>
        <w:t>originate.  The tone from the beginning is robust and occasionally hectoring</w:t>
      </w:r>
      <w:r w:rsidR="00FB480D">
        <w:rPr>
          <w:rFonts w:ascii="Cambria" w:hAnsi="Cambria"/>
          <w:iCs/>
        </w:rPr>
        <w:t>.</w:t>
      </w:r>
      <w:r w:rsidR="008052F7">
        <w:rPr>
          <w:rStyle w:val="FootnoteReference"/>
          <w:rFonts w:ascii="Cambria" w:hAnsi="Cambria"/>
          <w:iCs/>
        </w:rPr>
        <w:footnoteReference w:id="16"/>
      </w:r>
      <w:r w:rsidR="008052F7">
        <w:rPr>
          <w:rFonts w:ascii="Cambria" w:hAnsi="Cambria"/>
          <w:iCs/>
        </w:rPr>
        <w:t xml:space="preserve">  Divination is not something that comes into existence like a natural change and it does not behave like one; and he is adamant that it is not an invented product or artefact acquired through practice of </w:t>
      </w:r>
      <w:proofErr w:type="gramStart"/>
      <w:r w:rsidR="008052F7">
        <w:rPr>
          <w:rFonts w:ascii="Cambria" w:hAnsi="Cambria"/>
          <w:iCs/>
        </w:rPr>
        <w:t>techniques, or</w:t>
      </w:r>
      <w:proofErr w:type="gramEnd"/>
      <w:r w:rsidR="008052F7">
        <w:rPr>
          <w:rFonts w:ascii="Cambria" w:hAnsi="Cambria"/>
          <w:iCs/>
        </w:rPr>
        <w:t xml:space="preserve"> </w:t>
      </w:r>
      <w:r w:rsidR="00F91B64">
        <w:rPr>
          <w:rFonts w:ascii="Cambria" w:hAnsi="Cambria"/>
          <w:iCs/>
        </w:rPr>
        <w:t xml:space="preserve">is </w:t>
      </w:r>
      <w:r w:rsidR="008052F7">
        <w:rPr>
          <w:rFonts w:ascii="Cambria" w:hAnsi="Cambria"/>
          <w:iCs/>
        </w:rPr>
        <w:t>at all a human achievement</w:t>
      </w:r>
      <w:r w:rsidR="00FB480D">
        <w:rPr>
          <w:rFonts w:ascii="Cambria" w:hAnsi="Cambria"/>
          <w:iCs/>
        </w:rPr>
        <w:t>.</w:t>
      </w:r>
      <w:r w:rsidR="008052F7">
        <w:rPr>
          <w:rStyle w:val="FootnoteReference"/>
          <w:rFonts w:ascii="Cambria" w:hAnsi="Cambria"/>
          <w:iCs/>
        </w:rPr>
        <w:footnoteReference w:id="17"/>
      </w:r>
      <w:r w:rsidR="008052F7">
        <w:rPr>
          <w:rFonts w:ascii="Cambria" w:hAnsi="Cambria"/>
          <w:iCs/>
        </w:rPr>
        <w:t xml:space="preserve">  Instead, Iamblichus anchors divination as a gift of the Gods:</w:t>
      </w:r>
    </w:p>
    <w:p w14:paraId="5ED40098" w14:textId="02A8D9C7" w:rsidR="00E83A98" w:rsidRPr="00EA66B0" w:rsidRDefault="008052F7" w:rsidP="00EA66B0">
      <w:pPr>
        <w:ind w:left="720"/>
        <w:rPr>
          <w:rFonts w:ascii="Cambria" w:hAnsi="Cambria"/>
          <w:iCs/>
          <w:lang w:val="en-US"/>
        </w:rPr>
      </w:pPr>
      <w:r>
        <w:rPr>
          <w:rFonts w:ascii="Cambria" w:hAnsi="Cambria"/>
          <w:iCs/>
          <w:lang w:val="en-US"/>
        </w:rPr>
        <w:t>…</w:t>
      </w:r>
      <w:r w:rsidR="00E83A98" w:rsidRPr="00E83A98">
        <w:rPr>
          <w:rFonts w:ascii="Cambria" w:hAnsi="Cambria"/>
          <w:iCs/>
          <w:lang w:val="en-US"/>
        </w:rPr>
        <w:t xml:space="preserve">all of its supreme power belongs to the gods, and is bestowed by the gods... All </w:t>
      </w:r>
      <w:r w:rsidR="00FB480D">
        <w:rPr>
          <w:rFonts w:ascii="Cambria" w:hAnsi="Cambria"/>
          <w:iCs/>
          <w:lang w:val="en-US"/>
        </w:rPr>
        <w:t>else</w:t>
      </w:r>
      <w:r w:rsidR="00E83A98" w:rsidRPr="00E83A98">
        <w:rPr>
          <w:rFonts w:ascii="Cambria" w:hAnsi="Cambria"/>
          <w:iCs/>
          <w:lang w:val="en-US"/>
        </w:rPr>
        <w:t xml:space="preserve"> is subordinate, instrumental to the gift of foreknowledge sent down by the god</w:t>
      </w:r>
      <w:r w:rsidR="00F91B64">
        <w:rPr>
          <w:rFonts w:ascii="Cambria" w:hAnsi="Cambria"/>
          <w:iCs/>
          <w:lang w:val="en-US"/>
        </w:rPr>
        <w:t>s.</w:t>
      </w:r>
      <w:r w:rsidR="00FB480D">
        <w:rPr>
          <w:rStyle w:val="FootnoteReference"/>
          <w:rFonts w:ascii="Cambria" w:hAnsi="Cambria"/>
          <w:iCs/>
          <w:lang w:val="en-US"/>
        </w:rPr>
        <w:footnoteReference w:id="18"/>
      </w:r>
    </w:p>
    <w:p w14:paraId="77E63CA7" w14:textId="77777777" w:rsidR="00FB480D" w:rsidRPr="00E83A98" w:rsidRDefault="00FB480D" w:rsidP="008052F7">
      <w:pPr>
        <w:ind w:left="720"/>
        <w:rPr>
          <w:rFonts w:ascii="Cambria" w:hAnsi="Cambria"/>
          <w:iCs/>
          <w:lang w:val="en-US"/>
        </w:rPr>
      </w:pPr>
    </w:p>
    <w:p w14:paraId="05678A41" w14:textId="61B9CE84" w:rsidR="007E00A2" w:rsidRDefault="00E83A98" w:rsidP="00FB480D">
      <w:pPr>
        <w:spacing w:line="480" w:lineRule="auto"/>
        <w:jc w:val="both"/>
        <w:rPr>
          <w:rFonts w:ascii="Cambria" w:hAnsi="Cambria"/>
          <w:iCs/>
          <w:lang w:val="en-US"/>
        </w:rPr>
      </w:pPr>
      <w:r w:rsidRPr="00E83A98">
        <w:rPr>
          <w:rFonts w:ascii="Cambria" w:hAnsi="Cambria"/>
          <w:iCs/>
          <w:noProof/>
          <w:lang w:val="en-US"/>
        </w:rPr>
        <mc:AlternateContent>
          <mc:Choice Requires="wps">
            <w:drawing>
              <wp:anchor distT="0" distB="0" distL="114300" distR="114300" simplePos="0" relativeHeight="251659264" behindDoc="1" locked="0" layoutInCell="1" allowOverlap="1" wp14:anchorId="2C61DDE6" wp14:editId="418A7E39">
                <wp:simplePos x="0" y="0"/>
                <wp:positionH relativeFrom="page">
                  <wp:posOffset>4589780</wp:posOffset>
                </wp:positionH>
                <wp:positionV relativeFrom="paragraph">
                  <wp:posOffset>2745740</wp:posOffset>
                </wp:positionV>
                <wp:extent cx="29845" cy="99695"/>
                <wp:effectExtent l="0" t="0" r="0" b="0"/>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9845" cy="99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84D06" w14:textId="77777777" w:rsidR="00E83A98" w:rsidRDefault="00E83A98" w:rsidP="00E83A98">
                            <w:pPr>
                              <w:spacing w:line="157" w:lineRule="exact"/>
                              <w:rPr>
                                <w:rFonts w:ascii="Arial" w:hAnsi="Arial"/>
                                <w:sz w:val="14"/>
                              </w:rPr>
                            </w:pPr>
                            <w:r>
                              <w:rPr>
                                <w:rFonts w:ascii="Arial" w:hAnsi="Arial"/>
                                <w:w w:val="95"/>
                                <w:sz w:val="1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1DDE6" id="_x0000_t202" coordsize="21600,21600" o:spt="202" path="m,l,21600r21600,l21600,xe">
                <v:stroke joinstyle="miter"/>
                <v:path gradientshapeok="t" o:connecttype="rect"/>
              </v:shapetype>
              <v:shape id="Text Box 12" o:spid="_x0000_s1026" type="#_x0000_t202" style="position:absolute;left:0;text-align:left;margin-left:361.4pt;margin-top:216.2pt;width:2.35pt;height:7.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" filled="f" stroked="f">
                <v:path arrowok="t"/>
                <v:textbox inset="0,0,0,0">
                  <w:txbxContent>
                    <w:p w14:paraId="5AA84D06" w14:textId="77777777" w:rsidR="00E83A98" w:rsidRDefault="00E83A98" w:rsidP="00E83A98">
                      <w:pPr>
                        <w:spacing w:line="157" w:lineRule="exact"/>
                        <w:rPr>
                          <w:rFonts w:ascii="Arial" w:hAnsi="Arial"/>
                          <w:sz w:val="14"/>
                        </w:rPr>
                      </w:pPr>
                      <w:r>
                        <w:rPr>
                          <w:rFonts w:ascii="Arial" w:hAnsi="Arial"/>
                          <w:w w:val="95"/>
                          <w:sz w:val="14"/>
                        </w:rPr>
                        <w:t>•</w:t>
                      </w:r>
                    </w:p>
                  </w:txbxContent>
                </v:textbox>
                <w10:wrap anchorx="page"/>
              </v:shape>
            </w:pict>
          </mc:Fallback>
        </mc:AlternateContent>
      </w:r>
      <w:r w:rsidR="00FB480D">
        <w:rPr>
          <w:rFonts w:ascii="Cambria" w:hAnsi="Cambria"/>
          <w:iCs/>
          <w:lang w:val="en-US"/>
        </w:rPr>
        <w:t>Peter Struck has commented upon the</w:t>
      </w:r>
      <w:r w:rsidRPr="00E83A98">
        <w:rPr>
          <w:rFonts w:ascii="Cambria" w:hAnsi="Cambria"/>
          <w:iCs/>
          <w:lang w:val="en-US"/>
        </w:rPr>
        <w:t xml:space="preserve"> negativity </w:t>
      </w:r>
      <w:r w:rsidR="00FB480D">
        <w:rPr>
          <w:rFonts w:ascii="Cambria" w:hAnsi="Cambria"/>
          <w:iCs/>
          <w:lang w:val="en-US"/>
        </w:rPr>
        <w:t xml:space="preserve">of </w:t>
      </w:r>
      <w:r w:rsidRPr="00E83A98">
        <w:rPr>
          <w:rFonts w:ascii="Cambria" w:hAnsi="Cambria"/>
          <w:iCs/>
          <w:lang w:val="en-US"/>
        </w:rPr>
        <w:t xml:space="preserve">the rhetoric, </w:t>
      </w:r>
      <w:r w:rsidR="00FB480D">
        <w:rPr>
          <w:rFonts w:ascii="Cambria" w:hAnsi="Cambria"/>
          <w:iCs/>
          <w:lang w:val="en-US"/>
        </w:rPr>
        <w:t>calling it</w:t>
      </w:r>
      <w:r w:rsidRPr="00E83A98">
        <w:rPr>
          <w:rFonts w:ascii="Cambria" w:hAnsi="Cambria"/>
          <w:iCs/>
          <w:lang w:val="en-US"/>
        </w:rPr>
        <w:t xml:space="preserve"> the most striking aspect of</w:t>
      </w:r>
      <w:r w:rsidR="00FB480D">
        <w:rPr>
          <w:rFonts w:ascii="Cambria" w:hAnsi="Cambria"/>
          <w:iCs/>
          <w:lang w:val="en-US"/>
        </w:rPr>
        <w:t xml:space="preserve"> </w:t>
      </w:r>
      <w:proofErr w:type="spellStart"/>
      <w:r w:rsidRPr="00E83A98">
        <w:rPr>
          <w:rFonts w:ascii="Cambria" w:hAnsi="Cambria"/>
          <w:iCs/>
          <w:lang w:val="en-US"/>
        </w:rPr>
        <w:t>lamblichus</w:t>
      </w:r>
      <w:proofErr w:type="spellEnd"/>
      <w:r w:rsidRPr="00E83A98">
        <w:rPr>
          <w:rFonts w:ascii="Cambria" w:hAnsi="Cambria"/>
          <w:iCs/>
          <w:lang w:val="en-US"/>
        </w:rPr>
        <w:t xml:space="preserve">' ideas on </w:t>
      </w:r>
      <w:proofErr w:type="spellStart"/>
      <w:r w:rsidRPr="00E83A98">
        <w:rPr>
          <w:rFonts w:ascii="Cambria" w:hAnsi="Cambria"/>
          <w:i/>
          <w:iCs/>
          <w:lang w:val="en-US"/>
        </w:rPr>
        <w:t>mantike</w:t>
      </w:r>
      <w:proofErr w:type="spellEnd"/>
      <w:r w:rsidR="00FB480D">
        <w:rPr>
          <w:rFonts w:ascii="Cambria" w:hAnsi="Cambria"/>
          <w:lang w:val="en-US"/>
        </w:rPr>
        <w:t xml:space="preserve"> (</w:t>
      </w:r>
      <w:proofErr w:type="gramStart"/>
      <w:r w:rsidR="00FB480D">
        <w:rPr>
          <w:rFonts w:ascii="Cambria" w:hAnsi="Cambria"/>
          <w:lang w:val="en-US"/>
        </w:rPr>
        <w:t>i.e.</w:t>
      </w:r>
      <w:proofErr w:type="gramEnd"/>
      <w:r w:rsidR="00FB480D">
        <w:rPr>
          <w:rFonts w:ascii="Cambria" w:hAnsi="Cambria"/>
          <w:lang w:val="en-US"/>
        </w:rPr>
        <w:t xml:space="preserve"> divination).</w:t>
      </w:r>
      <w:r w:rsidR="00FB480D">
        <w:rPr>
          <w:rStyle w:val="FootnoteReference"/>
          <w:rFonts w:ascii="Cambria" w:hAnsi="Cambria"/>
          <w:lang w:val="en-US"/>
        </w:rPr>
        <w:footnoteReference w:id="19"/>
      </w:r>
      <w:r w:rsidRPr="00E83A98">
        <w:rPr>
          <w:rFonts w:ascii="Cambria" w:hAnsi="Cambria"/>
          <w:iCs/>
          <w:lang w:val="en-US"/>
        </w:rPr>
        <w:t xml:space="preserve"> </w:t>
      </w:r>
      <w:r w:rsidR="007E00A2">
        <w:rPr>
          <w:rFonts w:ascii="Cambria" w:hAnsi="Cambria"/>
          <w:iCs/>
          <w:lang w:val="en-US"/>
        </w:rPr>
        <w:t>Iamblichus insists that t</w:t>
      </w:r>
      <w:r w:rsidRPr="00E83A98">
        <w:rPr>
          <w:rFonts w:ascii="Cambria" w:hAnsi="Cambria"/>
          <w:iCs/>
          <w:lang w:val="en-US"/>
        </w:rPr>
        <w:t xml:space="preserve">hose who have </w:t>
      </w:r>
      <w:r w:rsidR="007E00A2">
        <w:rPr>
          <w:rFonts w:ascii="Cambria" w:hAnsi="Cambria"/>
          <w:iCs/>
          <w:lang w:val="en-US"/>
        </w:rPr>
        <w:t>attempted to</w:t>
      </w:r>
      <w:r w:rsidRPr="00E83A98">
        <w:rPr>
          <w:rFonts w:ascii="Cambria" w:hAnsi="Cambria"/>
          <w:iCs/>
          <w:lang w:val="en-US"/>
        </w:rPr>
        <w:t xml:space="preserve"> explain divin</w:t>
      </w:r>
      <w:r w:rsidR="007E00A2">
        <w:rPr>
          <w:rFonts w:ascii="Cambria" w:hAnsi="Cambria"/>
          <w:iCs/>
          <w:lang w:val="en-US"/>
        </w:rPr>
        <w:t>ation</w:t>
      </w:r>
      <w:r w:rsidRPr="00E83A98">
        <w:rPr>
          <w:rFonts w:ascii="Cambria" w:hAnsi="Cambria"/>
          <w:iCs/>
          <w:lang w:val="en-US"/>
        </w:rPr>
        <w:t xml:space="preserve"> </w:t>
      </w:r>
      <w:r w:rsidR="007E00A2">
        <w:rPr>
          <w:rFonts w:ascii="Cambria" w:hAnsi="Cambria"/>
          <w:iCs/>
          <w:lang w:val="en-US"/>
        </w:rPr>
        <w:t>via human</w:t>
      </w:r>
      <w:r w:rsidRPr="00E83A98">
        <w:rPr>
          <w:rFonts w:ascii="Cambria" w:hAnsi="Cambria"/>
          <w:iCs/>
          <w:lang w:val="en-US"/>
        </w:rPr>
        <w:t xml:space="preserve"> nature,</w:t>
      </w:r>
      <w:r w:rsidR="007E00A2">
        <w:rPr>
          <w:rFonts w:ascii="Cambria" w:hAnsi="Cambria"/>
          <w:iCs/>
          <w:lang w:val="en-US"/>
        </w:rPr>
        <w:t xml:space="preserve"> or by </w:t>
      </w:r>
      <w:r w:rsidR="00F91B64">
        <w:rPr>
          <w:rFonts w:ascii="Cambria" w:hAnsi="Cambria"/>
          <w:iCs/>
          <w:lang w:val="en-US"/>
        </w:rPr>
        <w:t xml:space="preserve">physical </w:t>
      </w:r>
      <w:r w:rsidR="007E00A2">
        <w:rPr>
          <w:rFonts w:ascii="Cambria" w:hAnsi="Cambria"/>
          <w:iCs/>
          <w:lang w:val="en-US"/>
        </w:rPr>
        <w:t>aspects of the cosmos, local environments or atmosphere</w:t>
      </w:r>
      <w:r w:rsidRPr="00E83A98">
        <w:rPr>
          <w:rFonts w:ascii="Cambria" w:hAnsi="Cambria"/>
          <w:iCs/>
          <w:lang w:val="en-US"/>
        </w:rPr>
        <w:t xml:space="preserve"> have been misguided. </w:t>
      </w:r>
      <w:r w:rsidR="007E00A2">
        <w:rPr>
          <w:rStyle w:val="FootnoteReference"/>
          <w:rFonts w:ascii="Cambria" w:hAnsi="Cambria"/>
          <w:iCs/>
          <w:lang w:val="en-US"/>
        </w:rPr>
        <w:footnoteReference w:id="20"/>
      </w:r>
    </w:p>
    <w:p w14:paraId="64CD3604" w14:textId="77777777" w:rsidR="007E00A2" w:rsidRDefault="007E00A2" w:rsidP="00FB480D">
      <w:pPr>
        <w:spacing w:line="480" w:lineRule="auto"/>
        <w:jc w:val="both"/>
        <w:rPr>
          <w:rFonts w:ascii="Cambria" w:hAnsi="Cambria"/>
          <w:iCs/>
          <w:lang w:val="en-US"/>
        </w:rPr>
      </w:pPr>
    </w:p>
    <w:p w14:paraId="6C784788" w14:textId="659AEA7D" w:rsidR="007E00A2" w:rsidRDefault="007E00A2" w:rsidP="00FB480D">
      <w:pPr>
        <w:spacing w:line="480" w:lineRule="auto"/>
        <w:jc w:val="both"/>
        <w:rPr>
          <w:rFonts w:ascii="Cambria" w:hAnsi="Cambria"/>
          <w:iCs/>
          <w:lang w:val="en-US"/>
        </w:rPr>
      </w:pPr>
      <w:r>
        <w:rPr>
          <w:rFonts w:ascii="Cambria" w:hAnsi="Cambria"/>
          <w:iCs/>
          <w:lang w:val="en-US"/>
        </w:rPr>
        <w:t>Then, in a novel departure from his predecessors according to Struck</w:t>
      </w:r>
      <w:r>
        <w:rPr>
          <w:rStyle w:val="FootnoteReference"/>
          <w:rFonts w:ascii="Cambria" w:hAnsi="Cambria"/>
          <w:iCs/>
          <w:lang w:val="en-US"/>
        </w:rPr>
        <w:footnoteReference w:id="21"/>
      </w:r>
      <w:r>
        <w:rPr>
          <w:rFonts w:ascii="Cambria" w:hAnsi="Cambria"/>
          <w:iCs/>
          <w:lang w:val="en-US"/>
        </w:rPr>
        <w:t xml:space="preserve"> although </w:t>
      </w:r>
      <w:proofErr w:type="spellStart"/>
      <w:r>
        <w:rPr>
          <w:rFonts w:ascii="Cambria" w:hAnsi="Cambria"/>
          <w:iCs/>
          <w:lang w:val="en-US"/>
        </w:rPr>
        <w:t>Addey</w:t>
      </w:r>
      <w:proofErr w:type="spellEnd"/>
      <w:r>
        <w:rPr>
          <w:rFonts w:ascii="Cambria" w:hAnsi="Cambria"/>
          <w:iCs/>
          <w:lang w:val="en-US"/>
        </w:rPr>
        <w:t xml:space="preserve"> </w:t>
      </w:r>
      <w:r w:rsidR="00F91B64">
        <w:rPr>
          <w:rFonts w:ascii="Cambria" w:hAnsi="Cambria"/>
          <w:iCs/>
          <w:lang w:val="en-US"/>
        </w:rPr>
        <w:t>notes</w:t>
      </w:r>
      <w:r>
        <w:rPr>
          <w:rFonts w:ascii="Cambria" w:hAnsi="Cambria"/>
          <w:iCs/>
          <w:lang w:val="en-US"/>
        </w:rPr>
        <w:t xml:space="preserve"> it is based on traditional concept</w:t>
      </w:r>
      <w:r w:rsidR="00F91B64">
        <w:rPr>
          <w:rFonts w:ascii="Cambria" w:hAnsi="Cambria"/>
          <w:iCs/>
          <w:lang w:val="en-US"/>
        </w:rPr>
        <w:t>s</w:t>
      </w:r>
      <w:r>
        <w:rPr>
          <w:rStyle w:val="FootnoteReference"/>
          <w:rFonts w:ascii="Cambria" w:hAnsi="Cambria"/>
          <w:iCs/>
          <w:lang w:val="en-US"/>
        </w:rPr>
        <w:footnoteReference w:id="22"/>
      </w:r>
      <w:r>
        <w:rPr>
          <w:rFonts w:ascii="Cambria" w:hAnsi="Cambria"/>
          <w:iCs/>
          <w:lang w:val="en-US"/>
        </w:rPr>
        <w:t xml:space="preserve">, Iamblichus divides divination into two categories. </w:t>
      </w:r>
      <w:proofErr w:type="spellStart"/>
      <w:r>
        <w:rPr>
          <w:rFonts w:ascii="Cambria" w:hAnsi="Cambria"/>
          <w:iCs/>
          <w:lang w:val="en-US"/>
        </w:rPr>
        <w:t>Addey</w:t>
      </w:r>
      <w:proofErr w:type="spellEnd"/>
      <w:r>
        <w:rPr>
          <w:rFonts w:ascii="Cambria" w:hAnsi="Cambria"/>
          <w:iCs/>
          <w:lang w:val="en-US"/>
        </w:rPr>
        <w:t xml:space="preserve"> </w:t>
      </w:r>
      <w:r w:rsidR="00F91B64">
        <w:rPr>
          <w:rFonts w:ascii="Cambria" w:hAnsi="Cambria"/>
          <w:iCs/>
          <w:lang w:val="en-US"/>
        </w:rPr>
        <w:t>records</w:t>
      </w:r>
      <w:r>
        <w:rPr>
          <w:rFonts w:ascii="Cambria" w:hAnsi="Cambria"/>
          <w:iCs/>
          <w:lang w:val="en-US"/>
        </w:rPr>
        <w:t xml:space="preserve"> these as ‘inspired’ and ‘inductive’.</w:t>
      </w:r>
      <w:r>
        <w:rPr>
          <w:rStyle w:val="FootnoteReference"/>
          <w:rFonts w:ascii="Cambria" w:hAnsi="Cambria"/>
          <w:iCs/>
          <w:lang w:val="en-US"/>
        </w:rPr>
        <w:footnoteReference w:id="23"/>
      </w:r>
      <w:r>
        <w:rPr>
          <w:rFonts w:ascii="Cambria" w:hAnsi="Cambria"/>
          <w:iCs/>
          <w:lang w:val="en-US"/>
        </w:rPr>
        <w:t xml:space="preserve"> For Iamblichus, </w:t>
      </w:r>
      <w:r w:rsidR="00732AB6">
        <w:rPr>
          <w:rFonts w:ascii="Cambria" w:hAnsi="Cambria"/>
          <w:iCs/>
          <w:lang w:val="en-US"/>
        </w:rPr>
        <w:t>the inspired version – which includes oracles and possession - is the ‘true’ or ‘divine’ one whereas the ‘inductive’ – which is enmeshed in the material world and includes aspects such as augury or haruspicy – cannot be considered to be authentic</w:t>
      </w:r>
      <w:r w:rsidR="00732AB6">
        <w:rPr>
          <w:rStyle w:val="FootnoteReference"/>
          <w:rFonts w:ascii="Cambria" w:hAnsi="Cambria"/>
          <w:iCs/>
          <w:lang w:val="en-US"/>
        </w:rPr>
        <w:footnoteReference w:id="24"/>
      </w:r>
      <w:r w:rsidR="00732AB6">
        <w:rPr>
          <w:rFonts w:ascii="Cambria" w:hAnsi="Cambria"/>
          <w:iCs/>
          <w:lang w:val="en-US"/>
        </w:rPr>
        <w:t>.</w:t>
      </w:r>
    </w:p>
    <w:p w14:paraId="5B096878" w14:textId="77777777" w:rsidR="007E00A2" w:rsidRDefault="007E00A2" w:rsidP="00FB480D">
      <w:pPr>
        <w:spacing w:line="480" w:lineRule="auto"/>
        <w:jc w:val="both"/>
        <w:rPr>
          <w:rFonts w:ascii="Cambria" w:hAnsi="Cambria"/>
          <w:iCs/>
          <w:lang w:val="en-US"/>
        </w:rPr>
      </w:pPr>
    </w:p>
    <w:p w14:paraId="57430F1A" w14:textId="23DD3390" w:rsidR="00600821" w:rsidRPr="00EE070D" w:rsidRDefault="00732AB6" w:rsidP="00EE070D">
      <w:pPr>
        <w:spacing w:line="480" w:lineRule="auto"/>
        <w:jc w:val="both"/>
        <w:rPr>
          <w:sz w:val="22"/>
          <w:szCs w:val="22"/>
        </w:rPr>
      </w:pPr>
      <w:r>
        <w:rPr>
          <w:rFonts w:ascii="Cambria" w:hAnsi="Cambria"/>
          <w:iCs/>
          <w:lang w:val="en-US"/>
        </w:rPr>
        <w:lastRenderedPageBreak/>
        <w:t>In this way Iamblichus creates a model of ‘</w:t>
      </w:r>
      <w:r w:rsidR="00E83A98" w:rsidRPr="00E83A98">
        <w:rPr>
          <w:rFonts w:ascii="Cambria" w:hAnsi="Cambria"/>
          <w:iCs/>
          <w:lang w:val="en-US"/>
        </w:rPr>
        <w:t>legitimate vs. illegitimate forms of divinatory insight</w:t>
      </w:r>
      <w:r>
        <w:rPr>
          <w:rFonts w:ascii="Cambria" w:hAnsi="Cambria"/>
          <w:iCs/>
          <w:lang w:val="en-US"/>
        </w:rPr>
        <w:t>’</w:t>
      </w:r>
      <w:r>
        <w:rPr>
          <w:rStyle w:val="FootnoteReference"/>
          <w:rFonts w:ascii="Cambria" w:hAnsi="Cambria"/>
          <w:iCs/>
          <w:lang w:val="en-US"/>
        </w:rPr>
        <w:footnoteReference w:id="25"/>
      </w:r>
      <w:r w:rsidR="00E83A98" w:rsidRPr="00E83A98">
        <w:rPr>
          <w:rFonts w:ascii="Cambria" w:hAnsi="Cambria"/>
          <w:iCs/>
          <w:lang w:val="en-US"/>
        </w:rPr>
        <w:t xml:space="preserve">, </w:t>
      </w:r>
      <w:r>
        <w:rPr>
          <w:rFonts w:ascii="Cambria" w:hAnsi="Cambria"/>
          <w:iCs/>
          <w:lang w:val="en-US"/>
        </w:rPr>
        <w:t>allowing him to use the framework of theurgy to underpin and bolster his</w:t>
      </w:r>
      <w:r w:rsidR="00E83A98" w:rsidRPr="00E83A98">
        <w:rPr>
          <w:rFonts w:ascii="Cambria" w:hAnsi="Cambria"/>
          <w:iCs/>
          <w:lang w:val="en-US"/>
        </w:rPr>
        <w:t xml:space="preserve"> notion of 'true divination'</w:t>
      </w:r>
      <w:r w:rsidR="00956829">
        <w:rPr>
          <w:rStyle w:val="FootnoteReference"/>
          <w:rFonts w:ascii="Cambria" w:hAnsi="Cambria"/>
          <w:iCs/>
          <w:lang w:val="en-US"/>
        </w:rPr>
        <w:footnoteReference w:id="26"/>
      </w:r>
      <w:r w:rsidR="00E83A98" w:rsidRPr="00E83A98">
        <w:rPr>
          <w:rFonts w:ascii="Cambria" w:hAnsi="Cambria"/>
          <w:iCs/>
          <w:lang w:val="en-US"/>
        </w:rPr>
        <w:t xml:space="preserve">. </w:t>
      </w:r>
      <w:r w:rsidR="00EE070D">
        <w:rPr>
          <w:rFonts w:ascii="Cambria" w:hAnsi="Cambria"/>
          <w:iCs/>
          <w:lang w:val="en-US"/>
        </w:rPr>
        <w:t xml:space="preserve"> Using the model, Iamblichus turns to different kinds of practice that could be considered to have divinatory aspects, addressing Porphyry’s questions as he proceeds, and unfailingly comparing his theurgic view of divination as superior to any other.</w:t>
      </w:r>
      <w:r w:rsidR="00EE070D">
        <w:rPr>
          <w:rStyle w:val="FootnoteReference"/>
          <w:rFonts w:ascii="Cambria" w:hAnsi="Cambria"/>
          <w:iCs/>
          <w:lang w:val="en-US"/>
        </w:rPr>
        <w:footnoteReference w:id="27"/>
      </w:r>
      <w:r w:rsidR="00EE070D">
        <w:rPr>
          <w:rFonts w:ascii="Cambria" w:hAnsi="Cambria"/>
          <w:iCs/>
          <w:lang w:val="en-US"/>
        </w:rPr>
        <w:t xml:space="preserve"> Examining</w:t>
      </w:r>
      <w:r w:rsidR="00F91B64">
        <w:rPr>
          <w:rFonts w:ascii="Cambria" w:hAnsi="Cambria"/>
          <w:iCs/>
          <w:lang w:val="en-US"/>
        </w:rPr>
        <w:t xml:space="preserve"> dreams –</w:t>
      </w:r>
      <w:r w:rsidR="00EE070D">
        <w:rPr>
          <w:rFonts w:ascii="Cambria" w:hAnsi="Cambria"/>
          <w:iCs/>
          <w:lang w:val="en-US"/>
        </w:rPr>
        <w:t xml:space="preserve"> </w:t>
      </w:r>
      <w:r w:rsidR="00F91B64">
        <w:rPr>
          <w:rFonts w:ascii="Cambria" w:hAnsi="Cambria"/>
          <w:iCs/>
          <w:lang w:val="en-US"/>
        </w:rPr>
        <w:t xml:space="preserve">the </w:t>
      </w:r>
      <w:r w:rsidR="00EE070D">
        <w:rPr>
          <w:rFonts w:ascii="Cambria" w:hAnsi="Cambria"/>
          <w:iCs/>
          <w:lang w:val="en-US"/>
        </w:rPr>
        <w:t>first inspirational type</w:t>
      </w:r>
      <w:r w:rsidR="00F91B64">
        <w:rPr>
          <w:rFonts w:ascii="Cambria" w:hAnsi="Cambria"/>
          <w:iCs/>
          <w:lang w:val="en-US"/>
        </w:rPr>
        <w:t xml:space="preserve"> -</w:t>
      </w:r>
      <w:r w:rsidR="00EE070D">
        <w:rPr>
          <w:rFonts w:ascii="Cambria" w:hAnsi="Cambria"/>
          <w:iCs/>
          <w:lang w:val="en-US"/>
        </w:rPr>
        <w:t xml:space="preserve"> he makes a distinction between divine from human.</w:t>
      </w:r>
      <w:r w:rsidR="00EE070D">
        <w:rPr>
          <w:sz w:val="22"/>
          <w:szCs w:val="22"/>
        </w:rPr>
        <w:t xml:space="preserve">  </w:t>
      </w:r>
      <w:r w:rsidR="00E83A98" w:rsidRPr="00E83A98">
        <w:rPr>
          <w:rFonts w:ascii="Cambria" w:hAnsi="Cambria"/>
          <w:iCs/>
          <w:lang w:val="en-US"/>
        </w:rPr>
        <w:t xml:space="preserve">The latter </w:t>
      </w:r>
      <w:r w:rsidR="00EE070D">
        <w:rPr>
          <w:rFonts w:ascii="Cambria" w:hAnsi="Cambria"/>
          <w:iCs/>
          <w:lang w:val="en-US"/>
        </w:rPr>
        <w:t>can sometimes hint at</w:t>
      </w:r>
      <w:r w:rsidR="00E83A98" w:rsidRPr="00E83A98">
        <w:rPr>
          <w:rFonts w:ascii="Cambria" w:hAnsi="Cambria"/>
          <w:iCs/>
          <w:lang w:val="en-US"/>
        </w:rPr>
        <w:t xml:space="preserve"> true things about the future, but</w:t>
      </w:r>
      <w:r w:rsidR="00EE070D">
        <w:rPr>
          <w:rFonts w:ascii="Cambria" w:hAnsi="Cambria"/>
          <w:iCs/>
          <w:lang w:val="en-US"/>
        </w:rPr>
        <w:t xml:space="preserve"> ‘in many cases…fail to attain reality’</w:t>
      </w:r>
      <w:r w:rsidR="00E83A98" w:rsidRPr="00E83A98">
        <w:rPr>
          <w:rFonts w:ascii="Cambria" w:hAnsi="Cambria"/>
          <w:iCs/>
          <w:lang w:val="en-US"/>
        </w:rPr>
        <w:t>.</w:t>
      </w:r>
      <w:r w:rsidR="00EE070D">
        <w:rPr>
          <w:rStyle w:val="FootnoteReference"/>
          <w:rFonts w:ascii="Cambria" w:hAnsi="Cambria"/>
          <w:iCs/>
          <w:lang w:val="en-US"/>
        </w:rPr>
        <w:footnoteReference w:id="28"/>
      </w:r>
      <w:r w:rsidR="00E83A98" w:rsidRPr="00E83A98">
        <w:rPr>
          <w:rFonts w:ascii="Cambria" w:hAnsi="Cambria"/>
          <w:iCs/>
          <w:lang w:val="en-US"/>
        </w:rPr>
        <w:t xml:space="preserve"> </w:t>
      </w:r>
    </w:p>
    <w:p w14:paraId="22667606" w14:textId="77777777" w:rsidR="00600821" w:rsidRDefault="00600821" w:rsidP="00EE070D">
      <w:pPr>
        <w:rPr>
          <w:rFonts w:ascii="Cambria" w:hAnsi="Cambria"/>
          <w:iCs/>
          <w:lang w:val="en-US"/>
        </w:rPr>
      </w:pPr>
    </w:p>
    <w:p w14:paraId="5B80CECB" w14:textId="6F650763" w:rsidR="00E83A98" w:rsidRDefault="00EE070D" w:rsidP="00EE070D">
      <w:pPr>
        <w:spacing w:line="480" w:lineRule="auto"/>
        <w:rPr>
          <w:rFonts w:ascii="Cambria" w:hAnsi="Cambria"/>
          <w:iCs/>
          <w:lang w:val="en-US"/>
        </w:rPr>
      </w:pPr>
      <w:r>
        <w:rPr>
          <w:rFonts w:ascii="Cambria" w:hAnsi="Cambria"/>
          <w:iCs/>
          <w:lang w:val="en-US"/>
        </w:rPr>
        <w:t>In</w:t>
      </w:r>
      <w:r w:rsidR="00E83A98" w:rsidRPr="00E83A98">
        <w:rPr>
          <w:rFonts w:ascii="Cambria" w:hAnsi="Cambria"/>
          <w:iCs/>
          <w:lang w:val="en-US"/>
        </w:rPr>
        <w:t xml:space="preserve"> contrast, divine dreams do</w:t>
      </w:r>
      <w:r>
        <w:rPr>
          <w:rFonts w:ascii="Cambria" w:hAnsi="Cambria"/>
          <w:iCs/>
          <w:lang w:val="en-US"/>
        </w:rPr>
        <w:t xml:space="preserve">n’t emerge with </w:t>
      </w:r>
      <w:r w:rsidR="00E83A98" w:rsidRPr="00E83A98">
        <w:rPr>
          <w:rFonts w:ascii="Cambria" w:hAnsi="Cambria"/>
          <w:iCs/>
          <w:lang w:val="en-US"/>
        </w:rPr>
        <w:t xml:space="preserve">sleep, but </w:t>
      </w:r>
      <w:r>
        <w:rPr>
          <w:rFonts w:ascii="Cambria" w:hAnsi="Cambria"/>
          <w:iCs/>
          <w:lang w:val="en-US"/>
        </w:rPr>
        <w:t xml:space="preserve">at </w:t>
      </w:r>
      <w:r w:rsidR="00E83A98" w:rsidRPr="00E83A98">
        <w:rPr>
          <w:rFonts w:ascii="Cambria" w:hAnsi="Cambria"/>
          <w:iCs/>
          <w:lang w:val="en-US"/>
        </w:rPr>
        <w:t>the stage between sleep and waking when the intellect is becoming active.</w:t>
      </w:r>
      <w:r>
        <w:rPr>
          <w:rStyle w:val="FootnoteReference"/>
          <w:rFonts w:ascii="Cambria" w:hAnsi="Cambria"/>
          <w:iCs/>
          <w:lang w:val="en-US"/>
        </w:rPr>
        <w:footnoteReference w:id="29"/>
      </w:r>
      <w:r w:rsidR="00E83A98" w:rsidRPr="00E83A98">
        <w:rPr>
          <w:rFonts w:ascii="Cambria" w:hAnsi="Cambria"/>
          <w:iCs/>
          <w:lang w:val="en-US"/>
        </w:rPr>
        <w:t xml:space="preserve">  Iamblichus wants to </w:t>
      </w:r>
      <w:r>
        <w:rPr>
          <w:rFonts w:ascii="Cambria" w:hAnsi="Cambria"/>
          <w:iCs/>
          <w:lang w:val="en-US"/>
        </w:rPr>
        <w:t>forefront that</w:t>
      </w:r>
      <w:r w:rsidR="00E83A98" w:rsidRPr="00E83A98">
        <w:rPr>
          <w:rFonts w:ascii="Cambria" w:hAnsi="Cambria"/>
          <w:iCs/>
          <w:lang w:val="en-US"/>
        </w:rPr>
        <w:t xml:space="preserve"> </w:t>
      </w:r>
      <w:r>
        <w:rPr>
          <w:rFonts w:ascii="Cambria" w:hAnsi="Cambria"/>
          <w:iCs/>
          <w:lang w:val="en-US"/>
        </w:rPr>
        <w:t>inspired</w:t>
      </w:r>
      <w:r w:rsidR="00E83A98" w:rsidRPr="00E83A98">
        <w:rPr>
          <w:rFonts w:ascii="Cambria" w:hAnsi="Cambria"/>
          <w:iCs/>
          <w:lang w:val="en-US"/>
        </w:rPr>
        <w:t xml:space="preserve"> divination</w:t>
      </w:r>
      <w:r>
        <w:rPr>
          <w:rFonts w:ascii="Cambria" w:hAnsi="Cambria"/>
          <w:iCs/>
          <w:lang w:val="en-US"/>
        </w:rPr>
        <w:t xml:space="preserve"> via dreams</w:t>
      </w:r>
      <w:r w:rsidR="00E83A98" w:rsidRPr="00E83A98">
        <w:rPr>
          <w:rFonts w:ascii="Cambria" w:hAnsi="Cambria"/>
          <w:iCs/>
          <w:lang w:val="en-US"/>
        </w:rPr>
        <w:t xml:space="preserve"> </w:t>
      </w:r>
      <w:r>
        <w:rPr>
          <w:rFonts w:ascii="Cambria" w:hAnsi="Cambria"/>
          <w:iCs/>
          <w:lang w:val="en-US"/>
        </w:rPr>
        <w:t>is not</w:t>
      </w:r>
      <w:r w:rsidR="00E83A98" w:rsidRPr="00E83A98">
        <w:rPr>
          <w:rFonts w:ascii="Cambria" w:hAnsi="Cambria"/>
          <w:iCs/>
          <w:lang w:val="en-US"/>
        </w:rPr>
        <w:t xml:space="preserve"> coming</w:t>
      </w:r>
      <w:r>
        <w:rPr>
          <w:rFonts w:ascii="Cambria" w:hAnsi="Cambria"/>
          <w:iCs/>
          <w:lang w:val="en-US"/>
        </w:rPr>
        <w:t xml:space="preserve"> from</w:t>
      </w:r>
      <w:r w:rsidR="00E83A98" w:rsidRPr="00E83A98">
        <w:rPr>
          <w:rFonts w:ascii="Cambria" w:hAnsi="Cambria"/>
          <w:iCs/>
          <w:lang w:val="en-US"/>
        </w:rPr>
        <w:t xml:space="preserve"> any </w:t>
      </w:r>
      <w:r>
        <w:rPr>
          <w:rFonts w:ascii="Cambria" w:hAnsi="Cambria"/>
          <w:iCs/>
          <w:lang w:val="en-US"/>
        </w:rPr>
        <w:t>‘</w:t>
      </w:r>
      <w:r w:rsidR="00E83A98" w:rsidRPr="00E83A98">
        <w:rPr>
          <w:rFonts w:ascii="Cambria" w:hAnsi="Cambria"/>
          <w:iCs/>
          <w:lang w:val="en-US"/>
        </w:rPr>
        <w:t>lower</w:t>
      </w:r>
      <w:r>
        <w:rPr>
          <w:rFonts w:ascii="Cambria" w:hAnsi="Cambria"/>
          <w:iCs/>
          <w:lang w:val="en-US"/>
        </w:rPr>
        <w:t xml:space="preserve">’ </w:t>
      </w:r>
      <w:r w:rsidR="00F91B64">
        <w:rPr>
          <w:rFonts w:ascii="Cambria" w:hAnsi="Cambria"/>
          <w:iCs/>
          <w:lang w:val="en-US"/>
        </w:rPr>
        <w:t xml:space="preserve">aspect </w:t>
      </w:r>
      <w:r w:rsidR="00E83A98" w:rsidRPr="00E83A98">
        <w:rPr>
          <w:rFonts w:ascii="Cambria" w:hAnsi="Cambria"/>
          <w:iCs/>
          <w:lang w:val="en-US"/>
        </w:rPr>
        <w:t xml:space="preserve">of mind, but the result of a union </w:t>
      </w:r>
      <w:r w:rsidR="004B3EC4">
        <w:rPr>
          <w:rFonts w:ascii="Cambria" w:hAnsi="Cambria"/>
          <w:iCs/>
          <w:lang w:val="en-US"/>
        </w:rPr>
        <w:t>between</w:t>
      </w:r>
      <w:r w:rsidR="00E83A98" w:rsidRPr="00E83A98">
        <w:rPr>
          <w:rFonts w:ascii="Cambria" w:hAnsi="Cambria"/>
          <w:iCs/>
          <w:lang w:val="en-US"/>
        </w:rPr>
        <w:t xml:space="preserve"> the highest</w:t>
      </w:r>
      <w:r w:rsidR="004B3EC4">
        <w:rPr>
          <w:rFonts w:ascii="Cambria" w:hAnsi="Cambria"/>
          <w:iCs/>
          <w:lang w:val="en-US"/>
        </w:rPr>
        <w:t xml:space="preserve"> part</w:t>
      </w:r>
      <w:r w:rsidR="00E83A98" w:rsidRPr="00E83A98">
        <w:rPr>
          <w:rFonts w:ascii="Cambria" w:hAnsi="Cambria"/>
          <w:iCs/>
          <w:lang w:val="en-US"/>
        </w:rPr>
        <w:t xml:space="preserve"> with the divine.</w:t>
      </w:r>
      <w:r w:rsidR="00F91B64">
        <w:rPr>
          <w:rStyle w:val="FootnoteReference"/>
          <w:rFonts w:ascii="Cambria" w:hAnsi="Cambria"/>
          <w:iCs/>
          <w:lang w:val="en-US"/>
        </w:rPr>
        <w:footnoteReference w:id="30"/>
      </w:r>
      <w:r w:rsidR="00E83A98" w:rsidRPr="00E83A98">
        <w:rPr>
          <w:rFonts w:ascii="Cambria" w:hAnsi="Cambria"/>
          <w:iCs/>
          <w:lang w:val="en-US"/>
        </w:rPr>
        <w:t xml:space="preserve"> </w:t>
      </w:r>
      <w:r>
        <w:rPr>
          <w:rFonts w:ascii="Cambria" w:hAnsi="Cambria"/>
          <w:iCs/>
          <w:lang w:val="en-US"/>
        </w:rPr>
        <w:t>He describes examples of what might happen when this connection occurs, e.g. ‘an intangible and incorporeal spirit encircles those lying down,’ and notes even that divine dreams have nothing to do with ‘sleep’: ‘These dreams, then, being numerous and quite different, do not resemble anything human…all of these are divine and fit for the reception of the Gods.</w:t>
      </w:r>
      <w:r w:rsidR="00E83A98" w:rsidRPr="00E83A98">
        <w:rPr>
          <w:rFonts w:ascii="Cambria" w:hAnsi="Cambria"/>
          <w:iCs/>
          <w:lang w:val="en-US"/>
        </w:rPr>
        <w:t>'</w:t>
      </w:r>
      <w:r>
        <w:rPr>
          <w:rStyle w:val="FootnoteReference"/>
          <w:rFonts w:ascii="Cambria" w:hAnsi="Cambria"/>
          <w:iCs/>
          <w:lang w:val="en-US"/>
        </w:rPr>
        <w:footnoteReference w:id="31"/>
      </w:r>
      <w:r w:rsidR="00E83A98" w:rsidRPr="00E83A98">
        <w:rPr>
          <w:rFonts w:ascii="Cambria" w:hAnsi="Cambria"/>
          <w:iCs/>
          <w:lang w:val="en-US"/>
        </w:rPr>
        <w:t xml:space="preserve"> </w:t>
      </w:r>
      <w:r>
        <w:rPr>
          <w:rFonts w:ascii="Cambria" w:hAnsi="Cambria"/>
          <w:iCs/>
          <w:lang w:val="en-US"/>
        </w:rPr>
        <w:t>Thus, divine dreams provide the pathway for the agency of the Gods to deliver the message</w:t>
      </w:r>
      <w:r w:rsidR="004B3EC4">
        <w:rPr>
          <w:rFonts w:ascii="Cambria" w:hAnsi="Cambria"/>
          <w:iCs/>
          <w:lang w:val="en-US"/>
        </w:rPr>
        <w:t>s</w:t>
      </w:r>
      <w:r>
        <w:rPr>
          <w:rFonts w:ascii="Cambria" w:hAnsi="Cambria"/>
          <w:iCs/>
          <w:lang w:val="en-US"/>
        </w:rPr>
        <w:t xml:space="preserve"> of inspired divination.</w:t>
      </w:r>
    </w:p>
    <w:p w14:paraId="52941CEF" w14:textId="77777777" w:rsidR="0050581F" w:rsidRDefault="0050581F" w:rsidP="00EE070D">
      <w:pPr>
        <w:spacing w:line="480" w:lineRule="auto"/>
        <w:rPr>
          <w:rFonts w:ascii="Cambria" w:hAnsi="Cambria"/>
          <w:iCs/>
          <w:lang w:val="en-US"/>
        </w:rPr>
      </w:pPr>
    </w:p>
    <w:p w14:paraId="3AFA60CE" w14:textId="5BE746CD" w:rsidR="004B3EC4" w:rsidRPr="00E83A98" w:rsidRDefault="004B3EC4" w:rsidP="00EE070D">
      <w:pPr>
        <w:spacing w:line="480" w:lineRule="auto"/>
        <w:rPr>
          <w:rFonts w:ascii="Cambria" w:hAnsi="Cambria"/>
          <w:iCs/>
          <w:lang w:val="en-US"/>
        </w:rPr>
      </w:pPr>
      <w:r>
        <w:rPr>
          <w:rFonts w:ascii="Cambria" w:hAnsi="Cambria"/>
          <w:iCs/>
          <w:lang w:val="en-US"/>
        </w:rPr>
        <w:lastRenderedPageBreak/>
        <w:t>Next, in response to Porphyry’s question about those that experience divination via possession or through oracles</w:t>
      </w:r>
      <w:r>
        <w:rPr>
          <w:rStyle w:val="FootnoteReference"/>
          <w:rFonts w:ascii="Cambria" w:hAnsi="Cambria"/>
          <w:iCs/>
          <w:lang w:val="en-US"/>
        </w:rPr>
        <w:footnoteReference w:id="32"/>
      </w:r>
      <w:r>
        <w:rPr>
          <w:rFonts w:ascii="Cambria" w:hAnsi="Cambria"/>
          <w:iCs/>
          <w:lang w:val="en-US"/>
        </w:rPr>
        <w:t xml:space="preserve">, Iamblichus applies a similar distinction, at pains to show the signs of real possession in contrast to types of ‘frenzy’ </w:t>
      </w:r>
      <w:r w:rsidR="0050581F">
        <w:rPr>
          <w:rFonts w:ascii="Cambria" w:hAnsi="Cambria"/>
          <w:iCs/>
          <w:lang w:val="en-US"/>
        </w:rPr>
        <w:t>that can arise from human emotions, such as melancholy and passion,</w:t>
      </w:r>
      <w:r w:rsidR="0050581F">
        <w:rPr>
          <w:rStyle w:val="FootnoteReference"/>
          <w:rFonts w:ascii="Cambria" w:hAnsi="Cambria"/>
          <w:iCs/>
          <w:lang w:val="en-US"/>
        </w:rPr>
        <w:footnoteReference w:id="33"/>
      </w:r>
      <w:r w:rsidR="0050581F">
        <w:rPr>
          <w:rFonts w:ascii="Cambria" w:hAnsi="Cambria"/>
          <w:iCs/>
          <w:lang w:val="en-US"/>
        </w:rPr>
        <w:t xml:space="preserve"> or that inculcated by music or dancing.</w:t>
      </w:r>
      <w:r w:rsidR="0050581F">
        <w:rPr>
          <w:rStyle w:val="FootnoteReference"/>
          <w:rFonts w:ascii="Cambria" w:hAnsi="Cambria"/>
          <w:iCs/>
          <w:lang w:val="en-US"/>
        </w:rPr>
        <w:footnoteReference w:id="34"/>
      </w:r>
      <w:r w:rsidR="0050581F">
        <w:rPr>
          <w:rFonts w:ascii="Cambria" w:hAnsi="Cambria"/>
          <w:iCs/>
          <w:lang w:val="en-US"/>
        </w:rPr>
        <w:t xml:space="preserve"> The truly possessed are unaffected by any physical pleasures or pains.</w:t>
      </w:r>
      <w:r w:rsidR="0050581F">
        <w:rPr>
          <w:rStyle w:val="FootnoteReference"/>
          <w:rFonts w:ascii="Cambria" w:hAnsi="Cambria"/>
          <w:iCs/>
          <w:lang w:val="en-US"/>
        </w:rPr>
        <w:footnoteReference w:id="35"/>
      </w:r>
    </w:p>
    <w:p w14:paraId="7BF8E463" w14:textId="42E3CA87" w:rsidR="00EE070D" w:rsidRDefault="0050581F" w:rsidP="0050581F">
      <w:pPr>
        <w:spacing w:line="480" w:lineRule="auto"/>
        <w:rPr>
          <w:rFonts w:ascii="Cambria" w:hAnsi="Cambria"/>
          <w:iCs/>
          <w:lang w:val="en-US"/>
        </w:rPr>
      </w:pPr>
      <w:r>
        <w:rPr>
          <w:rFonts w:ascii="Cambria" w:hAnsi="Cambria"/>
          <w:iCs/>
          <w:lang w:val="en-US"/>
        </w:rPr>
        <w:t>Instead, they have ‘no consciousness of themselves…but they exchange their life for another more divine…by which they are inspired.’</w:t>
      </w:r>
      <w:r>
        <w:rPr>
          <w:rStyle w:val="FootnoteReference"/>
          <w:rFonts w:ascii="Cambria" w:hAnsi="Cambria"/>
          <w:iCs/>
          <w:lang w:val="en-US"/>
        </w:rPr>
        <w:footnoteReference w:id="36"/>
      </w:r>
      <w:r>
        <w:rPr>
          <w:rFonts w:ascii="Cambria" w:hAnsi="Cambria"/>
          <w:iCs/>
          <w:lang w:val="en-US"/>
        </w:rPr>
        <w:t xml:space="preserve"> Whereas those experiencing a bodily frenzy, if they attempt appeal to and engage with the divinities, any signs given or seen are compromised for ‘</w:t>
      </w:r>
      <w:r w:rsidRPr="00E83A98">
        <w:rPr>
          <w:rFonts w:ascii="Cambria" w:hAnsi="Cambria"/>
          <w:iCs/>
          <w:lang w:val="en-US"/>
        </w:rPr>
        <w:t>they are ignorant of the whole of divine inspiration, which is hidden in obscurity</w:t>
      </w:r>
      <w:r>
        <w:rPr>
          <w:rFonts w:ascii="Cambria" w:hAnsi="Cambria"/>
          <w:iCs/>
          <w:lang w:val="en-US"/>
        </w:rPr>
        <w:t>’.</w:t>
      </w:r>
      <w:r>
        <w:rPr>
          <w:rStyle w:val="FootnoteReference"/>
          <w:rFonts w:ascii="Cambria" w:hAnsi="Cambria"/>
          <w:iCs/>
          <w:lang w:val="en-US"/>
        </w:rPr>
        <w:footnoteReference w:id="37"/>
      </w:r>
      <w:r>
        <w:rPr>
          <w:rFonts w:ascii="Cambria" w:hAnsi="Cambria"/>
          <w:iCs/>
          <w:lang w:val="en-US"/>
        </w:rPr>
        <w:t xml:space="preserve"> </w:t>
      </w:r>
    </w:p>
    <w:p w14:paraId="18C1BFC9" w14:textId="77777777" w:rsidR="0050581F" w:rsidRDefault="0050581F" w:rsidP="0050581F">
      <w:pPr>
        <w:spacing w:line="480" w:lineRule="auto"/>
        <w:rPr>
          <w:rFonts w:ascii="Cambria" w:hAnsi="Cambria"/>
          <w:iCs/>
          <w:lang w:val="en-US"/>
        </w:rPr>
      </w:pPr>
    </w:p>
    <w:p w14:paraId="5ACE8C0D" w14:textId="77A4635C" w:rsidR="0050581F" w:rsidRDefault="0050581F" w:rsidP="0050581F">
      <w:pPr>
        <w:spacing w:line="480" w:lineRule="auto"/>
        <w:rPr>
          <w:rFonts w:ascii="Cambria" w:hAnsi="Cambria"/>
          <w:iCs/>
          <w:lang w:val="en-US"/>
        </w:rPr>
      </w:pPr>
      <w:r>
        <w:rPr>
          <w:rFonts w:ascii="Cambria" w:hAnsi="Cambria"/>
          <w:iCs/>
          <w:lang w:val="en-US"/>
        </w:rPr>
        <w:t xml:space="preserve">Iamblichus links the fact that inspiration by possession can have different characteristics to the notion that possession by the gods can be at different levels of intensity, </w:t>
      </w:r>
      <w:proofErr w:type="gramStart"/>
      <w:r>
        <w:rPr>
          <w:rFonts w:ascii="Cambria" w:hAnsi="Cambria"/>
          <w:iCs/>
          <w:lang w:val="en-US"/>
        </w:rPr>
        <w:t>e.g.</w:t>
      </w:r>
      <w:proofErr w:type="gramEnd"/>
      <w:r>
        <w:rPr>
          <w:rFonts w:ascii="Cambria" w:hAnsi="Cambria"/>
          <w:iCs/>
          <w:lang w:val="en-US"/>
        </w:rPr>
        <w:t xml:space="preserve"> it can be a participation, a communion or even a union.</w:t>
      </w:r>
      <w:r>
        <w:rPr>
          <w:rStyle w:val="FootnoteReference"/>
          <w:rFonts w:ascii="Cambria" w:hAnsi="Cambria"/>
          <w:iCs/>
          <w:lang w:val="en-US"/>
        </w:rPr>
        <w:footnoteReference w:id="38"/>
      </w:r>
      <w:r>
        <w:rPr>
          <w:rFonts w:ascii="Cambria" w:hAnsi="Cambria"/>
          <w:iCs/>
          <w:lang w:val="en-US"/>
        </w:rPr>
        <w:t xml:space="preserve"> This notion aligns perfectly with his concept of theurgy, and also </w:t>
      </w:r>
      <w:r w:rsidR="00F91B64">
        <w:rPr>
          <w:rFonts w:ascii="Cambria" w:hAnsi="Cambria"/>
          <w:iCs/>
          <w:lang w:val="en-US"/>
        </w:rPr>
        <w:t>highlights that it is</w:t>
      </w:r>
      <w:r>
        <w:rPr>
          <w:rFonts w:ascii="Cambria" w:hAnsi="Cambria"/>
          <w:iCs/>
          <w:lang w:val="en-US"/>
        </w:rPr>
        <w:t xml:space="preserve"> the divinity that controls the intensity of the connection.  </w:t>
      </w:r>
    </w:p>
    <w:p w14:paraId="4859E94D" w14:textId="77777777" w:rsidR="00EE070D" w:rsidRDefault="00EE070D" w:rsidP="0050581F">
      <w:pPr>
        <w:spacing w:line="480" w:lineRule="auto"/>
        <w:rPr>
          <w:rFonts w:ascii="Cambria" w:hAnsi="Cambria"/>
          <w:iCs/>
          <w:lang w:val="en-US"/>
        </w:rPr>
      </w:pPr>
    </w:p>
    <w:p w14:paraId="7A534467" w14:textId="677428A3" w:rsidR="00E83A98" w:rsidRDefault="00E83A98" w:rsidP="00E83A98">
      <w:pPr>
        <w:rPr>
          <w:rFonts w:ascii="Cambria" w:hAnsi="Cambria"/>
          <w:iCs/>
          <w:lang w:val="en-US"/>
        </w:rPr>
      </w:pPr>
    </w:p>
    <w:p w14:paraId="76E95D50" w14:textId="595A43B4" w:rsidR="00C36FDB" w:rsidRDefault="0050581F" w:rsidP="001C5056">
      <w:pPr>
        <w:spacing w:line="480" w:lineRule="auto"/>
        <w:rPr>
          <w:rFonts w:ascii="Cambria" w:hAnsi="Cambria"/>
          <w:iCs/>
          <w:lang w:val="en-US"/>
        </w:rPr>
      </w:pPr>
      <w:proofErr w:type="spellStart"/>
      <w:r>
        <w:rPr>
          <w:rFonts w:ascii="Cambria" w:hAnsi="Cambria"/>
          <w:iCs/>
          <w:lang w:val="en-US"/>
        </w:rPr>
        <w:t>Addey</w:t>
      </w:r>
      <w:proofErr w:type="spellEnd"/>
      <w:r>
        <w:rPr>
          <w:rFonts w:ascii="Cambria" w:hAnsi="Cambria"/>
          <w:iCs/>
          <w:lang w:val="en-US"/>
        </w:rPr>
        <w:t xml:space="preserve"> comments that in the case of oracles, Iamblichus’ divination framework is particularly clear.</w:t>
      </w:r>
      <w:r>
        <w:rPr>
          <w:rStyle w:val="FootnoteReference"/>
          <w:rFonts w:ascii="Cambria" w:hAnsi="Cambria"/>
          <w:iCs/>
          <w:lang w:val="en-US"/>
        </w:rPr>
        <w:footnoteReference w:id="39"/>
      </w:r>
      <w:r>
        <w:rPr>
          <w:rFonts w:ascii="Cambria" w:hAnsi="Cambria"/>
          <w:iCs/>
          <w:lang w:val="en-US"/>
        </w:rPr>
        <w:t xml:space="preserve"> Using some famous oracles – e</w:t>
      </w:r>
      <w:r w:rsidR="00F91B64">
        <w:rPr>
          <w:rFonts w:ascii="Cambria" w:hAnsi="Cambria"/>
          <w:iCs/>
          <w:lang w:val="en-US"/>
        </w:rPr>
        <w:t>.</w:t>
      </w:r>
      <w:r>
        <w:rPr>
          <w:rFonts w:ascii="Cambria" w:hAnsi="Cambria"/>
          <w:iCs/>
          <w:lang w:val="en-US"/>
        </w:rPr>
        <w:t xml:space="preserve">g. the Clarian Apollo at </w:t>
      </w:r>
      <w:proofErr w:type="spellStart"/>
      <w:r>
        <w:rPr>
          <w:rFonts w:ascii="Cambria" w:hAnsi="Cambria"/>
          <w:iCs/>
          <w:lang w:val="en-US"/>
        </w:rPr>
        <w:t>Collophon</w:t>
      </w:r>
      <w:proofErr w:type="spellEnd"/>
      <w:r>
        <w:rPr>
          <w:rFonts w:ascii="Cambria" w:hAnsi="Cambria"/>
          <w:iCs/>
          <w:lang w:val="en-US"/>
        </w:rPr>
        <w:t xml:space="preserve"> and the Pythia at Delphi – Iamblichus argues against the divinatory power being </w:t>
      </w:r>
      <w:r>
        <w:rPr>
          <w:rFonts w:ascii="Cambria" w:hAnsi="Cambria"/>
          <w:iCs/>
          <w:lang w:val="en-US"/>
        </w:rPr>
        <w:lastRenderedPageBreak/>
        <w:t>connected with a particular place or atmosphere or that, for example, it is owing to some inherent power of a substance that is used at the site of an oracle.</w:t>
      </w:r>
      <w:r>
        <w:rPr>
          <w:rStyle w:val="FootnoteReference"/>
          <w:rFonts w:ascii="Cambria" w:hAnsi="Cambria"/>
          <w:iCs/>
          <w:lang w:val="en-US"/>
        </w:rPr>
        <w:footnoteReference w:id="40"/>
      </w:r>
      <w:r>
        <w:rPr>
          <w:rFonts w:ascii="Cambria" w:hAnsi="Cambria"/>
          <w:iCs/>
          <w:lang w:val="en-US"/>
        </w:rPr>
        <w:t xml:space="preserve"> Rather, considering the prophetess of Delphi, she ‘gives herself absolutely to the divine spirit, and is illuminated by the ray of divine fire’.</w:t>
      </w:r>
      <w:r>
        <w:rPr>
          <w:rStyle w:val="FootnoteReference"/>
          <w:rFonts w:ascii="Cambria" w:hAnsi="Cambria"/>
          <w:iCs/>
          <w:lang w:val="en-US"/>
        </w:rPr>
        <w:footnoteReference w:id="41"/>
      </w:r>
      <w:r>
        <w:rPr>
          <w:rFonts w:ascii="Cambria" w:hAnsi="Cambria"/>
          <w:iCs/>
          <w:lang w:val="en-US"/>
        </w:rPr>
        <w:t xml:space="preserve"> </w:t>
      </w:r>
      <w:r w:rsidR="00F91B64">
        <w:rPr>
          <w:rFonts w:ascii="Cambria" w:hAnsi="Cambria"/>
          <w:iCs/>
          <w:lang w:val="en-US"/>
        </w:rPr>
        <w:t>P</w:t>
      </w:r>
      <w:r>
        <w:rPr>
          <w:rFonts w:ascii="Cambria" w:hAnsi="Cambria"/>
          <w:iCs/>
          <w:lang w:val="en-US"/>
        </w:rPr>
        <w:t>art of process in being the oracle is to perform the correct preparations in order to be receptive for/to the god.</w:t>
      </w:r>
      <w:r>
        <w:rPr>
          <w:rStyle w:val="FootnoteReference"/>
          <w:rFonts w:ascii="Cambria" w:hAnsi="Cambria"/>
          <w:iCs/>
          <w:lang w:val="en-US"/>
        </w:rPr>
        <w:footnoteReference w:id="42"/>
      </w:r>
      <w:r>
        <w:rPr>
          <w:rFonts w:ascii="Cambria" w:hAnsi="Cambria"/>
          <w:iCs/>
          <w:lang w:val="en-US"/>
        </w:rPr>
        <w:t xml:space="preserve"> Iamblichus’ believes that such preparation can (will?) ‘invoke’ the god.  That is easy to confuse with Porphyry’s assertion that the divine can be called down, something that Iamblichus</w:t>
      </w:r>
      <w:r w:rsidR="001C5056">
        <w:rPr>
          <w:rFonts w:ascii="Cambria" w:hAnsi="Cambria"/>
          <w:iCs/>
          <w:lang w:val="en-US"/>
        </w:rPr>
        <w:t xml:space="preserve"> </w:t>
      </w:r>
      <w:r>
        <w:rPr>
          <w:rFonts w:ascii="Cambria" w:hAnsi="Cambria"/>
          <w:iCs/>
          <w:lang w:val="en-US"/>
        </w:rPr>
        <w:t>reject</w:t>
      </w:r>
      <w:r w:rsidR="001C5056">
        <w:rPr>
          <w:rFonts w:ascii="Cambria" w:hAnsi="Cambria"/>
          <w:iCs/>
          <w:lang w:val="en-US"/>
        </w:rPr>
        <w:t>s</w:t>
      </w:r>
      <w:r w:rsidR="001C5056">
        <w:rPr>
          <w:rStyle w:val="FootnoteReference"/>
          <w:rFonts w:ascii="Cambria" w:hAnsi="Cambria"/>
          <w:iCs/>
          <w:lang w:val="en-US"/>
        </w:rPr>
        <w:footnoteReference w:id="43"/>
      </w:r>
      <w:r>
        <w:rPr>
          <w:rFonts w:ascii="Cambria" w:hAnsi="Cambria"/>
          <w:iCs/>
          <w:lang w:val="en-US"/>
        </w:rPr>
        <w:t>.  Again, this appears to be a question of agency and its direction – the priestess at Delphi is filled with ‘divine, unwavering oracular power’.</w:t>
      </w:r>
      <w:r>
        <w:rPr>
          <w:rStyle w:val="FootnoteReference"/>
          <w:rFonts w:ascii="Cambria" w:hAnsi="Cambria"/>
          <w:iCs/>
          <w:lang w:val="en-US"/>
        </w:rPr>
        <w:footnoteReference w:id="44"/>
      </w:r>
      <w:r w:rsidR="00C36FDB">
        <w:rPr>
          <w:rFonts w:ascii="Cambria" w:hAnsi="Cambria"/>
          <w:iCs/>
          <w:lang w:val="en-US"/>
        </w:rPr>
        <w:t xml:space="preserve"> </w:t>
      </w:r>
      <w:r w:rsidR="001C5056">
        <w:rPr>
          <w:rFonts w:ascii="Cambria" w:hAnsi="Cambria"/>
          <w:iCs/>
          <w:lang w:val="en-US"/>
        </w:rPr>
        <w:t>So, as Struck notes,</w:t>
      </w:r>
      <w:r w:rsidR="00E83A98" w:rsidRPr="00E83A98">
        <w:rPr>
          <w:rFonts w:ascii="Cambria" w:hAnsi="Cambria"/>
          <w:iCs/>
          <w:lang w:val="en-US"/>
        </w:rPr>
        <w:t xml:space="preserve"> true divination </w:t>
      </w:r>
      <w:r w:rsidR="001C5056">
        <w:rPr>
          <w:rFonts w:ascii="Cambria" w:hAnsi="Cambria"/>
          <w:iCs/>
          <w:lang w:val="en-US"/>
        </w:rPr>
        <w:t>is</w:t>
      </w:r>
      <w:r w:rsidR="00E83A98" w:rsidRPr="00E83A98">
        <w:rPr>
          <w:rFonts w:ascii="Cambria" w:hAnsi="Cambria"/>
          <w:iCs/>
          <w:lang w:val="en-US"/>
        </w:rPr>
        <w:t xml:space="preserve"> purely divine, on a higher plane and removed from the material world</w:t>
      </w:r>
      <w:r w:rsidR="001C5056">
        <w:rPr>
          <w:rStyle w:val="FootnoteReference"/>
          <w:rFonts w:ascii="Cambria" w:hAnsi="Cambria"/>
          <w:iCs/>
          <w:lang w:val="en-US"/>
        </w:rPr>
        <w:footnoteReference w:id="45"/>
      </w:r>
      <w:r w:rsidR="00E83A98" w:rsidRPr="00E83A98">
        <w:rPr>
          <w:rFonts w:ascii="Cambria" w:hAnsi="Cambria"/>
          <w:iCs/>
          <w:lang w:val="en-US"/>
        </w:rPr>
        <w:t>.</w:t>
      </w:r>
    </w:p>
    <w:p w14:paraId="24008000" w14:textId="77777777" w:rsidR="00C36FDB" w:rsidRDefault="00C36FDB" w:rsidP="001C5056">
      <w:pPr>
        <w:spacing w:line="480" w:lineRule="auto"/>
        <w:rPr>
          <w:rFonts w:ascii="Cambria" w:hAnsi="Cambria"/>
          <w:iCs/>
          <w:lang w:val="en-US"/>
        </w:rPr>
      </w:pPr>
    </w:p>
    <w:p w14:paraId="3F24BE50" w14:textId="208728E2" w:rsidR="001C5056" w:rsidRDefault="00C36FDB" w:rsidP="001C5056">
      <w:pPr>
        <w:spacing w:line="480" w:lineRule="auto"/>
        <w:rPr>
          <w:rFonts w:ascii="Cambria" w:hAnsi="Cambria"/>
          <w:iCs/>
          <w:lang w:val="en-US"/>
        </w:rPr>
      </w:pPr>
      <w:r>
        <w:rPr>
          <w:rFonts w:ascii="Cambria" w:hAnsi="Cambria"/>
          <w:iCs/>
          <w:lang w:val="en-US"/>
        </w:rPr>
        <w:t xml:space="preserve">As </w:t>
      </w:r>
      <w:proofErr w:type="spellStart"/>
      <w:r>
        <w:rPr>
          <w:rFonts w:ascii="Cambria" w:hAnsi="Cambria"/>
          <w:iCs/>
          <w:lang w:val="en-US"/>
        </w:rPr>
        <w:t>Addey</w:t>
      </w:r>
      <w:proofErr w:type="spellEnd"/>
      <w:r>
        <w:rPr>
          <w:rFonts w:ascii="Cambria" w:hAnsi="Cambria"/>
          <w:iCs/>
          <w:lang w:val="en-US"/>
        </w:rPr>
        <w:t xml:space="preserve"> states, i</w:t>
      </w:r>
      <w:r w:rsidR="001C5056">
        <w:rPr>
          <w:rFonts w:ascii="Cambria" w:hAnsi="Cambria"/>
          <w:iCs/>
          <w:lang w:val="en-US"/>
        </w:rPr>
        <w:t>nductive</w:t>
      </w:r>
      <w:r>
        <w:rPr>
          <w:rFonts w:ascii="Cambria" w:hAnsi="Cambria"/>
          <w:iCs/>
          <w:lang w:val="en-US"/>
        </w:rPr>
        <w:t xml:space="preserve"> divination is completely different from the inspired kind.</w:t>
      </w:r>
      <w:r>
        <w:rPr>
          <w:rStyle w:val="FootnoteReference"/>
          <w:rFonts w:ascii="Cambria" w:hAnsi="Cambria"/>
          <w:iCs/>
          <w:lang w:val="en-US"/>
        </w:rPr>
        <w:footnoteReference w:id="46"/>
      </w:r>
      <w:r>
        <w:rPr>
          <w:rFonts w:ascii="Cambria" w:hAnsi="Cambria"/>
          <w:iCs/>
          <w:lang w:val="en-US"/>
        </w:rPr>
        <w:t xml:space="preserve"> Iamblichus attributes inductive divination to being a human </w:t>
      </w:r>
      <w:proofErr w:type="spellStart"/>
      <w:r>
        <w:rPr>
          <w:rFonts w:ascii="Cambria" w:hAnsi="Cambria"/>
          <w:iCs/>
          <w:lang w:val="en-US"/>
        </w:rPr>
        <w:t>endeavour</w:t>
      </w:r>
      <w:proofErr w:type="spellEnd"/>
      <w:r>
        <w:rPr>
          <w:rFonts w:ascii="Cambria" w:hAnsi="Cambria"/>
          <w:iCs/>
          <w:lang w:val="en-US"/>
        </w:rPr>
        <w:t>, the practice of a technical skill, and it is one that he dismissively declares ‘partakes largely of guessing and supposition’.</w:t>
      </w:r>
      <w:r>
        <w:rPr>
          <w:rStyle w:val="FootnoteReference"/>
          <w:rFonts w:ascii="Cambria" w:hAnsi="Cambria"/>
          <w:iCs/>
          <w:lang w:val="en-US"/>
        </w:rPr>
        <w:footnoteReference w:id="47"/>
      </w:r>
    </w:p>
    <w:p w14:paraId="36A9120E" w14:textId="780FDE38" w:rsidR="00F91B64" w:rsidRPr="00F91B64" w:rsidRDefault="00C36FDB" w:rsidP="00F91B64">
      <w:pPr>
        <w:spacing w:line="480" w:lineRule="auto"/>
        <w:rPr>
          <w:rFonts w:ascii="Cambria" w:hAnsi="Cambria"/>
          <w:iCs/>
          <w:lang w:val="en-US"/>
        </w:rPr>
      </w:pPr>
      <w:r>
        <w:rPr>
          <w:rFonts w:ascii="Cambria" w:hAnsi="Cambria"/>
          <w:iCs/>
          <w:lang w:val="en-US"/>
        </w:rPr>
        <w:t xml:space="preserve">Iamblichus </w:t>
      </w:r>
      <w:r w:rsidR="00F91B64">
        <w:rPr>
          <w:rFonts w:ascii="Cambria" w:hAnsi="Cambria"/>
          <w:iCs/>
          <w:lang w:val="en-US"/>
        </w:rPr>
        <w:t>explains</w:t>
      </w:r>
      <w:r>
        <w:rPr>
          <w:rFonts w:ascii="Cambria" w:hAnsi="Cambria"/>
          <w:iCs/>
          <w:lang w:val="en-US"/>
        </w:rPr>
        <w:t xml:space="preserve"> the action of inductive divination to the presence of signs in the material aspects that are being used for divining.  These signs, for example in entrails, birds or in astrology, are inculcated or illuminated in nature by the gods (or by the agency of those daemons involved with creation).</w:t>
      </w:r>
      <w:r>
        <w:rPr>
          <w:rStyle w:val="FootnoteReference"/>
          <w:rFonts w:ascii="Cambria" w:hAnsi="Cambria"/>
          <w:iCs/>
          <w:lang w:val="en-US"/>
        </w:rPr>
        <w:footnoteReference w:id="48"/>
      </w:r>
      <w:r>
        <w:rPr>
          <w:rFonts w:ascii="Cambria" w:hAnsi="Cambria"/>
          <w:iCs/>
          <w:lang w:val="en-US"/>
        </w:rPr>
        <w:t xml:space="preserve"> In that, the signs themselves are </w:t>
      </w:r>
      <w:r>
        <w:rPr>
          <w:rFonts w:ascii="Cambria" w:hAnsi="Cambria"/>
          <w:iCs/>
          <w:lang w:val="en-US"/>
        </w:rPr>
        <w:lastRenderedPageBreak/>
        <w:t>divine or semi-divine.  Iamblichus believes the process involves one of</w:t>
      </w:r>
      <w:r>
        <w:rPr>
          <w:rFonts w:ascii="Cambria" w:hAnsi="Cambria"/>
          <w:i/>
          <w:lang w:val="en-US"/>
        </w:rPr>
        <w:t xml:space="preserve"> </w:t>
      </w:r>
      <w:proofErr w:type="spellStart"/>
      <w:r>
        <w:rPr>
          <w:rFonts w:ascii="Cambria" w:hAnsi="Cambria"/>
          <w:i/>
          <w:lang w:val="en-US"/>
        </w:rPr>
        <w:t>sympatheia</w:t>
      </w:r>
      <w:proofErr w:type="spellEnd"/>
      <w:r>
        <w:rPr>
          <w:rFonts w:ascii="Cambria" w:hAnsi="Cambria"/>
          <w:iCs/>
          <w:lang w:val="en-US"/>
        </w:rPr>
        <w:t xml:space="preserve"> – a concept developed from the idea that the cosmos is a single, living being, with everything within it connected and related through sympathy and likeness.</w:t>
      </w:r>
      <w:r>
        <w:rPr>
          <w:rStyle w:val="FootnoteReference"/>
          <w:rFonts w:ascii="Cambria" w:hAnsi="Cambria"/>
          <w:iCs/>
          <w:lang w:val="en-US"/>
        </w:rPr>
        <w:footnoteReference w:id="49"/>
      </w:r>
      <w:r>
        <w:rPr>
          <w:rFonts w:ascii="Cambria" w:hAnsi="Cambria"/>
          <w:iCs/>
          <w:lang w:val="en-US"/>
        </w:rPr>
        <w:t xml:space="preserve"> Certain signs will be in a consistent pattern of appearance and/or action with others and so, with the application of the right technique, inferences could be made.</w:t>
      </w:r>
      <w:r>
        <w:rPr>
          <w:rStyle w:val="FootnoteReference"/>
          <w:rFonts w:ascii="Cambria" w:hAnsi="Cambria"/>
          <w:iCs/>
          <w:lang w:val="en-US"/>
        </w:rPr>
        <w:footnoteReference w:id="50"/>
      </w:r>
      <w:r>
        <w:rPr>
          <w:rFonts w:ascii="Cambria" w:hAnsi="Cambria"/>
          <w:iCs/>
          <w:lang w:val="en-US"/>
        </w:rPr>
        <w:t xml:space="preserve"> Iamblichus emphasizes the human interaction and interpretation needed to do that, implying the potential unreliability involved.</w:t>
      </w:r>
      <w:r>
        <w:rPr>
          <w:rStyle w:val="FootnoteReference"/>
          <w:rFonts w:ascii="Cambria" w:hAnsi="Cambria"/>
          <w:iCs/>
          <w:lang w:val="en-US"/>
        </w:rPr>
        <w:footnoteReference w:id="51"/>
      </w:r>
      <w:r>
        <w:rPr>
          <w:rFonts w:ascii="Cambria" w:hAnsi="Cambria"/>
          <w:iCs/>
          <w:lang w:val="en-US"/>
        </w:rPr>
        <w:t xml:space="preserve">Moreover, because of the intermediary aspects of the signs – the fact they are embedded in nature and perhaps the fact they are mediated through the actions of a creative daemon – Iamblichus concludes a less than positive view of </w:t>
      </w:r>
      <w:r w:rsidR="00F91B64">
        <w:rPr>
          <w:rFonts w:ascii="Cambria" w:hAnsi="Cambria"/>
          <w:iCs/>
          <w:lang w:val="en-US"/>
        </w:rPr>
        <w:t>human interpretat</w:t>
      </w:r>
      <w:r w:rsidR="008A121E">
        <w:rPr>
          <w:rFonts w:ascii="Cambria" w:hAnsi="Cambria"/>
          <w:iCs/>
          <w:lang w:val="en-US"/>
        </w:rPr>
        <w:t>i</w:t>
      </w:r>
      <w:r w:rsidR="00F91B64">
        <w:rPr>
          <w:rFonts w:ascii="Cambria" w:hAnsi="Cambria"/>
          <w:iCs/>
          <w:lang w:val="en-US"/>
        </w:rPr>
        <w:t xml:space="preserve">on of the </w:t>
      </w:r>
      <w:proofErr w:type="spellStart"/>
      <w:r>
        <w:rPr>
          <w:rFonts w:ascii="Cambria" w:hAnsi="Cambria"/>
          <w:iCs/>
          <w:lang w:val="en-US"/>
        </w:rPr>
        <w:t>sympatheia</w:t>
      </w:r>
      <w:proofErr w:type="spellEnd"/>
      <w:r>
        <w:rPr>
          <w:rFonts w:ascii="Cambria" w:hAnsi="Cambria"/>
          <w:iCs/>
          <w:lang w:val="en-US"/>
        </w:rPr>
        <w:t>, ruling out that w</w:t>
      </w:r>
      <w:r w:rsidR="00EA66B0">
        <w:rPr>
          <w:rFonts w:ascii="Cambria" w:hAnsi="Cambria"/>
          <w:iCs/>
          <w:lang w:val="en-US"/>
        </w:rPr>
        <w:t>hat</w:t>
      </w:r>
      <w:r>
        <w:rPr>
          <w:rFonts w:ascii="Cambria" w:hAnsi="Cambria"/>
          <w:iCs/>
          <w:lang w:val="en-US"/>
        </w:rPr>
        <w:t xml:space="preserve"> is revealed can be true or divine knowledge.</w:t>
      </w:r>
      <w:r>
        <w:rPr>
          <w:rStyle w:val="FootnoteReference"/>
          <w:rFonts w:ascii="Cambria" w:hAnsi="Cambria"/>
          <w:iCs/>
          <w:lang w:val="en-US"/>
        </w:rPr>
        <w:footnoteReference w:id="52"/>
      </w:r>
      <w:r>
        <w:rPr>
          <w:rFonts w:ascii="Cambria" w:hAnsi="Cambria"/>
          <w:iCs/>
          <w:lang w:val="en-US"/>
        </w:rPr>
        <w:t xml:space="preserve"> </w:t>
      </w:r>
      <w:r w:rsidR="00F91B64">
        <w:rPr>
          <w:rFonts w:ascii="Cambria" w:hAnsi="Cambria"/>
          <w:iCs/>
          <w:lang w:val="en-US"/>
        </w:rPr>
        <w:t xml:space="preserve">However, it is worth noting that in relation to astrology, Iamblichus believes, as with dreams, that it can be both inspired and inductive. </w:t>
      </w:r>
      <w:r w:rsidR="00F91B64">
        <w:rPr>
          <w:rStyle w:val="FootnoteReference"/>
          <w:rFonts w:ascii="Cambria" w:hAnsi="Cambria"/>
          <w:iCs/>
          <w:lang w:val="en-US"/>
        </w:rPr>
        <w:footnoteReference w:id="53"/>
      </w:r>
      <w:r w:rsidR="00F91B64">
        <w:rPr>
          <w:rFonts w:ascii="Cambria" w:hAnsi="Cambria"/>
          <w:iCs/>
          <w:lang w:val="en-US"/>
        </w:rPr>
        <w:t xml:space="preserve">His argument is given in Book IX of </w:t>
      </w:r>
      <w:r w:rsidR="00F91B64">
        <w:rPr>
          <w:rFonts w:ascii="Cambria" w:hAnsi="Cambria"/>
          <w:i/>
          <w:lang w:val="en-US"/>
        </w:rPr>
        <w:t xml:space="preserve">De </w:t>
      </w:r>
      <w:proofErr w:type="spellStart"/>
      <w:r w:rsidR="00F91B64">
        <w:rPr>
          <w:rFonts w:ascii="Cambria" w:hAnsi="Cambria"/>
          <w:i/>
          <w:lang w:val="en-US"/>
        </w:rPr>
        <w:t>Mysteriis</w:t>
      </w:r>
      <w:proofErr w:type="spellEnd"/>
      <w:r w:rsidR="00F91B64">
        <w:rPr>
          <w:rFonts w:ascii="Cambria" w:hAnsi="Cambria"/>
          <w:i/>
          <w:lang w:val="en-US"/>
        </w:rPr>
        <w:t xml:space="preserve"> </w:t>
      </w:r>
      <w:r w:rsidR="00F91B64">
        <w:rPr>
          <w:rFonts w:ascii="Cambria" w:hAnsi="Cambria"/>
          <w:iCs/>
          <w:lang w:val="en-US"/>
        </w:rPr>
        <w:t>but in an oblique way in reference to what was known as the personal daemon – the semi-divine being that acted as a guiding spirit for an individual – and in answer to Porphyry’s question as to whether it could be discovered through the “master of the house”, that is the ruler of the natal astrological chart.</w:t>
      </w:r>
      <w:r w:rsidR="00F91B64">
        <w:rPr>
          <w:rStyle w:val="FootnoteReference"/>
          <w:rFonts w:ascii="Cambria" w:hAnsi="Cambria"/>
          <w:iCs/>
          <w:lang w:val="en-US"/>
        </w:rPr>
        <w:footnoteReference w:id="54"/>
      </w:r>
    </w:p>
    <w:p w14:paraId="19056FD2" w14:textId="77777777" w:rsidR="00F91B64" w:rsidRDefault="00F91B64" w:rsidP="001C5056">
      <w:pPr>
        <w:spacing w:line="480" w:lineRule="auto"/>
        <w:rPr>
          <w:rFonts w:ascii="Cambria" w:hAnsi="Cambria"/>
          <w:iCs/>
          <w:lang w:val="en-US"/>
        </w:rPr>
      </w:pPr>
    </w:p>
    <w:p w14:paraId="2BAC218A" w14:textId="0855DAEE" w:rsidR="00C36FDB" w:rsidRDefault="00C36FDB" w:rsidP="001C5056">
      <w:pPr>
        <w:spacing w:line="480" w:lineRule="auto"/>
        <w:rPr>
          <w:rFonts w:ascii="Cambria" w:hAnsi="Cambria"/>
          <w:iCs/>
          <w:lang w:val="en-US"/>
        </w:rPr>
      </w:pPr>
      <w:r>
        <w:rPr>
          <w:rFonts w:ascii="Cambria" w:hAnsi="Cambria"/>
          <w:iCs/>
          <w:lang w:val="en-US"/>
        </w:rPr>
        <w:t>In a later book, he asserts once more the primacy of inspired or true divination:</w:t>
      </w:r>
    </w:p>
    <w:p w14:paraId="1C597088" w14:textId="77777777" w:rsidR="00C36FDB" w:rsidRDefault="00C36FDB" w:rsidP="001C5056">
      <w:pPr>
        <w:spacing w:line="480" w:lineRule="auto"/>
        <w:rPr>
          <w:rFonts w:ascii="Cambria" w:hAnsi="Cambria"/>
          <w:iCs/>
          <w:lang w:val="en-US"/>
        </w:rPr>
      </w:pPr>
      <w:r>
        <w:rPr>
          <w:rFonts w:ascii="Cambria" w:hAnsi="Cambria"/>
          <w:iCs/>
          <w:lang w:val="en-US"/>
        </w:rPr>
        <w:tab/>
        <w:t>Therefore, since such a mode of divination [that is inductive] is entirely different</w:t>
      </w:r>
    </w:p>
    <w:p w14:paraId="196198E9" w14:textId="2D43B980" w:rsidR="00C36FDB" w:rsidRDefault="00C36FDB" w:rsidP="001C5056">
      <w:pPr>
        <w:spacing w:line="480" w:lineRule="auto"/>
        <w:rPr>
          <w:rFonts w:ascii="Cambria" w:hAnsi="Cambria"/>
          <w:iCs/>
          <w:lang w:val="en-US"/>
        </w:rPr>
      </w:pPr>
      <w:r>
        <w:rPr>
          <w:rFonts w:ascii="Cambria" w:hAnsi="Cambria"/>
          <w:iCs/>
          <w:lang w:val="en-US"/>
        </w:rPr>
        <w:tab/>
        <w:t>from the mode which is divine…it has the power to predict only trifling and</w:t>
      </w:r>
    </w:p>
    <w:p w14:paraId="33DA3185" w14:textId="6060D498" w:rsidR="00F91B64" w:rsidRDefault="00C36FDB" w:rsidP="00F91B64">
      <w:pPr>
        <w:spacing w:line="480" w:lineRule="auto"/>
        <w:rPr>
          <w:rFonts w:ascii="Cambria" w:hAnsi="Cambria"/>
          <w:iCs/>
          <w:lang w:val="en-US"/>
        </w:rPr>
      </w:pPr>
      <w:r>
        <w:rPr>
          <w:rFonts w:ascii="Cambria" w:hAnsi="Cambria"/>
          <w:iCs/>
          <w:lang w:val="en-US"/>
        </w:rPr>
        <w:lastRenderedPageBreak/>
        <w:tab/>
        <w:t>everyday events.</w:t>
      </w:r>
      <w:r>
        <w:rPr>
          <w:rStyle w:val="FootnoteReference"/>
          <w:rFonts w:ascii="Cambria" w:hAnsi="Cambria"/>
          <w:iCs/>
          <w:lang w:val="en-US"/>
        </w:rPr>
        <w:footnoteReference w:id="55"/>
      </w:r>
      <w:r w:rsidR="00E83A98" w:rsidRPr="00E83A98">
        <w:rPr>
          <w:rFonts w:ascii="Cambria" w:hAnsi="Cambria"/>
          <w:iCs/>
          <w:lang w:val="en-US"/>
        </w:rPr>
        <w:t xml:space="preserve"> </w:t>
      </w:r>
    </w:p>
    <w:p w14:paraId="42B495FD" w14:textId="0D4F3CBF" w:rsidR="00F91B64" w:rsidRDefault="00C36FDB" w:rsidP="00F91B64">
      <w:pPr>
        <w:spacing w:line="480" w:lineRule="auto"/>
        <w:rPr>
          <w:rFonts w:ascii="Cambria" w:hAnsi="Cambria"/>
          <w:iCs/>
          <w:lang w:val="en-US"/>
        </w:rPr>
      </w:pPr>
      <w:r>
        <w:rPr>
          <w:rFonts w:ascii="Cambria" w:hAnsi="Cambria"/>
          <w:iCs/>
          <w:lang w:val="en-US"/>
        </w:rPr>
        <w:t>Struck argues that as Iamblichus strives to explicate inductive divination, the more difficult it becomes to distinguish it from predictions that could be made from the observations of the natural world.</w:t>
      </w:r>
      <w:r>
        <w:rPr>
          <w:rStyle w:val="FootnoteReference"/>
          <w:rFonts w:ascii="Cambria" w:hAnsi="Cambria"/>
          <w:iCs/>
          <w:lang w:val="en-US"/>
        </w:rPr>
        <w:footnoteReference w:id="56"/>
      </w:r>
      <w:r>
        <w:rPr>
          <w:rFonts w:ascii="Cambria" w:hAnsi="Cambria"/>
          <w:iCs/>
          <w:lang w:val="en-US"/>
        </w:rPr>
        <w:t xml:space="preserve"> Iamblichus seems happy to accept this convergence and uses the fact that inductive divination is </w:t>
      </w:r>
      <w:r>
        <w:rPr>
          <w:rFonts w:ascii="Cambria" w:hAnsi="Cambria"/>
          <w:i/>
          <w:lang w:val="en-US"/>
        </w:rPr>
        <w:t>de facto</w:t>
      </w:r>
      <w:r>
        <w:rPr>
          <w:rFonts w:ascii="Cambria" w:hAnsi="Cambria"/>
          <w:iCs/>
          <w:lang w:val="en-US"/>
        </w:rPr>
        <w:t xml:space="preserve"> enmeshed with the corporeal world to stress its inferiority.</w:t>
      </w:r>
      <w:r>
        <w:rPr>
          <w:rStyle w:val="FootnoteReference"/>
          <w:rFonts w:ascii="Cambria" w:hAnsi="Cambria"/>
          <w:iCs/>
          <w:lang w:val="en-US"/>
        </w:rPr>
        <w:footnoteReference w:id="57"/>
      </w:r>
    </w:p>
    <w:p w14:paraId="2F3FF02B" w14:textId="77777777" w:rsidR="00F91B64" w:rsidRDefault="00F91B64" w:rsidP="00F91B64">
      <w:pPr>
        <w:spacing w:line="480" w:lineRule="auto"/>
        <w:rPr>
          <w:rFonts w:ascii="Cambria" w:hAnsi="Cambria"/>
          <w:iCs/>
          <w:lang w:val="en-US"/>
        </w:rPr>
      </w:pPr>
    </w:p>
    <w:p w14:paraId="63B52F6F" w14:textId="0B17FC68" w:rsidR="00F91B64" w:rsidRDefault="00F91B64" w:rsidP="00F91B64">
      <w:pPr>
        <w:spacing w:line="480" w:lineRule="auto"/>
        <w:rPr>
          <w:rFonts w:ascii="Cambria" w:hAnsi="Cambria"/>
          <w:iCs/>
          <w:lang w:val="en-US"/>
        </w:rPr>
      </w:pPr>
      <w:r w:rsidRPr="00F91B64">
        <w:rPr>
          <w:rFonts w:ascii="Cambria" w:hAnsi="Cambria"/>
          <w:iCs/>
          <w:lang w:val="en-US"/>
        </w:rPr>
        <w:t xml:space="preserve">This negative </w:t>
      </w:r>
      <w:r>
        <w:rPr>
          <w:rFonts w:ascii="Cambria" w:hAnsi="Cambria"/>
          <w:iCs/>
          <w:lang w:val="en-US"/>
        </w:rPr>
        <w:t>attitude</w:t>
      </w:r>
      <w:r w:rsidRPr="00F91B64">
        <w:rPr>
          <w:rFonts w:ascii="Cambria" w:hAnsi="Cambria"/>
          <w:iCs/>
          <w:lang w:val="en-US"/>
        </w:rPr>
        <w:t xml:space="preserve"> t</w:t>
      </w:r>
      <w:r>
        <w:rPr>
          <w:rFonts w:ascii="Cambria" w:hAnsi="Cambria"/>
          <w:iCs/>
          <w:lang w:val="en-US"/>
        </w:rPr>
        <w:t>owards the</w:t>
      </w:r>
      <w:r w:rsidRPr="00F91B64">
        <w:rPr>
          <w:rFonts w:ascii="Cambria" w:hAnsi="Cambria"/>
          <w:iCs/>
          <w:lang w:val="en-US"/>
        </w:rPr>
        <w:t xml:space="preserve"> </w:t>
      </w:r>
      <w:r>
        <w:rPr>
          <w:rFonts w:ascii="Cambria" w:hAnsi="Cambria"/>
          <w:iCs/>
          <w:lang w:val="en-US"/>
        </w:rPr>
        <w:t xml:space="preserve">inductive </w:t>
      </w:r>
      <w:r w:rsidRPr="00F91B64">
        <w:rPr>
          <w:rFonts w:ascii="Cambria" w:hAnsi="Cambria"/>
          <w:iCs/>
          <w:lang w:val="en-US"/>
        </w:rPr>
        <w:t xml:space="preserve">of divinatory knowledge </w:t>
      </w:r>
      <w:r>
        <w:rPr>
          <w:rFonts w:ascii="Cambria" w:hAnsi="Cambria"/>
          <w:iCs/>
          <w:lang w:val="en-US"/>
        </w:rPr>
        <w:t xml:space="preserve">mirrors, surprisingly given Iamblichus’ view of them as </w:t>
      </w:r>
      <w:proofErr w:type="spellStart"/>
      <w:r>
        <w:rPr>
          <w:rFonts w:ascii="Cambria" w:hAnsi="Cambria"/>
          <w:i/>
          <w:lang w:val="en-US"/>
        </w:rPr>
        <w:t>atheoi</w:t>
      </w:r>
      <w:proofErr w:type="spellEnd"/>
      <w:r>
        <w:rPr>
          <w:rFonts w:ascii="Cambria" w:hAnsi="Cambria"/>
          <w:i/>
          <w:lang w:val="en-US"/>
        </w:rPr>
        <w:t xml:space="preserve"> </w:t>
      </w:r>
      <w:r>
        <w:rPr>
          <w:rFonts w:ascii="Cambria" w:hAnsi="Cambria"/>
          <w:iCs/>
          <w:lang w:val="en-US"/>
        </w:rPr>
        <w:t xml:space="preserve">(atheists – non-believers in the plurality of the Gods), </w:t>
      </w:r>
      <w:r w:rsidRPr="00F91B64">
        <w:rPr>
          <w:rFonts w:ascii="Cambria" w:hAnsi="Cambria"/>
          <w:iCs/>
          <w:lang w:val="en-US"/>
        </w:rPr>
        <w:t>a</w:t>
      </w:r>
      <w:r>
        <w:rPr>
          <w:rFonts w:ascii="Cambria" w:hAnsi="Cambria"/>
          <w:iCs/>
          <w:lang w:val="en-US"/>
        </w:rPr>
        <w:t>n emerging</w:t>
      </w:r>
      <w:r w:rsidRPr="00F91B64">
        <w:rPr>
          <w:rFonts w:ascii="Cambria" w:hAnsi="Cambria"/>
          <w:iCs/>
          <w:lang w:val="en-US"/>
        </w:rPr>
        <w:t xml:space="preserve"> attitude among Christian thinkers</w:t>
      </w:r>
      <w:r>
        <w:rPr>
          <w:rFonts w:ascii="Cambria" w:hAnsi="Cambria"/>
          <w:iCs/>
          <w:lang w:val="en-US"/>
        </w:rPr>
        <w:t xml:space="preserve"> such as Origen and Augustine.</w:t>
      </w:r>
      <w:r>
        <w:rPr>
          <w:rStyle w:val="FootnoteReference"/>
          <w:rFonts w:ascii="Cambria" w:hAnsi="Cambria"/>
          <w:iCs/>
          <w:lang w:val="en-US"/>
        </w:rPr>
        <w:footnoteReference w:id="58"/>
      </w:r>
      <w:r w:rsidRPr="00F91B64">
        <w:rPr>
          <w:rFonts w:ascii="Cambria" w:hAnsi="Cambria"/>
          <w:iCs/>
          <w:lang w:val="en-US"/>
        </w:rPr>
        <w:t xml:space="preserve">­ </w:t>
      </w:r>
      <w:r>
        <w:rPr>
          <w:rFonts w:ascii="Cambria" w:hAnsi="Cambria"/>
          <w:iCs/>
          <w:lang w:val="en-US"/>
        </w:rPr>
        <w:t>The Christian notion here is that ‘pagan’ divination is grounded in the material and directed by demons (the evil daemon)</w:t>
      </w:r>
      <w:r>
        <w:rPr>
          <w:rStyle w:val="FootnoteReference"/>
          <w:rFonts w:ascii="Cambria" w:hAnsi="Cambria"/>
          <w:iCs/>
          <w:lang w:val="en-US"/>
        </w:rPr>
        <w:footnoteReference w:id="59"/>
      </w:r>
      <w:r>
        <w:rPr>
          <w:rFonts w:ascii="Cambria" w:hAnsi="Cambria"/>
          <w:iCs/>
          <w:lang w:val="en-US"/>
        </w:rPr>
        <w:t>. This is rejected and replaced by</w:t>
      </w:r>
      <w:r w:rsidRPr="00F91B64">
        <w:rPr>
          <w:rFonts w:ascii="Cambria" w:hAnsi="Cambria"/>
          <w:iCs/>
          <w:lang w:val="en-US"/>
        </w:rPr>
        <w:t xml:space="preserve"> a model of prophetic </w:t>
      </w:r>
      <w:r>
        <w:rPr>
          <w:rFonts w:ascii="Cambria" w:hAnsi="Cambria"/>
          <w:iCs/>
          <w:lang w:val="en-US"/>
        </w:rPr>
        <w:t>engagement</w:t>
      </w:r>
      <w:r w:rsidRPr="00F91B64">
        <w:rPr>
          <w:rFonts w:ascii="Cambria" w:hAnsi="Cambria"/>
          <w:iCs/>
          <w:lang w:val="en-US"/>
        </w:rPr>
        <w:t xml:space="preserve"> that is wholly divine</w:t>
      </w:r>
      <w:r>
        <w:rPr>
          <w:rFonts w:ascii="Cambria" w:hAnsi="Cambria"/>
          <w:iCs/>
          <w:lang w:val="en-US"/>
        </w:rPr>
        <w:t>, in</w:t>
      </w:r>
      <w:r w:rsidRPr="00F91B64">
        <w:rPr>
          <w:rFonts w:ascii="Cambria" w:hAnsi="Cambria"/>
          <w:iCs/>
          <w:lang w:val="en-US"/>
        </w:rPr>
        <w:t xml:space="preserve"> power and acti</w:t>
      </w:r>
      <w:r>
        <w:rPr>
          <w:rFonts w:ascii="Cambria" w:hAnsi="Cambria"/>
          <w:iCs/>
          <w:lang w:val="en-US"/>
        </w:rPr>
        <w:t>on</w:t>
      </w:r>
      <w:r w:rsidRPr="00F91B64">
        <w:rPr>
          <w:rFonts w:ascii="Cambria" w:hAnsi="Cambria"/>
          <w:iCs/>
          <w:lang w:val="en-US"/>
        </w:rPr>
        <w:t>, in which the human being is a conduit</w:t>
      </w:r>
      <w:r>
        <w:rPr>
          <w:rFonts w:ascii="Cambria" w:hAnsi="Cambria"/>
          <w:iCs/>
          <w:lang w:val="en-US"/>
        </w:rPr>
        <w:t xml:space="preserve"> or vessel</w:t>
      </w:r>
      <w:r w:rsidRPr="00F91B64">
        <w:rPr>
          <w:rFonts w:ascii="Cambria" w:hAnsi="Cambria"/>
          <w:iCs/>
          <w:lang w:val="en-US"/>
        </w:rPr>
        <w:t xml:space="preserve">. </w:t>
      </w:r>
      <w:r>
        <w:rPr>
          <w:rFonts w:ascii="Cambria" w:hAnsi="Cambria"/>
          <w:iCs/>
          <w:lang w:val="en-US"/>
        </w:rPr>
        <w:t>Thus,</w:t>
      </w:r>
      <w:r w:rsidR="00587457">
        <w:rPr>
          <w:rFonts w:ascii="Cambria" w:hAnsi="Cambria"/>
          <w:iCs/>
          <w:lang w:val="en-US"/>
        </w:rPr>
        <w:t xml:space="preserve"> </w:t>
      </w:r>
      <w:proofErr w:type="gramStart"/>
      <w:r>
        <w:rPr>
          <w:rFonts w:ascii="Cambria" w:hAnsi="Cambria"/>
          <w:iCs/>
          <w:lang w:val="en-US"/>
        </w:rPr>
        <w:t>Struck</w:t>
      </w:r>
      <w:proofErr w:type="gramEnd"/>
      <w:r>
        <w:rPr>
          <w:rFonts w:ascii="Cambria" w:hAnsi="Cambria"/>
          <w:iCs/>
          <w:lang w:val="en-US"/>
        </w:rPr>
        <w:t xml:space="preserve"> argues that with both </w:t>
      </w:r>
      <w:r w:rsidRPr="00F91B64">
        <w:rPr>
          <w:rFonts w:ascii="Cambria" w:hAnsi="Cambria"/>
          <w:iCs/>
          <w:lang w:val="en-US"/>
        </w:rPr>
        <w:t>Christians and Iamblichus, the theological structure is similar</w:t>
      </w:r>
      <w:r>
        <w:rPr>
          <w:rFonts w:ascii="Cambria" w:hAnsi="Cambria"/>
          <w:iCs/>
          <w:lang w:val="en-US"/>
        </w:rPr>
        <w:t xml:space="preserve"> but</w:t>
      </w:r>
      <w:r w:rsidRPr="00F91B64">
        <w:rPr>
          <w:rFonts w:ascii="Cambria" w:hAnsi="Cambria"/>
          <w:iCs/>
          <w:lang w:val="en-US"/>
        </w:rPr>
        <w:t xml:space="preserve"> the </w:t>
      </w:r>
      <w:proofErr w:type="spellStart"/>
      <w:r w:rsidRPr="00F91B64">
        <w:rPr>
          <w:rFonts w:ascii="Cambria" w:hAnsi="Cambria"/>
          <w:i/>
          <w:iCs/>
          <w:lang w:val="en-US"/>
        </w:rPr>
        <w:t>theos</w:t>
      </w:r>
      <w:proofErr w:type="spellEnd"/>
      <w:r w:rsidRPr="00F91B64">
        <w:rPr>
          <w:rFonts w:ascii="Cambria" w:hAnsi="Cambria"/>
          <w:i/>
          <w:iCs/>
          <w:lang w:val="en-US"/>
        </w:rPr>
        <w:t xml:space="preserve"> </w:t>
      </w:r>
      <w:r w:rsidRPr="00F91B64">
        <w:rPr>
          <w:rFonts w:ascii="Cambria" w:hAnsi="Cambria"/>
          <w:iCs/>
          <w:lang w:val="en-US"/>
        </w:rPr>
        <w:t>that is different.</w:t>
      </w:r>
      <w:r>
        <w:rPr>
          <w:rStyle w:val="FootnoteReference"/>
          <w:rFonts w:ascii="Cambria" w:hAnsi="Cambria"/>
          <w:iCs/>
          <w:lang w:val="en-US"/>
        </w:rPr>
        <w:footnoteReference w:id="60"/>
      </w:r>
    </w:p>
    <w:p w14:paraId="3B7702D8" w14:textId="5FB4E352" w:rsidR="00F91B64" w:rsidRDefault="00F91B64" w:rsidP="00F91B64">
      <w:pPr>
        <w:spacing w:line="480" w:lineRule="auto"/>
        <w:rPr>
          <w:rFonts w:ascii="Cambria" w:hAnsi="Cambria"/>
          <w:iCs/>
          <w:lang w:val="en-US"/>
        </w:rPr>
      </w:pPr>
    </w:p>
    <w:p w14:paraId="69157570" w14:textId="6F13021F" w:rsidR="00F91B64" w:rsidRDefault="00F91B64" w:rsidP="00F91B64">
      <w:pPr>
        <w:spacing w:line="480" w:lineRule="auto"/>
        <w:rPr>
          <w:rFonts w:ascii="Cambria" w:hAnsi="Cambria"/>
          <w:iCs/>
          <w:lang w:val="en-US"/>
        </w:rPr>
      </w:pPr>
      <w:r>
        <w:rPr>
          <w:rFonts w:ascii="Cambria" w:hAnsi="Cambria"/>
          <w:iCs/>
          <w:lang w:val="en-US"/>
        </w:rPr>
        <w:t xml:space="preserve">In separating inspirational divination from the inductive, Iamblichus still needs to find a way to describe the lower forms of insight and knowledge that he did not want to ascribe to </w:t>
      </w:r>
      <w:proofErr w:type="spellStart"/>
      <w:r>
        <w:rPr>
          <w:rFonts w:ascii="Cambria" w:hAnsi="Cambria"/>
          <w:i/>
          <w:lang w:val="en-US"/>
        </w:rPr>
        <w:t>mantike</w:t>
      </w:r>
      <w:proofErr w:type="spellEnd"/>
      <w:r>
        <w:rPr>
          <w:rFonts w:ascii="Cambria" w:hAnsi="Cambria"/>
          <w:iCs/>
          <w:lang w:val="en-US"/>
        </w:rPr>
        <w:t>. These were, according to Struck, the ways in which Greek culture had attempted to describe ‘</w:t>
      </w:r>
      <w:r w:rsidRPr="00F91B64">
        <w:rPr>
          <w:rFonts w:ascii="Cambria" w:hAnsi="Cambria"/>
          <w:iCs/>
          <w:lang w:val="en-US"/>
        </w:rPr>
        <w:t>the strange abilities of some people to know things via subterranean, instinctual, non-discursive insights, embedded in the natural world</w:t>
      </w:r>
      <w:r>
        <w:rPr>
          <w:rFonts w:ascii="Cambria" w:hAnsi="Cambria"/>
          <w:iCs/>
          <w:lang w:val="en-US"/>
        </w:rPr>
        <w:t>.’</w:t>
      </w:r>
      <w:r>
        <w:rPr>
          <w:rStyle w:val="FootnoteReference"/>
          <w:rFonts w:ascii="Cambria" w:hAnsi="Cambria"/>
          <w:iCs/>
          <w:lang w:val="en-US"/>
        </w:rPr>
        <w:footnoteReference w:id="61"/>
      </w:r>
    </w:p>
    <w:p w14:paraId="1ECADE53" w14:textId="5D002F21" w:rsidR="00F91B64" w:rsidRPr="00F91B64" w:rsidRDefault="00F91B64" w:rsidP="00F91B64">
      <w:pPr>
        <w:spacing w:line="480" w:lineRule="auto"/>
        <w:rPr>
          <w:rFonts w:ascii="Cambria" w:hAnsi="Cambria"/>
          <w:iCs/>
          <w:lang w:val="en-US"/>
        </w:rPr>
      </w:pPr>
      <w:r>
        <w:rPr>
          <w:rFonts w:ascii="Cambria" w:hAnsi="Cambria"/>
          <w:iCs/>
          <w:lang w:val="en-US"/>
        </w:rPr>
        <w:lastRenderedPageBreak/>
        <w:t>Iamblichus plumps for using words that translate in English to ‘intuition’:</w:t>
      </w:r>
    </w:p>
    <w:p w14:paraId="67BFE679" w14:textId="35E57168" w:rsidR="00F91B64" w:rsidRPr="00F91B64" w:rsidRDefault="00F91B64" w:rsidP="00F91B64">
      <w:pPr>
        <w:spacing w:line="480" w:lineRule="auto"/>
        <w:ind w:left="720"/>
        <w:rPr>
          <w:rFonts w:ascii="Cambria" w:hAnsi="Cambria"/>
          <w:iCs/>
          <w:lang w:val="en-US"/>
        </w:rPr>
      </w:pPr>
      <w:proofErr w:type="gramStart"/>
      <w:r w:rsidRPr="00F91B64">
        <w:rPr>
          <w:rFonts w:ascii="Cambria" w:hAnsi="Cambria"/>
          <w:iCs/>
          <w:lang w:val="en-US"/>
        </w:rPr>
        <w:t>I</w:t>
      </w:r>
      <w:r w:rsidR="00F42D14">
        <w:rPr>
          <w:rFonts w:ascii="Cambria" w:hAnsi="Cambria"/>
          <w:iCs/>
          <w:lang w:val="en-US"/>
        </w:rPr>
        <w:t>f</w:t>
      </w:r>
      <w:r>
        <w:rPr>
          <w:rFonts w:ascii="Cambria" w:hAnsi="Cambria"/>
          <w:iCs/>
          <w:lang w:val="en-US"/>
        </w:rPr>
        <w:t>,</w:t>
      </w:r>
      <w:proofErr w:type="gramEnd"/>
      <w:r w:rsidRPr="00F91B64">
        <w:rPr>
          <w:rFonts w:ascii="Cambria" w:hAnsi="Cambria"/>
          <w:iCs/>
          <w:lang w:val="en-US"/>
        </w:rPr>
        <w:t xml:space="preserve"> then</w:t>
      </w:r>
      <w:r>
        <w:rPr>
          <w:rFonts w:ascii="Cambria" w:hAnsi="Cambria"/>
          <w:iCs/>
          <w:lang w:val="en-US"/>
        </w:rPr>
        <w:t>,</w:t>
      </w:r>
      <w:r w:rsidRPr="00F91B64">
        <w:rPr>
          <w:rFonts w:ascii="Cambria" w:hAnsi="Cambria"/>
          <w:iCs/>
          <w:lang w:val="en-US"/>
        </w:rPr>
        <w:t xml:space="preserve"> these things we are talking about are true, we should not</w:t>
      </w:r>
      <w:r>
        <w:rPr>
          <w:rFonts w:ascii="Cambria" w:hAnsi="Cambria"/>
          <w:iCs/>
          <w:lang w:val="en-US"/>
        </w:rPr>
        <w:t xml:space="preserve"> identify such intuition … with</w:t>
      </w:r>
      <w:r w:rsidRPr="00F91B64">
        <w:rPr>
          <w:rFonts w:ascii="Cambria" w:hAnsi="Cambria"/>
          <w:iCs/>
          <w:lang w:val="en-US"/>
        </w:rPr>
        <w:t xml:space="preserve"> </w:t>
      </w:r>
      <w:r>
        <w:rPr>
          <w:rFonts w:ascii="Cambria" w:hAnsi="Cambria"/>
          <w:iCs/>
          <w:lang w:val="en-US"/>
        </w:rPr>
        <w:t>oracular</w:t>
      </w:r>
      <w:r w:rsidRPr="00F91B64">
        <w:rPr>
          <w:rFonts w:ascii="Cambria" w:hAnsi="Cambria"/>
          <w:iCs/>
          <w:lang w:val="en-US"/>
        </w:rPr>
        <w:t xml:space="preserve"> foreknowledge; it has a similarity to divination, except that this latter lacks nothing of certainty and truth, </w:t>
      </w:r>
      <w:r>
        <w:rPr>
          <w:rFonts w:ascii="Cambria" w:hAnsi="Cambria"/>
          <w:iCs/>
          <w:lang w:val="en-US"/>
        </w:rPr>
        <w:t>and the former</w:t>
      </w:r>
      <w:r w:rsidRPr="00F91B64">
        <w:rPr>
          <w:rFonts w:ascii="Cambria" w:hAnsi="Cambria"/>
          <w:iCs/>
          <w:lang w:val="en-US"/>
        </w:rPr>
        <w:t xml:space="preserve"> chances upon the truth for the most part, but not always</w:t>
      </w:r>
      <w:r>
        <w:rPr>
          <w:rFonts w:ascii="Cambria" w:hAnsi="Cambria"/>
          <w:iCs/>
          <w:lang w:val="en-US"/>
        </w:rPr>
        <w:t>…</w:t>
      </w:r>
      <w:r>
        <w:rPr>
          <w:rStyle w:val="FootnoteReference"/>
          <w:rFonts w:ascii="Cambria" w:hAnsi="Cambria"/>
          <w:iCs/>
          <w:lang w:val="en-US"/>
        </w:rPr>
        <w:footnoteReference w:id="62"/>
      </w:r>
    </w:p>
    <w:p w14:paraId="47F9A55F" w14:textId="4F80D1B9" w:rsidR="00F91B64" w:rsidRPr="00F91B64" w:rsidRDefault="00F91B64" w:rsidP="00F91B64">
      <w:pPr>
        <w:spacing w:line="480" w:lineRule="auto"/>
        <w:rPr>
          <w:rFonts w:ascii="Cambria" w:hAnsi="Cambria"/>
          <w:iCs/>
          <w:lang w:val="en-US"/>
        </w:rPr>
      </w:pPr>
      <w:r>
        <w:rPr>
          <w:rFonts w:ascii="Cambria" w:hAnsi="Cambria"/>
          <w:iCs/>
          <w:lang w:val="en-US"/>
        </w:rPr>
        <w:t>The Greek words used</w:t>
      </w:r>
      <w:r w:rsidRPr="00F91B64">
        <w:rPr>
          <w:rFonts w:ascii="Cambria" w:hAnsi="Cambria"/>
          <w:iCs/>
          <w:lang w:val="en-US"/>
        </w:rPr>
        <w:t xml:space="preserve"> </w:t>
      </w:r>
      <w:r>
        <w:rPr>
          <w:rFonts w:ascii="Cambria" w:hAnsi="Cambria"/>
          <w:iCs/>
          <w:lang w:val="en-US"/>
        </w:rPr>
        <w:t>are</w:t>
      </w:r>
      <w:r w:rsidRPr="00F91B64">
        <w:rPr>
          <w:rFonts w:ascii="Cambria" w:hAnsi="Cambria"/>
          <w:iCs/>
          <w:lang w:val="en-US"/>
        </w:rPr>
        <w:t xml:space="preserve"> </w:t>
      </w:r>
      <w:proofErr w:type="spellStart"/>
      <w:r w:rsidRPr="00F91B64">
        <w:rPr>
          <w:rFonts w:ascii="Cambria" w:hAnsi="Cambria"/>
          <w:i/>
          <w:iCs/>
          <w:lang w:val="en-US"/>
        </w:rPr>
        <w:t>epibole</w:t>
      </w:r>
      <w:proofErr w:type="spellEnd"/>
      <w:r>
        <w:rPr>
          <w:rFonts w:ascii="Cambria" w:hAnsi="Cambria"/>
          <w:i/>
          <w:iCs/>
          <w:lang w:val="en-US"/>
        </w:rPr>
        <w:t xml:space="preserve"> </w:t>
      </w:r>
      <w:r>
        <w:rPr>
          <w:rFonts w:ascii="Cambria" w:hAnsi="Cambria"/>
          <w:lang w:val="en-US"/>
        </w:rPr>
        <w:t xml:space="preserve">– meaning to ‘throw on’ - </w:t>
      </w:r>
      <w:r w:rsidRPr="00F91B64">
        <w:rPr>
          <w:rFonts w:ascii="Cambria" w:hAnsi="Cambria"/>
          <w:iCs/>
          <w:lang w:val="en-US"/>
        </w:rPr>
        <w:t xml:space="preserve">and </w:t>
      </w:r>
      <w:proofErr w:type="spellStart"/>
      <w:r w:rsidRPr="00F91B64">
        <w:rPr>
          <w:rFonts w:ascii="Cambria" w:hAnsi="Cambria"/>
          <w:i/>
          <w:iCs/>
          <w:lang w:val="en-US"/>
        </w:rPr>
        <w:t>epaphe</w:t>
      </w:r>
      <w:proofErr w:type="spellEnd"/>
      <w:r>
        <w:rPr>
          <w:rFonts w:ascii="Cambria" w:hAnsi="Cambria"/>
          <w:lang w:val="en-US"/>
        </w:rPr>
        <w:t xml:space="preserve"> – meaning to ‘touch’</w:t>
      </w:r>
      <w:r w:rsidR="008A121E">
        <w:rPr>
          <w:rFonts w:ascii="Cambria" w:hAnsi="Cambria"/>
          <w:lang w:val="en-US"/>
        </w:rPr>
        <w:t xml:space="preserve">. </w:t>
      </w:r>
      <w:r w:rsidR="008A121E">
        <w:rPr>
          <w:rFonts w:ascii="Cambria" w:hAnsi="Cambria"/>
          <w:iCs/>
          <w:lang w:val="en-US"/>
        </w:rPr>
        <w:t>It must have been difficult for the translators of</w:t>
      </w:r>
      <w:r>
        <w:rPr>
          <w:rFonts w:ascii="Cambria" w:hAnsi="Cambria"/>
          <w:iCs/>
          <w:lang w:val="en-US"/>
        </w:rPr>
        <w:t xml:space="preserve"> Iamblichus</w:t>
      </w:r>
      <w:r w:rsidR="008A121E">
        <w:rPr>
          <w:rFonts w:ascii="Cambria" w:hAnsi="Cambria"/>
          <w:iCs/>
          <w:lang w:val="en-US"/>
        </w:rPr>
        <w:t>’s work</w:t>
      </w:r>
      <w:r>
        <w:rPr>
          <w:rFonts w:ascii="Cambria" w:hAnsi="Cambria"/>
          <w:iCs/>
          <w:lang w:val="en-US"/>
        </w:rPr>
        <w:t xml:space="preserve"> </w:t>
      </w:r>
      <w:r w:rsidR="008A121E">
        <w:rPr>
          <w:rFonts w:ascii="Cambria" w:hAnsi="Cambria"/>
          <w:iCs/>
          <w:lang w:val="en-US"/>
        </w:rPr>
        <w:t>looking for word to ascribe to the concept,</w:t>
      </w:r>
      <w:r>
        <w:rPr>
          <w:rFonts w:ascii="Cambria" w:hAnsi="Cambria"/>
          <w:iCs/>
          <w:lang w:val="en-US"/>
        </w:rPr>
        <w:t xml:space="preserve"> if </w:t>
      </w:r>
      <w:r w:rsidR="008A121E">
        <w:rPr>
          <w:rFonts w:ascii="Cambria" w:hAnsi="Cambria"/>
          <w:iCs/>
          <w:lang w:val="en-US"/>
        </w:rPr>
        <w:t>Iamblichus</w:t>
      </w:r>
      <w:r>
        <w:rPr>
          <w:rFonts w:ascii="Cambria" w:hAnsi="Cambria"/>
          <w:iCs/>
          <w:lang w:val="en-US"/>
        </w:rPr>
        <w:t xml:space="preserve"> is </w:t>
      </w:r>
      <w:r w:rsidR="008A121E">
        <w:rPr>
          <w:rFonts w:ascii="Cambria" w:hAnsi="Cambria"/>
          <w:iCs/>
          <w:lang w:val="en-US"/>
        </w:rPr>
        <w:t xml:space="preserve">determined it is </w:t>
      </w:r>
      <w:r>
        <w:rPr>
          <w:rFonts w:ascii="Cambria" w:hAnsi="Cambria"/>
          <w:iCs/>
          <w:lang w:val="en-US"/>
        </w:rPr>
        <w:t xml:space="preserve">not </w:t>
      </w:r>
      <w:proofErr w:type="spellStart"/>
      <w:r>
        <w:rPr>
          <w:rFonts w:ascii="Cambria" w:hAnsi="Cambria"/>
          <w:i/>
          <w:lang w:val="en-US"/>
        </w:rPr>
        <w:t>mantike</w:t>
      </w:r>
      <w:proofErr w:type="spellEnd"/>
      <w:r w:rsidR="008A121E">
        <w:rPr>
          <w:rFonts w:ascii="Cambria" w:hAnsi="Cambria"/>
          <w:iCs/>
          <w:lang w:val="en-US"/>
        </w:rPr>
        <w:t xml:space="preserve">. Ancient Greek </w:t>
      </w:r>
      <w:r>
        <w:rPr>
          <w:rFonts w:ascii="Cambria" w:hAnsi="Cambria"/>
          <w:iCs/>
          <w:lang w:val="en-US"/>
        </w:rPr>
        <w:t>ha</w:t>
      </w:r>
      <w:r w:rsidR="008A121E">
        <w:rPr>
          <w:rFonts w:ascii="Cambria" w:hAnsi="Cambria"/>
          <w:iCs/>
          <w:lang w:val="en-US"/>
        </w:rPr>
        <w:t>s</w:t>
      </w:r>
      <w:r>
        <w:rPr>
          <w:rFonts w:ascii="Cambria" w:hAnsi="Cambria"/>
          <w:iCs/>
          <w:lang w:val="en-US"/>
        </w:rPr>
        <w:t xml:space="preserve"> no word in the language, no equivalent to the English intuition</w:t>
      </w:r>
      <w:r w:rsidRPr="00F91B64">
        <w:rPr>
          <w:rFonts w:ascii="Cambria" w:hAnsi="Cambria"/>
          <w:iCs/>
          <w:lang w:val="en-US"/>
        </w:rPr>
        <w:t xml:space="preserve">. </w:t>
      </w:r>
      <w:r w:rsidR="008A121E">
        <w:rPr>
          <w:rFonts w:ascii="Cambria" w:hAnsi="Cambria"/>
          <w:iCs/>
          <w:lang w:val="en-US"/>
        </w:rPr>
        <w:t>Struck notes that t</w:t>
      </w:r>
      <w:r>
        <w:rPr>
          <w:rFonts w:ascii="Cambria" w:hAnsi="Cambria"/>
          <w:iCs/>
          <w:lang w:val="en-US"/>
        </w:rPr>
        <w:t>here was nothing to describe ‘insight that arrives without reason’.</w:t>
      </w:r>
      <w:r>
        <w:rPr>
          <w:rStyle w:val="FootnoteReference"/>
          <w:rFonts w:ascii="Cambria" w:hAnsi="Cambria"/>
          <w:iCs/>
          <w:lang w:val="en-US"/>
        </w:rPr>
        <w:footnoteReference w:id="63"/>
      </w:r>
      <w:r w:rsidRPr="00F91B64">
        <w:rPr>
          <w:rFonts w:ascii="Cambria" w:hAnsi="Cambria"/>
          <w:iCs/>
          <w:lang w:val="en-US"/>
        </w:rPr>
        <w:t xml:space="preserve"> </w:t>
      </w:r>
      <w:r>
        <w:rPr>
          <w:rFonts w:ascii="Cambria" w:hAnsi="Cambria"/>
          <w:iCs/>
          <w:lang w:val="en-US"/>
        </w:rPr>
        <w:t>But Iamblichus is clear that it is not to be considered to be divinely inspired.</w:t>
      </w:r>
    </w:p>
    <w:p w14:paraId="6963ADA2" w14:textId="77777777" w:rsidR="0019790F" w:rsidRDefault="0019790F" w:rsidP="0019790F">
      <w:pPr>
        <w:spacing w:line="480" w:lineRule="auto"/>
        <w:rPr>
          <w:rFonts w:ascii="Cambria" w:hAnsi="Cambria"/>
          <w:iCs/>
          <w:lang w:val="en-US"/>
        </w:rPr>
      </w:pPr>
    </w:p>
    <w:p w14:paraId="37DAA106" w14:textId="4CD2E172" w:rsidR="00CA7257" w:rsidRDefault="0019790F" w:rsidP="0019790F">
      <w:pPr>
        <w:spacing w:line="480" w:lineRule="auto"/>
        <w:rPr>
          <w:rFonts w:ascii="Cambria" w:hAnsi="Cambria"/>
          <w:iCs/>
          <w:lang w:val="en-US"/>
        </w:rPr>
      </w:pPr>
      <w:r>
        <w:rPr>
          <w:rFonts w:ascii="Cambria" w:hAnsi="Cambria"/>
          <w:iCs/>
          <w:lang w:val="en-US"/>
        </w:rPr>
        <w:t xml:space="preserve">In conclusion, </w:t>
      </w:r>
      <w:r w:rsidR="00600821" w:rsidRPr="00600821">
        <w:rPr>
          <w:rFonts w:ascii="Cambria" w:hAnsi="Cambria"/>
          <w:iCs/>
          <w:lang w:val="en-US"/>
        </w:rPr>
        <w:t>Iamblichus makes a definitive separation of divine divination</w:t>
      </w:r>
      <w:r>
        <w:rPr>
          <w:rFonts w:ascii="Cambria" w:hAnsi="Cambria"/>
          <w:iCs/>
          <w:lang w:val="en-US"/>
        </w:rPr>
        <w:t xml:space="preserve"> – inspirational -</w:t>
      </w:r>
      <w:r w:rsidR="00600821" w:rsidRPr="00600821">
        <w:rPr>
          <w:rFonts w:ascii="Cambria" w:hAnsi="Cambria"/>
          <w:iCs/>
          <w:lang w:val="en-US"/>
        </w:rPr>
        <w:t xml:space="preserve"> from insight that can be gained from the material world</w:t>
      </w:r>
      <w:r>
        <w:rPr>
          <w:rFonts w:ascii="Cambria" w:hAnsi="Cambria"/>
          <w:iCs/>
          <w:lang w:val="en-US"/>
        </w:rPr>
        <w:t xml:space="preserve"> – inductive</w:t>
      </w:r>
      <w:r w:rsidR="00600821" w:rsidRPr="00600821">
        <w:rPr>
          <w:rFonts w:ascii="Cambria" w:hAnsi="Cambria"/>
          <w:iCs/>
          <w:lang w:val="en-US"/>
        </w:rPr>
        <w:t>.</w:t>
      </w:r>
      <w:r>
        <w:rPr>
          <w:rFonts w:ascii="Cambria" w:hAnsi="Cambria"/>
          <w:iCs/>
          <w:lang w:val="en-US"/>
        </w:rPr>
        <w:t xml:space="preserve">  True divination is the gift of the gods.</w:t>
      </w:r>
      <w:r>
        <w:rPr>
          <w:rStyle w:val="FootnoteReference"/>
          <w:rFonts w:ascii="Cambria" w:hAnsi="Cambria"/>
          <w:iCs/>
          <w:lang w:val="en-US"/>
        </w:rPr>
        <w:footnoteReference w:id="64"/>
      </w:r>
      <w:r>
        <w:rPr>
          <w:rFonts w:ascii="Cambria" w:hAnsi="Cambria"/>
          <w:iCs/>
          <w:lang w:val="en-US"/>
        </w:rPr>
        <w:t xml:space="preserve"> </w:t>
      </w:r>
      <w:r w:rsidR="00600821" w:rsidRPr="00600821">
        <w:rPr>
          <w:rFonts w:ascii="Cambria" w:hAnsi="Cambria"/>
          <w:iCs/>
          <w:lang w:val="en-US"/>
        </w:rPr>
        <w:t xml:space="preserve"> </w:t>
      </w:r>
      <w:r>
        <w:rPr>
          <w:rFonts w:ascii="Cambria" w:hAnsi="Cambria"/>
          <w:iCs/>
          <w:lang w:val="en-US"/>
        </w:rPr>
        <w:t>One</w:t>
      </w:r>
      <w:r w:rsidR="00600821" w:rsidRPr="00600821">
        <w:rPr>
          <w:rFonts w:ascii="Cambria" w:hAnsi="Cambria"/>
          <w:iCs/>
          <w:lang w:val="en-US"/>
        </w:rPr>
        <w:t xml:space="preserve"> </w:t>
      </w:r>
      <w:r>
        <w:rPr>
          <w:rFonts w:ascii="Cambria" w:hAnsi="Cambria"/>
          <w:iCs/>
          <w:lang w:val="en-US"/>
        </w:rPr>
        <w:t>consequence</w:t>
      </w:r>
      <w:r w:rsidR="00600821" w:rsidRPr="00600821">
        <w:rPr>
          <w:rFonts w:ascii="Cambria" w:hAnsi="Cambria"/>
          <w:iCs/>
          <w:lang w:val="en-US"/>
        </w:rPr>
        <w:t xml:space="preserve"> is an insistence on </w:t>
      </w:r>
      <w:r w:rsidR="00CA7257">
        <w:rPr>
          <w:rFonts w:ascii="Cambria" w:hAnsi="Cambria"/>
          <w:iCs/>
          <w:lang w:val="en-US"/>
        </w:rPr>
        <w:t xml:space="preserve">the </w:t>
      </w:r>
      <w:r w:rsidR="00600821" w:rsidRPr="00600821">
        <w:rPr>
          <w:rFonts w:ascii="Cambria" w:hAnsi="Cambria"/>
          <w:iCs/>
          <w:lang w:val="en-US"/>
        </w:rPr>
        <w:t>transcendence</w:t>
      </w:r>
      <w:r w:rsidR="00CA7257">
        <w:rPr>
          <w:rFonts w:ascii="Cambria" w:hAnsi="Cambria"/>
          <w:iCs/>
          <w:lang w:val="en-US"/>
        </w:rPr>
        <w:t xml:space="preserve"> of the divine</w:t>
      </w:r>
      <w:r w:rsidR="00600821" w:rsidRPr="00600821">
        <w:rPr>
          <w:rFonts w:ascii="Cambria" w:hAnsi="Cambria"/>
          <w:iCs/>
          <w:lang w:val="en-US"/>
        </w:rPr>
        <w:t xml:space="preserve">. </w:t>
      </w:r>
      <w:r w:rsidR="00CA7257">
        <w:rPr>
          <w:rFonts w:ascii="Cambria" w:hAnsi="Cambria"/>
          <w:iCs/>
          <w:lang w:val="en-US"/>
        </w:rPr>
        <w:t xml:space="preserve"> </w:t>
      </w:r>
      <w:r w:rsidR="00EA66B0">
        <w:rPr>
          <w:rFonts w:ascii="Cambria" w:hAnsi="Cambria"/>
          <w:iCs/>
          <w:lang w:val="en-US"/>
        </w:rPr>
        <w:t xml:space="preserve">However, as </w:t>
      </w:r>
      <w:proofErr w:type="spellStart"/>
      <w:r w:rsidR="00EA66B0">
        <w:rPr>
          <w:rFonts w:ascii="Cambria" w:hAnsi="Cambria"/>
          <w:iCs/>
          <w:lang w:val="en-US"/>
        </w:rPr>
        <w:t>Athanassiadi</w:t>
      </w:r>
      <w:proofErr w:type="spellEnd"/>
      <w:r w:rsidR="00EA66B0">
        <w:rPr>
          <w:rFonts w:ascii="Cambria" w:hAnsi="Cambria"/>
          <w:iCs/>
          <w:lang w:val="en-US"/>
        </w:rPr>
        <w:t xml:space="preserve"> notes, the boundary between human and truly divine prophecy is fragile.</w:t>
      </w:r>
      <w:r w:rsidR="00EA66B0">
        <w:rPr>
          <w:rStyle w:val="FootnoteReference"/>
          <w:rFonts w:ascii="Cambria" w:hAnsi="Cambria"/>
          <w:iCs/>
          <w:lang w:val="en-US"/>
        </w:rPr>
        <w:footnoteReference w:id="65"/>
      </w:r>
      <w:r w:rsidR="00EA66B0">
        <w:rPr>
          <w:rFonts w:ascii="Cambria" w:hAnsi="Cambria"/>
          <w:iCs/>
          <w:lang w:val="en-US"/>
        </w:rPr>
        <w:t xml:space="preserve"> The occasional truth being revealed in human dreams</w:t>
      </w:r>
      <w:r w:rsidR="00EA66B0">
        <w:rPr>
          <w:rStyle w:val="FootnoteReference"/>
          <w:rFonts w:ascii="Cambria" w:hAnsi="Cambria"/>
          <w:iCs/>
          <w:lang w:val="en-US"/>
        </w:rPr>
        <w:footnoteReference w:id="66"/>
      </w:r>
      <w:r w:rsidR="00EA66B0">
        <w:rPr>
          <w:rFonts w:ascii="Cambria" w:hAnsi="Cambria"/>
          <w:iCs/>
          <w:lang w:val="en-US"/>
        </w:rPr>
        <w:t>; the fact that the divine gift can be interrupted, diluted or misunderstood if it meets violence or passion</w:t>
      </w:r>
      <w:r w:rsidR="00EA66B0">
        <w:rPr>
          <w:rStyle w:val="FootnoteReference"/>
          <w:rFonts w:ascii="Cambria" w:hAnsi="Cambria"/>
          <w:iCs/>
          <w:lang w:val="en-US"/>
        </w:rPr>
        <w:footnoteReference w:id="67"/>
      </w:r>
      <w:r w:rsidR="00EA66B0">
        <w:rPr>
          <w:rFonts w:ascii="Cambria" w:hAnsi="Cambria"/>
          <w:iCs/>
          <w:lang w:val="en-US"/>
        </w:rPr>
        <w:t xml:space="preserve"> - these are two examples of the fragility. For Iamblichus, these problems can only be overcome by stressing that prayer and sacrifice, cornerstones of theurgy, are divine gifts to humanity.</w:t>
      </w:r>
      <w:r w:rsidR="00EA66B0">
        <w:rPr>
          <w:rStyle w:val="FootnoteReference"/>
          <w:rFonts w:ascii="Cambria" w:hAnsi="Cambria"/>
          <w:iCs/>
          <w:lang w:val="en-US"/>
        </w:rPr>
        <w:footnoteReference w:id="68"/>
      </w:r>
    </w:p>
    <w:p w14:paraId="5A2BF058" w14:textId="77777777" w:rsidR="00CA7257" w:rsidRDefault="00CA7257" w:rsidP="0019790F">
      <w:pPr>
        <w:spacing w:line="480" w:lineRule="auto"/>
        <w:rPr>
          <w:rFonts w:ascii="Cambria" w:hAnsi="Cambria"/>
          <w:iCs/>
          <w:lang w:val="en-US"/>
        </w:rPr>
      </w:pPr>
    </w:p>
    <w:p w14:paraId="17C8267C" w14:textId="442EB5A3" w:rsidR="00600821" w:rsidRDefault="00EA66B0" w:rsidP="0019790F">
      <w:pPr>
        <w:spacing w:line="480" w:lineRule="auto"/>
        <w:rPr>
          <w:rFonts w:ascii="Cambria" w:hAnsi="Cambria"/>
          <w:iCs/>
          <w:lang w:val="en-US"/>
        </w:rPr>
      </w:pPr>
      <w:r>
        <w:rPr>
          <w:rFonts w:ascii="Cambria" w:hAnsi="Cambria"/>
          <w:iCs/>
          <w:lang w:val="en-US"/>
        </w:rPr>
        <w:t>R</w:t>
      </w:r>
      <w:r w:rsidR="00CA7257">
        <w:rPr>
          <w:rFonts w:ascii="Cambria" w:hAnsi="Cambria"/>
          <w:iCs/>
          <w:lang w:val="en-US"/>
        </w:rPr>
        <w:t>itual and right action is way to lift oneself up or make oneself open to the gods, in the hope eventually of attaining spiritual union with the cosmic One.</w:t>
      </w:r>
      <w:r w:rsidR="009F162D">
        <w:rPr>
          <w:rStyle w:val="FootnoteReference"/>
          <w:rFonts w:ascii="Cambria" w:hAnsi="Cambria"/>
          <w:iCs/>
          <w:lang w:val="en-US"/>
        </w:rPr>
        <w:footnoteReference w:id="69"/>
      </w:r>
      <w:r w:rsidR="00CA7257">
        <w:rPr>
          <w:rFonts w:ascii="Cambria" w:hAnsi="Cambria"/>
          <w:iCs/>
          <w:lang w:val="en-US"/>
        </w:rPr>
        <w:t xml:space="preserve"> Iamblichus consistently makes the point that divine mantic prediction is through the agency of the gods, and is the appropriate form of divination for theurgist, for it ‘imparts to us a share in the divine life…and renders us, in truth divine.’</w:t>
      </w:r>
      <w:r w:rsidR="00CA7257">
        <w:rPr>
          <w:rStyle w:val="FootnoteReference"/>
          <w:rFonts w:ascii="Cambria" w:hAnsi="Cambria"/>
          <w:iCs/>
          <w:lang w:val="en-US"/>
        </w:rPr>
        <w:footnoteReference w:id="70"/>
      </w:r>
    </w:p>
    <w:p w14:paraId="1B4EEED5" w14:textId="3E2D124F" w:rsidR="00273D18" w:rsidRDefault="00273D18" w:rsidP="0019790F">
      <w:pPr>
        <w:spacing w:line="480" w:lineRule="auto"/>
        <w:rPr>
          <w:rFonts w:ascii="Cambria" w:hAnsi="Cambria"/>
          <w:iCs/>
          <w:lang w:val="en-US"/>
        </w:rPr>
      </w:pPr>
    </w:p>
    <w:p w14:paraId="4B0D20CE" w14:textId="77777777" w:rsidR="00273D18" w:rsidRDefault="00273D18">
      <w:pPr>
        <w:rPr>
          <w:rFonts w:ascii="Cambria" w:hAnsi="Cambria"/>
          <w:b/>
          <w:bCs/>
          <w:i/>
          <w:lang w:val="en-US"/>
        </w:rPr>
      </w:pPr>
      <w:r>
        <w:rPr>
          <w:rFonts w:ascii="Cambria" w:hAnsi="Cambria"/>
          <w:b/>
          <w:bCs/>
          <w:i/>
          <w:lang w:val="en-US"/>
        </w:rPr>
        <w:br w:type="page"/>
      </w:r>
    </w:p>
    <w:p w14:paraId="62242BA0" w14:textId="275034FA" w:rsidR="00273D18" w:rsidRDefault="00273D18" w:rsidP="0019790F">
      <w:pPr>
        <w:spacing w:line="480" w:lineRule="auto"/>
        <w:rPr>
          <w:rFonts w:ascii="Cambria" w:hAnsi="Cambria"/>
          <w:b/>
          <w:bCs/>
          <w:iCs/>
          <w:lang w:val="en-US"/>
        </w:rPr>
      </w:pPr>
      <w:r>
        <w:rPr>
          <w:rFonts w:ascii="Cambria" w:hAnsi="Cambria"/>
          <w:b/>
          <w:bCs/>
          <w:i/>
          <w:lang w:val="en-US"/>
        </w:rPr>
        <w:lastRenderedPageBreak/>
        <w:t>Bibliography</w:t>
      </w:r>
    </w:p>
    <w:p w14:paraId="64568A5B" w14:textId="51B04B56" w:rsidR="00273D18" w:rsidRPr="00273D18" w:rsidRDefault="00273D18" w:rsidP="00273D18">
      <w:pPr>
        <w:spacing w:line="480" w:lineRule="auto"/>
        <w:rPr>
          <w:rFonts w:ascii="Cambria" w:hAnsi="Cambria"/>
          <w:iCs/>
        </w:rPr>
      </w:pPr>
      <w:proofErr w:type="spellStart"/>
      <w:r w:rsidRPr="00273D18">
        <w:rPr>
          <w:rFonts w:ascii="Cambria" w:hAnsi="Cambria"/>
          <w:iCs/>
        </w:rPr>
        <w:t>Addey</w:t>
      </w:r>
      <w:proofErr w:type="spellEnd"/>
      <w:r w:rsidRPr="00273D18">
        <w:rPr>
          <w:rFonts w:ascii="Cambria" w:hAnsi="Cambria"/>
          <w:iCs/>
        </w:rPr>
        <w:t xml:space="preserve">, Crystal, “Oracles, Dreams and Astrology in Iamblichus’ </w:t>
      </w:r>
      <w:r w:rsidRPr="00273D18">
        <w:rPr>
          <w:rFonts w:ascii="Cambria" w:hAnsi="Cambria"/>
          <w:i/>
          <w:iCs/>
        </w:rPr>
        <w:t xml:space="preserve">De </w:t>
      </w:r>
      <w:proofErr w:type="spellStart"/>
      <w:r w:rsidRPr="00273D18">
        <w:rPr>
          <w:rFonts w:ascii="Cambria" w:hAnsi="Cambria"/>
          <w:i/>
          <w:iCs/>
        </w:rPr>
        <w:t>mysteriis</w:t>
      </w:r>
      <w:proofErr w:type="spellEnd"/>
      <w:r w:rsidRPr="00273D18">
        <w:rPr>
          <w:rFonts w:ascii="Cambria" w:hAnsi="Cambria"/>
          <w:iCs/>
        </w:rPr>
        <w:t xml:space="preserve">,” in P. Curry and A. Voss (eds.) (2007), </w:t>
      </w:r>
      <w:r w:rsidRPr="00273D18">
        <w:rPr>
          <w:rFonts w:ascii="Cambria" w:hAnsi="Cambria"/>
          <w:i/>
          <w:iCs/>
        </w:rPr>
        <w:t>Seeing with Different Eyes: Essays in Astrology and Divination</w:t>
      </w:r>
      <w:r w:rsidRPr="00273D18">
        <w:rPr>
          <w:rFonts w:ascii="Cambria" w:hAnsi="Cambria"/>
          <w:iCs/>
        </w:rPr>
        <w:t>, Cambridge: Cambridge Scholars Publishing, 35-57.</w:t>
      </w:r>
    </w:p>
    <w:p w14:paraId="079CC61B" w14:textId="1B6D5AF7" w:rsidR="00273D18" w:rsidRPr="00273D18" w:rsidRDefault="00273D18" w:rsidP="00273D18">
      <w:pPr>
        <w:spacing w:line="480" w:lineRule="auto"/>
        <w:rPr>
          <w:rFonts w:ascii="Cambria" w:hAnsi="Cambria"/>
          <w:iCs/>
        </w:rPr>
      </w:pPr>
      <w:proofErr w:type="spellStart"/>
      <w:r w:rsidRPr="00273D18">
        <w:rPr>
          <w:rFonts w:ascii="Cambria" w:hAnsi="Cambria"/>
          <w:iCs/>
        </w:rPr>
        <w:t>Athanassiadi</w:t>
      </w:r>
      <w:proofErr w:type="spellEnd"/>
      <w:r w:rsidRPr="00273D18">
        <w:rPr>
          <w:rFonts w:ascii="Cambria" w:hAnsi="Cambria"/>
          <w:iCs/>
        </w:rPr>
        <w:t xml:space="preserve">, </w:t>
      </w:r>
      <w:proofErr w:type="spellStart"/>
      <w:r w:rsidRPr="00273D18">
        <w:rPr>
          <w:rFonts w:ascii="Cambria" w:hAnsi="Cambria"/>
          <w:iCs/>
        </w:rPr>
        <w:t>Polymnia</w:t>
      </w:r>
      <w:proofErr w:type="spellEnd"/>
      <w:r w:rsidRPr="00273D18">
        <w:rPr>
          <w:rFonts w:ascii="Cambria" w:hAnsi="Cambria"/>
          <w:iCs/>
        </w:rPr>
        <w:t xml:space="preserve">, “Dreams, Theurgy and Freelance Divination: The Testimony of Iamblichus” </w:t>
      </w:r>
      <w:r w:rsidRPr="00273D18">
        <w:rPr>
          <w:rFonts w:ascii="Cambria" w:hAnsi="Cambria"/>
          <w:i/>
          <w:iCs/>
        </w:rPr>
        <w:t>The Journal of Roman Studies</w:t>
      </w:r>
      <w:r w:rsidRPr="00273D18">
        <w:rPr>
          <w:rFonts w:ascii="Cambria" w:hAnsi="Cambria"/>
          <w:iCs/>
        </w:rPr>
        <w:t>, Vol. 83 (1993), 115-130</w:t>
      </w:r>
    </w:p>
    <w:p w14:paraId="023619D1" w14:textId="4D476F20" w:rsidR="00273D18" w:rsidRPr="00273D18" w:rsidRDefault="00273D18" w:rsidP="00273D18">
      <w:pPr>
        <w:spacing w:line="480" w:lineRule="auto"/>
        <w:rPr>
          <w:rFonts w:ascii="Cambria" w:hAnsi="Cambria"/>
          <w:iCs/>
        </w:rPr>
      </w:pPr>
      <w:r w:rsidRPr="00273D18">
        <w:rPr>
          <w:rFonts w:ascii="Cambria" w:hAnsi="Cambria"/>
          <w:iCs/>
        </w:rPr>
        <w:t xml:space="preserve">Iamblichus, </w:t>
      </w:r>
      <w:r w:rsidRPr="00273D18">
        <w:rPr>
          <w:rFonts w:ascii="Cambria" w:hAnsi="Cambria"/>
          <w:i/>
          <w:iCs/>
        </w:rPr>
        <w:t>On the Mysteries</w:t>
      </w:r>
      <w:r w:rsidRPr="00273D18">
        <w:rPr>
          <w:rFonts w:ascii="Cambria" w:hAnsi="Cambria"/>
          <w:iCs/>
        </w:rPr>
        <w:t xml:space="preserve"> (</w:t>
      </w:r>
      <w:r w:rsidRPr="00273D18">
        <w:rPr>
          <w:rFonts w:ascii="Cambria" w:hAnsi="Cambria"/>
          <w:i/>
          <w:iCs/>
        </w:rPr>
        <w:t xml:space="preserve">De </w:t>
      </w:r>
      <w:proofErr w:type="spellStart"/>
      <w:r w:rsidRPr="00273D18">
        <w:rPr>
          <w:rFonts w:ascii="Cambria" w:hAnsi="Cambria"/>
          <w:i/>
          <w:iCs/>
        </w:rPr>
        <w:t>mysteriis</w:t>
      </w:r>
      <w:proofErr w:type="spellEnd"/>
      <w:r w:rsidRPr="00273D18">
        <w:rPr>
          <w:rFonts w:ascii="Cambria" w:hAnsi="Cambria"/>
          <w:iCs/>
        </w:rPr>
        <w:t xml:space="preserve">): Books 1 and 3: Emma C. Clarke, John M. Dillon and J.P. </w:t>
      </w:r>
      <w:proofErr w:type="spellStart"/>
      <w:r w:rsidRPr="00273D18">
        <w:rPr>
          <w:rFonts w:ascii="Cambria" w:hAnsi="Cambria"/>
          <w:iCs/>
        </w:rPr>
        <w:t>Hershbell</w:t>
      </w:r>
      <w:proofErr w:type="spellEnd"/>
      <w:r w:rsidRPr="00273D18">
        <w:rPr>
          <w:rFonts w:ascii="Cambria" w:hAnsi="Cambria"/>
          <w:iCs/>
        </w:rPr>
        <w:t xml:space="preserve"> (eds.), Iamblichus: </w:t>
      </w:r>
      <w:r w:rsidRPr="00273D18">
        <w:rPr>
          <w:rFonts w:ascii="Cambria" w:hAnsi="Cambria"/>
          <w:i/>
          <w:iCs/>
        </w:rPr>
        <w:t>On the Mysteries</w:t>
      </w:r>
      <w:r w:rsidRPr="00273D18">
        <w:rPr>
          <w:rFonts w:ascii="Cambria" w:hAnsi="Cambria"/>
          <w:iCs/>
        </w:rPr>
        <w:t>, Atlanta: Society of Biblical Literature, 2003.</w:t>
      </w:r>
    </w:p>
    <w:p w14:paraId="55D81DD3" w14:textId="487EFDB5" w:rsidR="00273D18" w:rsidRPr="00273D18" w:rsidRDefault="00273D18" w:rsidP="00273D18">
      <w:pPr>
        <w:spacing w:line="480" w:lineRule="auto"/>
        <w:rPr>
          <w:rFonts w:ascii="Cambria" w:hAnsi="Cambria"/>
          <w:iCs/>
        </w:rPr>
      </w:pPr>
      <w:r w:rsidRPr="00273D18">
        <w:rPr>
          <w:rFonts w:ascii="Cambria" w:hAnsi="Cambria"/>
          <w:iCs/>
        </w:rPr>
        <w:t>Kahn, Charles. H. “</w:t>
      </w:r>
      <w:proofErr w:type="spellStart"/>
      <w:r w:rsidRPr="00273D18">
        <w:rPr>
          <w:rFonts w:ascii="Cambria" w:hAnsi="Cambria"/>
          <w:iCs/>
        </w:rPr>
        <w:t>Sōkratikoi</w:t>
      </w:r>
      <w:proofErr w:type="spellEnd"/>
      <w:r w:rsidRPr="00273D18">
        <w:rPr>
          <w:rFonts w:ascii="Cambria" w:hAnsi="Cambria"/>
          <w:iCs/>
        </w:rPr>
        <w:t xml:space="preserve"> logoi: the literary and intellectual background of Plato's work,” in </w:t>
      </w:r>
      <w:r w:rsidRPr="00273D18">
        <w:rPr>
          <w:rFonts w:ascii="Cambria" w:hAnsi="Cambria"/>
          <w:i/>
          <w:iCs/>
        </w:rPr>
        <w:t>Plato and the Socratic Dialogue: The Philosophical Use of a Literary Form</w:t>
      </w:r>
      <w:r w:rsidRPr="00273D18">
        <w:rPr>
          <w:rFonts w:ascii="Cambria" w:hAnsi="Cambria"/>
          <w:iCs/>
        </w:rPr>
        <w:t>. (1997) Cambridge: Cambridge University Press, 1–35.</w:t>
      </w:r>
    </w:p>
    <w:p w14:paraId="2E14AF15" w14:textId="4AD7F5D9" w:rsidR="00273D18" w:rsidRPr="00273D18" w:rsidRDefault="00273D18" w:rsidP="00273D18">
      <w:pPr>
        <w:spacing w:line="480" w:lineRule="auto"/>
        <w:rPr>
          <w:rFonts w:ascii="Cambria" w:hAnsi="Cambria"/>
          <w:iCs/>
        </w:rPr>
      </w:pPr>
      <w:r w:rsidRPr="00273D18">
        <w:rPr>
          <w:rFonts w:ascii="Cambria" w:hAnsi="Cambria"/>
          <w:iCs/>
        </w:rPr>
        <w:t xml:space="preserve">Shaw, Gregory, “Theurgy: Rituals of Unification in the Neoplatonism of Iamblichus”, </w:t>
      </w:r>
      <w:proofErr w:type="spellStart"/>
      <w:r w:rsidRPr="00273D18">
        <w:rPr>
          <w:rFonts w:ascii="Cambria" w:hAnsi="Cambria"/>
          <w:i/>
          <w:iCs/>
        </w:rPr>
        <w:t>Traditio</w:t>
      </w:r>
      <w:proofErr w:type="spellEnd"/>
      <w:r w:rsidRPr="00273D18">
        <w:rPr>
          <w:rFonts w:ascii="Cambria" w:hAnsi="Cambria"/>
          <w:iCs/>
        </w:rPr>
        <w:t>, Vol. 41 (1985) 1-28.</w:t>
      </w:r>
    </w:p>
    <w:p w14:paraId="500B8760" w14:textId="59FF71A7" w:rsidR="00273D18" w:rsidRPr="00273D18" w:rsidRDefault="00273D18" w:rsidP="00273D18">
      <w:pPr>
        <w:spacing w:line="480" w:lineRule="auto"/>
        <w:rPr>
          <w:rFonts w:ascii="Cambria" w:hAnsi="Cambria"/>
          <w:iCs/>
        </w:rPr>
      </w:pPr>
      <w:r w:rsidRPr="00273D18">
        <w:rPr>
          <w:rFonts w:ascii="Cambria" w:hAnsi="Cambria"/>
          <w:iCs/>
        </w:rPr>
        <w:t xml:space="preserve">Shaw, Gregory, </w:t>
      </w:r>
      <w:r w:rsidRPr="00273D18">
        <w:rPr>
          <w:rFonts w:ascii="Cambria" w:hAnsi="Cambria"/>
          <w:i/>
          <w:iCs/>
        </w:rPr>
        <w:t>Theurgy and the Soul: The Neoplatonism of Iamblichus</w:t>
      </w:r>
      <w:r w:rsidRPr="00273D18">
        <w:rPr>
          <w:rFonts w:ascii="Cambria" w:hAnsi="Cambria"/>
          <w:iCs/>
        </w:rPr>
        <w:t>, Pennsylvania: Pennsylvania University Press, 1995.</w:t>
      </w:r>
    </w:p>
    <w:p w14:paraId="655545C4" w14:textId="77777777" w:rsidR="00273D18" w:rsidRPr="00273D18" w:rsidRDefault="00273D18" w:rsidP="00273D18">
      <w:pPr>
        <w:spacing w:line="480" w:lineRule="auto"/>
        <w:rPr>
          <w:rFonts w:ascii="Cambria" w:hAnsi="Cambria"/>
          <w:iCs/>
        </w:rPr>
      </w:pPr>
      <w:r w:rsidRPr="00273D18">
        <w:rPr>
          <w:rFonts w:ascii="Cambria" w:hAnsi="Cambria"/>
          <w:iCs/>
        </w:rPr>
        <w:t xml:space="preserve">Struck, Peter T, “Iamblichus on Divination: Divine Power and Human Intuition,” in </w:t>
      </w:r>
      <w:proofErr w:type="spellStart"/>
      <w:r w:rsidRPr="00273D18">
        <w:rPr>
          <w:rFonts w:ascii="Cambria" w:hAnsi="Cambria"/>
          <w:iCs/>
        </w:rPr>
        <w:t>Viltanioti</w:t>
      </w:r>
      <w:proofErr w:type="spellEnd"/>
      <w:r w:rsidRPr="00273D18">
        <w:rPr>
          <w:rFonts w:ascii="Cambria" w:hAnsi="Cambria"/>
          <w:iCs/>
        </w:rPr>
        <w:t xml:space="preserve">, I. &amp; </w:t>
      </w:r>
      <w:proofErr w:type="spellStart"/>
      <w:r w:rsidRPr="00273D18">
        <w:rPr>
          <w:rFonts w:ascii="Cambria" w:hAnsi="Cambria"/>
          <w:iCs/>
        </w:rPr>
        <w:t>Marmodoro</w:t>
      </w:r>
      <w:proofErr w:type="spellEnd"/>
      <w:r w:rsidRPr="00273D18">
        <w:rPr>
          <w:rFonts w:ascii="Cambria" w:hAnsi="Cambria"/>
          <w:iCs/>
        </w:rPr>
        <w:t>, A. (eds.) (2017), </w:t>
      </w:r>
      <w:r w:rsidRPr="00273D18">
        <w:rPr>
          <w:rFonts w:ascii="Cambria" w:hAnsi="Cambria"/>
          <w:i/>
          <w:iCs/>
        </w:rPr>
        <w:t>Divine Powers in Late Antiquity</w:t>
      </w:r>
      <w:r w:rsidRPr="00273D18">
        <w:rPr>
          <w:rFonts w:ascii="Cambria" w:hAnsi="Cambria"/>
          <w:iCs/>
        </w:rPr>
        <w:t>, 75-87. Oxford: Oxford University Press.</w:t>
      </w:r>
    </w:p>
    <w:p w14:paraId="2FEEF6D1" w14:textId="77777777" w:rsidR="00273D18" w:rsidRPr="00273D18" w:rsidRDefault="00273D18" w:rsidP="0019790F">
      <w:pPr>
        <w:spacing w:line="480" w:lineRule="auto"/>
        <w:rPr>
          <w:rFonts w:ascii="Cambria" w:hAnsi="Cambria"/>
          <w:b/>
          <w:bCs/>
          <w:iCs/>
          <w:lang w:val="en-US"/>
        </w:rPr>
      </w:pPr>
    </w:p>
    <w:p w14:paraId="4FCEE8C5" w14:textId="77777777" w:rsidR="00273D18" w:rsidRPr="00600821" w:rsidRDefault="00273D18" w:rsidP="0019790F">
      <w:pPr>
        <w:spacing w:line="480" w:lineRule="auto"/>
        <w:rPr>
          <w:rFonts w:ascii="Cambria" w:hAnsi="Cambria"/>
          <w:b/>
          <w:bCs/>
          <w:iCs/>
          <w:lang w:val="en-US"/>
        </w:rPr>
      </w:pPr>
    </w:p>
    <w:p w14:paraId="15A5DBBE" w14:textId="77777777" w:rsidR="00600821" w:rsidRPr="00600821" w:rsidRDefault="00600821" w:rsidP="00600821">
      <w:pPr>
        <w:rPr>
          <w:rFonts w:ascii="Cambria" w:hAnsi="Cambria"/>
          <w:iCs/>
          <w:lang w:val="en-US"/>
        </w:rPr>
      </w:pPr>
    </w:p>
    <w:p w14:paraId="4CF01D38" w14:textId="77777777" w:rsidR="00600821" w:rsidRPr="00E83A98" w:rsidRDefault="00600821" w:rsidP="00E83A98">
      <w:pPr>
        <w:rPr>
          <w:rFonts w:ascii="Cambria" w:hAnsi="Cambria"/>
          <w:iCs/>
          <w:lang w:val="en-US"/>
        </w:rPr>
      </w:pPr>
    </w:p>
    <w:p w14:paraId="54E2F985" w14:textId="2FDCD17F" w:rsidR="00A70618" w:rsidRPr="00A70618" w:rsidRDefault="00A70618">
      <w:pPr>
        <w:rPr>
          <w:rFonts w:ascii="Cambria" w:hAnsi="Cambria"/>
          <w:iCs/>
        </w:rPr>
      </w:pPr>
    </w:p>
    <w:sectPr w:rsidR="00A70618" w:rsidRPr="00A70618">
      <w:headerReference w:type="even" r:id="rId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EFAD02" w14:textId="77777777" w:rsidR="00AF1A76" w:rsidRDefault="00AF1A76" w:rsidP="00A70618">
      <w:r>
        <w:separator/>
      </w:r>
    </w:p>
  </w:endnote>
  <w:endnote w:type="continuationSeparator" w:id="0">
    <w:p w14:paraId="52768B6D" w14:textId="77777777" w:rsidR="00AF1A76" w:rsidRDefault="00AF1A76" w:rsidP="00A70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altName w:val="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6220D" w14:textId="77777777" w:rsidR="00AF1A76" w:rsidRDefault="00AF1A76" w:rsidP="00A70618">
      <w:r>
        <w:separator/>
      </w:r>
    </w:p>
  </w:footnote>
  <w:footnote w:type="continuationSeparator" w:id="0">
    <w:p w14:paraId="584ABDD0" w14:textId="77777777" w:rsidR="00AF1A76" w:rsidRDefault="00AF1A76" w:rsidP="00A70618">
      <w:r>
        <w:continuationSeparator/>
      </w:r>
    </w:p>
  </w:footnote>
  <w:footnote w:id="1">
    <w:p w14:paraId="2B81BD29" w14:textId="1F2C5EF9" w:rsidR="00A70618" w:rsidRPr="006F473E" w:rsidRDefault="00A70618">
      <w:pPr>
        <w:pStyle w:val="FootnoteText"/>
        <w:rPr>
          <w:bCs/>
        </w:rPr>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 xml:space="preserve">): Books 1 and 3: Emma C. Clarke, John M. Dillon and J.P. </w:t>
      </w:r>
      <w:proofErr w:type="spellStart"/>
      <w:r w:rsidRPr="00A70618">
        <w:rPr>
          <w:bCs/>
        </w:rPr>
        <w:t>Hershbell</w:t>
      </w:r>
      <w:proofErr w:type="spellEnd"/>
      <w:r w:rsidRPr="00A70618">
        <w:rPr>
          <w:bCs/>
        </w:rPr>
        <w:t xml:space="preserve"> (eds.), Iamblichus: </w:t>
      </w:r>
      <w:r w:rsidRPr="00A70618">
        <w:rPr>
          <w:bCs/>
          <w:i/>
        </w:rPr>
        <w:t>On the Mysteries</w:t>
      </w:r>
      <w:r w:rsidRPr="00A70618">
        <w:rPr>
          <w:bCs/>
        </w:rPr>
        <w:t>, Atlanta: Society of Biblical Literature, 2003.</w:t>
      </w:r>
    </w:p>
  </w:footnote>
  <w:footnote w:id="2">
    <w:p w14:paraId="7F45ECDE" w14:textId="20E18817" w:rsidR="00A70618" w:rsidRDefault="00A70618">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 xml:space="preserve">): Emma C. Clarke, John M. Dillon and J.P. </w:t>
      </w:r>
      <w:proofErr w:type="spellStart"/>
      <w:r w:rsidRPr="00A70618">
        <w:rPr>
          <w:bCs/>
        </w:rPr>
        <w:t>Hershbell</w:t>
      </w:r>
      <w:proofErr w:type="spellEnd"/>
      <w:r w:rsidRPr="00A70618">
        <w:rPr>
          <w:bCs/>
        </w:rPr>
        <w:t xml:space="preserve"> (eds.),</w:t>
      </w:r>
      <w:r>
        <w:rPr>
          <w:bCs/>
        </w:rPr>
        <w:t xml:space="preserve"> Introduction, p. xxvii.</w:t>
      </w:r>
    </w:p>
  </w:footnote>
  <w:footnote w:id="3">
    <w:p w14:paraId="52B5A3B9" w14:textId="072EB0FA" w:rsidR="00A70618" w:rsidRDefault="00A70618">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w:t>
      </w:r>
      <w:r>
        <w:rPr>
          <w:bCs/>
        </w:rPr>
        <w:t xml:space="preserve"> Introduction, pp. xxii-xxiii.</w:t>
      </w:r>
    </w:p>
  </w:footnote>
  <w:footnote w:id="4">
    <w:p w14:paraId="0D05CDE4" w14:textId="044448E2" w:rsidR="00A70618" w:rsidRDefault="00A70618">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w:t>
      </w:r>
      <w:r>
        <w:rPr>
          <w:bCs/>
        </w:rPr>
        <w:t xml:space="preserve"> Introduction, pp. xxii and n.30.</w:t>
      </w:r>
    </w:p>
  </w:footnote>
  <w:footnote w:id="5">
    <w:p w14:paraId="54B3B164" w14:textId="4AACB216" w:rsidR="00502485" w:rsidRPr="006F473E" w:rsidRDefault="00502485">
      <w:pPr>
        <w:pStyle w:val="FootnoteText"/>
        <w:rPr>
          <w:bCs/>
        </w:rPr>
      </w:pPr>
      <w:r>
        <w:rPr>
          <w:rStyle w:val="FootnoteReference"/>
        </w:rPr>
        <w:footnoteRef/>
      </w:r>
      <w:r>
        <w:t xml:space="preserve"> </w:t>
      </w:r>
      <w:r w:rsidRPr="00502485">
        <w:rPr>
          <w:bCs/>
        </w:rPr>
        <w:t>Gregory</w:t>
      </w:r>
      <w:r>
        <w:rPr>
          <w:bCs/>
        </w:rPr>
        <w:t xml:space="preserve"> Shaw,</w:t>
      </w:r>
      <w:r w:rsidRPr="00502485">
        <w:rPr>
          <w:bCs/>
        </w:rPr>
        <w:t xml:space="preserve"> “Theurgy: Rituals of Unification in the Neoplatonism of Iamblichus”, </w:t>
      </w:r>
      <w:proofErr w:type="spellStart"/>
      <w:r w:rsidRPr="00502485">
        <w:rPr>
          <w:i/>
          <w:iCs/>
        </w:rPr>
        <w:t>Traditio</w:t>
      </w:r>
      <w:proofErr w:type="spellEnd"/>
      <w:r w:rsidRPr="00502485">
        <w:t xml:space="preserve"> 1985, Vol. 41 (1985), p</w:t>
      </w:r>
      <w:r>
        <w:t>.1</w:t>
      </w:r>
      <w:r w:rsidRPr="00502485">
        <w:t>.</w:t>
      </w:r>
    </w:p>
  </w:footnote>
  <w:footnote w:id="6">
    <w:p w14:paraId="0416A9E6" w14:textId="501D6752" w:rsidR="00502485" w:rsidRPr="00502485" w:rsidRDefault="00502485">
      <w:pPr>
        <w:pStyle w:val="FootnoteText"/>
      </w:pPr>
      <w:r>
        <w:rPr>
          <w:rStyle w:val="FootnoteReference"/>
        </w:rPr>
        <w:footnoteRef/>
      </w:r>
      <w:r>
        <w:t xml:space="preserve"> Shaw, </w:t>
      </w:r>
      <w:r>
        <w:rPr>
          <w:i/>
          <w:iCs/>
        </w:rPr>
        <w:t>Theurgy: Rituals of Unification</w:t>
      </w:r>
      <w:r>
        <w:t>, p.1</w:t>
      </w:r>
    </w:p>
  </w:footnote>
  <w:footnote w:id="7">
    <w:p w14:paraId="7E71AFBB" w14:textId="683E6247" w:rsidR="00502485" w:rsidRPr="00502485" w:rsidRDefault="00502485">
      <w:pPr>
        <w:pStyle w:val="FootnoteText"/>
      </w:pPr>
      <w:r>
        <w:rPr>
          <w:rStyle w:val="FootnoteReference"/>
        </w:rPr>
        <w:footnoteRef/>
      </w:r>
      <w:r>
        <w:t xml:space="preserve"> Shaw, </w:t>
      </w:r>
      <w:r>
        <w:rPr>
          <w:i/>
          <w:iCs/>
        </w:rPr>
        <w:t>Theurgy: Rituals of Unification</w:t>
      </w:r>
      <w:r>
        <w:t>, p.1</w:t>
      </w:r>
    </w:p>
  </w:footnote>
  <w:footnote w:id="8">
    <w:p w14:paraId="74D9E118" w14:textId="5223FE08" w:rsidR="00502485" w:rsidRPr="00502485" w:rsidRDefault="00502485" w:rsidP="00502485">
      <w:pPr>
        <w:pStyle w:val="FootnoteText"/>
      </w:pPr>
      <w:r>
        <w:rPr>
          <w:rStyle w:val="FootnoteReference"/>
        </w:rPr>
        <w:footnoteRef/>
      </w:r>
      <w:r>
        <w:t xml:space="preserve"> </w:t>
      </w:r>
      <w:r w:rsidRPr="00502485">
        <w:t>Crystal</w:t>
      </w:r>
      <w:r>
        <w:t xml:space="preserve"> </w:t>
      </w:r>
      <w:proofErr w:type="spellStart"/>
      <w:r>
        <w:t>Addey</w:t>
      </w:r>
      <w:proofErr w:type="spellEnd"/>
      <w:r w:rsidRPr="00502485">
        <w:t xml:space="preserve"> “</w:t>
      </w:r>
      <w:r w:rsidRPr="0041332E">
        <w:t>Oracles, Dreams and Astrology</w:t>
      </w:r>
      <w:r w:rsidRPr="00502485">
        <w:t xml:space="preserve"> in Iamblichus’ </w:t>
      </w:r>
      <w:r w:rsidRPr="00502485">
        <w:rPr>
          <w:i/>
          <w:iCs/>
        </w:rPr>
        <w:t xml:space="preserve">De </w:t>
      </w:r>
      <w:proofErr w:type="spellStart"/>
      <w:r w:rsidRPr="00502485">
        <w:rPr>
          <w:i/>
          <w:iCs/>
        </w:rPr>
        <w:t>mysteriis</w:t>
      </w:r>
      <w:proofErr w:type="spellEnd"/>
      <w:r w:rsidRPr="00502485">
        <w:t xml:space="preserve">,” in P. Curry and A. Voss (eds.) (2007), </w:t>
      </w:r>
      <w:r w:rsidRPr="00502485">
        <w:rPr>
          <w:i/>
          <w:iCs/>
        </w:rPr>
        <w:t>Seeing with Different Eyes: Essays in Astrology and Divination</w:t>
      </w:r>
      <w:r w:rsidRPr="00502485">
        <w:t xml:space="preserve">, Cambridge: Cambridge Scholars Publishing, </w:t>
      </w:r>
      <w:r>
        <w:t>p.</w:t>
      </w:r>
      <w:r w:rsidRPr="00502485">
        <w:t>35.</w:t>
      </w:r>
    </w:p>
    <w:p w14:paraId="45A14CF1" w14:textId="659D3F84" w:rsidR="00502485" w:rsidRDefault="00502485">
      <w:pPr>
        <w:pStyle w:val="FootnoteText"/>
      </w:pPr>
    </w:p>
  </w:footnote>
  <w:footnote w:id="9">
    <w:p w14:paraId="36E41307" w14:textId="6EBD862C" w:rsidR="0041332E" w:rsidRPr="0041332E" w:rsidRDefault="0041332E">
      <w:pPr>
        <w:pStyle w:val="FootnoteText"/>
        <w:rPr>
          <w:iCs/>
        </w:rPr>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III.7:24-25 (p.135)</w:t>
      </w:r>
    </w:p>
  </w:footnote>
  <w:footnote w:id="10">
    <w:p w14:paraId="70CE3422" w14:textId="76B965D9" w:rsidR="0041332E" w:rsidRDefault="0041332E">
      <w:pPr>
        <w:pStyle w:val="FootnoteText"/>
      </w:pPr>
      <w:r>
        <w:rPr>
          <w:rStyle w:val="FootnoteReference"/>
        </w:rPr>
        <w:footnoteRef/>
      </w:r>
      <w:r>
        <w:t xml:space="preserve"> </w:t>
      </w:r>
      <w:proofErr w:type="spellStart"/>
      <w:r w:rsidRPr="0041332E">
        <w:t>Polymnia</w:t>
      </w:r>
      <w:proofErr w:type="spellEnd"/>
      <w:r>
        <w:t xml:space="preserve"> </w:t>
      </w:r>
      <w:proofErr w:type="spellStart"/>
      <w:r w:rsidRPr="0041332E">
        <w:t>Athanassiadi</w:t>
      </w:r>
      <w:proofErr w:type="spellEnd"/>
      <w:r w:rsidRPr="0041332E">
        <w:t xml:space="preserve">, “Dreams, Theurgy and Freelance Divination: The Testimony of Iamblichus” </w:t>
      </w:r>
      <w:r w:rsidRPr="0041332E">
        <w:rPr>
          <w:i/>
          <w:iCs/>
        </w:rPr>
        <w:t>The Journal of Roman Studies</w:t>
      </w:r>
      <w:r w:rsidRPr="0041332E">
        <w:t>, Vol. 83 (1993),</w:t>
      </w:r>
      <w:r>
        <w:t xml:space="preserve"> p.119</w:t>
      </w:r>
      <w:r w:rsidRPr="0041332E">
        <w:t>.</w:t>
      </w:r>
    </w:p>
  </w:footnote>
  <w:footnote w:id="11">
    <w:p w14:paraId="0241846C" w14:textId="1215056C" w:rsidR="0041332E" w:rsidRPr="0041332E" w:rsidRDefault="0041332E">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p.36 and n.4</w:t>
      </w:r>
    </w:p>
  </w:footnote>
  <w:footnote w:id="12">
    <w:p w14:paraId="0271A6DC" w14:textId="7DCE904E" w:rsidR="0041332E" w:rsidRDefault="0041332E">
      <w:pPr>
        <w:pStyle w:val="FootnoteText"/>
      </w:pPr>
      <w:r>
        <w:rPr>
          <w:rStyle w:val="FootnoteReference"/>
        </w:rPr>
        <w:footnoteRef/>
      </w:r>
      <w:r>
        <w:t xml:space="preserve"> </w:t>
      </w:r>
      <w:r w:rsidR="00F91B64" w:rsidRPr="00F31E5C">
        <w:rPr>
          <w:bCs/>
        </w:rPr>
        <w:t>C</w:t>
      </w:r>
      <w:r w:rsidR="00F91B64" w:rsidRPr="00F91B64">
        <w:rPr>
          <w:bCs/>
        </w:rPr>
        <w:t>harles</w:t>
      </w:r>
      <w:r w:rsidR="00F91B64">
        <w:rPr>
          <w:bCs/>
        </w:rPr>
        <w:t xml:space="preserve"> </w:t>
      </w:r>
      <w:r w:rsidR="00F91B64" w:rsidRPr="00F31E5C">
        <w:rPr>
          <w:bCs/>
        </w:rPr>
        <w:t>H</w:t>
      </w:r>
      <w:r w:rsidR="00F91B64">
        <w:rPr>
          <w:bCs/>
        </w:rPr>
        <w:t>.</w:t>
      </w:r>
      <w:r w:rsidR="00F91B64" w:rsidRPr="00F31E5C">
        <w:rPr>
          <w:bCs/>
        </w:rPr>
        <w:t xml:space="preserve"> Kahn, “</w:t>
      </w:r>
      <w:proofErr w:type="spellStart"/>
      <w:r w:rsidR="00F91B64" w:rsidRPr="00F31E5C">
        <w:rPr>
          <w:bCs/>
        </w:rPr>
        <w:t>Sōkratikoi</w:t>
      </w:r>
      <w:proofErr w:type="spellEnd"/>
      <w:r w:rsidR="00F91B64" w:rsidRPr="00F31E5C">
        <w:rPr>
          <w:bCs/>
        </w:rPr>
        <w:t xml:space="preserve"> logoi: the literary and intellectual background of Plato's work,” in </w:t>
      </w:r>
      <w:r w:rsidR="00F91B64" w:rsidRPr="00F31E5C">
        <w:rPr>
          <w:bCs/>
          <w:i/>
          <w:iCs/>
        </w:rPr>
        <w:t>Plato and the Socratic Dialogue: The Philosophical Use of a Literary Form</w:t>
      </w:r>
      <w:r w:rsidR="00F91B64" w:rsidRPr="00F31E5C">
        <w:rPr>
          <w:bCs/>
        </w:rPr>
        <w:t xml:space="preserve">. (1997) Cambridge: Cambridge University Press, </w:t>
      </w:r>
      <w:r w:rsidR="00F91B64">
        <w:rPr>
          <w:bCs/>
        </w:rPr>
        <w:t xml:space="preserve">pp. </w:t>
      </w:r>
      <w:r w:rsidR="00F91B64" w:rsidRPr="00F31E5C">
        <w:rPr>
          <w:bCs/>
        </w:rPr>
        <w:t>1–</w:t>
      </w:r>
      <w:r w:rsidR="00F91B64">
        <w:rPr>
          <w:bCs/>
        </w:rPr>
        <w:t>2</w:t>
      </w:r>
      <w:r w:rsidR="00F91B64" w:rsidRPr="00F91B64">
        <w:rPr>
          <w:bCs/>
        </w:rPr>
        <w:t>.</w:t>
      </w:r>
    </w:p>
  </w:footnote>
  <w:footnote w:id="13">
    <w:p w14:paraId="41A1017E" w14:textId="3AC947D2" w:rsidR="0041332E" w:rsidRDefault="0041332E">
      <w:pPr>
        <w:pStyle w:val="FootnoteText"/>
      </w:pPr>
      <w:r>
        <w:rPr>
          <w:rStyle w:val="FootnoteReference"/>
        </w:rPr>
        <w:footnoteRef/>
      </w:r>
      <w:r>
        <w:t xml:space="preserve"> </w:t>
      </w:r>
      <w:proofErr w:type="gramStart"/>
      <w:r>
        <w:t>e.g</w:t>
      </w:r>
      <w:r w:rsidR="008052F7">
        <w:t>.</w:t>
      </w:r>
      <w:proofErr w:type="gramEnd"/>
      <w:r>
        <w:t xml:space="preserve"> Iamblichus, III.20, (pp.169-171)</w:t>
      </w:r>
    </w:p>
  </w:footnote>
  <w:footnote w:id="14">
    <w:p w14:paraId="0E5E1421" w14:textId="5568C219" w:rsidR="008052F7" w:rsidRDefault="008052F7" w:rsidP="008052F7">
      <w:pPr>
        <w:pStyle w:val="FootnoteText"/>
      </w:pPr>
      <w:r>
        <w:rPr>
          <w:rStyle w:val="FootnoteReference"/>
        </w:rPr>
        <w:footnoteRef/>
      </w:r>
      <w:r>
        <w:t xml:space="preserve"> </w:t>
      </w:r>
      <w:r w:rsidRPr="00A70618">
        <w:rPr>
          <w:bCs/>
        </w:rPr>
        <w:t xml:space="preserve">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sidRPr="00A70618">
        <w:rPr>
          <w:bCs/>
        </w:rPr>
        <w:t>):</w:t>
      </w:r>
      <w:r>
        <w:rPr>
          <w:bCs/>
        </w:rPr>
        <w:t xml:space="preserve"> Introduction, pp. xxxiii-xxxvii.</w:t>
      </w:r>
    </w:p>
    <w:p w14:paraId="54098D8D" w14:textId="4A36FE5E" w:rsidR="008052F7" w:rsidRDefault="008052F7">
      <w:pPr>
        <w:pStyle w:val="FootnoteText"/>
      </w:pPr>
    </w:p>
  </w:footnote>
  <w:footnote w:id="15">
    <w:p w14:paraId="133F9D29" w14:textId="5B903B1F" w:rsidR="008052F7" w:rsidRDefault="008052F7">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III.1:2 (p.119)</w:t>
      </w:r>
    </w:p>
  </w:footnote>
  <w:footnote w:id="16">
    <w:p w14:paraId="52232085" w14:textId="568230A0" w:rsidR="008052F7" w:rsidRDefault="008052F7">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III.1:3-7 (p.119)</w:t>
      </w:r>
    </w:p>
  </w:footnote>
  <w:footnote w:id="17">
    <w:p w14:paraId="5F487458" w14:textId="4738FBAA" w:rsidR="008052F7" w:rsidRDefault="008052F7">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III.1:6-9 (p.119)</w:t>
      </w:r>
    </w:p>
  </w:footnote>
  <w:footnote w:id="18">
    <w:p w14:paraId="33AAAE0D" w14:textId="701B75B5" w:rsidR="00FB480D" w:rsidRDefault="00FB480D">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rsidRPr="00FB480D">
        <w:rPr>
          <w:iCs/>
          <w:lang w:val="en-US"/>
        </w:rPr>
        <w:t>III.1 20-27</w:t>
      </w:r>
      <w:r>
        <w:rPr>
          <w:iCs/>
          <w:lang w:val="en-US"/>
        </w:rPr>
        <w:t xml:space="preserve"> (p.119)</w:t>
      </w:r>
    </w:p>
  </w:footnote>
  <w:footnote w:id="19">
    <w:p w14:paraId="6FF8B6B7" w14:textId="6C7B908F" w:rsidR="00FB480D" w:rsidRDefault="00FB480D">
      <w:pPr>
        <w:pStyle w:val="FootnoteText"/>
      </w:pPr>
      <w:r>
        <w:rPr>
          <w:rStyle w:val="FootnoteReference"/>
        </w:rPr>
        <w:footnoteRef/>
      </w:r>
      <w:r>
        <w:t xml:space="preserve"> </w:t>
      </w:r>
      <w:r w:rsidR="007E00A2">
        <w:t xml:space="preserve">Peter T. </w:t>
      </w:r>
      <w:r w:rsidR="007E00A2" w:rsidRPr="002B07C6">
        <w:rPr>
          <w:bCs/>
        </w:rPr>
        <w:t>Struck</w:t>
      </w:r>
      <w:r w:rsidR="007E00A2" w:rsidRPr="007E00A2">
        <w:rPr>
          <w:bCs/>
        </w:rPr>
        <w:t>,</w:t>
      </w:r>
      <w:r w:rsidR="007E00A2" w:rsidRPr="002B07C6">
        <w:rPr>
          <w:bCs/>
        </w:rPr>
        <w:t xml:space="preserve"> </w:t>
      </w:r>
      <w:r w:rsidR="007E00A2" w:rsidRPr="007E00A2">
        <w:rPr>
          <w:bCs/>
        </w:rPr>
        <w:t>“</w:t>
      </w:r>
      <w:r w:rsidR="007E00A2" w:rsidRPr="002B07C6">
        <w:rPr>
          <w:bCs/>
        </w:rPr>
        <w:t>Iamblichus on Divination: Divine Power and Human Intuition</w:t>
      </w:r>
      <w:r w:rsidR="007E00A2" w:rsidRPr="007E00A2">
        <w:rPr>
          <w:bCs/>
        </w:rPr>
        <w:t>,”</w:t>
      </w:r>
      <w:r w:rsidR="007E00A2" w:rsidRPr="002B07C6">
        <w:rPr>
          <w:bCs/>
        </w:rPr>
        <w:t xml:space="preserve"> </w:t>
      </w:r>
      <w:r w:rsidR="007E00A2" w:rsidRPr="007E00A2">
        <w:rPr>
          <w:bCs/>
        </w:rPr>
        <w:t>i</w:t>
      </w:r>
      <w:r w:rsidR="007E00A2" w:rsidRPr="002B07C6">
        <w:rPr>
          <w:bCs/>
        </w:rPr>
        <w:t xml:space="preserve">n </w:t>
      </w:r>
      <w:proofErr w:type="spellStart"/>
      <w:r w:rsidR="007E00A2" w:rsidRPr="002B07C6">
        <w:rPr>
          <w:bCs/>
        </w:rPr>
        <w:t>Viltanioti</w:t>
      </w:r>
      <w:proofErr w:type="spellEnd"/>
      <w:r w:rsidR="007E00A2" w:rsidRPr="002B07C6">
        <w:rPr>
          <w:bCs/>
        </w:rPr>
        <w:t xml:space="preserve">, I. &amp; </w:t>
      </w:r>
      <w:proofErr w:type="spellStart"/>
      <w:r w:rsidR="007E00A2" w:rsidRPr="002B07C6">
        <w:rPr>
          <w:bCs/>
        </w:rPr>
        <w:t>Marmodoro</w:t>
      </w:r>
      <w:proofErr w:type="spellEnd"/>
      <w:r w:rsidR="007E00A2" w:rsidRPr="002B07C6">
        <w:rPr>
          <w:bCs/>
        </w:rPr>
        <w:t>, A. (</w:t>
      </w:r>
      <w:r w:rsidR="007E00A2" w:rsidRPr="007E00A2">
        <w:rPr>
          <w:bCs/>
        </w:rPr>
        <w:t>e</w:t>
      </w:r>
      <w:r w:rsidR="007E00A2" w:rsidRPr="002B07C6">
        <w:rPr>
          <w:bCs/>
        </w:rPr>
        <w:t>ds.)</w:t>
      </w:r>
      <w:r w:rsidR="007E00A2" w:rsidRPr="007E00A2">
        <w:rPr>
          <w:bCs/>
        </w:rPr>
        <w:t xml:space="preserve"> </w:t>
      </w:r>
      <w:r w:rsidR="007E00A2" w:rsidRPr="002B07C6">
        <w:rPr>
          <w:bCs/>
        </w:rPr>
        <w:t>(2017), </w:t>
      </w:r>
      <w:r w:rsidR="007E00A2" w:rsidRPr="002B07C6">
        <w:rPr>
          <w:bCs/>
          <w:i/>
          <w:iCs/>
        </w:rPr>
        <w:t>Divine Powers in Late Antiquity</w:t>
      </w:r>
      <w:r w:rsidR="007E00A2" w:rsidRPr="002B07C6">
        <w:rPr>
          <w:bCs/>
        </w:rPr>
        <w:t xml:space="preserve">, </w:t>
      </w:r>
      <w:r w:rsidR="007E00A2">
        <w:rPr>
          <w:bCs/>
        </w:rPr>
        <w:t>p.81</w:t>
      </w:r>
      <w:r w:rsidR="007E00A2" w:rsidRPr="002B07C6">
        <w:rPr>
          <w:bCs/>
        </w:rPr>
        <w:t>.</w:t>
      </w:r>
    </w:p>
  </w:footnote>
  <w:footnote w:id="20">
    <w:p w14:paraId="6157ED7D" w14:textId="687F8F7F" w:rsidR="007E00A2" w:rsidRDefault="007E00A2">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III.1:27-34 (p.119-121)</w:t>
      </w:r>
    </w:p>
  </w:footnote>
  <w:footnote w:id="21">
    <w:p w14:paraId="6570CF5F" w14:textId="1E483909" w:rsidR="007E00A2" w:rsidRPr="007E00A2" w:rsidRDefault="007E00A2">
      <w:pPr>
        <w:pStyle w:val="FootnoteText"/>
      </w:pPr>
      <w:r>
        <w:rPr>
          <w:rStyle w:val="FootnoteReference"/>
        </w:rPr>
        <w:footnoteRef/>
      </w:r>
      <w:r>
        <w:t xml:space="preserve"> Struck, </w:t>
      </w:r>
      <w:r>
        <w:rPr>
          <w:i/>
          <w:iCs/>
        </w:rPr>
        <w:t>Iamblichus on Divination</w:t>
      </w:r>
      <w:r>
        <w:t>, p.81.</w:t>
      </w:r>
    </w:p>
  </w:footnote>
  <w:footnote w:id="22">
    <w:p w14:paraId="6BBEFBAB" w14:textId="4BA68DE1" w:rsidR="007E00A2" w:rsidRDefault="007E00A2">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p.36.</w:t>
      </w:r>
    </w:p>
  </w:footnote>
  <w:footnote w:id="23">
    <w:p w14:paraId="7F6BA853" w14:textId="109E2CE1" w:rsidR="007E00A2" w:rsidRDefault="007E00A2">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p.36.</w:t>
      </w:r>
    </w:p>
  </w:footnote>
  <w:footnote w:id="24">
    <w:p w14:paraId="3549FCD1" w14:textId="18719CED" w:rsidR="00732AB6" w:rsidRDefault="00732AB6">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III.8:1-19 (p.137)</w:t>
      </w:r>
    </w:p>
  </w:footnote>
  <w:footnote w:id="25">
    <w:p w14:paraId="67A15F5B" w14:textId="5D5E7925" w:rsidR="00732AB6" w:rsidRDefault="00732AB6">
      <w:pPr>
        <w:pStyle w:val="FootnoteText"/>
      </w:pPr>
      <w:r>
        <w:rPr>
          <w:rStyle w:val="FootnoteReference"/>
        </w:rPr>
        <w:footnoteRef/>
      </w:r>
      <w:r>
        <w:t xml:space="preserve"> Struck, </w:t>
      </w:r>
      <w:r>
        <w:rPr>
          <w:i/>
          <w:iCs/>
        </w:rPr>
        <w:t>Iamblichus on Divination</w:t>
      </w:r>
      <w:r>
        <w:t>, p.81.</w:t>
      </w:r>
    </w:p>
  </w:footnote>
  <w:footnote w:id="26">
    <w:p w14:paraId="68982974" w14:textId="187BF041" w:rsidR="00956829" w:rsidRDefault="00956829">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III.20:27-46 (p.171)</w:t>
      </w:r>
    </w:p>
  </w:footnote>
  <w:footnote w:id="27">
    <w:p w14:paraId="0637C09F" w14:textId="5639328B" w:rsidR="00EE070D" w:rsidRDefault="00EE070D">
      <w:pPr>
        <w:pStyle w:val="FootnoteText"/>
      </w:pPr>
      <w:r>
        <w:rPr>
          <w:rStyle w:val="FootnoteReference"/>
        </w:rPr>
        <w:footnoteRef/>
      </w:r>
      <w:r>
        <w:t xml:space="preserve"> </w:t>
      </w:r>
      <w:proofErr w:type="gramStart"/>
      <w:r>
        <w:t>e.g.</w:t>
      </w:r>
      <w:proofErr w:type="gramEnd"/>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III.2: (p.121-123)</w:t>
      </w:r>
    </w:p>
  </w:footnote>
  <w:footnote w:id="28">
    <w:p w14:paraId="7C477377" w14:textId="6B54E119" w:rsidR="00EE070D" w:rsidRDefault="00EE070D">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III.2:</w:t>
      </w:r>
      <w:r w:rsidRPr="00EE070D">
        <w:rPr>
          <w:iCs/>
          <w:lang w:val="en-US"/>
        </w:rPr>
        <w:t xml:space="preserve"> 9-11</w:t>
      </w:r>
      <w:r w:rsidRPr="00EE070D">
        <w:t xml:space="preserve"> </w:t>
      </w:r>
      <w:r>
        <w:t>(p.121-123)</w:t>
      </w:r>
    </w:p>
  </w:footnote>
  <w:footnote w:id="29">
    <w:p w14:paraId="4F4BC2E0" w14:textId="64A7337D" w:rsidR="00EE070D" w:rsidRDefault="00EE070D">
      <w:pPr>
        <w:pStyle w:val="FootnoteText"/>
      </w:pPr>
      <w:r>
        <w:rPr>
          <w:rStyle w:val="FootnoteReference"/>
        </w:rPr>
        <w:footnoteRef/>
      </w:r>
      <w:r>
        <w:t xml:space="preserve"> Iamblichus,</w:t>
      </w:r>
      <w:r w:rsidR="004B3EC4">
        <w:t xml:space="preserve">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w:t>
      </w:r>
      <w:r>
        <w:t xml:space="preserve"> III.2:</w:t>
      </w:r>
      <w:r w:rsidRPr="00EE070D">
        <w:rPr>
          <w:iCs/>
          <w:lang w:val="en-US"/>
        </w:rPr>
        <w:t xml:space="preserve"> </w:t>
      </w:r>
      <w:r>
        <w:rPr>
          <w:iCs/>
          <w:lang w:val="en-US"/>
        </w:rPr>
        <w:t>15</w:t>
      </w:r>
      <w:r w:rsidRPr="00EE070D">
        <w:t xml:space="preserve"> </w:t>
      </w:r>
      <w:r>
        <w:t>(p.123)</w:t>
      </w:r>
    </w:p>
  </w:footnote>
  <w:footnote w:id="30">
    <w:p w14:paraId="11D95016" w14:textId="0FF182E2" w:rsidR="00F91B64" w:rsidRDefault="00F91B64">
      <w:pPr>
        <w:pStyle w:val="FootnoteText"/>
      </w:pPr>
      <w:r>
        <w:rPr>
          <w:rStyle w:val="FootnoteReference"/>
        </w:rPr>
        <w:footnoteRef/>
      </w:r>
      <w:r>
        <w:t xml:space="preserve"> Struck, </w:t>
      </w:r>
      <w:r>
        <w:rPr>
          <w:i/>
          <w:iCs/>
        </w:rPr>
        <w:t>Iamblichus on Divination</w:t>
      </w:r>
      <w:r>
        <w:t>, p.82.</w:t>
      </w:r>
    </w:p>
  </w:footnote>
  <w:footnote w:id="31">
    <w:p w14:paraId="13B9E990" w14:textId="208A2BC4" w:rsidR="00EE070D" w:rsidRDefault="00EE070D" w:rsidP="00EE070D">
      <w:pPr>
        <w:pStyle w:val="FootnoteText"/>
      </w:pPr>
      <w:r>
        <w:rPr>
          <w:rStyle w:val="FootnoteReference"/>
        </w:rPr>
        <w:footnoteRef/>
      </w:r>
      <w:r>
        <w:t xml:space="preserve"> Iamblichus, </w:t>
      </w:r>
      <w:r w:rsidR="004B3EC4" w:rsidRPr="00A70618">
        <w:rPr>
          <w:bCs/>
          <w:i/>
        </w:rPr>
        <w:t>On the Mysteries</w:t>
      </w:r>
      <w:r w:rsidR="004B3EC4" w:rsidRPr="00A70618">
        <w:rPr>
          <w:bCs/>
        </w:rPr>
        <w:t xml:space="preserve"> (</w:t>
      </w:r>
      <w:r w:rsidR="004B3EC4" w:rsidRPr="00A70618">
        <w:rPr>
          <w:bCs/>
          <w:i/>
        </w:rPr>
        <w:t xml:space="preserve">De </w:t>
      </w:r>
      <w:proofErr w:type="spellStart"/>
      <w:r w:rsidR="004B3EC4" w:rsidRPr="00A70618">
        <w:rPr>
          <w:bCs/>
          <w:i/>
        </w:rPr>
        <w:t>mysteriis</w:t>
      </w:r>
      <w:proofErr w:type="spellEnd"/>
      <w:r w:rsidR="004B3EC4">
        <w:rPr>
          <w:bCs/>
          <w:i/>
        </w:rPr>
        <w:t>)</w:t>
      </w:r>
      <w:r w:rsidR="004B3EC4">
        <w:rPr>
          <w:bCs/>
          <w:iCs/>
        </w:rPr>
        <w:t xml:space="preserve">, </w:t>
      </w:r>
      <w:r>
        <w:t>III.2:</w:t>
      </w:r>
      <w:r w:rsidRPr="00EE070D">
        <w:rPr>
          <w:iCs/>
          <w:lang w:val="en-US"/>
        </w:rPr>
        <w:t xml:space="preserve"> </w:t>
      </w:r>
      <w:r>
        <w:rPr>
          <w:iCs/>
          <w:lang w:val="en-US"/>
        </w:rPr>
        <w:t>31ff</w:t>
      </w:r>
      <w:r w:rsidRPr="00EE070D">
        <w:t xml:space="preserve"> </w:t>
      </w:r>
      <w:r>
        <w:t>(p.123)</w:t>
      </w:r>
    </w:p>
    <w:p w14:paraId="4149B7AE" w14:textId="5E41F0D5" w:rsidR="00EE070D" w:rsidRDefault="00EE070D">
      <w:pPr>
        <w:pStyle w:val="FootnoteText"/>
      </w:pPr>
    </w:p>
  </w:footnote>
  <w:footnote w:id="32">
    <w:p w14:paraId="1DFF39B0" w14:textId="3D36695D" w:rsidR="004B3EC4" w:rsidRDefault="004B3EC4">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III.4</w:t>
      </w:r>
      <w:r>
        <w:rPr>
          <w:bCs/>
          <w:iCs/>
          <w:lang w:val="en-US"/>
        </w:rPr>
        <w:t>:</w:t>
      </w:r>
      <w:r w:rsidRPr="004B3EC4">
        <w:rPr>
          <w:bCs/>
          <w:iCs/>
          <w:lang w:val="en-US"/>
        </w:rPr>
        <w:t xml:space="preserve"> </w:t>
      </w:r>
      <w:r>
        <w:rPr>
          <w:bCs/>
          <w:iCs/>
          <w:lang w:val="en-US"/>
        </w:rPr>
        <w:t>4</w:t>
      </w:r>
      <w:r w:rsidRPr="004B3EC4">
        <w:rPr>
          <w:bCs/>
          <w:iCs/>
          <w:lang w:val="en-US"/>
        </w:rPr>
        <w:t>-9</w:t>
      </w:r>
      <w:r>
        <w:rPr>
          <w:bCs/>
          <w:iCs/>
          <w:lang w:val="en-US"/>
        </w:rPr>
        <w:t xml:space="preserve"> (p.129)</w:t>
      </w:r>
    </w:p>
  </w:footnote>
  <w:footnote w:id="33">
    <w:p w14:paraId="43D5F981" w14:textId="630C4269"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8 (p.137)</w:t>
      </w:r>
    </w:p>
  </w:footnote>
  <w:footnote w:id="34">
    <w:p w14:paraId="60397401" w14:textId="571FD7CA"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9 (p.139)</w:t>
      </w:r>
    </w:p>
  </w:footnote>
  <w:footnote w:id="35">
    <w:p w14:paraId="510B80F3" w14:textId="3B824BAE"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III.4</w:t>
      </w:r>
      <w:r>
        <w:rPr>
          <w:bCs/>
          <w:iCs/>
          <w:lang w:val="en-US"/>
        </w:rPr>
        <w:t>:</w:t>
      </w:r>
      <w:r w:rsidRPr="004B3EC4">
        <w:rPr>
          <w:bCs/>
          <w:iCs/>
          <w:lang w:val="en-US"/>
        </w:rPr>
        <w:t xml:space="preserve"> </w:t>
      </w:r>
      <w:r>
        <w:rPr>
          <w:bCs/>
          <w:iCs/>
          <w:lang w:val="en-US"/>
        </w:rPr>
        <w:t>21-36 (p.129)</w:t>
      </w:r>
    </w:p>
  </w:footnote>
  <w:footnote w:id="36">
    <w:p w14:paraId="78F6A3DC" w14:textId="3EC5CB4B"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III.4</w:t>
      </w:r>
      <w:r>
        <w:rPr>
          <w:bCs/>
          <w:iCs/>
          <w:lang w:val="en-US"/>
        </w:rPr>
        <w:t>:</w:t>
      </w:r>
      <w:r w:rsidRPr="004B3EC4">
        <w:rPr>
          <w:bCs/>
          <w:iCs/>
          <w:lang w:val="en-US"/>
        </w:rPr>
        <w:t xml:space="preserve"> </w:t>
      </w:r>
      <w:r>
        <w:rPr>
          <w:bCs/>
          <w:iCs/>
          <w:lang w:val="en-US"/>
        </w:rPr>
        <w:t>35-36 (p.129)</w:t>
      </w:r>
    </w:p>
  </w:footnote>
  <w:footnote w:id="37">
    <w:p w14:paraId="0F34BF14" w14:textId="324C7DC9"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6: 10-16 (p.133)</w:t>
      </w:r>
    </w:p>
  </w:footnote>
  <w:footnote w:id="38">
    <w:p w14:paraId="5B6BAB45" w14:textId="00FD604B"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5: 10-12 (p.131)</w:t>
      </w:r>
    </w:p>
  </w:footnote>
  <w:footnote w:id="39">
    <w:p w14:paraId="30C50C76" w14:textId="7DC8C486" w:rsidR="0050581F" w:rsidRDefault="0050581F">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p.41.</w:t>
      </w:r>
    </w:p>
  </w:footnote>
  <w:footnote w:id="40">
    <w:p w14:paraId="5FC6F1AB" w14:textId="1A284BCF" w:rsidR="0050581F" w:rsidRDefault="0050581F">
      <w:pPr>
        <w:pStyle w:val="FootnoteText"/>
      </w:pPr>
      <w:r>
        <w:rPr>
          <w:rStyle w:val="FootnoteReference"/>
        </w:rPr>
        <w:footnoteRef/>
      </w:r>
      <w:r>
        <w:t xml:space="preserve"> Iamblichus,</w:t>
      </w:r>
      <w:r w:rsidRPr="004B3EC4">
        <w:rPr>
          <w:bCs/>
          <w:i/>
        </w:rPr>
        <w:t xml:space="preserve">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w:t>
      </w:r>
      <w:r w:rsidRPr="004B3EC4">
        <w:rPr>
          <w:rFonts w:ascii="Cambria" w:hAnsi="Cambria"/>
          <w:iCs/>
          <w:sz w:val="24"/>
          <w:szCs w:val="24"/>
          <w:lang w:val="en-US"/>
        </w:rPr>
        <w:t xml:space="preserve"> </w:t>
      </w:r>
      <w:r w:rsidRPr="004B3EC4">
        <w:rPr>
          <w:bCs/>
          <w:iCs/>
          <w:lang w:val="en-US"/>
        </w:rPr>
        <w:t>III.</w:t>
      </w:r>
      <w:r>
        <w:rPr>
          <w:bCs/>
          <w:iCs/>
          <w:lang w:val="en-US"/>
        </w:rPr>
        <w:t>10, III.11 (pp.143-147)</w:t>
      </w:r>
    </w:p>
  </w:footnote>
  <w:footnote w:id="41">
    <w:p w14:paraId="27A0CC23" w14:textId="3F51F7E4" w:rsidR="0050581F" w:rsidRDefault="0050581F">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III.11:51-52 (p.147)</w:t>
      </w:r>
    </w:p>
  </w:footnote>
  <w:footnote w:id="42">
    <w:p w14:paraId="23B08D3E" w14:textId="16F0F2E2" w:rsidR="0050581F" w:rsidRDefault="0050581F">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III.11:62-68 (p.149)</w:t>
      </w:r>
    </w:p>
  </w:footnote>
  <w:footnote w:id="43">
    <w:p w14:paraId="1FF5A2E8" w14:textId="3816F4C6" w:rsidR="001C5056" w:rsidRPr="001C5056" w:rsidRDefault="001C5056">
      <w:pPr>
        <w:pStyle w:val="FootnoteText"/>
      </w:pPr>
      <w:r>
        <w:rPr>
          <w:rStyle w:val="FootnoteReference"/>
        </w:rPr>
        <w:footnoteRef/>
      </w:r>
      <w:r>
        <w:t xml:space="preserve"> </w:t>
      </w:r>
      <w:proofErr w:type="spellStart"/>
      <w:r w:rsidRPr="0041332E">
        <w:t>Athanassiadi</w:t>
      </w:r>
      <w:proofErr w:type="spellEnd"/>
      <w:r w:rsidRPr="0041332E">
        <w:t xml:space="preserve">, </w:t>
      </w:r>
      <w:r w:rsidRPr="001C5056">
        <w:rPr>
          <w:i/>
          <w:iCs/>
        </w:rPr>
        <w:t>Dreams, Theurgy and Freelance Divination</w:t>
      </w:r>
      <w:r>
        <w:t xml:space="preserve">, p.128: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w:t>
      </w:r>
      <w:proofErr w:type="gramStart"/>
      <w:r>
        <w:rPr>
          <w:bCs/>
          <w:iCs/>
        </w:rPr>
        <w:t>30.(</w:t>
      </w:r>
      <w:proofErr w:type="gramEnd"/>
      <w:r>
        <w:rPr>
          <w:bCs/>
          <w:iCs/>
        </w:rPr>
        <w:t>p.195)</w:t>
      </w:r>
    </w:p>
  </w:footnote>
  <w:footnote w:id="44">
    <w:p w14:paraId="52B3A009" w14:textId="324EAABD" w:rsidR="0050581F" w:rsidRDefault="0050581F">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III.11:60 (p.149)</w:t>
      </w:r>
    </w:p>
  </w:footnote>
  <w:footnote w:id="45">
    <w:p w14:paraId="1F7C1B3A" w14:textId="40F6FAB8" w:rsidR="001C5056" w:rsidRDefault="001C5056">
      <w:pPr>
        <w:pStyle w:val="FootnoteText"/>
      </w:pPr>
      <w:r>
        <w:rPr>
          <w:rStyle w:val="FootnoteReference"/>
        </w:rPr>
        <w:footnoteRef/>
      </w:r>
      <w:r>
        <w:t xml:space="preserve"> Struck, </w:t>
      </w:r>
      <w:r>
        <w:rPr>
          <w:i/>
          <w:iCs/>
        </w:rPr>
        <w:t>Iamblichus on Divination</w:t>
      </w:r>
      <w:r>
        <w:t>, p.83</w:t>
      </w:r>
    </w:p>
  </w:footnote>
  <w:footnote w:id="46">
    <w:p w14:paraId="0BA87520" w14:textId="34A281CC" w:rsidR="00C36FDB" w:rsidRDefault="00C36FDB">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p.37.</w:t>
      </w:r>
    </w:p>
  </w:footnote>
  <w:footnote w:id="47">
    <w:p w14:paraId="0A7ECDA5" w14:textId="072E9141"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III.15: 2-3 (p.157)</w:t>
      </w:r>
    </w:p>
  </w:footnote>
  <w:footnote w:id="48">
    <w:p w14:paraId="0C62C692" w14:textId="5FBF6D3F"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III.16:1-15 (p.159)</w:t>
      </w:r>
      <w:r>
        <w:rPr>
          <w:bCs/>
          <w:iCs/>
          <w:lang w:val="en-US"/>
        </w:rPr>
        <w:t xml:space="preserve">; </w:t>
      </w:r>
      <w:proofErr w:type="spellStart"/>
      <w:r>
        <w:t>Addey</w:t>
      </w:r>
      <w:proofErr w:type="spellEnd"/>
      <w:r>
        <w:t xml:space="preserve">, </w:t>
      </w:r>
      <w:r w:rsidRPr="0041332E">
        <w:rPr>
          <w:i/>
          <w:iCs/>
        </w:rPr>
        <w:t>Oracles, Dreams and Astrology</w:t>
      </w:r>
      <w:r>
        <w:t>, p.37.</w:t>
      </w:r>
    </w:p>
  </w:footnote>
  <w:footnote w:id="49">
    <w:p w14:paraId="6C3361FD" w14:textId="326776BA"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III.16:</w:t>
      </w:r>
      <w:r>
        <w:rPr>
          <w:bCs/>
          <w:iCs/>
          <w:lang w:val="en-US"/>
        </w:rPr>
        <w:t xml:space="preserve">24-27 </w:t>
      </w:r>
      <w:r w:rsidRPr="00C36FDB">
        <w:rPr>
          <w:bCs/>
          <w:iCs/>
          <w:lang w:val="en-US"/>
        </w:rPr>
        <w:t>(p.159</w:t>
      </w:r>
      <w:r>
        <w:rPr>
          <w:bCs/>
          <w:iCs/>
          <w:lang w:val="en-US"/>
        </w:rPr>
        <w:t xml:space="preserve">); </w:t>
      </w:r>
      <w:proofErr w:type="spellStart"/>
      <w:r>
        <w:t>Addey</w:t>
      </w:r>
      <w:proofErr w:type="spellEnd"/>
      <w:r>
        <w:t xml:space="preserve">, </w:t>
      </w:r>
      <w:r w:rsidRPr="0041332E">
        <w:rPr>
          <w:i/>
          <w:iCs/>
        </w:rPr>
        <w:t>Oracles, Dreams and Astrology</w:t>
      </w:r>
      <w:r>
        <w:t>, p.37</w:t>
      </w:r>
    </w:p>
  </w:footnote>
  <w:footnote w:id="50">
    <w:p w14:paraId="7761A104" w14:textId="08DA7D4F" w:rsidR="00C36FDB" w:rsidRDefault="00C36FDB">
      <w:pPr>
        <w:pStyle w:val="FootnoteText"/>
      </w:pPr>
      <w:r>
        <w:rPr>
          <w:rStyle w:val="FootnoteReference"/>
        </w:rPr>
        <w:footnoteRef/>
      </w:r>
      <w:r>
        <w:t xml:space="preserve"> Struck, </w:t>
      </w:r>
      <w:r>
        <w:rPr>
          <w:i/>
          <w:iCs/>
        </w:rPr>
        <w:t>Iamblichus on Divination</w:t>
      </w:r>
      <w:r>
        <w:t>, p.84</w:t>
      </w:r>
    </w:p>
  </w:footnote>
  <w:footnote w:id="51">
    <w:p w14:paraId="6A1ADE42" w14:textId="567BD00F"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III.1</w:t>
      </w:r>
      <w:r>
        <w:rPr>
          <w:bCs/>
          <w:iCs/>
          <w:lang w:val="en-US"/>
        </w:rPr>
        <w:t>5</w:t>
      </w:r>
      <w:r w:rsidRPr="00C36FDB">
        <w:rPr>
          <w:bCs/>
          <w:iCs/>
          <w:lang w:val="en-US"/>
        </w:rPr>
        <w:t>:</w:t>
      </w:r>
      <w:r>
        <w:rPr>
          <w:bCs/>
          <w:iCs/>
          <w:lang w:val="en-US"/>
        </w:rPr>
        <w:t xml:space="preserve">8-10 </w:t>
      </w:r>
      <w:r w:rsidRPr="00C36FDB">
        <w:rPr>
          <w:bCs/>
          <w:iCs/>
          <w:lang w:val="en-US"/>
        </w:rPr>
        <w:t>(p.15</w:t>
      </w:r>
      <w:r>
        <w:rPr>
          <w:bCs/>
          <w:iCs/>
          <w:lang w:val="en-US"/>
        </w:rPr>
        <w:t>7)</w:t>
      </w:r>
    </w:p>
  </w:footnote>
  <w:footnote w:id="52">
    <w:p w14:paraId="6AC14F85" w14:textId="4DCEF303"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sidRPr="00C36FDB">
        <w:rPr>
          <w:bCs/>
          <w:iCs/>
          <w:lang w:val="en-US"/>
        </w:rPr>
        <w:t>III.</w:t>
      </w:r>
      <w:r>
        <w:rPr>
          <w:bCs/>
          <w:iCs/>
          <w:lang w:val="en-US"/>
        </w:rPr>
        <w:t>22</w:t>
      </w:r>
      <w:r w:rsidRPr="00C36FDB">
        <w:rPr>
          <w:bCs/>
          <w:iCs/>
          <w:lang w:val="en-US"/>
        </w:rPr>
        <w:t>:</w:t>
      </w:r>
      <w:r>
        <w:rPr>
          <w:bCs/>
          <w:iCs/>
          <w:lang w:val="en-US"/>
        </w:rPr>
        <w:t xml:space="preserve">40-46 </w:t>
      </w:r>
      <w:r w:rsidRPr="00C36FDB">
        <w:rPr>
          <w:bCs/>
          <w:iCs/>
          <w:lang w:val="en-US"/>
        </w:rPr>
        <w:t>(p.1</w:t>
      </w:r>
      <w:r>
        <w:rPr>
          <w:bCs/>
          <w:iCs/>
          <w:lang w:val="en-US"/>
        </w:rPr>
        <w:t>77)</w:t>
      </w:r>
    </w:p>
  </w:footnote>
  <w:footnote w:id="53">
    <w:p w14:paraId="55ED7942" w14:textId="0177DE13" w:rsidR="00F91B64" w:rsidRPr="0041332E" w:rsidRDefault="00F91B64" w:rsidP="00F91B64">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p.47.</w:t>
      </w:r>
    </w:p>
    <w:p w14:paraId="5B7DA222" w14:textId="1251BD4F" w:rsidR="00F91B64" w:rsidRDefault="00F91B64">
      <w:pPr>
        <w:pStyle w:val="FootnoteText"/>
      </w:pPr>
    </w:p>
  </w:footnote>
  <w:footnote w:id="54">
    <w:p w14:paraId="60E96C9C" w14:textId="5607E7D6" w:rsidR="00F91B64" w:rsidRDefault="00F91B64">
      <w:pPr>
        <w:pStyle w:val="FootnoteText"/>
      </w:pPr>
      <w:r>
        <w:rPr>
          <w:rStyle w:val="FootnoteReference"/>
        </w:rPr>
        <w:footnoteRef/>
      </w:r>
      <w:r>
        <w:t xml:space="preserve"> </w:t>
      </w:r>
      <w:proofErr w:type="spellStart"/>
      <w:r>
        <w:t>Addey</w:t>
      </w:r>
      <w:proofErr w:type="spellEnd"/>
      <w:r>
        <w:t xml:space="preserve">, </w:t>
      </w:r>
      <w:r w:rsidRPr="0041332E">
        <w:rPr>
          <w:i/>
          <w:iCs/>
        </w:rPr>
        <w:t>Oracles, Dreams and Astrology</w:t>
      </w:r>
      <w:r>
        <w:t xml:space="preserve">, p.47;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IX</w:t>
      </w:r>
      <w:r w:rsidRPr="00C36FDB">
        <w:rPr>
          <w:bCs/>
          <w:iCs/>
          <w:lang w:val="en-US"/>
        </w:rPr>
        <w:t>.</w:t>
      </w:r>
      <w:r>
        <w:rPr>
          <w:bCs/>
          <w:iCs/>
          <w:lang w:val="en-US"/>
        </w:rPr>
        <w:t xml:space="preserve">2:1ff </w:t>
      </w:r>
      <w:r w:rsidRPr="00C36FDB">
        <w:rPr>
          <w:bCs/>
          <w:iCs/>
          <w:lang w:val="en-US"/>
        </w:rPr>
        <w:t>(p.</w:t>
      </w:r>
      <w:r>
        <w:rPr>
          <w:bCs/>
          <w:iCs/>
          <w:lang w:val="en-US"/>
        </w:rPr>
        <w:t>327)</w:t>
      </w:r>
    </w:p>
  </w:footnote>
  <w:footnote w:id="55">
    <w:p w14:paraId="3657FFBF" w14:textId="10640AA3"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VI</w:t>
      </w:r>
      <w:r w:rsidRPr="00C36FDB">
        <w:rPr>
          <w:bCs/>
          <w:iCs/>
          <w:lang w:val="en-US"/>
        </w:rPr>
        <w:t>.</w:t>
      </w:r>
      <w:r>
        <w:rPr>
          <w:bCs/>
          <w:iCs/>
          <w:lang w:val="en-US"/>
        </w:rPr>
        <w:t>4</w:t>
      </w:r>
      <w:r w:rsidRPr="00C36FDB">
        <w:rPr>
          <w:bCs/>
          <w:iCs/>
          <w:lang w:val="en-US"/>
        </w:rPr>
        <w:t>:</w:t>
      </w:r>
      <w:r>
        <w:rPr>
          <w:bCs/>
          <w:iCs/>
          <w:lang w:val="en-US"/>
        </w:rPr>
        <w:t xml:space="preserve">6-10 </w:t>
      </w:r>
      <w:r w:rsidRPr="00C36FDB">
        <w:rPr>
          <w:bCs/>
          <w:iCs/>
          <w:lang w:val="en-US"/>
        </w:rPr>
        <w:t>(p.</w:t>
      </w:r>
      <w:r w:rsidR="00F91B64">
        <w:rPr>
          <w:bCs/>
          <w:iCs/>
          <w:lang w:val="en-US"/>
        </w:rPr>
        <w:t>2</w:t>
      </w:r>
      <w:r>
        <w:rPr>
          <w:bCs/>
          <w:iCs/>
          <w:lang w:val="en-US"/>
        </w:rPr>
        <w:t>85)</w:t>
      </w:r>
    </w:p>
  </w:footnote>
  <w:footnote w:id="56">
    <w:p w14:paraId="0AF9AA6D" w14:textId="146C660A" w:rsidR="00C36FDB" w:rsidRDefault="00C36FDB">
      <w:pPr>
        <w:pStyle w:val="FootnoteText"/>
      </w:pPr>
      <w:r>
        <w:rPr>
          <w:rStyle w:val="FootnoteReference"/>
        </w:rPr>
        <w:footnoteRef/>
      </w:r>
      <w:r>
        <w:t xml:space="preserve"> Struck, </w:t>
      </w:r>
      <w:r>
        <w:rPr>
          <w:i/>
          <w:iCs/>
        </w:rPr>
        <w:t>Iamblichus on Divination</w:t>
      </w:r>
      <w:r>
        <w:t>, p.85.</w:t>
      </w:r>
    </w:p>
  </w:footnote>
  <w:footnote w:id="57">
    <w:p w14:paraId="60411929" w14:textId="16BBFCF9" w:rsidR="00C36FDB" w:rsidRDefault="00C36FDB">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 xml:space="preserve">III.26: 27-37 </w:t>
      </w:r>
      <w:r w:rsidRPr="00C36FDB">
        <w:rPr>
          <w:bCs/>
          <w:iCs/>
          <w:lang w:val="en-US"/>
        </w:rPr>
        <w:t>(p.</w:t>
      </w:r>
      <w:r w:rsidR="00F91B64">
        <w:rPr>
          <w:bCs/>
          <w:iCs/>
          <w:lang w:val="en-US"/>
        </w:rPr>
        <w:t>1</w:t>
      </w:r>
      <w:r>
        <w:rPr>
          <w:bCs/>
          <w:iCs/>
          <w:lang w:val="en-US"/>
        </w:rPr>
        <w:t>85)</w:t>
      </w:r>
    </w:p>
  </w:footnote>
  <w:footnote w:id="58">
    <w:p w14:paraId="31E392CF" w14:textId="0AB0422F" w:rsidR="00F91B64" w:rsidRDefault="00F91B64">
      <w:pPr>
        <w:pStyle w:val="FootnoteText"/>
      </w:pPr>
      <w:r>
        <w:rPr>
          <w:rStyle w:val="FootnoteReference"/>
        </w:rPr>
        <w:footnoteRef/>
      </w:r>
      <w:r>
        <w:t xml:space="preserve"> Struck, </w:t>
      </w:r>
      <w:r>
        <w:rPr>
          <w:i/>
          <w:iCs/>
        </w:rPr>
        <w:t>Iamblichus on Divination</w:t>
      </w:r>
      <w:r>
        <w:t>, p.86 and n.26</w:t>
      </w:r>
    </w:p>
  </w:footnote>
  <w:footnote w:id="59">
    <w:p w14:paraId="78A4C029" w14:textId="002955B1" w:rsidR="00F91B64" w:rsidRDefault="00F91B64">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 xml:space="preserve">III.31: 65-66 </w:t>
      </w:r>
      <w:r w:rsidRPr="00C36FDB">
        <w:rPr>
          <w:bCs/>
          <w:iCs/>
          <w:lang w:val="en-US"/>
        </w:rPr>
        <w:t>(p.</w:t>
      </w:r>
      <w:r>
        <w:rPr>
          <w:bCs/>
          <w:iCs/>
          <w:lang w:val="en-US"/>
        </w:rPr>
        <w:t>201)</w:t>
      </w:r>
    </w:p>
  </w:footnote>
  <w:footnote w:id="60">
    <w:p w14:paraId="51338249" w14:textId="2FB5FC84" w:rsidR="00F91B64" w:rsidRDefault="00F91B64">
      <w:pPr>
        <w:pStyle w:val="FootnoteText"/>
      </w:pPr>
      <w:r>
        <w:rPr>
          <w:rStyle w:val="FootnoteReference"/>
        </w:rPr>
        <w:footnoteRef/>
      </w:r>
      <w:r>
        <w:t xml:space="preserve"> Struck, </w:t>
      </w:r>
      <w:r>
        <w:rPr>
          <w:i/>
          <w:iCs/>
        </w:rPr>
        <w:t>Iamblichus on Divination</w:t>
      </w:r>
      <w:r>
        <w:t>, p.86.</w:t>
      </w:r>
    </w:p>
  </w:footnote>
  <w:footnote w:id="61">
    <w:p w14:paraId="47456323" w14:textId="306D9BB0" w:rsidR="00F91B64" w:rsidRPr="00F91B64" w:rsidRDefault="00F91B64">
      <w:pPr>
        <w:pStyle w:val="FootnoteText"/>
      </w:pPr>
      <w:r>
        <w:rPr>
          <w:rStyle w:val="FootnoteReference"/>
        </w:rPr>
        <w:footnoteRef/>
      </w:r>
      <w:r>
        <w:t xml:space="preserve"> Struck, </w:t>
      </w:r>
      <w:r>
        <w:rPr>
          <w:i/>
          <w:iCs/>
        </w:rPr>
        <w:t>Iamblichus on Divination</w:t>
      </w:r>
      <w:r>
        <w:t>, p.86.</w:t>
      </w:r>
    </w:p>
  </w:footnote>
  <w:footnote w:id="62">
    <w:p w14:paraId="2839BFDA" w14:textId="7212F98D" w:rsidR="00F91B64" w:rsidRDefault="00F91B64">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III.26:</w:t>
      </w:r>
      <w:r w:rsidRPr="00EE070D">
        <w:rPr>
          <w:iCs/>
          <w:lang w:val="en-US"/>
        </w:rPr>
        <w:t xml:space="preserve"> </w:t>
      </w:r>
      <w:r>
        <w:rPr>
          <w:iCs/>
          <w:lang w:val="en-US"/>
        </w:rPr>
        <w:t>27-32</w:t>
      </w:r>
      <w:r w:rsidRPr="00EE070D">
        <w:t xml:space="preserve"> </w:t>
      </w:r>
      <w:r>
        <w:t>(p.185)</w:t>
      </w:r>
    </w:p>
  </w:footnote>
  <w:footnote w:id="63">
    <w:p w14:paraId="4C67C049" w14:textId="2CD76EB9" w:rsidR="00F91B64" w:rsidRDefault="00F91B64">
      <w:pPr>
        <w:pStyle w:val="FootnoteText"/>
      </w:pPr>
      <w:r>
        <w:rPr>
          <w:rStyle w:val="FootnoteReference"/>
        </w:rPr>
        <w:footnoteRef/>
      </w:r>
      <w:r>
        <w:t xml:space="preserve"> Struck, </w:t>
      </w:r>
      <w:r>
        <w:rPr>
          <w:i/>
          <w:iCs/>
        </w:rPr>
        <w:t>Iamblichus on Divination</w:t>
      </w:r>
      <w:r>
        <w:t xml:space="preserve">, p.87, n.29;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III.26:</w:t>
      </w:r>
      <w:r w:rsidRPr="00EE070D">
        <w:rPr>
          <w:iCs/>
          <w:lang w:val="en-US"/>
        </w:rPr>
        <w:t xml:space="preserve"> </w:t>
      </w:r>
      <w:r>
        <w:rPr>
          <w:iCs/>
          <w:lang w:val="en-US"/>
        </w:rPr>
        <w:t>33ff</w:t>
      </w:r>
      <w:r w:rsidRPr="00EE070D">
        <w:t xml:space="preserve"> </w:t>
      </w:r>
      <w:r>
        <w:t>(p.185)</w:t>
      </w:r>
    </w:p>
  </w:footnote>
  <w:footnote w:id="64">
    <w:p w14:paraId="67DA70BB" w14:textId="27F0E110" w:rsidR="0019790F" w:rsidRDefault="0019790F">
      <w:pPr>
        <w:pStyle w:val="FootnoteText"/>
      </w:pPr>
      <w:r>
        <w:rPr>
          <w:rStyle w:val="FootnoteReference"/>
        </w:rPr>
        <w:footnoteRef/>
      </w:r>
      <w:r>
        <w:t xml:space="preserve"> </w:t>
      </w:r>
      <w:proofErr w:type="spellStart"/>
      <w:r w:rsidRPr="0041332E">
        <w:t>Athanassiadi</w:t>
      </w:r>
      <w:proofErr w:type="spellEnd"/>
      <w:r w:rsidRPr="0041332E">
        <w:t xml:space="preserve">, </w:t>
      </w:r>
      <w:r w:rsidRPr="001C5056">
        <w:rPr>
          <w:i/>
          <w:iCs/>
        </w:rPr>
        <w:t>Dreams, Theurgy and Freelance Divination</w:t>
      </w:r>
      <w:r>
        <w:t>, p.119.</w:t>
      </w:r>
    </w:p>
  </w:footnote>
  <w:footnote w:id="65">
    <w:p w14:paraId="386D08DA" w14:textId="1CD74428" w:rsidR="00EA66B0" w:rsidRDefault="00EA66B0">
      <w:pPr>
        <w:pStyle w:val="FootnoteText"/>
      </w:pPr>
      <w:r>
        <w:rPr>
          <w:rStyle w:val="FootnoteReference"/>
        </w:rPr>
        <w:footnoteRef/>
      </w:r>
      <w:r>
        <w:t xml:space="preserve"> </w:t>
      </w:r>
      <w:proofErr w:type="spellStart"/>
      <w:r w:rsidRPr="0041332E">
        <w:t>Athanassiadi</w:t>
      </w:r>
      <w:proofErr w:type="spellEnd"/>
      <w:r w:rsidRPr="0041332E">
        <w:t xml:space="preserve">, </w:t>
      </w:r>
      <w:r w:rsidRPr="001C5056">
        <w:rPr>
          <w:i/>
          <w:iCs/>
        </w:rPr>
        <w:t>Dreams, Theurgy and Freelance Divination</w:t>
      </w:r>
      <w:r>
        <w:t>, p.119.</w:t>
      </w:r>
    </w:p>
  </w:footnote>
  <w:footnote w:id="66">
    <w:p w14:paraId="02FE2DF5" w14:textId="3C70B75E" w:rsidR="00EA66B0" w:rsidRDefault="00EA66B0">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III.2:</w:t>
      </w:r>
      <w:r w:rsidRPr="00EE070D">
        <w:rPr>
          <w:iCs/>
          <w:lang w:val="en-US"/>
        </w:rPr>
        <w:t xml:space="preserve"> 9-11</w:t>
      </w:r>
      <w:r w:rsidRPr="00EE070D">
        <w:t xml:space="preserve"> </w:t>
      </w:r>
      <w:r>
        <w:t>(p.121-123)</w:t>
      </w:r>
    </w:p>
  </w:footnote>
  <w:footnote w:id="67">
    <w:p w14:paraId="655854A7" w14:textId="7FD27EAE" w:rsidR="00EA66B0" w:rsidRDefault="00EA66B0">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III.7:</w:t>
      </w:r>
      <w:r w:rsidRPr="00EE070D">
        <w:rPr>
          <w:iCs/>
          <w:lang w:val="en-US"/>
        </w:rPr>
        <w:t xml:space="preserve"> </w:t>
      </w:r>
      <w:r>
        <w:rPr>
          <w:iCs/>
          <w:lang w:val="en-US"/>
        </w:rPr>
        <w:t>26-31</w:t>
      </w:r>
      <w:r w:rsidRPr="00EE070D">
        <w:t xml:space="preserve"> </w:t>
      </w:r>
      <w:r>
        <w:t>(p.135)</w:t>
      </w:r>
    </w:p>
  </w:footnote>
  <w:footnote w:id="68">
    <w:p w14:paraId="403FDA35" w14:textId="62801519" w:rsidR="00EA66B0" w:rsidRDefault="00EA66B0">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t>I.15:</w:t>
      </w:r>
      <w:r w:rsidRPr="00EE070D">
        <w:rPr>
          <w:iCs/>
          <w:lang w:val="en-US"/>
        </w:rPr>
        <w:t xml:space="preserve"> </w:t>
      </w:r>
      <w:r>
        <w:rPr>
          <w:iCs/>
          <w:lang w:val="en-US"/>
        </w:rPr>
        <w:t>24-42 (p.59-61); V.25 (p.273).</w:t>
      </w:r>
    </w:p>
  </w:footnote>
  <w:footnote w:id="69">
    <w:p w14:paraId="2D345CC8" w14:textId="66B64289" w:rsidR="009F162D" w:rsidRDefault="009F162D">
      <w:pPr>
        <w:pStyle w:val="FootnoteText"/>
      </w:pPr>
      <w:r>
        <w:rPr>
          <w:rStyle w:val="FootnoteReference"/>
        </w:rPr>
        <w:footnoteRef/>
      </w:r>
      <w:r>
        <w:t xml:space="preserve"> </w:t>
      </w:r>
      <w:r w:rsidR="00EA66B0">
        <w:t xml:space="preserve">Gregory </w:t>
      </w:r>
      <w:r w:rsidR="00EA66B0" w:rsidRPr="00EA66B0">
        <w:t>Shaw</w:t>
      </w:r>
      <w:r w:rsidR="00EA66B0">
        <w:t>,</w:t>
      </w:r>
      <w:r w:rsidR="00EA66B0" w:rsidRPr="00EA66B0">
        <w:t xml:space="preserve"> </w:t>
      </w:r>
      <w:r w:rsidR="00EA66B0" w:rsidRPr="00EA66B0">
        <w:rPr>
          <w:i/>
          <w:iCs/>
        </w:rPr>
        <w:t>Theurgy and the Soul: The Neoplatonism of Iamblichus</w:t>
      </w:r>
      <w:r w:rsidR="00EA66B0" w:rsidRPr="00EA66B0">
        <w:t>, Pennsylvania: Pennsylvania University Press, 1995</w:t>
      </w:r>
      <w:r w:rsidR="00EA66B0">
        <w:t>, pp.173-175.</w:t>
      </w:r>
    </w:p>
  </w:footnote>
  <w:footnote w:id="70">
    <w:p w14:paraId="6F5721FA" w14:textId="3FCFEC29" w:rsidR="00CA7257" w:rsidRDefault="00CA7257" w:rsidP="00CA7257">
      <w:pPr>
        <w:pStyle w:val="FootnoteText"/>
      </w:pPr>
      <w:r>
        <w:rPr>
          <w:rStyle w:val="FootnoteReference"/>
        </w:rPr>
        <w:footnoteRef/>
      </w:r>
      <w:r>
        <w:t xml:space="preserve"> Iamblichus, </w:t>
      </w:r>
      <w:r w:rsidRPr="00A70618">
        <w:rPr>
          <w:bCs/>
          <w:i/>
        </w:rPr>
        <w:t>On the Mysteries</w:t>
      </w:r>
      <w:r w:rsidRPr="00A70618">
        <w:rPr>
          <w:bCs/>
        </w:rPr>
        <w:t xml:space="preserve"> (</w:t>
      </w:r>
      <w:r w:rsidRPr="00A70618">
        <w:rPr>
          <w:bCs/>
          <w:i/>
        </w:rPr>
        <w:t xml:space="preserve">De </w:t>
      </w:r>
      <w:proofErr w:type="spellStart"/>
      <w:r w:rsidRPr="00A70618">
        <w:rPr>
          <w:bCs/>
          <w:i/>
        </w:rPr>
        <w:t>mysteriis</w:t>
      </w:r>
      <w:proofErr w:type="spellEnd"/>
      <w:r>
        <w:rPr>
          <w:bCs/>
          <w:i/>
        </w:rPr>
        <w:t>)</w:t>
      </w:r>
      <w:r>
        <w:rPr>
          <w:bCs/>
          <w:iCs/>
        </w:rPr>
        <w:t xml:space="preserve">, </w:t>
      </w:r>
      <w:r>
        <w:rPr>
          <w:bCs/>
          <w:iCs/>
          <w:lang w:val="en-US"/>
        </w:rPr>
        <w:t xml:space="preserve">X.4: 27-37 </w:t>
      </w:r>
      <w:r w:rsidRPr="00C36FDB">
        <w:rPr>
          <w:bCs/>
          <w:iCs/>
          <w:lang w:val="en-US"/>
        </w:rPr>
        <w:t>(p.</w:t>
      </w:r>
      <w:r>
        <w:rPr>
          <w:bCs/>
          <w:iCs/>
          <w:lang w:val="en-US"/>
        </w:rPr>
        <w:t>285)</w:t>
      </w:r>
    </w:p>
    <w:p w14:paraId="340AF494" w14:textId="7CBF5C44" w:rsidR="00CA7257" w:rsidRDefault="00CA725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9292705"/>
      <w:docPartObj>
        <w:docPartGallery w:val="Page Numbers (Top of Page)"/>
        <w:docPartUnique/>
      </w:docPartObj>
    </w:sdtPr>
    <w:sdtEndPr>
      <w:rPr>
        <w:rStyle w:val="PageNumber"/>
      </w:rPr>
    </w:sdtEndPr>
    <w:sdtContent>
      <w:p w14:paraId="485914DB" w14:textId="42A12D02" w:rsidR="00273D18" w:rsidRDefault="00273D18" w:rsidP="005E210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9B038E" w14:textId="77777777" w:rsidR="00273D18" w:rsidRDefault="00273D18" w:rsidP="00273D1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4457361"/>
      <w:docPartObj>
        <w:docPartGallery w:val="Page Numbers (Top of Page)"/>
        <w:docPartUnique/>
      </w:docPartObj>
    </w:sdtPr>
    <w:sdtEndPr>
      <w:rPr>
        <w:rStyle w:val="PageNumber"/>
      </w:rPr>
    </w:sdtEndPr>
    <w:sdtContent>
      <w:p w14:paraId="08F7FD0B" w14:textId="4F5EB40F" w:rsidR="00273D18" w:rsidRDefault="00273D18" w:rsidP="005E210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19D007" w14:textId="431509BF" w:rsidR="00273D18" w:rsidRDefault="00273D18" w:rsidP="00273D18">
    <w:pPr>
      <w:pStyle w:val="Header"/>
      <w:ind w:right="360"/>
    </w:pPr>
    <w:r>
      <w:t>Gabrielle Mooney 1905543</w:t>
    </w:r>
    <w:r>
      <w:ptab w:relativeTo="margin" w:alignment="center" w:leader="none"/>
    </w:r>
    <w:r>
      <w:ptab w:relativeTo="margin" w:alignment="right" w:leader="none"/>
    </w:r>
    <w:r>
      <w:t>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782"/>
    <w:rsid w:val="0005469A"/>
    <w:rsid w:val="00074D04"/>
    <w:rsid w:val="000D27D4"/>
    <w:rsid w:val="0019790F"/>
    <w:rsid w:val="001C5056"/>
    <w:rsid w:val="00273D18"/>
    <w:rsid w:val="00311342"/>
    <w:rsid w:val="0041332E"/>
    <w:rsid w:val="004B3EC4"/>
    <w:rsid w:val="00502485"/>
    <w:rsid w:val="0050581F"/>
    <w:rsid w:val="00587457"/>
    <w:rsid w:val="005E7BD1"/>
    <w:rsid w:val="00600821"/>
    <w:rsid w:val="006F473E"/>
    <w:rsid w:val="00732AB6"/>
    <w:rsid w:val="007E00A2"/>
    <w:rsid w:val="008052F7"/>
    <w:rsid w:val="008A121E"/>
    <w:rsid w:val="00956829"/>
    <w:rsid w:val="009F162D"/>
    <w:rsid w:val="00A70618"/>
    <w:rsid w:val="00AF1A76"/>
    <w:rsid w:val="00B87BB7"/>
    <w:rsid w:val="00C11668"/>
    <w:rsid w:val="00C36FDB"/>
    <w:rsid w:val="00CA7257"/>
    <w:rsid w:val="00E06782"/>
    <w:rsid w:val="00E83A98"/>
    <w:rsid w:val="00EA66B0"/>
    <w:rsid w:val="00EE070D"/>
    <w:rsid w:val="00F42D14"/>
    <w:rsid w:val="00F915AF"/>
    <w:rsid w:val="00F91B64"/>
    <w:rsid w:val="00FB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06848"/>
  <w15:chartTrackingRefBased/>
  <w15:docId w15:val="{0EBDC729-AEC5-6F4B-BD14-3F57351F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273D1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70618"/>
    <w:rPr>
      <w:sz w:val="20"/>
      <w:szCs w:val="20"/>
    </w:rPr>
  </w:style>
  <w:style w:type="character" w:customStyle="1" w:styleId="FootnoteTextChar">
    <w:name w:val="Footnote Text Char"/>
    <w:basedOn w:val="DefaultParagraphFont"/>
    <w:link w:val="FootnoteText"/>
    <w:uiPriority w:val="99"/>
    <w:semiHidden/>
    <w:rsid w:val="00A70618"/>
    <w:rPr>
      <w:sz w:val="20"/>
      <w:szCs w:val="20"/>
    </w:rPr>
  </w:style>
  <w:style w:type="character" w:styleId="FootnoteReference">
    <w:name w:val="footnote reference"/>
    <w:basedOn w:val="DefaultParagraphFont"/>
    <w:uiPriority w:val="99"/>
    <w:semiHidden/>
    <w:unhideWhenUsed/>
    <w:rsid w:val="00A70618"/>
    <w:rPr>
      <w:vertAlign w:val="superscript"/>
    </w:rPr>
  </w:style>
  <w:style w:type="character" w:styleId="CommentReference">
    <w:name w:val="annotation reference"/>
    <w:basedOn w:val="DefaultParagraphFont"/>
    <w:uiPriority w:val="99"/>
    <w:semiHidden/>
    <w:unhideWhenUsed/>
    <w:rsid w:val="00502485"/>
    <w:rPr>
      <w:sz w:val="16"/>
      <w:szCs w:val="16"/>
    </w:rPr>
  </w:style>
  <w:style w:type="paragraph" w:styleId="CommentText">
    <w:name w:val="annotation text"/>
    <w:basedOn w:val="Normal"/>
    <w:link w:val="CommentTextChar"/>
    <w:uiPriority w:val="99"/>
    <w:semiHidden/>
    <w:unhideWhenUsed/>
    <w:rsid w:val="00502485"/>
    <w:rPr>
      <w:sz w:val="20"/>
      <w:szCs w:val="20"/>
    </w:rPr>
  </w:style>
  <w:style w:type="character" w:customStyle="1" w:styleId="CommentTextChar">
    <w:name w:val="Comment Text Char"/>
    <w:basedOn w:val="DefaultParagraphFont"/>
    <w:link w:val="CommentText"/>
    <w:uiPriority w:val="99"/>
    <w:semiHidden/>
    <w:rsid w:val="00502485"/>
    <w:rPr>
      <w:sz w:val="20"/>
      <w:szCs w:val="20"/>
    </w:rPr>
  </w:style>
  <w:style w:type="paragraph" w:styleId="CommentSubject">
    <w:name w:val="annotation subject"/>
    <w:basedOn w:val="CommentText"/>
    <w:next w:val="CommentText"/>
    <w:link w:val="CommentSubjectChar"/>
    <w:uiPriority w:val="99"/>
    <w:semiHidden/>
    <w:unhideWhenUsed/>
    <w:rsid w:val="00502485"/>
    <w:rPr>
      <w:b/>
      <w:bCs/>
    </w:rPr>
  </w:style>
  <w:style w:type="character" w:customStyle="1" w:styleId="CommentSubjectChar">
    <w:name w:val="Comment Subject Char"/>
    <w:basedOn w:val="CommentTextChar"/>
    <w:link w:val="CommentSubject"/>
    <w:uiPriority w:val="99"/>
    <w:semiHidden/>
    <w:rsid w:val="00502485"/>
    <w:rPr>
      <w:b/>
      <w:bCs/>
      <w:sz w:val="20"/>
      <w:szCs w:val="20"/>
    </w:rPr>
  </w:style>
  <w:style w:type="paragraph" w:styleId="BodyText">
    <w:name w:val="Body Text"/>
    <w:basedOn w:val="Normal"/>
    <w:link w:val="BodyTextChar"/>
    <w:uiPriority w:val="99"/>
    <w:semiHidden/>
    <w:unhideWhenUsed/>
    <w:rsid w:val="00E83A98"/>
    <w:pPr>
      <w:spacing w:after="120"/>
    </w:pPr>
  </w:style>
  <w:style w:type="character" w:customStyle="1" w:styleId="BodyTextChar">
    <w:name w:val="Body Text Char"/>
    <w:basedOn w:val="DefaultParagraphFont"/>
    <w:link w:val="BodyText"/>
    <w:uiPriority w:val="99"/>
    <w:semiHidden/>
    <w:rsid w:val="00E83A98"/>
  </w:style>
  <w:style w:type="character" w:customStyle="1" w:styleId="Heading3Char">
    <w:name w:val="Heading 3 Char"/>
    <w:basedOn w:val="DefaultParagraphFont"/>
    <w:link w:val="Heading3"/>
    <w:rsid w:val="00273D18"/>
    <w:rPr>
      <w:rFonts w:ascii="Tahoma" w:eastAsia="SimSun" w:hAnsi="Tahoma" w:cs="Tahoma"/>
      <w:b/>
      <w:bCs/>
      <w:sz w:val="20"/>
      <w:szCs w:val="20"/>
      <w:lang w:eastAsia="zh-CN"/>
    </w:rPr>
  </w:style>
  <w:style w:type="paragraph" w:styleId="NormalWeb">
    <w:name w:val="Normal (Web)"/>
    <w:basedOn w:val="Normal"/>
    <w:rsid w:val="00273D18"/>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273D18"/>
    <w:pPr>
      <w:tabs>
        <w:tab w:val="center" w:pos="4513"/>
        <w:tab w:val="right" w:pos="9026"/>
      </w:tabs>
    </w:pPr>
  </w:style>
  <w:style w:type="character" w:customStyle="1" w:styleId="HeaderChar">
    <w:name w:val="Header Char"/>
    <w:basedOn w:val="DefaultParagraphFont"/>
    <w:link w:val="Header"/>
    <w:uiPriority w:val="99"/>
    <w:rsid w:val="00273D18"/>
  </w:style>
  <w:style w:type="paragraph" w:styleId="Footer">
    <w:name w:val="footer"/>
    <w:basedOn w:val="Normal"/>
    <w:link w:val="FooterChar"/>
    <w:uiPriority w:val="99"/>
    <w:unhideWhenUsed/>
    <w:rsid w:val="00273D18"/>
    <w:pPr>
      <w:tabs>
        <w:tab w:val="center" w:pos="4513"/>
        <w:tab w:val="right" w:pos="9026"/>
      </w:tabs>
    </w:pPr>
  </w:style>
  <w:style w:type="character" w:customStyle="1" w:styleId="FooterChar">
    <w:name w:val="Footer Char"/>
    <w:basedOn w:val="DefaultParagraphFont"/>
    <w:link w:val="Footer"/>
    <w:uiPriority w:val="99"/>
    <w:rsid w:val="00273D18"/>
  </w:style>
  <w:style w:type="character" w:styleId="PageNumber">
    <w:name w:val="page number"/>
    <w:basedOn w:val="DefaultParagraphFont"/>
    <w:uiPriority w:val="99"/>
    <w:semiHidden/>
    <w:unhideWhenUsed/>
    <w:rsid w:val="0027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640</TotalTime>
  <Pages>13</Pages>
  <Words>2648</Words>
  <Characters>13932</Characters>
  <Application>Microsoft Office Word</Application>
  <DocSecurity>0</DocSecurity>
  <Lines>240</Lines>
  <Paragraphs>42</Paragraphs>
  <ScaleCrop>false</ScaleCrop>
  <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Dorelei Dorelei</dc:creator>
  <cp:keywords/>
  <dc:description/>
  <cp:lastModifiedBy>Dorelei Dorelei</cp:lastModifiedBy>
  <cp:revision>33</cp:revision>
  <dcterms:created xsi:type="dcterms:W3CDTF">2021-03-24T20:55:00Z</dcterms:created>
  <dcterms:modified xsi:type="dcterms:W3CDTF">2021-03-29T05:13:00Z</dcterms:modified>
</cp:coreProperties>
</file>