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8DCFAA" w14:textId="0BB0EEFE" w:rsidR="00D35A76" w:rsidRDefault="00177DE2" w:rsidP="00F419E8">
      <w:pPr>
        <w:ind w:firstLine="720"/>
      </w:pPr>
      <w:r>
        <w:t xml:space="preserve">This review </w:t>
      </w:r>
      <w:r w:rsidR="006D33E2">
        <w:t xml:space="preserve">is </w:t>
      </w:r>
      <w:r w:rsidR="00681DD7">
        <w:t xml:space="preserve">on a primary source from ancient </w:t>
      </w:r>
      <w:proofErr w:type="gramStart"/>
      <w:r w:rsidR="00681DD7">
        <w:t>Egypt,</w:t>
      </w:r>
      <w:r w:rsidR="00F419E8">
        <w:t xml:space="preserve"> and</w:t>
      </w:r>
      <w:proofErr w:type="gramEnd"/>
      <w:r w:rsidR="00681DD7">
        <w:t xml:space="preserve"> </w:t>
      </w:r>
      <w:r>
        <w:t>will be about the boundary stela from the Amarna period</w:t>
      </w:r>
      <w:r w:rsidR="00681DD7">
        <w:t xml:space="preserve"> (</w:t>
      </w:r>
      <w:r w:rsidR="00F419E8">
        <w:t>c.1352 – c.1336 BC</w:t>
      </w:r>
      <w:r w:rsidR="00681DD7">
        <w:t>)</w:t>
      </w:r>
      <w:r w:rsidR="006D33E2">
        <w:rPr>
          <w:rStyle w:val="FootnoteReference"/>
        </w:rPr>
        <w:footnoteReference w:id="1"/>
      </w:r>
      <w:r>
        <w:t xml:space="preserve"> found at the site of</w:t>
      </w:r>
      <w:r w:rsidR="00CF4A9E">
        <w:t xml:space="preserve"> ancient</w:t>
      </w:r>
      <w:r>
        <w:t xml:space="preserve"> </w:t>
      </w:r>
      <w:proofErr w:type="spellStart"/>
      <w:r w:rsidR="00745583">
        <w:t>Akhetaten</w:t>
      </w:r>
      <w:proofErr w:type="spellEnd"/>
      <w:r w:rsidR="00745583">
        <w:t xml:space="preserve"> which was founded by the pharaoh Akhenaten to be his new capital</w:t>
      </w:r>
      <w:r w:rsidR="006D33E2">
        <w:t xml:space="preserve"> city</w:t>
      </w:r>
      <w:r w:rsidR="00745583">
        <w:t xml:space="preserve"> during his religious revolution. </w:t>
      </w:r>
      <w:r w:rsidR="006D33E2">
        <w:t>This religious revolution was to change Egypt from being a country that supported and worshipped many gods (Polytheism) to a country that worshipped only one. “… It’s founder, king Akhenaten, is often labelled the world’s first “monotheist”, having promoted a single solar god, the Aten, above the traditional gods of creation and kingship, and sometimes to their exclusion…”</w:t>
      </w:r>
      <w:r w:rsidR="006D33E2">
        <w:rPr>
          <w:rStyle w:val="FootnoteReference"/>
        </w:rPr>
        <w:footnoteReference w:id="2"/>
      </w:r>
      <w:r w:rsidR="006D33E2">
        <w:t>.</w:t>
      </w:r>
      <w:r w:rsidR="00F419E8">
        <w:t xml:space="preserve"> With the founding of a new form of religion for the country, Akhenaten (formerly Amenhotep IV</w:t>
      </w:r>
      <w:r w:rsidR="00F419E8">
        <w:rPr>
          <w:rStyle w:val="FootnoteReference"/>
        </w:rPr>
        <w:footnoteReference w:id="3"/>
      </w:r>
      <w:r w:rsidR="00F419E8">
        <w:t xml:space="preserve">)wanted to create a new capital city as well. </w:t>
      </w:r>
      <w:proofErr w:type="gramStart"/>
      <w:r w:rsidR="00F419E8">
        <w:t>So</w:t>
      </w:r>
      <w:proofErr w:type="gramEnd"/>
      <w:r w:rsidR="00F419E8">
        <w:t xml:space="preserve"> he moved the capital away from Thebes and into </w:t>
      </w:r>
      <w:proofErr w:type="spellStart"/>
      <w:r w:rsidR="00F419E8">
        <w:t>Akhetaten</w:t>
      </w:r>
      <w:proofErr w:type="spellEnd"/>
      <w:r w:rsidR="00F419E8">
        <w:t xml:space="preserve">. </w:t>
      </w:r>
      <w:r w:rsidR="005A17DD">
        <w:t>“… he marked the boundaries of the city with a series of stelae … They depict the pharaoh, his wife Nefertiti and one or several of their daughters praying to the sun god, the Aten. The texts tells of the foundation and extension of the city.”</w:t>
      </w:r>
      <w:r w:rsidR="005A17DD">
        <w:rPr>
          <w:rStyle w:val="FootnoteReference"/>
        </w:rPr>
        <w:footnoteReference w:id="4"/>
      </w:r>
      <w:r w:rsidR="00547AB8">
        <w:t xml:space="preserve"> We will be discussing Stelae K (as it is named in W. Murnane’s book) which has unfortunately experienced some degradation over time, meaning the 1</w:t>
      </w:r>
      <w:r w:rsidR="00547AB8" w:rsidRPr="00547AB8">
        <w:rPr>
          <w:vertAlign w:val="superscript"/>
        </w:rPr>
        <w:t>st</w:t>
      </w:r>
      <w:r w:rsidR="00547AB8">
        <w:t xml:space="preserve"> third of the text is all that has survived. </w:t>
      </w:r>
    </w:p>
    <w:p w14:paraId="72857B83" w14:textId="357BAF5F" w:rsidR="00D35A76" w:rsidRPr="00D57148" w:rsidRDefault="00D35A76">
      <w:pPr>
        <w:rPr>
          <w:u w:val="single"/>
        </w:rPr>
      </w:pPr>
      <w:r w:rsidRPr="00D57148">
        <w:rPr>
          <w:u w:val="single"/>
        </w:rPr>
        <w:t xml:space="preserve">The introduction </w:t>
      </w:r>
    </w:p>
    <w:p w14:paraId="48B337E6" w14:textId="1EBCF167" w:rsidR="00D35A76" w:rsidRDefault="000B475A" w:rsidP="00D57148">
      <w:pPr>
        <w:ind w:firstLine="720"/>
      </w:pPr>
      <w:r>
        <w:t xml:space="preserve">In the opening paragraph of the </w:t>
      </w:r>
      <w:r w:rsidR="009F33F8">
        <w:t>stela, the god Aten</w:t>
      </w:r>
      <w:r w:rsidR="00616FD4">
        <w:t xml:space="preserve"> </w:t>
      </w:r>
      <w:r w:rsidR="009F33F8">
        <w:t xml:space="preserve">is being </w:t>
      </w:r>
      <w:r w:rsidR="00F31BB3">
        <w:t>acknowledged</w:t>
      </w:r>
      <w:r w:rsidR="00D60E69">
        <w:t xml:space="preserve"> for all that has </w:t>
      </w:r>
      <w:r w:rsidR="00616FD4">
        <w:t xml:space="preserve">been </w:t>
      </w:r>
      <w:r w:rsidR="00F31BB3">
        <w:t xml:space="preserve">done </w:t>
      </w:r>
      <w:r w:rsidR="00616FD4">
        <w:t xml:space="preserve">by </w:t>
      </w:r>
      <w:r w:rsidR="005A17DD">
        <w:t>it</w:t>
      </w:r>
      <w:r w:rsidR="00616FD4">
        <w:t xml:space="preserve">, this is done </w:t>
      </w:r>
      <w:r w:rsidR="00F31BB3">
        <w:t>through</w:t>
      </w:r>
      <w:r w:rsidR="00D60E69">
        <w:t xml:space="preserve"> the recital of all </w:t>
      </w:r>
      <w:r w:rsidR="00616FD4">
        <w:t>its</w:t>
      </w:r>
      <w:r w:rsidR="00D60E69">
        <w:t xml:space="preserve"> titles</w:t>
      </w:r>
      <w:r w:rsidR="009F33F8">
        <w:t xml:space="preserve"> and </w:t>
      </w:r>
      <w:r w:rsidR="00D60E69">
        <w:t xml:space="preserve">having time wished upon </w:t>
      </w:r>
      <w:r w:rsidR="00616FD4">
        <w:t>it</w:t>
      </w:r>
      <w:r w:rsidR="00D60E69">
        <w:t xml:space="preserve"> “… long live the Good God …”</w:t>
      </w:r>
      <w:r w:rsidR="00D968E7">
        <w:rPr>
          <w:rStyle w:val="FootnoteReference"/>
        </w:rPr>
        <w:footnoteReference w:id="5"/>
      </w:r>
      <w:r w:rsidR="00F31BB3">
        <w:t>. The text then goes on to introduce the king Akhenaten and how he “… who does useful things for the one who fashioned him …”</w:t>
      </w:r>
      <w:r w:rsidR="00D968E7">
        <w:rPr>
          <w:rStyle w:val="FootnoteReference"/>
        </w:rPr>
        <w:footnoteReference w:id="6"/>
      </w:r>
      <w:r w:rsidR="00AD0879">
        <w:t xml:space="preserve"> </w:t>
      </w:r>
      <w:r w:rsidR="00F31BB3">
        <w:t>and how the god Aten “… may he cause him (to exist) forever …”</w:t>
      </w:r>
      <w:r w:rsidR="00D968E7">
        <w:rPr>
          <w:rStyle w:val="FootnoteReference"/>
        </w:rPr>
        <w:footnoteReference w:id="7"/>
      </w:r>
      <w:r w:rsidR="005A17DD">
        <w:t xml:space="preserve">. This highlights the function of kingship, to follow out the needs of the one god Aten and as reward he would be gifted with eternal life. The stelae then </w:t>
      </w:r>
      <w:proofErr w:type="gramStart"/>
      <w:r w:rsidR="005A17DD">
        <w:t>goes</w:t>
      </w:r>
      <w:proofErr w:type="gramEnd"/>
      <w:r w:rsidR="005A17DD">
        <w:t xml:space="preserve"> on to give the titles and remarkable abilities and deeds done by Nefertiti, Akhenaten’s chief wife. The introduction of the stelae is remarkable because it highlights the importance of the triad, (of the Aten, Akhenaten and Nefertiti), in creating and upholding the needs of the world. </w:t>
      </w:r>
    </w:p>
    <w:p w14:paraId="70A3F9B8" w14:textId="0186321E" w:rsidR="00D35A76" w:rsidRPr="00D57148" w:rsidRDefault="00D35A76">
      <w:pPr>
        <w:rPr>
          <w:u w:val="single"/>
        </w:rPr>
      </w:pPr>
      <w:r w:rsidRPr="00D57148">
        <w:rPr>
          <w:u w:val="single"/>
        </w:rPr>
        <w:t xml:space="preserve">Initial appearance and speech by the king </w:t>
      </w:r>
    </w:p>
    <w:p w14:paraId="26B5C68C" w14:textId="5A24587E" w:rsidR="005A17DD" w:rsidRDefault="00141BB7" w:rsidP="00D57148">
      <w:pPr>
        <w:ind w:firstLine="720"/>
      </w:pPr>
      <w:r>
        <w:t>The next section goes on to describe the arrival of Akhenaten in his new capital city</w:t>
      </w:r>
      <w:r w:rsidR="003944BD">
        <w:t xml:space="preserve"> (not yet built)</w:t>
      </w:r>
      <w:r>
        <w:t xml:space="preserve">, and </w:t>
      </w:r>
      <w:r w:rsidR="003944BD">
        <w:t>how “… A great oblation was presented to the Father, …”</w:t>
      </w:r>
      <w:r w:rsidR="00D968E7">
        <w:rPr>
          <w:rStyle w:val="FootnoteReference"/>
        </w:rPr>
        <w:footnoteReference w:id="8"/>
      </w:r>
      <w:r w:rsidR="003944BD">
        <w:t xml:space="preserve">. </w:t>
      </w:r>
      <w:r w:rsidR="008915B3">
        <w:t xml:space="preserve">The king then had all those needed to help build the city and talked about how they were to help him “… [Its …] is not known, (but) I found it </w:t>
      </w:r>
      <w:r w:rsidR="008915B3">
        <w:rPr>
          <w:i/>
        </w:rPr>
        <w:t>widowed</w:t>
      </w:r>
      <w:r w:rsidR="008915B3">
        <w:t xml:space="preserve"> … It is the Aten, my [father], who advised me concerning it, (saying), ‘Behold, [fill] </w:t>
      </w:r>
      <w:proofErr w:type="spellStart"/>
      <w:r w:rsidR="008915B3">
        <w:t>Akhet</w:t>
      </w:r>
      <w:proofErr w:type="spellEnd"/>
      <w:r w:rsidR="008915B3">
        <w:t>-Aten with provisions – a storehouse for everything!</w:t>
      </w:r>
      <w:r w:rsidR="006748EA">
        <w:t xml:space="preserve">’ while my Father, HOR-ATEN, proclaimed to me, ‘It is to belong to my Person, to be </w:t>
      </w:r>
      <w:proofErr w:type="spellStart"/>
      <w:r w:rsidR="006748EA">
        <w:t>Akhet</w:t>
      </w:r>
      <w:proofErr w:type="spellEnd"/>
      <w:r w:rsidR="006748EA">
        <w:t>-Aten continually forever.</w:t>
      </w:r>
      <w:r w:rsidR="008915B3">
        <w:t>”</w:t>
      </w:r>
      <w:r w:rsidR="00D968E7">
        <w:rPr>
          <w:rStyle w:val="FootnoteReference"/>
        </w:rPr>
        <w:footnoteReference w:id="9"/>
      </w:r>
      <w:r w:rsidR="006748EA">
        <w:t xml:space="preserve"> The pharaoh then goes on to say “… whether belonging to my name] or belong to [her] name … the King’s Chief Wife …”</w:t>
      </w:r>
      <w:r w:rsidR="00D968E7">
        <w:rPr>
          <w:rStyle w:val="FootnoteReference"/>
        </w:rPr>
        <w:footnoteReference w:id="10"/>
      </w:r>
      <w:r w:rsidR="006748EA">
        <w:t xml:space="preserve">. By proclaiming the building of the city as a divine request, Akhenaten is highlighting how the city must be completed or risk angering the god, and with Egypt now being monotheistic there is only the one. </w:t>
      </w:r>
      <w:proofErr w:type="gramStart"/>
      <w:r w:rsidR="009C3578">
        <w:t>Also</w:t>
      </w:r>
      <w:proofErr w:type="gramEnd"/>
      <w:r w:rsidR="009C3578">
        <w:t xml:space="preserve"> by saying it will belong to him or Nefertiti again highlights the importance of the triad. </w:t>
      </w:r>
    </w:p>
    <w:p w14:paraId="58FFAA64" w14:textId="29DFF7D3" w:rsidR="00D35A76" w:rsidRPr="00D57148" w:rsidRDefault="00D35A76">
      <w:pPr>
        <w:rPr>
          <w:u w:val="single"/>
        </w:rPr>
      </w:pPr>
      <w:r w:rsidRPr="00D57148">
        <w:rPr>
          <w:u w:val="single"/>
        </w:rPr>
        <w:lastRenderedPageBreak/>
        <w:t xml:space="preserve">The courtiers reply </w:t>
      </w:r>
    </w:p>
    <w:p w14:paraId="4ACAE17D" w14:textId="214D6E7B" w:rsidR="005A17DD" w:rsidRDefault="009C3578" w:rsidP="00D57148">
      <w:pPr>
        <w:ind w:firstLine="720"/>
      </w:pPr>
      <w:r>
        <w:t>The courtiers reply is obvious, they agree that the building of the capital city is essential. But they also go on to say “… You are the ruler … while he is the one who sets (things) in your heart at any place he wishes. He did not raise up any other king except for your person …”</w:t>
      </w:r>
      <w:r w:rsidR="00D968E7">
        <w:rPr>
          <w:rStyle w:val="FootnoteReference"/>
        </w:rPr>
        <w:footnoteReference w:id="11"/>
      </w:r>
      <w:r>
        <w:t xml:space="preserve">. By saying this the courtiers are re-iterating the concept that Akhenaten is the one king who has been divinely put on the throne, and so </w:t>
      </w:r>
      <w:r w:rsidR="00377B2E">
        <w:t xml:space="preserve">he is acting in accordance with and for the god Aten. </w:t>
      </w:r>
      <w:r w:rsidR="00FD7108">
        <w:t>Which is why he can collect “…  tax the towns and islands for him…”</w:t>
      </w:r>
      <w:r w:rsidR="00D968E7">
        <w:rPr>
          <w:rStyle w:val="FootnoteReference"/>
        </w:rPr>
        <w:footnoteReference w:id="12"/>
      </w:r>
      <w:r w:rsidR="00FD7108">
        <w:t>.</w:t>
      </w:r>
    </w:p>
    <w:p w14:paraId="4CC4EA06" w14:textId="7676AF95" w:rsidR="00D35A76" w:rsidRPr="00D57148" w:rsidRDefault="00D35A76">
      <w:pPr>
        <w:rPr>
          <w:u w:val="single"/>
        </w:rPr>
      </w:pPr>
      <w:r w:rsidRPr="00D57148">
        <w:rPr>
          <w:u w:val="single"/>
        </w:rPr>
        <w:t>The decree</w:t>
      </w:r>
    </w:p>
    <w:p w14:paraId="693D1302" w14:textId="415C1591" w:rsidR="00D35A76" w:rsidRDefault="00FD7108" w:rsidP="00D57148">
      <w:pPr>
        <w:ind w:firstLine="720"/>
      </w:pPr>
      <w:r>
        <w:t xml:space="preserve">The final section goes on to talk about just how willing Akhenaten is to build the new capital city in honour of his father. He also explains “… I shall not go past the southern stela of </w:t>
      </w:r>
      <w:proofErr w:type="spellStart"/>
      <w:r>
        <w:t>Akhet</w:t>
      </w:r>
      <w:proofErr w:type="spellEnd"/>
      <w:r>
        <w:t xml:space="preserve">-Aten toward the south, nor shall I go past the northern stela of </w:t>
      </w:r>
      <w:proofErr w:type="spellStart"/>
      <w:r>
        <w:t>Akhet</w:t>
      </w:r>
      <w:proofErr w:type="spellEnd"/>
      <w:r>
        <w:t xml:space="preserve">-Aten downstream, in order to make </w:t>
      </w:r>
      <w:proofErr w:type="spellStart"/>
      <w:r>
        <w:t>Akhet</w:t>
      </w:r>
      <w:proofErr w:type="spellEnd"/>
      <w:r>
        <w:t>-Aten for him there …”</w:t>
      </w:r>
      <w:r w:rsidR="00E04A90">
        <w:rPr>
          <w:rStyle w:val="FootnoteReference"/>
        </w:rPr>
        <w:footnoteReference w:id="13"/>
      </w:r>
      <w:r>
        <w:t xml:space="preserve">. Here the stela references itself, this is interesting because it highlights just how exact Akhenaten knew how he wanted </w:t>
      </w:r>
      <w:proofErr w:type="spellStart"/>
      <w:r>
        <w:t>Akhetaten</w:t>
      </w:r>
      <w:proofErr w:type="spellEnd"/>
      <w:r>
        <w:t xml:space="preserve"> to be built. This is then also evidenced by Akhenaten saying how he won’t be influenced by anyone, including his wife, on where </w:t>
      </w:r>
      <w:proofErr w:type="spellStart"/>
      <w:r>
        <w:t>Akhetaten</w:t>
      </w:r>
      <w:proofErr w:type="spellEnd"/>
      <w:r>
        <w:t xml:space="preserve"> was to be built. </w:t>
      </w:r>
      <w:r w:rsidR="008B7B7A">
        <w:t xml:space="preserve">The pharaoh then goes on to say what shall be built within the city and what to do if he, his wife, or daughter should die outside the city limits. “… Then the entire land rejoiced, (being) on holiday [and making oblation] to the Aten, for one has allowed to make an end there, in </w:t>
      </w:r>
      <w:proofErr w:type="spellStart"/>
      <w:r w:rsidR="008B7B7A">
        <w:t>Akhet</w:t>
      </w:r>
      <w:proofErr w:type="spellEnd"/>
      <w:r w:rsidR="008B7B7A">
        <w:t>-Aten, continually forever…”</w:t>
      </w:r>
      <w:r w:rsidR="00E04A90">
        <w:rPr>
          <w:rStyle w:val="FootnoteReference"/>
        </w:rPr>
        <w:footnoteReference w:id="14"/>
      </w:r>
      <w:r w:rsidR="008B7B7A">
        <w:t xml:space="preserve">. This last section, unfortunately, is the most fragmented, meaning that a lot of what has been translated has had to be left blank or hesitantly translated. Meaning that there is some hesitance in fully trusting what has been translated. </w:t>
      </w:r>
    </w:p>
    <w:p w14:paraId="284BE586" w14:textId="02B106B9" w:rsidR="008B7B7A" w:rsidRDefault="008B7B7A"/>
    <w:p w14:paraId="5C5B8DCB" w14:textId="210619A1" w:rsidR="008B7B7A" w:rsidRDefault="008B7B7A" w:rsidP="00547AB8">
      <w:pPr>
        <w:ind w:firstLine="720"/>
      </w:pPr>
      <w:r>
        <w:t xml:space="preserve">In conclusion, </w:t>
      </w:r>
      <w:proofErr w:type="gramStart"/>
      <w:r>
        <w:t>this stelae</w:t>
      </w:r>
      <w:proofErr w:type="gramEnd"/>
      <w:r>
        <w:t xml:space="preserve"> is very important when researching Amarna and </w:t>
      </w:r>
      <w:proofErr w:type="spellStart"/>
      <w:r>
        <w:t>Akhetaten</w:t>
      </w:r>
      <w:proofErr w:type="spellEnd"/>
      <w:r>
        <w:t xml:space="preserve">. This is because </w:t>
      </w:r>
      <w:r w:rsidR="00547AB8">
        <w:t xml:space="preserve">it details and outlines the thinking, construction and reasoning behind the building of </w:t>
      </w:r>
      <w:proofErr w:type="spellStart"/>
      <w:r w:rsidR="00547AB8">
        <w:t>Akhetaten</w:t>
      </w:r>
      <w:proofErr w:type="spellEnd"/>
      <w:r w:rsidR="00547AB8">
        <w:t xml:space="preserve"> as the primary capital city for Akhenaten’s religious revolution. </w:t>
      </w:r>
      <w:r w:rsidR="00C05CFC">
        <w:t xml:space="preserve">Such information is priceless, as we have seen part of it has already been lost. But to be able to have the stelae detailing the building of </w:t>
      </w:r>
      <w:proofErr w:type="spellStart"/>
      <w:r w:rsidR="00C05CFC">
        <w:t>Akhetaten</w:t>
      </w:r>
      <w:proofErr w:type="spellEnd"/>
      <w:r w:rsidR="00C05CFC">
        <w:t xml:space="preserve"> in Akhenaten’s own words is invaluable. And for such </w:t>
      </w:r>
      <w:proofErr w:type="gramStart"/>
      <w:r w:rsidR="00C05CFC">
        <w:t>a period of time</w:t>
      </w:r>
      <w:proofErr w:type="gramEnd"/>
      <w:r w:rsidR="00C05CFC">
        <w:t xml:space="preserve">, that afterwards was purposefully left out of the history by the ancient Egyptians themselves. To have the contemporary words is remarkable and very useful in helping us too try and determine how Amarna worked. </w:t>
      </w:r>
    </w:p>
    <w:p w14:paraId="107FB8A1" w14:textId="0EDAB925" w:rsidR="00C05CFC" w:rsidRDefault="00C05CFC" w:rsidP="00C05CFC"/>
    <w:p w14:paraId="77FD81AA" w14:textId="66E819D2" w:rsidR="00C05CFC" w:rsidRDefault="00C05CFC" w:rsidP="00C05CFC">
      <w:r>
        <w:t>Words 1005</w:t>
      </w:r>
    </w:p>
    <w:p w14:paraId="71336B06" w14:textId="6C791187" w:rsidR="003F190B" w:rsidRDefault="003F190B" w:rsidP="00C05CFC"/>
    <w:p w14:paraId="7BA25A9B" w14:textId="77777777" w:rsidR="003F190B" w:rsidRDefault="003F190B">
      <w:r>
        <w:br w:type="page"/>
      </w:r>
    </w:p>
    <w:p w14:paraId="4D1675D9" w14:textId="1222E70A" w:rsidR="003F190B" w:rsidRPr="003F190B" w:rsidRDefault="003F190B" w:rsidP="00C05CFC">
      <w:pPr>
        <w:rPr>
          <w:u w:val="single"/>
        </w:rPr>
      </w:pPr>
      <w:r w:rsidRPr="003F190B">
        <w:rPr>
          <w:u w:val="single"/>
        </w:rPr>
        <w:lastRenderedPageBreak/>
        <w:t>Bibliography</w:t>
      </w:r>
    </w:p>
    <w:p w14:paraId="76114D52" w14:textId="77777777" w:rsidR="003F190B" w:rsidRDefault="003F190B" w:rsidP="003F190B">
      <w:bookmarkStart w:id="1" w:name="_Hlk9188175"/>
      <w:r>
        <w:t>Gahlin, L. (2011). Gods, Rites, Rituals and Religion of Ancient Egypt. Leicestershire: Hermes House.</w:t>
      </w:r>
    </w:p>
    <w:bookmarkEnd w:id="1"/>
    <w:p w14:paraId="10D046AB" w14:textId="77777777" w:rsidR="003F190B" w:rsidRDefault="003F190B" w:rsidP="003F190B"/>
    <w:p w14:paraId="2133B59C" w14:textId="77777777" w:rsidR="003F190B" w:rsidRDefault="003F190B" w:rsidP="003F190B">
      <w:bookmarkStart w:id="2" w:name="_Hlk9188553"/>
      <w:r>
        <w:t>Murnane, W. (1995). Texts from the Amarna Period in Egypt. Atlanta, Georgia: Scholars Press.</w:t>
      </w:r>
    </w:p>
    <w:bookmarkEnd w:id="2"/>
    <w:p w14:paraId="57CAF0F2" w14:textId="77777777" w:rsidR="003F190B" w:rsidRDefault="003F190B" w:rsidP="003F190B"/>
    <w:p w14:paraId="1F8A5480" w14:textId="77777777" w:rsidR="003F190B" w:rsidRDefault="003F190B" w:rsidP="003F190B">
      <w:r>
        <w:t>Stevens, A. (2015). The Archaeology of Amarna. Oxford Handbooks Online.</w:t>
      </w:r>
    </w:p>
    <w:p w14:paraId="18D86B26" w14:textId="77777777" w:rsidR="003F190B" w:rsidRDefault="003F190B" w:rsidP="003F190B"/>
    <w:p w14:paraId="6006285F" w14:textId="41935092" w:rsidR="003F190B" w:rsidRDefault="003F190B" w:rsidP="003F190B">
      <w:bookmarkStart w:id="3" w:name="_Hlk9188229"/>
      <w:r>
        <w:t xml:space="preserve">Strudwick, H. (2006). The </w:t>
      </w:r>
      <w:proofErr w:type="spellStart"/>
      <w:r>
        <w:t>encyclopedia</w:t>
      </w:r>
      <w:proofErr w:type="spellEnd"/>
      <w:r>
        <w:t xml:space="preserve"> of Ancient Egypt. London: Amber Books Ltd.</w:t>
      </w:r>
      <w:bookmarkEnd w:id="3"/>
    </w:p>
    <w:sectPr w:rsidR="003F190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1587D9" w14:textId="77777777" w:rsidR="006D33E2" w:rsidRDefault="006D33E2" w:rsidP="006D33E2">
      <w:pPr>
        <w:spacing w:after="0" w:line="240" w:lineRule="auto"/>
      </w:pPr>
      <w:r>
        <w:separator/>
      </w:r>
    </w:p>
  </w:endnote>
  <w:endnote w:type="continuationSeparator" w:id="0">
    <w:p w14:paraId="040C0C45" w14:textId="77777777" w:rsidR="006D33E2" w:rsidRDefault="006D33E2" w:rsidP="006D3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2C2542" w14:textId="77777777" w:rsidR="006D33E2" w:rsidRDefault="006D33E2" w:rsidP="006D33E2">
      <w:pPr>
        <w:spacing w:after="0" w:line="240" w:lineRule="auto"/>
      </w:pPr>
      <w:r>
        <w:separator/>
      </w:r>
    </w:p>
  </w:footnote>
  <w:footnote w:type="continuationSeparator" w:id="0">
    <w:p w14:paraId="3707F010" w14:textId="77777777" w:rsidR="006D33E2" w:rsidRDefault="006D33E2" w:rsidP="006D33E2">
      <w:pPr>
        <w:spacing w:after="0" w:line="240" w:lineRule="auto"/>
      </w:pPr>
      <w:r>
        <w:continuationSeparator/>
      </w:r>
    </w:p>
  </w:footnote>
  <w:footnote w:id="1">
    <w:p w14:paraId="66B2B726" w14:textId="5A5ABA36" w:rsidR="006D33E2" w:rsidRDefault="006D33E2">
      <w:pPr>
        <w:pStyle w:val="FootnoteText"/>
      </w:pPr>
      <w:r>
        <w:rPr>
          <w:rStyle w:val="FootnoteReference"/>
        </w:rPr>
        <w:footnoteRef/>
      </w:r>
      <w:r>
        <w:t xml:space="preserve"> </w:t>
      </w:r>
      <w:r w:rsidR="003F190B" w:rsidRPr="003F190B">
        <w:t>Gahlin, L. (2011). Gods, Rites, Rituals and Religion of Ancient Egypt. Leicestershire: Hermes House.</w:t>
      </w:r>
      <w:r w:rsidR="003F190B">
        <w:t xml:space="preserve"> Pg. 127</w:t>
      </w:r>
    </w:p>
  </w:footnote>
  <w:footnote w:id="2">
    <w:p w14:paraId="00ECBE73" w14:textId="1A5508FB" w:rsidR="006D33E2" w:rsidRDefault="006D33E2">
      <w:pPr>
        <w:pStyle w:val="FootnoteText"/>
      </w:pPr>
      <w:r>
        <w:rPr>
          <w:rStyle w:val="FootnoteReference"/>
        </w:rPr>
        <w:footnoteRef/>
      </w:r>
      <w:r>
        <w:t xml:space="preserve"> </w:t>
      </w:r>
      <w:r w:rsidR="00AD0879" w:rsidRPr="00AD0879">
        <w:t>Stevens, A. (2015). The Archaeology of Amarna. Oxford Handbooks Online.</w:t>
      </w:r>
      <w:r w:rsidR="00AD0879">
        <w:t xml:space="preserve"> Pg. 1</w:t>
      </w:r>
    </w:p>
  </w:footnote>
  <w:footnote w:id="3">
    <w:p w14:paraId="6201EFCB" w14:textId="05B8EC22" w:rsidR="00F419E8" w:rsidRDefault="00F419E8">
      <w:pPr>
        <w:pStyle w:val="FootnoteText"/>
      </w:pPr>
      <w:r>
        <w:rPr>
          <w:rStyle w:val="FootnoteReference"/>
        </w:rPr>
        <w:footnoteRef/>
      </w:r>
      <w:r>
        <w:t xml:space="preserve"> </w:t>
      </w:r>
      <w:r w:rsidR="003F190B" w:rsidRPr="003F190B">
        <w:t>Gahlin, L. (2011). Gods, Rites, Rituals and Religion of Ancient Egypt. Leicestershire: Hermes House.</w:t>
      </w:r>
      <w:r w:rsidR="003F190B">
        <w:t xml:space="preserve"> Pg. 127</w:t>
      </w:r>
    </w:p>
  </w:footnote>
  <w:footnote w:id="4">
    <w:p w14:paraId="2DA74A76" w14:textId="1201ECF7" w:rsidR="005A17DD" w:rsidRDefault="005A17DD">
      <w:pPr>
        <w:pStyle w:val="FootnoteText"/>
      </w:pPr>
      <w:r>
        <w:rPr>
          <w:rStyle w:val="FootnoteReference"/>
        </w:rPr>
        <w:footnoteRef/>
      </w:r>
      <w:r>
        <w:t xml:space="preserve"> </w:t>
      </w:r>
      <w:r w:rsidR="003F190B" w:rsidRPr="003F190B">
        <w:t xml:space="preserve">Strudwick, H. (2006). The </w:t>
      </w:r>
      <w:proofErr w:type="spellStart"/>
      <w:r w:rsidR="003F190B" w:rsidRPr="003F190B">
        <w:t>encyclopedia</w:t>
      </w:r>
      <w:proofErr w:type="spellEnd"/>
      <w:r w:rsidR="003F190B" w:rsidRPr="003F190B">
        <w:t xml:space="preserve"> of Ancient Egypt. London: Amber Books Ltd.</w:t>
      </w:r>
      <w:r w:rsidR="003F190B">
        <w:t xml:space="preserve"> Pg. 215</w:t>
      </w:r>
    </w:p>
  </w:footnote>
  <w:footnote w:id="5">
    <w:p w14:paraId="37E4D7AF" w14:textId="692AE9A0" w:rsidR="00D968E7" w:rsidRDefault="00D968E7">
      <w:pPr>
        <w:pStyle w:val="FootnoteText"/>
      </w:pPr>
      <w:r>
        <w:rPr>
          <w:rStyle w:val="FootnoteReference"/>
        </w:rPr>
        <w:footnoteRef/>
      </w:r>
      <w:r>
        <w:t xml:space="preserve"> </w:t>
      </w:r>
      <w:r w:rsidR="00AD0879" w:rsidRPr="00AD0879">
        <w:t>Murnane, W. (1995). Texts from the Amarna Period in Egypt. Atlanta, Georgia: Scholars Press.</w:t>
      </w:r>
      <w:r w:rsidR="00AD0879">
        <w:t xml:space="preserve"> Pg. 73</w:t>
      </w:r>
    </w:p>
  </w:footnote>
  <w:footnote w:id="6">
    <w:p w14:paraId="667D5A95" w14:textId="0D6E866D" w:rsidR="00D968E7" w:rsidRDefault="00D968E7">
      <w:pPr>
        <w:pStyle w:val="FootnoteText"/>
      </w:pPr>
      <w:r>
        <w:rPr>
          <w:rStyle w:val="FootnoteReference"/>
        </w:rPr>
        <w:footnoteRef/>
      </w:r>
      <w:r>
        <w:t xml:space="preserve"> </w:t>
      </w:r>
      <w:r w:rsidR="00AD0879" w:rsidRPr="00AD0879">
        <w:t>Murnane, W. (1995). Texts from the Amarna Period in Egypt. Atlanta, Georgia: Scholars Press.</w:t>
      </w:r>
      <w:r w:rsidR="00AD0879">
        <w:t xml:space="preserve"> Pg. 73</w:t>
      </w:r>
    </w:p>
  </w:footnote>
  <w:footnote w:id="7">
    <w:p w14:paraId="6F63E648" w14:textId="76A2B98B" w:rsidR="00D968E7" w:rsidRDefault="00D968E7">
      <w:pPr>
        <w:pStyle w:val="FootnoteText"/>
      </w:pPr>
      <w:r>
        <w:rPr>
          <w:rStyle w:val="FootnoteReference"/>
        </w:rPr>
        <w:footnoteRef/>
      </w:r>
      <w:r>
        <w:t xml:space="preserve"> </w:t>
      </w:r>
      <w:r w:rsidR="00AD0879" w:rsidRPr="00AD0879">
        <w:t>Murnane, W. (1995). Texts from the Amarna Period in Egypt. Atlanta, Georgia: Scholars Press.</w:t>
      </w:r>
      <w:r w:rsidR="00AD0879">
        <w:t xml:space="preserve"> Pg. 73-74</w:t>
      </w:r>
    </w:p>
  </w:footnote>
  <w:footnote w:id="8">
    <w:p w14:paraId="5B999851" w14:textId="59003515" w:rsidR="00D968E7" w:rsidRDefault="00D968E7">
      <w:pPr>
        <w:pStyle w:val="FootnoteText"/>
      </w:pPr>
      <w:r>
        <w:rPr>
          <w:rStyle w:val="FootnoteReference"/>
        </w:rPr>
        <w:footnoteRef/>
      </w:r>
      <w:r>
        <w:t xml:space="preserve"> </w:t>
      </w:r>
      <w:r w:rsidR="00AD0879" w:rsidRPr="00AD0879">
        <w:t>Murnane, W. (1995). Texts from the Amarna Period in Egypt. Atlanta, Georgia: Scholars Press.</w:t>
      </w:r>
      <w:r w:rsidR="00AD0879">
        <w:t xml:space="preserve"> Pg. 74</w:t>
      </w:r>
    </w:p>
  </w:footnote>
  <w:footnote w:id="9">
    <w:p w14:paraId="012C763A" w14:textId="1C7CD1B8" w:rsidR="00D968E7" w:rsidRDefault="00D968E7">
      <w:pPr>
        <w:pStyle w:val="FootnoteText"/>
      </w:pPr>
      <w:r>
        <w:rPr>
          <w:rStyle w:val="FootnoteReference"/>
        </w:rPr>
        <w:footnoteRef/>
      </w:r>
      <w:r>
        <w:t xml:space="preserve"> </w:t>
      </w:r>
      <w:r w:rsidR="00AD0879" w:rsidRPr="00AD0879">
        <w:t>Murnane, W. (1995). Texts from the Amarna Period in Egypt. Atlanta, Georgia: Scholars Press.</w:t>
      </w:r>
      <w:r w:rsidR="00AD0879">
        <w:t xml:space="preserve"> Pg. 75</w:t>
      </w:r>
    </w:p>
  </w:footnote>
  <w:footnote w:id="10">
    <w:p w14:paraId="78F641B7" w14:textId="15402C2B" w:rsidR="00D968E7" w:rsidRDefault="00D968E7">
      <w:pPr>
        <w:pStyle w:val="FootnoteText"/>
      </w:pPr>
      <w:r>
        <w:rPr>
          <w:rStyle w:val="FootnoteReference"/>
        </w:rPr>
        <w:footnoteRef/>
      </w:r>
      <w:r>
        <w:t xml:space="preserve"> </w:t>
      </w:r>
      <w:r w:rsidR="00AD0879" w:rsidRPr="00AD0879">
        <w:t>Murnane, W. (1995). Texts from the Amarna Period in Egypt. Atlanta, Georgia: Scholars Press.</w:t>
      </w:r>
      <w:r w:rsidR="00AD0879">
        <w:t xml:space="preserve"> Pg. 75</w:t>
      </w:r>
    </w:p>
  </w:footnote>
  <w:footnote w:id="11">
    <w:p w14:paraId="38F80F88" w14:textId="5D503D2F" w:rsidR="00D968E7" w:rsidRDefault="00D968E7">
      <w:pPr>
        <w:pStyle w:val="FootnoteText"/>
      </w:pPr>
      <w:r>
        <w:rPr>
          <w:rStyle w:val="FootnoteReference"/>
        </w:rPr>
        <w:footnoteRef/>
      </w:r>
      <w:r>
        <w:t xml:space="preserve"> </w:t>
      </w:r>
      <w:r w:rsidR="00FB22FD" w:rsidRPr="00FB22FD">
        <w:t>Murnane, W. (1995). Texts from the Amarna Period in Egypt. Atlanta, Georgia: Scholars Press.</w:t>
      </w:r>
      <w:r w:rsidR="00FB22FD">
        <w:t xml:space="preserve"> Pg. 75 – 76 </w:t>
      </w:r>
    </w:p>
  </w:footnote>
  <w:footnote w:id="12">
    <w:p w14:paraId="32942174" w14:textId="3E41ECAF" w:rsidR="00D968E7" w:rsidRDefault="00D968E7">
      <w:pPr>
        <w:pStyle w:val="FootnoteText"/>
      </w:pPr>
      <w:r>
        <w:rPr>
          <w:rStyle w:val="FootnoteReference"/>
        </w:rPr>
        <w:footnoteRef/>
      </w:r>
      <w:r>
        <w:t xml:space="preserve"> </w:t>
      </w:r>
      <w:r w:rsidR="00FB22FD" w:rsidRPr="00FB22FD">
        <w:t>Murnane, W. (1995). Texts from the Amarna Period in Egypt. Atlanta, Georgia: Scholars Press.</w:t>
      </w:r>
      <w:r w:rsidR="00FB22FD">
        <w:t xml:space="preserve"> Pg. 76</w:t>
      </w:r>
    </w:p>
  </w:footnote>
  <w:footnote w:id="13">
    <w:p w14:paraId="2437200C" w14:textId="59486808" w:rsidR="00E04A90" w:rsidRDefault="00E04A90">
      <w:pPr>
        <w:pStyle w:val="FootnoteText"/>
      </w:pPr>
      <w:r>
        <w:rPr>
          <w:rStyle w:val="FootnoteReference"/>
        </w:rPr>
        <w:footnoteRef/>
      </w:r>
      <w:r>
        <w:t xml:space="preserve"> </w:t>
      </w:r>
      <w:r w:rsidR="00FB22FD" w:rsidRPr="00FB22FD">
        <w:t>Murnane, W. (1995). Texts from the Amarna Period in Egypt. Atlanta, Georgia: Scholars Press.</w:t>
      </w:r>
      <w:r w:rsidR="00FB22FD">
        <w:t xml:space="preserve"> Pg. 76 – 77 </w:t>
      </w:r>
    </w:p>
  </w:footnote>
  <w:footnote w:id="14">
    <w:p w14:paraId="04B42BDA" w14:textId="22DE9D57" w:rsidR="00E04A90" w:rsidRDefault="00E04A90">
      <w:pPr>
        <w:pStyle w:val="FootnoteText"/>
      </w:pPr>
      <w:r>
        <w:rPr>
          <w:rStyle w:val="FootnoteReference"/>
        </w:rPr>
        <w:footnoteRef/>
      </w:r>
      <w:r>
        <w:t xml:space="preserve"> </w:t>
      </w:r>
      <w:r w:rsidR="00FB22FD" w:rsidRPr="00FB22FD">
        <w:t>Murnane, W. (1995). Texts from the Amarna Period in Egypt. Atlanta, Georgia: Scholars Press.</w:t>
      </w:r>
      <w:r w:rsidR="00FB22FD">
        <w:t xml:space="preserve"> Pg. </w:t>
      </w:r>
      <w:r w:rsidR="00FB22FD">
        <w:t>81</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A1E46" w14:textId="7B709B24" w:rsidR="00D57148" w:rsidRPr="00D57148" w:rsidRDefault="00D57148">
    <w:pPr>
      <w:pStyle w:val="Header"/>
      <w:rPr>
        <w:sz w:val="28"/>
      </w:rPr>
    </w:pPr>
    <w:r w:rsidRPr="00D57148">
      <w:rPr>
        <w:sz w:val="28"/>
      </w:rPr>
      <w:t xml:space="preserve">Stelae K – An analysis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A76"/>
    <w:rsid w:val="000B475A"/>
    <w:rsid w:val="000C5A61"/>
    <w:rsid w:val="00141BB7"/>
    <w:rsid w:val="00177DE2"/>
    <w:rsid w:val="001B1257"/>
    <w:rsid w:val="00377B2E"/>
    <w:rsid w:val="003944BD"/>
    <w:rsid w:val="003F190B"/>
    <w:rsid w:val="00547AB8"/>
    <w:rsid w:val="005A17DD"/>
    <w:rsid w:val="00616FD4"/>
    <w:rsid w:val="006748EA"/>
    <w:rsid w:val="00681DD7"/>
    <w:rsid w:val="006D33E2"/>
    <w:rsid w:val="00745583"/>
    <w:rsid w:val="008915B3"/>
    <w:rsid w:val="008B7B7A"/>
    <w:rsid w:val="009C3578"/>
    <w:rsid w:val="009F33F8"/>
    <w:rsid w:val="00AD0879"/>
    <w:rsid w:val="00C05CFC"/>
    <w:rsid w:val="00CF4A9E"/>
    <w:rsid w:val="00D35A76"/>
    <w:rsid w:val="00D57148"/>
    <w:rsid w:val="00D60E69"/>
    <w:rsid w:val="00D968E7"/>
    <w:rsid w:val="00E04A90"/>
    <w:rsid w:val="00F31BB3"/>
    <w:rsid w:val="00F419E8"/>
    <w:rsid w:val="00FB22FD"/>
    <w:rsid w:val="00FD7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05CF34"/>
  <w15:chartTrackingRefBased/>
  <w15:docId w15:val="{F54F903A-45AE-4E90-B827-2976A5C64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D33E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33E2"/>
    <w:rPr>
      <w:sz w:val="20"/>
      <w:szCs w:val="20"/>
    </w:rPr>
  </w:style>
  <w:style w:type="character" w:styleId="FootnoteReference">
    <w:name w:val="footnote reference"/>
    <w:basedOn w:val="DefaultParagraphFont"/>
    <w:uiPriority w:val="99"/>
    <w:semiHidden/>
    <w:unhideWhenUsed/>
    <w:rsid w:val="006D33E2"/>
    <w:rPr>
      <w:vertAlign w:val="superscript"/>
    </w:rPr>
  </w:style>
  <w:style w:type="paragraph" w:styleId="Header">
    <w:name w:val="header"/>
    <w:basedOn w:val="Normal"/>
    <w:link w:val="HeaderChar"/>
    <w:uiPriority w:val="99"/>
    <w:unhideWhenUsed/>
    <w:rsid w:val="00D571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7148"/>
  </w:style>
  <w:style w:type="paragraph" w:styleId="Footer">
    <w:name w:val="footer"/>
    <w:basedOn w:val="Normal"/>
    <w:link w:val="FooterChar"/>
    <w:uiPriority w:val="99"/>
    <w:unhideWhenUsed/>
    <w:rsid w:val="00D571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71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1C11C-D329-4B0E-AA26-7FFC89371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3</Pages>
  <Words>1065</Words>
  <Characters>4970</Characters>
  <Application>Microsoft Office Word</Application>
  <DocSecurity>0</DocSecurity>
  <Lines>41</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Allen</dc:creator>
  <cp:keywords/>
  <dc:description/>
  <cp:lastModifiedBy>Isobel Allen</cp:lastModifiedBy>
  <cp:revision>15</cp:revision>
  <dcterms:created xsi:type="dcterms:W3CDTF">2019-05-19T11:25:00Z</dcterms:created>
  <dcterms:modified xsi:type="dcterms:W3CDTF">2019-05-19T19:08:00Z</dcterms:modified>
</cp:coreProperties>
</file>