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6BA55DA8" w:rsidR="00301AD0" w:rsidRDefault="001B6DB4" w:rsidP="000E4796">
      <w:pPr>
        <w:jc w:val="center"/>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Student Journal</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C786EA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651AE1">
              <w:rPr>
                <w:rFonts w:ascii="Tahoma" w:hAnsi="Tahoma" w:cs="Tahoma"/>
                <w:b/>
                <w:sz w:val="20"/>
                <w:szCs w:val="20"/>
              </w:rPr>
              <w:t xml:space="preserve"> </w:t>
            </w:r>
            <w:r w:rsidR="006B46DF">
              <w:rPr>
                <w:rFonts w:ascii="Tahoma" w:hAnsi="Tahoma" w:cs="Tahoma"/>
                <w:b/>
                <w:sz w:val="20"/>
                <w:szCs w:val="20"/>
              </w:rPr>
              <w:t>Mohammed Bab Al Fazal</w:t>
            </w:r>
          </w:p>
          <w:p w14:paraId="498F0B10" w14:textId="77777777" w:rsidR="001B69C8" w:rsidRPr="003C3341" w:rsidRDefault="001B69C8">
            <w:pPr>
              <w:rPr>
                <w:rFonts w:ascii="Tahoma" w:hAnsi="Tahoma" w:cs="Tahoma"/>
                <w:b/>
                <w:sz w:val="20"/>
                <w:szCs w:val="20"/>
              </w:rPr>
            </w:pPr>
          </w:p>
          <w:p w14:paraId="69E1F0CF" w14:textId="6C94BA3B"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6B46DF">
              <w:rPr>
                <w:rFonts w:ascii="Tahoma" w:hAnsi="Tahoma" w:cs="Tahoma"/>
                <w:b/>
                <w:sz w:val="20"/>
                <w:szCs w:val="20"/>
              </w:rPr>
              <w:t>2118712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A4C3146"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6B46DF">
              <w:rPr>
                <w:rFonts w:ascii="Tahoma" w:hAnsi="Tahoma" w:cs="Tahoma"/>
                <w:b/>
                <w:sz w:val="20"/>
                <w:szCs w:val="20"/>
              </w:rPr>
              <w:t>Food and Beverage Operations BMIH4002</w:t>
            </w:r>
          </w:p>
          <w:p w14:paraId="2019D1B6" w14:textId="77777777" w:rsidR="00B21F2E" w:rsidRDefault="00B21F2E" w:rsidP="00B21F2E">
            <w:pPr>
              <w:rPr>
                <w:rFonts w:ascii="Tahoma" w:hAnsi="Tahoma" w:cs="Tahoma"/>
                <w:b/>
                <w:sz w:val="20"/>
                <w:szCs w:val="20"/>
              </w:rPr>
            </w:pPr>
          </w:p>
          <w:p w14:paraId="450FE136" w14:textId="75438087" w:rsidR="001B69C8" w:rsidRPr="003C3341" w:rsidRDefault="001B69C8" w:rsidP="006B46DF">
            <w:pPr>
              <w:tabs>
                <w:tab w:val="left" w:pos="1692"/>
              </w:tabs>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6B46DF">
              <w:rPr>
                <w:rFonts w:ascii="Tahoma" w:hAnsi="Tahoma" w:cs="Tahoma"/>
                <w:b/>
                <w:sz w:val="20"/>
                <w:szCs w:val="20"/>
              </w:rPr>
              <w:t>Ffion Cumberpatch</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0C6C09FE" w:rsidR="00B21F2E" w:rsidRDefault="00994EE4" w:rsidP="00B945EA">
            <w:pPr>
              <w:rPr>
                <w:rFonts w:ascii="Tahoma" w:hAnsi="Tahoma" w:cs="Tahoma"/>
                <w:b/>
                <w:sz w:val="20"/>
                <w:szCs w:val="20"/>
              </w:rPr>
            </w:pPr>
            <w:r w:rsidRPr="00994EE4">
              <w:rPr>
                <w:rFonts w:ascii="Tahoma" w:hAnsi="Tahoma" w:cs="Tahoma"/>
                <w:b/>
                <w:sz w:val="20"/>
                <w:szCs w:val="20"/>
              </w:rPr>
              <w:t xml:space="preserve">Allergies and Intolerances and the importance within </w:t>
            </w:r>
            <w:r>
              <w:rPr>
                <w:rFonts w:ascii="Tahoma" w:hAnsi="Tahoma" w:cs="Tahoma"/>
                <w:b/>
                <w:sz w:val="20"/>
                <w:szCs w:val="20"/>
              </w:rPr>
              <w:t>food industry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C747A0" w14:paraId="60CC0225" w14:textId="77777777" w:rsidTr="00A91FD6">
        <w:trPr>
          <w:trHeight w:val="2494"/>
        </w:trPr>
        <w:tc>
          <w:tcPr>
            <w:tcW w:w="11182" w:type="dxa"/>
            <w:gridSpan w:val="2"/>
          </w:tcPr>
          <w:p w14:paraId="0831D54A" w14:textId="77777777" w:rsidR="00B945EA" w:rsidRPr="00C747A0" w:rsidRDefault="00B945EA" w:rsidP="00C747A0">
            <w:pPr>
              <w:jc w:val="both"/>
            </w:pPr>
          </w:p>
          <w:p w14:paraId="467586AD" w14:textId="1C50160A" w:rsidR="00F51904" w:rsidRPr="00C747A0" w:rsidRDefault="00A660DE" w:rsidP="00C747A0">
            <w:pPr>
              <w:jc w:val="both"/>
              <w:rPr>
                <w:b/>
                <w:bCs/>
              </w:rPr>
            </w:pPr>
            <w:r w:rsidRPr="00C747A0">
              <w:rPr>
                <w:b/>
                <w:bCs/>
              </w:rPr>
              <w:t>Intolerance and allergies arising from food and beverage</w:t>
            </w:r>
          </w:p>
          <w:p w14:paraId="3113B23E" w14:textId="77777777" w:rsidR="0060649E" w:rsidRPr="00C747A0" w:rsidRDefault="0060649E" w:rsidP="00C747A0">
            <w:pPr>
              <w:jc w:val="both"/>
            </w:pPr>
          </w:p>
          <w:p w14:paraId="476A4C02" w14:textId="2A8AA1E2" w:rsidR="00350389" w:rsidRPr="00C747A0" w:rsidRDefault="00EA4F33" w:rsidP="00C747A0">
            <w:pPr>
              <w:jc w:val="both"/>
            </w:pPr>
            <w:r w:rsidRPr="00C747A0">
              <w:t>Fearing mealtime is never pleasurable. You may fear the stomach pain that may follow certain foods if you have trouble digesting them. If you have a food allergy, eating out might be riskier since you could end up in the hospital. Or, like many others, you might not be sure if your symptoms are due to an allergy (which would require you to cut the offending substance out of your diet entirely) or an intolerance. Only 3% of the population is truly allergic to peanuts, milk, eggs, fish, or shellfish, yet 13% of the population reports having an allergy</w:t>
            </w:r>
            <w:sdt>
              <w:sdtPr>
                <w:id w:val="1763185411"/>
                <w:citation/>
              </w:sdtPr>
              <w:sdtContent>
                <w:r w:rsidR="00091672" w:rsidRPr="00C747A0">
                  <w:fldChar w:fldCharType="begin"/>
                </w:r>
                <w:r w:rsidR="00091672" w:rsidRPr="00C747A0">
                  <w:rPr>
                    <w:lang w:val="en-US"/>
                  </w:rPr>
                  <w:instrText xml:space="preserve"> CITATION Sic22 \l 1033 </w:instrText>
                </w:r>
                <w:r w:rsidR="00091672" w:rsidRPr="00C747A0">
                  <w:fldChar w:fldCharType="separate"/>
                </w:r>
                <w:r w:rsidR="00091672" w:rsidRPr="00C747A0">
                  <w:rPr>
                    <w:noProof/>
                    <w:lang w:val="en-US"/>
                  </w:rPr>
                  <w:t xml:space="preserve"> (Sicherer, 2022)</w:t>
                </w:r>
                <w:r w:rsidR="00091672" w:rsidRPr="00C747A0">
                  <w:fldChar w:fldCharType="end"/>
                </w:r>
              </w:sdtContent>
            </w:sdt>
            <w:r w:rsidRPr="00C747A0">
              <w:t>. Studies have shown that hidden food allergies can lead to a number of health problems, but further research is needed. The inability to break down or metabolise particular foods is the most common definition of food intolerance. Lactose intolerance seems to be the most common nutritional response</w:t>
            </w:r>
            <w:sdt>
              <w:sdtPr>
                <w:id w:val="1475252644"/>
                <w:citation/>
              </w:sdtPr>
              <w:sdtContent>
                <w:r w:rsidR="00091672" w:rsidRPr="00C747A0">
                  <w:fldChar w:fldCharType="begin"/>
                </w:r>
                <w:r w:rsidR="00091672" w:rsidRPr="00C747A0">
                  <w:rPr>
                    <w:lang w:val="en-US"/>
                  </w:rPr>
                  <w:instrText xml:space="preserve"> CITATION Lee182 \l 1033 </w:instrText>
                </w:r>
                <w:r w:rsidR="00091672" w:rsidRPr="00C747A0">
                  <w:fldChar w:fldCharType="separate"/>
                </w:r>
                <w:r w:rsidR="00091672" w:rsidRPr="00C747A0">
                  <w:rPr>
                    <w:noProof/>
                    <w:lang w:val="en-US"/>
                  </w:rPr>
                  <w:t xml:space="preserve"> (Lee &amp; Sozen, 2018)</w:t>
                </w:r>
                <w:r w:rsidR="00091672" w:rsidRPr="00C747A0">
                  <w:fldChar w:fldCharType="end"/>
                </w:r>
              </w:sdtContent>
            </w:sdt>
            <w:r w:rsidRPr="00C747A0">
              <w:t>. Dairy digestion ability decreases with ageing. A true allergic reaction, an excessive response by the body's immune system to a normally benign item, in this case a meal, can have life-threatening consequences</w:t>
            </w:r>
            <w:sdt>
              <w:sdtPr>
                <w:id w:val="1005242759"/>
                <w:citation/>
              </w:sdtPr>
              <w:sdtContent>
                <w:r w:rsidR="00091672" w:rsidRPr="00C747A0">
                  <w:fldChar w:fldCharType="begin"/>
                </w:r>
                <w:r w:rsidR="00091672" w:rsidRPr="00C747A0">
                  <w:rPr>
                    <w:lang w:val="en-US"/>
                  </w:rPr>
                  <w:instrText xml:space="preserve"> CITATION Lee182 \l 1033 </w:instrText>
                </w:r>
                <w:r w:rsidR="00091672" w:rsidRPr="00C747A0">
                  <w:fldChar w:fldCharType="separate"/>
                </w:r>
                <w:r w:rsidR="00091672" w:rsidRPr="00C747A0">
                  <w:rPr>
                    <w:noProof/>
                    <w:lang w:val="en-US"/>
                  </w:rPr>
                  <w:t xml:space="preserve"> (Lee &amp; Sozen, 2018)</w:t>
                </w:r>
                <w:r w:rsidR="00091672" w:rsidRPr="00C747A0">
                  <w:fldChar w:fldCharType="end"/>
                </w:r>
              </w:sdtContent>
            </w:sdt>
            <w:r w:rsidRPr="00C747A0">
              <w:t>.</w:t>
            </w:r>
          </w:p>
          <w:p w14:paraId="087BA394" w14:textId="77777777" w:rsidR="00F53D40" w:rsidRPr="00C747A0" w:rsidRDefault="00F53D40" w:rsidP="00C747A0">
            <w:pPr>
              <w:jc w:val="both"/>
            </w:pPr>
          </w:p>
          <w:p w14:paraId="547F0804" w14:textId="7B427DA3" w:rsidR="00F53D40" w:rsidRPr="00C747A0" w:rsidRDefault="00F53D40" w:rsidP="00C747A0">
            <w:pPr>
              <w:jc w:val="both"/>
            </w:pPr>
            <w:r w:rsidRPr="00C747A0">
              <w:t>Food allergies are more likely to cause a bodily reaction than food intolerances, despite the fact that food intolerances are more common. Due to the similarities between the symptoms of a food intolerance and those of a food allergy, several individuals confuse the two disorders</w:t>
            </w:r>
            <w:sdt>
              <w:sdtPr>
                <w:id w:val="774598422"/>
                <w:citation/>
              </w:sdtPr>
              <w:sdtContent>
                <w:r w:rsidR="00091672" w:rsidRPr="00C747A0">
                  <w:fldChar w:fldCharType="begin"/>
                </w:r>
                <w:r w:rsidR="00091672" w:rsidRPr="00C747A0">
                  <w:rPr>
                    <w:lang w:val="en-US"/>
                  </w:rPr>
                  <w:instrText xml:space="preserve"> CITATION Lee182 \l 1033 </w:instrText>
                </w:r>
                <w:r w:rsidR="00091672" w:rsidRPr="00C747A0">
                  <w:fldChar w:fldCharType="separate"/>
                </w:r>
                <w:r w:rsidR="00091672" w:rsidRPr="00C747A0">
                  <w:rPr>
                    <w:noProof/>
                    <w:lang w:val="en-US"/>
                  </w:rPr>
                  <w:t xml:space="preserve"> (Lee &amp; Sozen, 2018)</w:t>
                </w:r>
                <w:r w:rsidR="00091672" w:rsidRPr="00C747A0">
                  <w:fldChar w:fldCharType="end"/>
                </w:r>
              </w:sdtContent>
            </w:sdt>
            <w:r w:rsidRPr="00C747A0">
              <w:t>. Real food allergies are associated with the immune system. Even a small amount of the offending food can induce a broad array of severe and possibly deadly symptoms. In contrast, food intolerance symptoms are often minor and localised to the digestive tract</w:t>
            </w:r>
            <w:sdt>
              <w:sdtPr>
                <w:id w:val="1095979549"/>
                <w:citation/>
              </w:sdtPr>
              <w:sdtContent>
                <w:r w:rsidR="00091672" w:rsidRPr="00C747A0">
                  <w:fldChar w:fldCharType="begin"/>
                </w:r>
                <w:r w:rsidR="00091672" w:rsidRPr="00C747A0">
                  <w:rPr>
                    <w:lang w:val="en-US"/>
                  </w:rPr>
                  <w:instrText xml:space="preserve"> CITATION Rot18 \l 1033 </w:instrText>
                </w:r>
                <w:r w:rsidR="00091672" w:rsidRPr="00C747A0">
                  <w:fldChar w:fldCharType="separate"/>
                </w:r>
                <w:r w:rsidR="00091672" w:rsidRPr="00C747A0">
                  <w:rPr>
                    <w:noProof/>
                    <w:lang w:val="en-US"/>
                  </w:rPr>
                  <w:t xml:space="preserve"> (Rotter &amp; Pistiner, 2018)</w:t>
                </w:r>
                <w:r w:rsidR="00091672" w:rsidRPr="00C747A0">
                  <w:fldChar w:fldCharType="end"/>
                </w:r>
              </w:sdtContent>
            </w:sdt>
            <w:r w:rsidRPr="00C747A0">
              <w:t>. Many individuals have symptoms after consuming specific foods, but these reactions are unrelated to food intolerances, food allergies, or celiac disease</w:t>
            </w:r>
            <w:sdt>
              <w:sdtPr>
                <w:id w:val="-1363675307"/>
                <w:citation/>
              </w:sdtPr>
              <w:sdtContent>
                <w:r w:rsidR="00C907CB" w:rsidRPr="00C747A0">
                  <w:fldChar w:fldCharType="begin"/>
                </w:r>
                <w:r w:rsidR="00C907CB" w:rsidRPr="00C747A0">
                  <w:rPr>
                    <w:lang w:val="en-US"/>
                  </w:rPr>
                  <w:instrText xml:space="preserve"> CITATION Sul20 \l 1033 </w:instrText>
                </w:r>
                <w:r w:rsidR="00C907CB" w:rsidRPr="00C747A0">
                  <w:fldChar w:fldCharType="separate"/>
                </w:r>
                <w:r w:rsidR="00C907CB" w:rsidRPr="00C747A0">
                  <w:rPr>
                    <w:noProof/>
                    <w:lang w:val="en-US"/>
                  </w:rPr>
                  <w:t xml:space="preserve"> (Sulistyandari et al., 2020)</w:t>
                </w:r>
                <w:r w:rsidR="00C907CB" w:rsidRPr="00C747A0">
                  <w:fldChar w:fldCharType="end"/>
                </w:r>
              </w:sdtContent>
            </w:sdt>
            <w:r w:rsidRPr="00C747A0">
              <w:t xml:space="preserve">. Some individuals have sensitivities to specific meals while others do not. It appears that exposure to some foods may elicit an immune reaction that manifests as a wide range of symptoms in persons with food sensitivities, although the specific processes by which this occurs are still unclear. The symptoms include joint pain, </w:t>
            </w:r>
            <w:proofErr w:type="spellStart"/>
            <w:r w:rsidRPr="00C747A0">
              <w:t>stomachache</w:t>
            </w:r>
            <w:proofErr w:type="spellEnd"/>
            <w:r w:rsidRPr="00C747A0">
              <w:t>, fatigue, rashes, and cognitive fog, although they are not life-threatening</w:t>
            </w:r>
            <w:sdt>
              <w:sdtPr>
                <w:id w:val="1486903358"/>
                <w:citation/>
              </w:sdtPr>
              <w:sdtContent>
                <w:r w:rsidR="00091672" w:rsidRPr="00C747A0">
                  <w:fldChar w:fldCharType="begin"/>
                </w:r>
                <w:r w:rsidR="00091672" w:rsidRPr="00C747A0">
                  <w:rPr>
                    <w:lang w:val="en-US"/>
                  </w:rPr>
                  <w:instrText xml:space="preserve"> CITATION Sul20 \l 1033 </w:instrText>
                </w:r>
                <w:r w:rsidR="00091672" w:rsidRPr="00C747A0">
                  <w:fldChar w:fldCharType="separate"/>
                </w:r>
                <w:r w:rsidR="00091672" w:rsidRPr="00C747A0">
                  <w:rPr>
                    <w:noProof/>
                    <w:lang w:val="en-US"/>
                  </w:rPr>
                  <w:t xml:space="preserve"> (Sulistyandari et al., 2020)</w:t>
                </w:r>
                <w:r w:rsidR="00091672" w:rsidRPr="00C747A0">
                  <w:fldChar w:fldCharType="end"/>
                </w:r>
              </w:sdtContent>
            </w:sdt>
            <w:r w:rsidRPr="00C747A0">
              <w:t>. When it comes to common food allergies, gluten is without a doubt the most infamous offender. Despite their ubiquity, certain food reactions may be difficult to interpret. Finding the source of an issue requires time and effort, but it is well worth it. When you know which foods trigger your symptoms and what causes them, a doctor or nutritionist may assist you in developing a diet that is both comprehensive and safe</w:t>
            </w:r>
            <w:sdt>
              <w:sdtPr>
                <w:id w:val="-294290850"/>
                <w:citation/>
              </w:sdtPr>
              <w:sdtContent>
                <w:r w:rsidR="00C907CB" w:rsidRPr="00C747A0">
                  <w:fldChar w:fldCharType="begin"/>
                </w:r>
                <w:r w:rsidR="00C907CB" w:rsidRPr="00C747A0">
                  <w:rPr>
                    <w:lang w:val="en-US"/>
                  </w:rPr>
                  <w:instrText xml:space="preserve"> CITATION Isr20 \l 1033 </w:instrText>
                </w:r>
                <w:r w:rsidR="00C907CB" w:rsidRPr="00C747A0">
                  <w:fldChar w:fldCharType="separate"/>
                </w:r>
                <w:r w:rsidR="00C907CB" w:rsidRPr="00C747A0">
                  <w:rPr>
                    <w:noProof/>
                    <w:lang w:val="en-US"/>
                  </w:rPr>
                  <w:t xml:space="preserve"> (Israelsen rt al., 2020)</w:t>
                </w:r>
                <w:r w:rsidR="00C907CB" w:rsidRPr="00C747A0">
                  <w:fldChar w:fldCharType="end"/>
                </w:r>
              </w:sdtContent>
            </w:sdt>
            <w:r w:rsidRPr="00C747A0">
              <w:t>.</w:t>
            </w:r>
          </w:p>
          <w:p w14:paraId="77A84230" w14:textId="0D00293F" w:rsidR="0026107F" w:rsidRPr="00C747A0" w:rsidRDefault="0026107F" w:rsidP="00C747A0">
            <w:pPr>
              <w:jc w:val="both"/>
            </w:pPr>
          </w:p>
          <w:p w14:paraId="5A3B0876" w14:textId="20E163E4" w:rsidR="0026107F" w:rsidRPr="00C747A0" w:rsidRDefault="0026107F" w:rsidP="00C747A0">
            <w:pPr>
              <w:jc w:val="both"/>
              <w:rPr>
                <w:b/>
                <w:bCs/>
              </w:rPr>
            </w:pPr>
            <w:r w:rsidRPr="00C747A0">
              <w:rPr>
                <w:b/>
                <w:bCs/>
              </w:rPr>
              <w:t>Things that I have learned</w:t>
            </w:r>
            <w:r w:rsidR="002A0465" w:rsidRPr="00C747A0">
              <w:rPr>
                <w:b/>
                <w:bCs/>
              </w:rPr>
              <w:t xml:space="preserve"> and my plan of implementation</w:t>
            </w:r>
          </w:p>
          <w:p w14:paraId="0D084B6D" w14:textId="50AEC96D" w:rsidR="0026107F" w:rsidRPr="00C747A0" w:rsidRDefault="00A66FC0" w:rsidP="00C747A0">
            <w:pPr>
              <w:jc w:val="both"/>
            </w:pPr>
            <w:r w:rsidRPr="00C747A0">
              <w:t>Packaged and highly processed foods are more likely to include GMOs including maize, soy, canola, and vegetable oils, which have been linked to an increase in allergic reactions and intolerances in certain people. Because they may include allergens in ways that aren't immediately obvious, it's important to help people with allergies learn to recognise and avoid products that contain ingredients they're sensitive to. Sugar can increase food intolerances, impair the immune system, and encourage the growth of dangerous microbes</w:t>
            </w:r>
            <w:sdt>
              <w:sdtPr>
                <w:id w:val="932093759"/>
                <w:citation/>
              </w:sdtPr>
              <w:sdtContent>
                <w:r w:rsidR="00630C3D" w:rsidRPr="00C747A0">
                  <w:fldChar w:fldCharType="begin"/>
                </w:r>
                <w:r w:rsidR="00630C3D" w:rsidRPr="00C747A0">
                  <w:rPr>
                    <w:lang w:val="en-US"/>
                  </w:rPr>
                  <w:instrText xml:space="preserve"> CITATION Sul20 \l 1033 </w:instrText>
                </w:r>
                <w:r w:rsidR="00630C3D" w:rsidRPr="00C747A0">
                  <w:fldChar w:fldCharType="separate"/>
                </w:r>
                <w:r w:rsidR="00630C3D" w:rsidRPr="00C747A0">
                  <w:rPr>
                    <w:noProof/>
                    <w:lang w:val="en-US"/>
                  </w:rPr>
                  <w:t xml:space="preserve"> (Sulistyandari et al., 2020)</w:t>
                </w:r>
                <w:r w:rsidR="00630C3D" w:rsidRPr="00C747A0">
                  <w:fldChar w:fldCharType="end"/>
                </w:r>
              </w:sdtContent>
            </w:sdt>
            <w:r w:rsidRPr="00C747A0">
              <w:t>. Inflammation, brought on by sugar consumption, can exacerbate food allergy symptoms and reduce the body's normal tolerance of food</w:t>
            </w:r>
            <w:sdt>
              <w:sdtPr>
                <w:id w:val="1675460254"/>
                <w:citation/>
              </w:sdtPr>
              <w:sdtContent>
                <w:r w:rsidR="00924648" w:rsidRPr="00C747A0">
                  <w:fldChar w:fldCharType="begin"/>
                </w:r>
                <w:r w:rsidR="00924648" w:rsidRPr="00C747A0">
                  <w:rPr>
                    <w:lang w:val="en-US"/>
                  </w:rPr>
                  <w:instrText xml:space="preserve"> CITATION Rot18 \l 1033 </w:instrText>
                </w:r>
                <w:r w:rsidR="00924648" w:rsidRPr="00C747A0">
                  <w:fldChar w:fldCharType="separate"/>
                </w:r>
                <w:r w:rsidR="00924648" w:rsidRPr="00C747A0">
                  <w:rPr>
                    <w:noProof/>
                    <w:lang w:val="en-US"/>
                  </w:rPr>
                  <w:t xml:space="preserve"> (Rotter &amp; Pistiner, 2018)</w:t>
                </w:r>
                <w:r w:rsidR="00924648" w:rsidRPr="00C747A0">
                  <w:fldChar w:fldCharType="end"/>
                </w:r>
              </w:sdtContent>
            </w:sdt>
            <w:r w:rsidRPr="00C747A0">
              <w:t>. Food allergies can be made worse by using artificial flavours</w:t>
            </w:r>
            <w:sdt>
              <w:sdtPr>
                <w:id w:val="-237946170"/>
                <w:citation/>
              </w:sdtPr>
              <w:sdtContent>
                <w:r w:rsidR="00630C3D" w:rsidRPr="00C747A0">
                  <w:fldChar w:fldCharType="begin"/>
                </w:r>
                <w:r w:rsidR="00630C3D" w:rsidRPr="00C747A0">
                  <w:rPr>
                    <w:lang w:val="en-US"/>
                  </w:rPr>
                  <w:instrText xml:space="preserve"> CITATION Sic22 \l 1033 </w:instrText>
                </w:r>
                <w:r w:rsidR="00630C3D" w:rsidRPr="00C747A0">
                  <w:fldChar w:fldCharType="separate"/>
                </w:r>
                <w:r w:rsidR="00630C3D" w:rsidRPr="00C747A0">
                  <w:rPr>
                    <w:noProof/>
                    <w:lang w:val="en-US"/>
                  </w:rPr>
                  <w:t xml:space="preserve"> </w:t>
                </w:r>
                <w:r w:rsidR="00630C3D" w:rsidRPr="00C747A0">
                  <w:rPr>
                    <w:noProof/>
                    <w:lang w:val="en-US"/>
                  </w:rPr>
                  <w:lastRenderedPageBreak/>
                  <w:t>(Sicherer, 2022)</w:t>
                </w:r>
                <w:r w:rsidR="00630C3D" w:rsidRPr="00C747A0">
                  <w:fldChar w:fldCharType="end"/>
                </w:r>
              </w:sdtContent>
            </w:sdt>
            <w:r w:rsidRPr="00C747A0">
              <w:t xml:space="preserve">. The scientific community is unanimous in its belief that food </w:t>
            </w:r>
            <w:proofErr w:type="spellStart"/>
            <w:r w:rsidRPr="00C747A0">
              <w:t>colorings</w:t>
            </w:r>
            <w:proofErr w:type="spellEnd"/>
            <w:r w:rsidRPr="00C747A0">
              <w:t xml:space="preserve"> pose health risks to children and maybe even adults. Cochineal extract has been linked to an increased risk of allergic reactions and asthma attacks. To yet, we have not found a way to prevent or treat food intolerances like anaphylaxis or celiac disease. We have discovered that children who eat a wider variety of nutritious foods at a younger age have fewer anaphylactic allergy symptoms. It's a good idea to introduce peanuts to your toddler or infant around the time they begin weaning. As a result, they will be less likely to respond in the future</w:t>
            </w:r>
            <w:sdt>
              <w:sdtPr>
                <w:id w:val="-1877308801"/>
                <w:citation/>
              </w:sdtPr>
              <w:sdtContent>
                <w:r w:rsidR="00630C3D" w:rsidRPr="00C747A0">
                  <w:fldChar w:fldCharType="begin"/>
                </w:r>
                <w:r w:rsidR="00630C3D" w:rsidRPr="00C747A0">
                  <w:rPr>
                    <w:lang w:val="en-US"/>
                  </w:rPr>
                  <w:instrText xml:space="preserve"> CITATION Lee182 \l 1033 </w:instrText>
                </w:r>
                <w:r w:rsidR="00630C3D" w:rsidRPr="00C747A0">
                  <w:fldChar w:fldCharType="separate"/>
                </w:r>
                <w:r w:rsidR="00630C3D" w:rsidRPr="00C747A0">
                  <w:rPr>
                    <w:noProof/>
                    <w:lang w:val="en-US"/>
                  </w:rPr>
                  <w:t xml:space="preserve"> (Lee &amp; Sozen, 2018)</w:t>
                </w:r>
                <w:r w:rsidR="00630C3D" w:rsidRPr="00C747A0">
                  <w:fldChar w:fldCharType="end"/>
                </w:r>
              </w:sdtContent>
            </w:sdt>
            <w:r w:rsidRPr="00C747A0">
              <w:t>. The prevalence of peanut allergies is lowest in societies where children eat the most peanuts as infants and toddlers. When parents restrict their children's diets for long periods of time, on the other hand, the number of reactions increases considerably</w:t>
            </w:r>
            <w:sdt>
              <w:sdtPr>
                <w:id w:val="-727152126"/>
                <w:citation/>
              </w:sdtPr>
              <w:sdtContent>
                <w:r w:rsidR="00091672" w:rsidRPr="00C747A0">
                  <w:fldChar w:fldCharType="begin"/>
                </w:r>
                <w:r w:rsidR="00091672" w:rsidRPr="00C747A0">
                  <w:rPr>
                    <w:lang w:val="en-US"/>
                  </w:rPr>
                  <w:instrText xml:space="preserve"> CITATION Lee182 \l 1033 </w:instrText>
                </w:r>
                <w:r w:rsidR="00091672" w:rsidRPr="00C747A0">
                  <w:fldChar w:fldCharType="separate"/>
                </w:r>
                <w:r w:rsidR="00091672" w:rsidRPr="00C747A0">
                  <w:rPr>
                    <w:noProof/>
                    <w:lang w:val="en-US"/>
                  </w:rPr>
                  <w:t xml:space="preserve"> (Lee &amp; Sozen, 2018)</w:t>
                </w:r>
                <w:r w:rsidR="00091672" w:rsidRPr="00C747A0">
                  <w:fldChar w:fldCharType="end"/>
                </w:r>
              </w:sdtContent>
            </w:sdt>
            <w:r w:rsidRPr="00C747A0">
              <w:t>.</w:t>
            </w:r>
          </w:p>
          <w:p w14:paraId="1C397294" w14:textId="3D67A4C2" w:rsidR="00E450BA" w:rsidRPr="00C747A0" w:rsidRDefault="00091672" w:rsidP="00C747A0">
            <w:pPr>
              <w:jc w:val="both"/>
            </w:pPr>
            <w:r w:rsidRPr="00C747A0">
              <w:t>I have to c</w:t>
            </w:r>
            <w:r w:rsidR="00E450BA" w:rsidRPr="00C747A0">
              <w:t xml:space="preserve">onsult </w:t>
            </w:r>
            <w:r w:rsidRPr="00C747A0">
              <w:t xml:space="preserve">my </w:t>
            </w:r>
            <w:r w:rsidR="00E450BA" w:rsidRPr="00C747A0">
              <w:t xml:space="preserve">physician if </w:t>
            </w:r>
            <w:r w:rsidR="00644109" w:rsidRPr="00C747A0">
              <w:t xml:space="preserve">I </w:t>
            </w:r>
            <w:r w:rsidR="00E450BA" w:rsidRPr="00C747A0">
              <w:t>or a family member have ever suffered an allergic reaction after ingesting an FDA-regulated food or food product with unclear labelling or a potential allergen. All food packaging must be maintained, as it may contain crucial information. Perhaps I should also contact the manufacturer.</w:t>
            </w:r>
          </w:p>
          <w:p w14:paraId="3B344F1E" w14:textId="4F66D5C5" w:rsidR="00375882" w:rsidRPr="00C747A0" w:rsidRDefault="00375882" w:rsidP="00C747A0">
            <w:pPr>
              <w:jc w:val="both"/>
            </w:pPr>
          </w:p>
        </w:tc>
      </w:tr>
    </w:tbl>
    <w:p w14:paraId="7D9A52CF" w14:textId="77777777" w:rsidR="00B00678" w:rsidRPr="00C747A0" w:rsidRDefault="00B00678" w:rsidP="00C747A0">
      <w:pPr>
        <w:jc w:val="both"/>
        <w:rPr>
          <w:b/>
        </w:rPr>
      </w:pPr>
    </w:p>
    <w:tbl>
      <w:tblPr>
        <w:tblStyle w:val="TableGrid"/>
        <w:tblW w:w="0" w:type="auto"/>
        <w:tblLook w:val="01E0" w:firstRow="1" w:lastRow="1" w:firstColumn="1" w:lastColumn="1" w:noHBand="0" w:noVBand="0"/>
      </w:tblPr>
      <w:tblGrid>
        <w:gridCol w:w="10910"/>
        <w:gridCol w:w="272"/>
      </w:tblGrid>
      <w:tr w:rsidR="00375882" w:rsidRPr="00C747A0" w14:paraId="693FCD7B" w14:textId="77777777" w:rsidTr="00375882">
        <w:tc>
          <w:tcPr>
            <w:tcW w:w="10910" w:type="dxa"/>
            <w:shd w:val="clear" w:color="auto" w:fill="FBD4B4" w:themeFill="accent6" w:themeFillTint="66"/>
          </w:tcPr>
          <w:p w14:paraId="0731D9DE" w14:textId="423CB3E9" w:rsidR="00375882" w:rsidRPr="00C747A0" w:rsidRDefault="00375882" w:rsidP="00C747A0">
            <w:pPr>
              <w:jc w:val="both"/>
              <w:rPr>
                <w:b/>
              </w:rPr>
            </w:pPr>
            <w:r w:rsidRPr="00C747A0">
              <w:rPr>
                <w:b/>
              </w:rPr>
              <w:t xml:space="preserve">REFERENCE LIST </w:t>
            </w:r>
            <w:r w:rsidR="00A138AA" w:rsidRPr="00C747A0">
              <w:rPr>
                <w:b/>
              </w:rPr>
              <w:t>(not included in word count)</w:t>
            </w:r>
          </w:p>
        </w:tc>
        <w:tc>
          <w:tcPr>
            <w:tcW w:w="272" w:type="dxa"/>
            <w:shd w:val="clear" w:color="auto" w:fill="FBD4B4" w:themeFill="accent6" w:themeFillTint="66"/>
          </w:tcPr>
          <w:p w14:paraId="2A993785" w14:textId="77777777" w:rsidR="00375882" w:rsidRPr="00C747A0" w:rsidRDefault="00375882" w:rsidP="00C747A0">
            <w:pPr>
              <w:jc w:val="both"/>
              <w:rPr>
                <w:b/>
              </w:rPr>
            </w:pPr>
          </w:p>
          <w:p w14:paraId="52F3ACFA" w14:textId="77777777" w:rsidR="00375882" w:rsidRPr="00C747A0" w:rsidRDefault="00375882" w:rsidP="00C747A0">
            <w:pPr>
              <w:jc w:val="both"/>
              <w:rPr>
                <w:b/>
              </w:rPr>
            </w:pPr>
          </w:p>
        </w:tc>
      </w:tr>
      <w:tr w:rsidR="00375882" w:rsidRPr="00C747A0" w14:paraId="130E5631" w14:textId="77777777" w:rsidTr="007F6692">
        <w:trPr>
          <w:trHeight w:val="2494"/>
        </w:trPr>
        <w:tc>
          <w:tcPr>
            <w:tcW w:w="11182" w:type="dxa"/>
            <w:gridSpan w:val="2"/>
          </w:tcPr>
          <w:p w14:paraId="5143D492" w14:textId="71DE8A28" w:rsidR="00A622B5" w:rsidRPr="00C747A0" w:rsidRDefault="00907B0A" w:rsidP="00C747A0">
            <w:pPr>
              <w:spacing w:line="360" w:lineRule="auto"/>
              <w:jc w:val="both"/>
            </w:pPr>
            <w:r w:rsidRPr="00C747A0">
              <w:t xml:space="preserve">Rotter, N.S. and </w:t>
            </w:r>
            <w:proofErr w:type="spellStart"/>
            <w:r w:rsidRPr="00C747A0">
              <w:t>Pistiner</w:t>
            </w:r>
            <w:proofErr w:type="spellEnd"/>
            <w:r w:rsidRPr="00C747A0">
              <w:t>, M., 2018. Food allergies and the teenager. In Allergies and adolescents (pp. 153-168). Springer, Cham.</w:t>
            </w:r>
          </w:p>
          <w:p w14:paraId="2ED05E8B" w14:textId="7AF62AA0" w:rsidR="00903498" w:rsidRPr="00C747A0" w:rsidRDefault="007A09CF" w:rsidP="00C747A0">
            <w:pPr>
              <w:spacing w:line="360" w:lineRule="auto"/>
              <w:jc w:val="both"/>
            </w:pPr>
            <w:r w:rsidRPr="00C747A0">
              <w:t>Sicherer, S.H., 2022. The Complete Guide to Food Allergies in Adults and Children. JHU Press.</w:t>
            </w:r>
          </w:p>
          <w:p w14:paraId="50CE2819" w14:textId="6EC88A6E" w:rsidR="007A09CF" w:rsidRPr="00C747A0" w:rsidRDefault="006A69ED" w:rsidP="00C747A0">
            <w:pPr>
              <w:spacing w:line="360" w:lineRule="auto"/>
              <w:jc w:val="both"/>
            </w:pPr>
            <w:r w:rsidRPr="00C747A0">
              <w:t xml:space="preserve">Lee, Y.M. and </w:t>
            </w:r>
            <w:proofErr w:type="spellStart"/>
            <w:r w:rsidRPr="00C747A0">
              <w:t>Sozen</w:t>
            </w:r>
            <w:proofErr w:type="spellEnd"/>
            <w:r w:rsidRPr="00C747A0">
              <w:t>, E., 2018. Who knows more about food allergies–restaurant managerial staff or employees?. British food journal, 120(4), pp.876-890.</w:t>
            </w:r>
          </w:p>
          <w:p w14:paraId="1E738178" w14:textId="6E0C31F3" w:rsidR="006A69ED" w:rsidRPr="00C747A0" w:rsidRDefault="006701DB" w:rsidP="00C747A0">
            <w:pPr>
              <w:spacing w:line="360" w:lineRule="auto"/>
              <w:jc w:val="both"/>
            </w:pPr>
            <w:r w:rsidRPr="00C747A0">
              <w:t>Israelsen, A., Bevan, S. and Savoie-Roskos, M.R., 2020. Preventing Allergies in Infants: What Foods to Introduce and When.</w:t>
            </w:r>
          </w:p>
          <w:p w14:paraId="3701A32D" w14:textId="64A8AF45" w:rsidR="00375882" w:rsidRPr="00C747A0" w:rsidRDefault="00761D54" w:rsidP="00C747A0">
            <w:pPr>
              <w:spacing w:line="360" w:lineRule="auto"/>
              <w:jc w:val="both"/>
            </w:pPr>
            <w:proofErr w:type="spellStart"/>
            <w:r w:rsidRPr="00C747A0">
              <w:t>Sulistyandari</w:t>
            </w:r>
            <w:proofErr w:type="spellEnd"/>
            <w:r w:rsidRPr="00C747A0">
              <w:t xml:space="preserve">, U., </w:t>
            </w:r>
            <w:proofErr w:type="spellStart"/>
            <w:r w:rsidRPr="00C747A0">
              <w:t>Pamungkas</w:t>
            </w:r>
            <w:proofErr w:type="spellEnd"/>
            <w:r w:rsidRPr="00C747A0">
              <w:t xml:space="preserve">, A. and Santoso, E.B., Air Pollution Impact Assessment of Gresik Industrial Area (KIG) Based on </w:t>
            </w:r>
            <w:proofErr w:type="spellStart"/>
            <w:r w:rsidRPr="00C747A0">
              <w:t>Neighborhood</w:t>
            </w:r>
            <w:proofErr w:type="spellEnd"/>
            <w:r w:rsidRPr="00C747A0">
              <w:t xml:space="preserve"> Community in Gresik District.</w:t>
            </w:r>
          </w:p>
          <w:p w14:paraId="47FB6995" w14:textId="30030548" w:rsidR="00375882" w:rsidRPr="00C747A0" w:rsidRDefault="00375882" w:rsidP="00C747A0">
            <w:pPr>
              <w:jc w:val="both"/>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CFF27" w14:textId="77777777" w:rsidR="00021336" w:rsidRDefault="00021336">
      <w:r>
        <w:separator/>
      </w:r>
    </w:p>
  </w:endnote>
  <w:endnote w:type="continuationSeparator" w:id="0">
    <w:p w14:paraId="7889A44D" w14:textId="77777777" w:rsidR="00021336" w:rsidRDefault="000213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4459FFED" w:rsidR="00B44B68" w:rsidRDefault="00B44B68">
        <w:pPr>
          <w:pStyle w:val="Footer"/>
          <w:jc w:val="right"/>
        </w:pPr>
        <w:r>
          <w:fldChar w:fldCharType="begin"/>
        </w:r>
        <w:r>
          <w:instrText xml:space="preserve"> PAGE   \* MERGEFORMAT </w:instrText>
        </w:r>
        <w:r>
          <w:fldChar w:fldCharType="separate"/>
        </w:r>
        <w:r w:rsidR="000E4796">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35796" w14:textId="77777777" w:rsidR="00021336" w:rsidRDefault="00021336">
      <w:r>
        <w:separator/>
      </w:r>
    </w:p>
  </w:footnote>
  <w:footnote w:type="continuationSeparator" w:id="0">
    <w:p w14:paraId="01939549" w14:textId="77777777" w:rsidR="00021336" w:rsidRDefault="000213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80548308">
    <w:abstractNumId w:val="12"/>
  </w:num>
  <w:num w:numId="2" w16cid:durableId="1800143930">
    <w:abstractNumId w:val="4"/>
  </w:num>
  <w:num w:numId="3" w16cid:durableId="43527324">
    <w:abstractNumId w:val="27"/>
  </w:num>
  <w:num w:numId="4" w16cid:durableId="324552243">
    <w:abstractNumId w:val="5"/>
  </w:num>
  <w:num w:numId="5" w16cid:durableId="992491954">
    <w:abstractNumId w:val="23"/>
  </w:num>
  <w:num w:numId="6" w16cid:durableId="1149857621">
    <w:abstractNumId w:val="6"/>
  </w:num>
  <w:num w:numId="7" w16cid:durableId="1886867407">
    <w:abstractNumId w:val="0"/>
  </w:num>
  <w:num w:numId="8" w16cid:durableId="466700845">
    <w:abstractNumId w:val="26"/>
  </w:num>
  <w:num w:numId="9" w16cid:durableId="1981838046">
    <w:abstractNumId w:val="15"/>
  </w:num>
  <w:num w:numId="10" w16cid:durableId="1097140264">
    <w:abstractNumId w:val="18"/>
  </w:num>
  <w:num w:numId="11" w16cid:durableId="1294210719">
    <w:abstractNumId w:val="3"/>
  </w:num>
  <w:num w:numId="12" w16cid:durableId="376468760">
    <w:abstractNumId w:val="13"/>
  </w:num>
  <w:num w:numId="13" w16cid:durableId="2132240413">
    <w:abstractNumId w:val="2"/>
  </w:num>
  <w:num w:numId="14" w16cid:durableId="125851646">
    <w:abstractNumId w:val="9"/>
  </w:num>
  <w:num w:numId="15" w16cid:durableId="340283184">
    <w:abstractNumId w:val="17"/>
  </w:num>
  <w:num w:numId="16" w16cid:durableId="1111244348">
    <w:abstractNumId w:val="19"/>
  </w:num>
  <w:num w:numId="17" w16cid:durableId="1782603377">
    <w:abstractNumId w:val="1"/>
  </w:num>
  <w:num w:numId="18" w16cid:durableId="2018116282">
    <w:abstractNumId w:val="25"/>
  </w:num>
  <w:num w:numId="19" w16cid:durableId="368993513">
    <w:abstractNumId w:val="8"/>
  </w:num>
  <w:num w:numId="20" w16cid:durableId="748114024">
    <w:abstractNumId w:val="20"/>
  </w:num>
  <w:num w:numId="21" w16cid:durableId="931352650">
    <w:abstractNumId w:val="11"/>
  </w:num>
  <w:num w:numId="22" w16cid:durableId="1704667871">
    <w:abstractNumId w:val="16"/>
  </w:num>
  <w:num w:numId="23" w16cid:durableId="1867870408">
    <w:abstractNumId w:val="24"/>
  </w:num>
  <w:num w:numId="24" w16cid:durableId="1594045171">
    <w:abstractNumId w:val="10"/>
  </w:num>
  <w:num w:numId="25" w16cid:durableId="899484964">
    <w:abstractNumId w:val="22"/>
  </w:num>
  <w:num w:numId="26" w16cid:durableId="822896495">
    <w:abstractNumId w:val="7"/>
  </w:num>
  <w:num w:numId="27" w16cid:durableId="1918662667">
    <w:abstractNumId w:val="21"/>
  </w:num>
  <w:num w:numId="28" w16cid:durableId="13765873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4E9A"/>
    <w:rsid w:val="00021336"/>
    <w:rsid w:val="000304DF"/>
    <w:rsid w:val="00040CE8"/>
    <w:rsid w:val="0004729E"/>
    <w:rsid w:val="00076F40"/>
    <w:rsid w:val="00077E55"/>
    <w:rsid w:val="00085CFD"/>
    <w:rsid w:val="00091672"/>
    <w:rsid w:val="00097FF6"/>
    <w:rsid w:val="000A0C53"/>
    <w:rsid w:val="000B2F4F"/>
    <w:rsid w:val="000C1716"/>
    <w:rsid w:val="000E4796"/>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107F"/>
    <w:rsid w:val="002659F5"/>
    <w:rsid w:val="00283BE2"/>
    <w:rsid w:val="00294842"/>
    <w:rsid w:val="002A0465"/>
    <w:rsid w:val="002D1EE3"/>
    <w:rsid w:val="002E127C"/>
    <w:rsid w:val="002F7DD0"/>
    <w:rsid w:val="00301AD0"/>
    <w:rsid w:val="003036C9"/>
    <w:rsid w:val="00316877"/>
    <w:rsid w:val="0032684A"/>
    <w:rsid w:val="00332099"/>
    <w:rsid w:val="00340C62"/>
    <w:rsid w:val="003478CE"/>
    <w:rsid w:val="00350389"/>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1441"/>
    <w:rsid w:val="004B113B"/>
    <w:rsid w:val="004C08E2"/>
    <w:rsid w:val="004C7E23"/>
    <w:rsid w:val="005036DE"/>
    <w:rsid w:val="00517154"/>
    <w:rsid w:val="00522B05"/>
    <w:rsid w:val="00542C5B"/>
    <w:rsid w:val="00552EED"/>
    <w:rsid w:val="00566333"/>
    <w:rsid w:val="00570130"/>
    <w:rsid w:val="005B1E4A"/>
    <w:rsid w:val="005C4807"/>
    <w:rsid w:val="005C6352"/>
    <w:rsid w:val="005D0DDE"/>
    <w:rsid w:val="005D5D0B"/>
    <w:rsid w:val="0060649E"/>
    <w:rsid w:val="0062012D"/>
    <w:rsid w:val="00630C3D"/>
    <w:rsid w:val="00643CB9"/>
    <w:rsid w:val="00644109"/>
    <w:rsid w:val="00651AE1"/>
    <w:rsid w:val="0066732A"/>
    <w:rsid w:val="006701DB"/>
    <w:rsid w:val="00677D1F"/>
    <w:rsid w:val="00697481"/>
    <w:rsid w:val="006A4F97"/>
    <w:rsid w:val="006A69ED"/>
    <w:rsid w:val="006B46DF"/>
    <w:rsid w:val="006C4640"/>
    <w:rsid w:val="006F4FB6"/>
    <w:rsid w:val="006F501B"/>
    <w:rsid w:val="00702077"/>
    <w:rsid w:val="00717C10"/>
    <w:rsid w:val="00725F0E"/>
    <w:rsid w:val="00734189"/>
    <w:rsid w:val="00735BB1"/>
    <w:rsid w:val="00744482"/>
    <w:rsid w:val="007451E8"/>
    <w:rsid w:val="00761D54"/>
    <w:rsid w:val="0078654A"/>
    <w:rsid w:val="0079230B"/>
    <w:rsid w:val="00797115"/>
    <w:rsid w:val="007A09CF"/>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3498"/>
    <w:rsid w:val="009061F1"/>
    <w:rsid w:val="00907B0A"/>
    <w:rsid w:val="00911C43"/>
    <w:rsid w:val="009139BF"/>
    <w:rsid w:val="00923E76"/>
    <w:rsid w:val="00924648"/>
    <w:rsid w:val="009448FE"/>
    <w:rsid w:val="00946B23"/>
    <w:rsid w:val="00985CF1"/>
    <w:rsid w:val="00994EE4"/>
    <w:rsid w:val="009B1D87"/>
    <w:rsid w:val="009C438C"/>
    <w:rsid w:val="009C6CAE"/>
    <w:rsid w:val="009D0DDA"/>
    <w:rsid w:val="00A02728"/>
    <w:rsid w:val="00A138AA"/>
    <w:rsid w:val="00A14DA0"/>
    <w:rsid w:val="00A43B8E"/>
    <w:rsid w:val="00A44FA9"/>
    <w:rsid w:val="00A45D42"/>
    <w:rsid w:val="00A551C6"/>
    <w:rsid w:val="00A5520C"/>
    <w:rsid w:val="00A6046E"/>
    <w:rsid w:val="00A622B5"/>
    <w:rsid w:val="00A656E2"/>
    <w:rsid w:val="00A65C1D"/>
    <w:rsid w:val="00A660DE"/>
    <w:rsid w:val="00A66FC0"/>
    <w:rsid w:val="00A77C7A"/>
    <w:rsid w:val="00A8432F"/>
    <w:rsid w:val="00A90107"/>
    <w:rsid w:val="00AA11D8"/>
    <w:rsid w:val="00AA1309"/>
    <w:rsid w:val="00AA1380"/>
    <w:rsid w:val="00AC67EF"/>
    <w:rsid w:val="00AD310F"/>
    <w:rsid w:val="00AD60B2"/>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1D65"/>
    <w:rsid w:val="00C72708"/>
    <w:rsid w:val="00C747A0"/>
    <w:rsid w:val="00C76757"/>
    <w:rsid w:val="00C85B9B"/>
    <w:rsid w:val="00C907CB"/>
    <w:rsid w:val="00CA1BF5"/>
    <w:rsid w:val="00CB67B6"/>
    <w:rsid w:val="00CC3464"/>
    <w:rsid w:val="00CC557E"/>
    <w:rsid w:val="00CC63E6"/>
    <w:rsid w:val="00CC6DCB"/>
    <w:rsid w:val="00CD008D"/>
    <w:rsid w:val="00CD3925"/>
    <w:rsid w:val="00CD40C2"/>
    <w:rsid w:val="00CD461B"/>
    <w:rsid w:val="00D1657F"/>
    <w:rsid w:val="00D80D6E"/>
    <w:rsid w:val="00D833FD"/>
    <w:rsid w:val="00D95816"/>
    <w:rsid w:val="00DA09FA"/>
    <w:rsid w:val="00DB478D"/>
    <w:rsid w:val="00DD00CB"/>
    <w:rsid w:val="00DE6434"/>
    <w:rsid w:val="00E00580"/>
    <w:rsid w:val="00E26639"/>
    <w:rsid w:val="00E30C3C"/>
    <w:rsid w:val="00E42568"/>
    <w:rsid w:val="00E450BA"/>
    <w:rsid w:val="00E503E2"/>
    <w:rsid w:val="00E672A4"/>
    <w:rsid w:val="00EA4F33"/>
    <w:rsid w:val="00EB1AD3"/>
    <w:rsid w:val="00EB4BAF"/>
    <w:rsid w:val="00EC294D"/>
    <w:rsid w:val="00ED52B6"/>
    <w:rsid w:val="00EF41E3"/>
    <w:rsid w:val="00F007E2"/>
    <w:rsid w:val="00F118EC"/>
    <w:rsid w:val="00F34E01"/>
    <w:rsid w:val="00F37A71"/>
    <w:rsid w:val="00F43CED"/>
    <w:rsid w:val="00F51904"/>
    <w:rsid w:val="00F537E9"/>
    <w:rsid w:val="00F53D40"/>
    <w:rsid w:val="00F720CF"/>
    <w:rsid w:val="00FB2CA9"/>
    <w:rsid w:val="00FB3B29"/>
    <w:rsid w:val="00FC7773"/>
    <w:rsid w:val="00FD0ECE"/>
    <w:rsid w:val="00FE0BC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350389"/>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rsid w:val="00350389"/>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99959">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58093378">
      <w:bodyDiv w:val="1"/>
      <w:marLeft w:val="0"/>
      <w:marRight w:val="0"/>
      <w:marTop w:val="0"/>
      <w:marBottom w:val="0"/>
      <w:divBdr>
        <w:top w:val="none" w:sz="0" w:space="0" w:color="auto"/>
        <w:left w:val="none" w:sz="0" w:space="0" w:color="auto"/>
        <w:bottom w:val="none" w:sz="0" w:space="0" w:color="auto"/>
        <w:right w:val="none" w:sz="0" w:space="0" w:color="auto"/>
      </w:divBdr>
    </w:div>
    <w:div w:id="409085591">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24347455">
      <w:bodyDiv w:val="1"/>
      <w:marLeft w:val="0"/>
      <w:marRight w:val="0"/>
      <w:marTop w:val="0"/>
      <w:marBottom w:val="0"/>
      <w:divBdr>
        <w:top w:val="none" w:sz="0" w:space="0" w:color="auto"/>
        <w:left w:val="none" w:sz="0" w:space="0" w:color="auto"/>
        <w:bottom w:val="none" w:sz="0" w:space="0" w:color="auto"/>
        <w:right w:val="none" w:sz="0" w:space="0" w:color="auto"/>
      </w:divBdr>
    </w:div>
    <w:div w:id="424692864">
      <w:bodyDiv w:val="1"/>
      <w:marLeft w:val="0"/>
      <w:marRight w:val="0"/>
      <w:marTop w:val="0"/>
      <w:marBottom w:val="0"/>
      <w:divBdr>
        <w:top w:val="none" w:sz="0" w:space="0" w:color="auto"/>
        <w:left w:val="none" w:sz="0" w:space="0" w:color="auto"/>
        <w:bottom w:val="none" w:sz="0" w:space="0" w:color="auto"/>
        <w:right w:val="none" w:sz="0" w:space="0" w:color="auto"/>
      </w:divBdr>
    </w:div>
    <w:div w:id="469325454">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01402517">
      <w:bodyDiv w:val="1"/>
      <w:marLeft w:val="0"/>
      <w:marRight w:val="0"/>
      <w:marTop w:val="0"/>
      <w:marBottom w:val="0"/>
      <w:divBdr>
        <w:top w:val="none" w:sz="0" w:space="0" w:color="auto"/>
        <w:left w:val="none" w:sz="0" w:space="0" w:color="auto"/>
        <w:bottom w:val="none" w:sz="0" w:space="0" w:color="auto"/>
        <w:right w:val="none" w:sz="0" w:space="0" w:color="auto"/>
      </w:divBdr>
    </w:div>
    <w:div w:id="1056466116">
      <w:bodyDiv w:val="1"/>
      <w:marLeft w:val="0"/>
      <w:marRight w:val="0"/>
      <w:marTop w:val="0"/>
      <w:marBottom w:val="0"/>
      <w:divBdr>
        <w:top w:val="none" w:sz="0" w:space="0" w:color="auto"/>
        <w:left w:val="none" w:sz="0" w:space="0" w:color="auto"/>
        <w:bottom w:val="none" w:sz="0" w:space="0" w:color="auto"/>
        <w:right w:val="none" w:sz="0" w:space="0" w:color="auto"/>
      </w:divBdr>
    </w:div>
    <w:div w:id="1153645922">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327829527">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255776">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65601976">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62277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886870762">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59987374">
      <w:bodyDiv w:val="1"/>
      <w:marLeft w:val="0"/>
      <w:marRight w:val="0"/>
      <w:marTop w:val="0"/>
      <w:marBottom w:val="0"/>
      <w:divBdr>
        <w:top w:val="none" w:sz="0" w:space="0" w:color="auto"/>
        <w:left w:val="none" w:sz="0" w:space="0" w:color="auto"/>
        <w:bottom w:val="none" w:sz="0" w:space="0" w:color="auto"/>
        <w:right w:val="none" w:sz="0" w:space="0" w:color="auto"/>
      </w:divBdr>
    </w:div>
    <w:div w:id="1982537362">
      <w:bodyDiv w:val="1"/>
      <w:marLeft w:val="0"/>
      <w:marRight w:val="0"/>
      <w:marTop w:val="0"/>
      <w:marBottom w:val="0"/>
      <w:divBdr>
        <w:top w:val="none" w:sz="0" w:space="0" w:color="auto"/>
        <w:left w:val="none" w:sz="0" w:space="0" w:color="auto"/>
        <w:bottom w:val="none" w:sz="0" w:space="0" w:color="auto"/>
        <w:right w:val="none" w:sz="0" w:space="0" w:color="auto"/>
      </w:divBdr>
    </w:div>
    <w:div w:id="2036999632">
      <w:bodyDiv w:val="1"/>
      <w:marLeft w:val="0"/>
      <w:marRight w:val="0"/>
      <w:marTop w:val="0"/>
      <w:marBottom w:val="0"/>
      <w:divBdr>
        <w:top w:val="none" w:sz="0" w:space="0" w:color="auto"/>
        <w:left w:val="none" w:sz="0" w:space="0" w:color="auto"/>
        <w:bottom w:val="none" w:sz="0" w:space="0" w:color="auto"/>
        <w:right w:val="none" w:sz="0" w:space="0" w:color="auto"/>
      </w:divBdr>
    </w:div>
    <w:div w:id="211871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Isr20</b:Tag>
    <b:SourceType>Book</b:SourceType>
    <b:Guid>{1ABEAE53-5B5B-4A22-9022-6E8C04D72BA4}</b:Guid>
    <b:Author>
      <b:Author>
        <b:Corporate>Israelsen rt al.</b:Corporate>
      </b:Author>
    </b:Author>
    <b:Year>2020</b:Year>
    <b:RefOrder>5</b:RefOrder>
  </b:Source>
  <b:Source>
    <b:Tag>Lee182</b:Tag>
    <b:SourceType>Book</b:SourceType>
    <b:Guid>{1D44004E-4BC0-4233-B2C8-874A187AEC6D}</b:Guid>
    <b:Author>
      <b:Author>
        <b:Corporate>Lee &amp; Sozen</b:Corporate>
      </b:Author>
    </b:Author>
    <b:Year>2018</b:Year>
    <b:RefOrder>2</b:RefOrder>
  </b:Source>
  <b:Source>
    <b:Tag>Sic22</b:Tag>
    <b:SourceType>Book</b:SourceType>
    <b:Guid>{55404DFA-5682-4353-9E21-C79BD37242F7}</b:Guid>
    <b:Author>
      <b:Author>
        <b:Corporate>Sicherer</b:Corporate>
      </b:Author>
    </b:Author>
    <b:Year>2022</b:Year>
    <b:RefOrder>1</b:RefOrder>
  </b:Source>
  <b:Source>
    <b:Tag>Rot18</b:Tag>
    <b:SourceType>Book</b:SourceType>
    <b:Guid>{55E5A179-C566-4DAE-A00E-1AE9E6873FBF}</b:Guid>
    <b:Author>
      <b:Author>
        <b:Corporate>Rotter &amp; Pistiner</b:Corporate>
      </b:Author>
    </b:Author>
    <b:Year>2018</b:Year>
    <b:RefOrder>3</b:RefOrder>
  </b:Source>
  <b:Source>
    <b:Tag>Sul20</b:Tag>
    <b:SourceType>Book</b:SourceType>
    <b:Guid>{5EA482BE-8FEC-4DA1-A520-A38A88410205}</b:Guid>
    <b:Author>
      <b:Author>
        <b:Corporate>Sulistyandari et al.</b:Corporate>
      </b:Author>
    </b:Author>
    <b:Year>2020</b:Year>
    <b:RefOrder>4</b:RefOrder>
  </b:Source>
</b:Sources>
</file>

<file path=customXml/itemProps1.xml><?xml version="1.0" encoding="utf-8"?>
<ds:datastoreItem xmlns:ds="http://schemas.openxmlformats.org/officeDocument/2006/customXml" ds:itemID="{7A833AE8-4C6A-4318-8C43-B4F71A4BF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943</Words>
  <Characters>5376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Mohammed Bab Al Fazal</cp:lastModifiedBy>
  <cp:revision>2</cp:revision>
  <cp:lastPrinted>2020-09-28T20:53:00Z</cp:lastPrinted>
  <dcterms:created xsi:type="dcterms:W3CDTF">2022-10-28T12:39:00Z</dcterms:created>
  <dcterms:modified xsi:type="dcterms:W3CDTF">2022-10-28T12:39:00Z</dcterms:modified>
</cp:coreProperties>
</file>