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70B6F" w14:textId="77777777" w:rsidR="006A0F22" w:rsidRPr="00505DBC" w:rsidRDefault="006A0F22" w:rsidP="00387A9C">
      <w:pPr>
        <w:spacing w:after="0" w:line="480" w:lineRule="auto"/>
        <w:jc w:val="center"/>
        <w:rPr>
          <w:rFonts w:ascii="Arial" w:hAnsi="Arial" w:cs="Arial"/>
          <w:b/>
          <w:bCs/>
          <w:sz w:val="24"/>
          <w:szCs w:val="24"/>
        </w:rPr>
      </w:pPr>
    </w:p>
    <w:p w14:paraId="2B8DDC8B" w14:textId="77777777" w:rsidR="006A0F22" w:rsidRDefault="006A0F22" w:rsidP="00387A9C">
      <w:pPr>
        <w:spacing w:after="0" w:line="480" w:lineRule="auto"/>
        <w:jc w:val="center"/>
        <w:rPr>
          <w:rFonts w:ascii="Times New Roman" w:hAnsi="Times New Roman" w:cs="Times New Roman"/>
          <w:b/>
          <w:bCs/>
          <w:sz w:val="24"/>
          <w:szCs w:val="24"/>
        </w:rPr>
      </w:pPr>
    </w:p>
    <w:p w14:paraId="03689B6D" w14:textId="77777777" w:rsidR="006A0F22" w:rsidRDefault="006A0F22" w:rsidP="00387A9C">
      <w:pPr>
        <w:spacing w:after="0" w:line="480" w:lineRule="auto"/>
        <w:jc w:val="center"/>
        <w:rPr>
          <w:rFonts w:ascii="Times New Roman" w:hAnsi="Times New Roman" w:cs="Times New Roman"/>
          <w:b/>
          <w:bCs/>
          <w:sz w:val="24"/>
          <w:szCs w:val="24"/>
        </w:rPr>
      </w:pPr>
    </w:p>
    <w:p w14:paraId="4E383CF5" w14:textId="77777777" w:rsidR="006A0F22" w:rsidRDefault="006A0F22" w:rsidP="00387A9C">
      <w:pPr>
        <w:spacing w:after="0" w:line="480" w:lineRule="auto"/>
        <w:jc w:val="center"/>
        <w:rPr>
          <w:rFonts w:ascii="Times New Roman" w:hAnsi="Times New Roman" w:cs="Times New Roman"/>
          <w:b/>
          <w:bCs/>
          <w:sz w:val="24"/>
          <w:szCs w:val="24"/>
        </w:rPr>
      </w:pPr>
    </w:p>
    <w:p w14:paraId="0971E29C" w14:textId="77777777" w:rsidR="006A0F22" w:rsidRDefault="006A0F22" w:rsidP="00387A9C">
      <w:pPr>
        <w:spacing w:after="0" w:line="480" w:lineRule="auto"/>
        <w:jc w:val="center"/>
        <w:rPr>
          <w:rFonts w:ascii="Times New Roman" w:hAnsi="Times New Roman" w:cs="Times New Roman"/>
          <w:b/>
          <w:bCs/>
          <w:sz w:val="24"/>
          <w:szCs w:val="24"/>
        </w:rPr>
      </w:pPr>
    </w:p>
    <w:p w14:paraId="5C173757" w14:textId="77777777" w:rsidR="00014222" w:rsidRDefault="007D4B3C" w:rsidP="007D4B3C">
      <w:pPr>
        <w:spacing w:after="0" w:line="360" w:lineRule="auto"/>
        <w:jc w:val="both"/>
        <w:rPr>
          <w:rFonts w:ascii="Arial" w:hAnsi="Arial" w:cs="Arial"/>
          <w:b/>
          <w:bCs/>
          <w:sz w:val="24"/>
          <w:szCs w:val="24"/>
        </w:rPr>
      </w:pPr>
      <w:r>
        <w:rPr>
          <w:rFonts w:ascii="Arial" w:hAnsi="Arial" w:cs="Arial"/>
          <w:b/>
          <w:bCs/>
          <w:sz w:val="24"/>
          <w:szCs w:val="24"/>
        </w:rPr>
        <w:t xml:space="preserve">                  </w:t>
      </w:r>
    </w:p>
    <w:p w14:paraId="707B21AE" w14:textId="6EC7DB59" w:rsidR="006A0F22" w:rsidRPr="00505DBC" w:rsidRDefault="00014222" w:rsidP="007D4B3C">
      <w:pPr>
        <w:spacing w:after="0" w:line="360" w:lineRule="auto"/>
        <w:jc w:val="both"/>
        <w:rPr>
          <w:rFonts w:ascii="Arial" w:hAnsi="Arial" w:cs="Arial"/>
          <w:b/>
          <w:bCs/>
          <w:sz w:val="24"/>
          <w:szCs w:val="24"/>
        </w:rPr>
      </w:pPr>
      <w:r>
        <w:rPr>
          <w:rFonts w:ascii="Arial" w:hAnsi="Arial" w:cs="Arial"/>
          <w:b/>
          <w:bCs/>
          <w:sz w:val="24"/>
          <w:szCs w:val="24"/>
        </w:rPr>
        <w:t xml:space="preserve">                  </w:t>
      </w:r>
      <w:r w:rsidR="007D4B3C">
        <w:rPr>
          <w:rFonts w:ascii="Arial" w:hAnsi="Arial" w:cs="Arial"/>
          <w:b/>
          <w:bCs/>
          <w:sz w:val="24"/>
          <w:szCs w:val="24"/>
        </w:rPr>
        <w:t xml:space="preserve"> </w:t>
      </w:r>
      <w:r w:rsidRPr="00505DBC">
        <w:rPr>
          <w:rFonts w:ascii="Arial" w:hAnsi="Arial" w:cs="Arial"/>
          <w:b/>
          <w:bCs/>
          <w:sz w:val="24"/>
          <w:szCs w:val="24"/>
        </w:rPr>
        <w:t>Financial</w:t>
      </w:r>
      <w:r w:rsidR="007D4B3C" w:rsidRPr="00505DBC">
        <w:rPr>
          <w:rFonts w:ascii="Arial" w:hAnsi="Arial" w:cs="Arial"/>
          <w:b/>
          <w:bCs/>
          <w:sz w:val="24"/>
          <w:szCs w:val="24"/>
        </w:rPr>
        <w:t xml:space="preserve"> </w:t>
      </w:r>
      <w:r w:rsidRPr="00505DBC">
        <w:rPr>
          <w:rFonts w:ascii="Arial" w:hAnsi="Arial" w:cs="Arial"/>
          <w:b/>
          <w:bCs/>
          <w:sz w:val="24"/>
          <w:szCs w:val="24"/>
        </w:rPr>
        <w:t>Comparison of Marriott International and Hyatt Hotels</w:t>
      </w:r>
    </w:p>
    <w:p w14:paraId="0436E5B0" w14:textId="199F47EF" w:rsidR="00881396" w:rsidRPr="00505DBC" w:rsidRDefault="00881396" w:rsidP="007D4B3C">
      <w:pPr>
        <w:spacing w:after="0" w:line="360" w:lineRule="auto"/>
        <w:jc w:val="both"/>
        <w:rPr>
          <w:rFonts w:ascii="Arial" w:hAnsi="Arial" w:cs="Arial"/>
          <w:b/>
          <w:bCs/>
          <w:sz w:val="24"/>
          <w:szCs w:val="24"/>
        </w:rPr>
      </w:pPr>
      <w:r w:rsidRPr="00505DBC">
        <w:rPr>
          <w:rFonts w:ascii="Arial" w:hAnsi="Arial" w:cs="Arial"/>
          <w:b/>
          <w:bCs/>
          <w:sz w:val="24"/>
          <w:szCs w:val="24"/>
        </w:rPr>
        <w:t xml:space="preserve">                                                             Report</w:t>
      </w:r>
    </w:p>
    <w:p w14:paraId="57046DA6" w14:textId="5FEF4CB3" w:rsidR="006A0F22" w:rsidRDefault="006A0F22" w:rsidP="00387A9C">
      <w:pPr>
        <w:spacing w:after="0" w:line="480" w:lineRule="auto"/>
        <w:jc w:val="center"/>
        <w:rPr>
          <w:rFonts w:ascii="Times New Roman" w:hAnsi="Times New Roman" w:cs="Times New Roman"/>
          <w:b/>
          <w:bCs/>
          <w:sz w:val="24"/>
          <w:szCs w:val="24"/>
        </w:rPr>
      </w:pPr>
    </w:p>
    <w:p w14:paraId="7A5E4F3B" w14:textId="0F129355" w:rsidR="006A0F22" w:rsidRDefault="006A0F22" w:rsidP="00387A9C">
      <w:pPr>
        <w:spacing w:after="0" w:line="480" w:lineRule="auto"/>
        <w:jc w:val="center"/>
        <w:rPr>
          <w:rFonts w:ascii="Times New Roman" w:hAnsi="Times New Roman" w:cs="Times New Roman"/>
          <w:b/>
          <w:bCs/>
          <w:sz w:val="24"/>
          <w:szCs w:val="24"/>
        </w:rPr>
      </w:pPr>
    </w:p>
    <w:p w14:paraId="56AAD1F5" w14:textId="59B99B4B" w:rsidR="006A0F22" w:rsidRDefault="006A0F22" w:rsidP="00387A9C">
      <w:pPr>
        <w:spacing w:after="0" w:line="480" w:lineRule="auto"/>
        <w:jc w:val="center"/>
        <w:rPr>
          <w:rFonts w:ascii="Times New Roman" w:hAnsi="Times New Roman" w:cs="Times New Roman"/>
          <w:sz w:val="24"/>
          <w:szCs w:val="24"/>
        </w:rPr>
      </w:pPr>
    </w:p>
    <w:p w14:paraId="7ED8783C" w14:textId="77777777" w:rsidR="00014222" w:rsidRDefault="007D4B3C" w:rsidP="007D4B3C">
      <w:pPr>
        <w:spacing w:after="0" w:line="360" w:lineRule="auto"/>
        <w:jc w:val="both"/>
        <w:rPr>
          <w:rFonts w:ascii="Arial" w:hAnsi="Arial" w:cs="Arial"/>
          <w:sz w:val="24"/>
          <w:szCs w:val="24"/>
        </w:rPr>
      </w:pPr>
      <w:r>
        <w:rPr>
          <w:rFonts w:ascii="Arial" w:hAnsi="Arial" w:cs="Arial"/>
          <w:sz w:val="24"/>
          <w:szCs w:val="24"/>
        </w:rPr>
        <w:t xml:space="preserve">                                      </w:t>
      </w:r>
    </w:p>
    <w:p w14:paraId="26A28BDE" w14:textId="77777777" w:rsidR="00014222" w:rsidRDefault="00014222" w:rsidP="007D4B3C">
      <w:pPr>
        <w:spacing w:after="0" w:line="360" w:lineRule="auto"/>
        <w:jc w:val="both"/>
        <w:rPr>
          <w:rFonts w:ascii="Arial" w:hAnsi="Arial" w:cs="Arial"/>
          <w:sz w:val="24"/>
          <w:szCs w:val="24"/>
        </w:rPr>
      </w:pPr>
    </w:p>
    <w:p w14:paraId="5E44F993" w14:textId="77777777" w:rsidR="00014222" w:rsidRDefault="00014222" w:rsidP="007D4B3C">
      <w:pPr>
        <w:spacing w:after="0" w:line="360" w:lineRule="auto"/>
        <w:jc w:val="both"/>
        <w:rPr>
          <w:rFonts w:ascii="Arial" w:hAnsi="Arial" w:cs="Arial"/>
          <w:sz w:val="24"/>
          <w:szCs w:val="24"/>
        </w:rPr>
      </w:pPr>
    </w:p>
    <w:p w14:paraId="5A808191" w14:textId="77777777" w:rsidR="00014222" w:rsidRDefault="00014222" w:rsidP="007D4B3C">
      <w:pPr>
        <w:spacing w:after="0" w:line="360" w:lineRule="auto"/>
        <w:jc w:val="both"/>
        <w:rPr>
          <w:rFonts w:ascii="Arial" w:hAnsi="Arial" w:cs="Arial"/>
          <w:sz w:val="24"/>
          <w:szCs w:val="24"/>
        </w:rPr>
      </w:pPr>
    </w:p>
    <w:p w14:paraId="466E7F41" w14:textId="77777777" w:rsidR="00014222" w:rsidRDefault="00014222" w:rsidP="007D4B3C">
      <w:pPr>
        <w:spacing w:after="0" w:line="360" w:lineRule="auto"/>
        <w:jc w:val="both"/>
        <w:rPr>
          <w:rFonts w:ascii="Arial" w:hAnsi="Arial" w:cs="Arial"/>
          <w:sz w:val="24"/>
          <w:szCs w:val="24"/>
        </w:rPr>
      </w:pPr>
    </w:p>
    <w:p w14:paraId="6D7B6EBC" w14:textId="77777777" w:rsidR="00014222" w:rsidRDefault="00014222" w:rsidP="007D4B3C">
      <w:pPr>
        <w:spacing w:after="0" w:line="360" w:lineRule="auto"/>
        <w:jc w:val="both"/>
        <w:rPr>
          <w:rFonts w:ascii="Arial" w:hAnsi="Arial" w:cs="Arial"/>
          <w:sz w:val="24"/>
          <w:szCs w:val="24"/>
        </w:rPr>
      </w:pPr>
    </w:p>
    <w:p w14:paraId="5D08BF26" w14:textId="41C0A822" w:rsidR="006A0F22" w:rsidRDefault="00014222" w:rsidP="007D4B3C">
      <w:pPr>
        <w:spacing w:after="0" w:line="360" w:lineRule="auto"/>
        <w:jc w:val="both"/>
        <w:rPr>
          <w:rFonts w:ascii="Arial" w:hAnsi="Arial" w:cs="Arial"/>
          <w:sz w:val="24"/>
          <w:szCs w:val="24"/>
        </w:rPr>
      </w:pPr>
      <w:r>
        <w:rPr>
          <w:rFonts w:ascii="Arial" w:hAnsi="Arial" w:cs="Arial"/>
          <w:sz w:val="24"/>
          <w:szCs w:val="24"/>
        </w:rPr>
        <w:t xml:space="preserve">                                       </w:t>
      </w:r>
      <w:r w:rsidR="007D4B3C">
        <w:rPr>
          <w:rFonts w:ascii="Arial" w:hAnsi="Arial" w:cs="Arial"/>
          <w:sz w:val="24"/>
          <w:szCs w:val="24"/>
        </w:rPr>
        <w:t>Student Name: Andreea Gheorghe</w:t>
      </w:r>
      <w:r w:rsidR="007D4B3C">
        <w:rPr>
          <w:rFonts w:ascii="Arial" w:hAnsi="Arial" w:cs="Arial"/>
          <w:sz w:val="24"/>
          <w:szCs w:val="24"/>
        </w:rPr>
        <w:tab/>
      </w:r>
      <w:r w:rsidR="007D4B3C">
        <w:rPr>
          <w:rFonts w:ascii="Arial" w:hAnsi="Arial" w:cs="Arial"/>
          <w:sz w:val="24"/>
          <w:szCs w:val="24"/>
        </w:rPr>
        <w:tab/>
      </w:r>
      <w:r w:rsidR="007D4B3C">
        <w:rPr>
          <w:rFonts w:ascii="Arial" w:hAnsi="Arial" w:cs="Arial"/>
          <w:sz w:val="24"/>
          <w:szCs w:val="24"/>
        </w:rPr>
        <w:tab/>
      </w:r>
      <w:r w:rsidR="007D4B3C">
        <w:rPr>
          <w:rFonts w:ascii="Arial" w:hAnsi="Arial" w:cs="Arial"/>
          <w:sz w:val="24"/>
          <w:szCs w:val="24"/>
        </w:rPr>
        <w:tab/>
      </w:r>
      <w:r w:rsidR="007D4B3C">
        <w:rPr>
          <w:rFonts w:ascii="Arial" w:hAnsi="Arial" w:cs="Arial"/>
          <w:sz w:val="24"/>
          <w:szCs w:val="24"/>
        </w:rPr>
        <w:tab/>
      </w:r>
      <w:r w:rsidR="007D4B3C">
        <w:rPr>
          <w:rFonts w:ascii="Arial" w:hAnsi="Arial" w:cs="Arial"/>
          <w:sz w:val="24"/>
          <w:szCs w:val="24"/>
        </w:rPr>
        <w:tab/>
      </w:r>
      <w:r w:rsidR="007D4B3C">
        <w:rPr>
          <w:rFonts w:ascii="Arial" w:hAnsi="Arial" w:cs="Arial"/>
          <w:sz w:val="24"/>
          <w:szCs w:val="24"/>
        </w:rPr>
        <w:tab/>
      </w:r>
      <w:r w:rsidR="007D4B3C">
        <w:rPr>
          <w:rFonts w:ascii="Arial" w:hAnsi="Arial" w:cs="Arial"/>
          <w:sz w:val="24"/>
          <w:szCs w:val="24"/>
        </w:rPr>
        <w:tab/>
        <w:t xml:space="preserve">          Student Number: 2107271</w:t>
      </w:r>
    </w:p>
    <w:p w14:paraId="50E5C071" w14:textId="62B25ADF" w:rsidR="007D4B3C" w:rsidRDefault="007D4B3C" w:rsidP="007D4B3C">
      <w:pPr>
        <w:spacing w:after="0" w:line="360" w:lineRule="auto"/>
        <w:jc w:val="both"/>
        <w:rPr>
          <w:rFonts w:ascii="Arial" w:hAnsi="Arial" w:cs="Arial"/>
          <w:sz w:val="24"/>
          <w:szCs w:val="24"/>
        </w:rPr>
      </w:pPr>
      <w:r>
        <w:rPr>
          <w:rFonts w:ascii="Arial" w:hAnsi="Arial" w:cs="Arial"/>
          <w:sz w:val="24"/>
          <w:szCs w:val="24"/>
        </w:rPr>
        <w:t xml:space="preserve">                  Module: Financial Management for the Hotel Industry </w:t>
      </w:r>
      <w:r w:rsidR="00014222">
        <w:rPr>
          <w:rFonts w:ascii="Arial" w:hAnsi="Arial" w:cs="Arial"/>
          <w:sz w:val="24"/>
          <w:szCs w:val="24"/>
        </w:rPr>
        <w:t>(BMIH5007)</w:t>
      </w:r>
    </w:p>
    <w:p w14:paraId="73784919" w14:textId="08D2D925" w:rsidR="007D4B3C" w:rsidRPr="007D4B3C" w:rsidRDefault="007D4B3C" w:rsidP="007D4B3C">
      <w:pPr>
        <w:spacing w:after="0" w:line="360" w:lineRule="auto"/>
        <w:jc w:val="both"/>
        <w:rPr>
          <w:rFonts w:ascii="Arial" w:hAnsi="Arial" w:cs="Arial"/>
          <w:sz w:val="24"/>
          <w:szCs w:val="24"/>
        </w:rPr>
      </w:pPr>
      <w:r>
        <w:rPr>
          <w:rFonts w:ascii="Arial" w:hAnsi="Arial" w:cs="Arial"/>
          <w:sz w:val="24"/>
          <w:szCs w:val="24"/>
        </w:rPr>
        <w:t xml:space="preserve">                                               Lecturer: Dale Clarke</w:t>
      </w:r>
    </w:p>
    <w:p w14:paraId="6885A4AF" w14:textId="6A0BCAED" w:rsidR="0067415D" w:rsidRDefault="0067415D" w:rsidP="007D4B3C">
      <w:pPr>
        <w:spacing w:after="0" w:line="360" w:lineRule="auto"/>
        <w:jc w:val="both"/>
        <w:rPr>
          <w:rFonts w:ascii="Times New Roman" w:hAnsi="Times New Roman" w:cs="Times New Roman"/>
          <w:sz w:val="24"/>
          <w:szCs w:val="24"/>
        </w:rPr>
      </w:pPr>
    </w:p>
    <w:p w14:paraId="6174E1E1" w14:textId="5C0A5146" w:rsidR="0067415D" w:rsidRDefault="0067415D" w:rsidP="007D4B3C">
      <w:pPr>
        <w:spacing w:after="0" w:line="360" w:lineRule="auto"/>
        <w:jc w:val="both"/>
        <w:rPr>
          <w:rFonts w:ascii="Times New Roman" w:hAnsi="Times New Roman" w:cs="Times New Roman"/>
          <w:sz w:val="24"/>
          <w:szCs w:val="24"/>
        </w:rPr>
      </w:pPr>
    </w:p>
    <w:p w14:paraId="12DCD0C9" w14:textId="3C426724" w:rsidR="0067415D" w:rsidRDefault="0067415D" w:rsidP="00387A9C">
      <w:pPr>
        <w:spacing w:after="0" w:line="480" w:lineRule="auto"/>
        <w:jc w:val="center"/>
        <w:rPr>
          <w:rFonts w:ascii="Times New Roman" w:hAnsi="Times New Roman" w:cs="Times New Roman"/>
          <w:sz w:val="24"/>
          <w:szCs w:val="24"/>
        </w:rPr>
      </w:pPr>
    </w:p>
    <w:p w14:paraId="5A7BABCA" w14:textId="557A4ACF" w:rsidR="0067415D" w:rsidRDefault="0067415D" w:rsidP="00387A9C">
      <w:pPr>
        <w:spacing w:after="0" w:line="480" w:lineRule="auto"/>
        <w:jc w:val="center"/>
        <w:rPr>
          <w:rFonts w:ascii="Times New Roman" w:hAnsi="Times New Roman" w:cs="Times New Roman"/>
          <w:sz w:val="24"/>
          <w:szCs w:val="24"/>
        </w:rPr>
      </w:pPr>
    </w:p>
    <w:p w14:paraId="4F94CCA7" w14:textId="1A7BFA43" w:rsidR="0067415D" w:rsidRDefault="0067415D" w:rsidP="00387A9C">
      <w:pPr>
        <w:spacing w:after="0" w:line="480" w:lineRule="auto"/>
        <w:jc w:val="center"/>
        <w:rPr>
          <w:rFonts w:ascii="Times New Roman" w:hAnsi="Times New Roman" w:cs="Times New Roman"/>
          <w:sz w:val="24"/>
          <w:szCs w:val="24"/>
        </w:rPr>
      </w:pPr>
    </w:p>
    <w:p w14:paraId="213C9CC8" w14:textId="2D57603A" w:rsidR="0067415D" w:rsidRDefault="0067415D" w:rsidP="00387A9C">
      <w:pPr>
        <w:spacing w:after="0" w:line="480" w:lineRule="auto"/>
        <w:jc w:val="center"/>
        <w:rPr>
          <w:rFonts w:ascii="Times New Roman" w:hAnsi="Times New Roman" w:cs="Times New Roman"/>
          <w:sz w:val="24"/>
          <w:szCs w:val="24"/>
        </w:rPr>
      </w:pPr>
    </w:p>
    <w:p w14:paraId="0C13540F" w14:textId="5C8C85C2" w:rsidR="0067415D" w:rsidRDefault="0067415D" w:rsidP="00387A9C">
      <w:pPr>
        <w:spacing w:after="0" w:line="480" w:lineRule="auto"/>
        <w:jc w:val="center"/>
        <w:rPr>
          <w:rFonts w:ascii="Times New Roman" w:hAnsi="Times New Roman" w:cs="Times New Roman"/>
          <w:sz w:val="24"/>
          <w:szCs w:val="24"/>
        </w:rPr>
      </w:pPr>
    </w:p>
    <w:p w14:paraId="2D9210F4" w14:textId="77777777" w:rsidR="00014222" w:rsidRDefault="00014222" w:rsidP="007D4B3C">
      <w:pPr>
        <w:spacing w:after="0" w:line="360" w:lineRule="auto"/>
        <w:jc w:val="both"/>
        <w:rPr>
          <w:rFonts w:ascii="Times New Roman" w:hAnsi="Times New Roman" w:cs="Times New Roman"/>
          <w:sz w:val="24"/>
          <w:szCs w:val="24"/>
        </w:rPr>
      </w:pPr>
    </w:p>
    <w:p w14:paraId="2E530FBB" w14:textId="4BDD49CB" w:rsidR="00505073" w:rsidRDefault="00D1175E" w:rsidP="007D4B3C">
      <w:pPr>
        <w:spacing w:after="0" w:line="360" w:lineRule="auto"/>
        <w:jc w:val="both"/>
        <w:rPr>
          <w:rFonts w:ascii="Arial" w:hAnsi="Arial" w:cs="Arial"/>
          <w:b/>
          <w:bCs/>
          <w:sz w:val="24"/>
          <w:szCs w:val="24"/>
        </w:rPr>
      </w:pPr>
      <w:r>
        <w:rPr>
          <w:rFonts w:ascii="Arial" w:hAnsi="Arial" w:cs="Arial"/>
          <w:b/>
          <w:bCs/>
          <w:sz w:val="24"/>
          <w:szCs w:val="24"/>
        </w:rPr>
        <w:t xml:space="preserve">           </w:t>
      </w:r>
      <w:r w:rsidRPr="007E0BD4">
        <w:rPr>
          <w:rFonts w:ascii="Arial" w:hAnsi="Arial" w:cs="Arial"/>
          <w:b/>
          <w:bCs/>
          <w:sz w:val="24"/>
          <w:szCs w:val="24"/>
        </w:rPr>
        <w:t>Introduction</w:t>
      </w:r>
    </w:p>
    <w:p w14:paraId="0364CB7D" w14:textId="77777777" w:rsidR="00D1175E" w:rsidRPr="007E0BD4" w:rsidRDefault="00D1175E" w:rsidP="007D4B3C">
      <w:pPr>
        <w:spacing w:after="0" w:line="360" w:lineRule="auto"/>
        <w:jc w:val="both"/>
        <w:rPr>
          <w:rFonts w:ascii="Arial" w:hAnsi="Arial" w:cs="Arial"/>
          <w:b/>
          <w:bCs/>
          <w:sz w:val="24"/>
          <w:szCs w:val="24"/>
        </w:rPr>
      </w:pPr>
    </w:p>
    <w:p w14:paraId="3670CA29" w14:textId="6198B020" w:rsidR="00387A9C" w:rsidRDefault="00000000" w:rsidP="007D4B3C">
      <w:pPr>
        <w:spacing w:after="0" w:line="360" w:lineRule="auto"/>
        <w:jc w:val="both"/>
        <w:rPr>
          <w:rFonts w:ascii="Arial" w:hAnsi="Arial" w:cs="Arial"/>
          <w:sz w:val="24"/>
          <w:szCs w:val="24"/>
        </w:rPr>
      </w:pPr>
      <w:r w:rsidRPr="007E0BD4">
        <w:rPr>
          <w:rFonts w:ascii="Arial" w:hAnsi="Arial" w:cs="Arial"/>
          <w:sz w:val="24"/>
          <w:szCs w:val="24"/>
        </w:rPr>
        <w:tab/>
        <w:t xml:space="preserve">The purpose of this report is to compare and contrast </w:t>
      </w:r>
      <w:r w:rsidR="00753969" w:rsidRPr="007E0BD4">
        <w:rPr>
          <w:rFonts w:ascii="Arial" w:hAnsi="Arial" w:cs="Arial"/>
          <w:sz w:val="24"/>
          <w:szCs w:val="24"/>
        </w:rPr>
        <w:t xml:space="preserve">the two hospitality </w:t>
      </w:r>
      <w:r w:rsidR="007D4B3C">
        <w:rPr>
          <w:rFonts w:ascii="Arial" w:hAnsi="Arial" w:cs="Arial"/>
          <w:sz w:val="24"/>
          <w:szCs w:val="24"/>
        </w:rPr>
        <w:t>organizations</w:t>
      </w:r>
      <w:r w:rsidR="00753969" w:rsidRPr="007E0BD4">
        <w:rPr>
          <w:rFonts w:ascii="Arial" w:hAnsi="Arial" w:cs="Arial"/>
          <w:sz w:val="24"/>
          <w:szCs w:val="24"/>
        </w:rPr>
        <w:t xml:space="preserve">, Marriott International and Hyatt Hotels, to assess their respective approaches to financial management. The report </w:t>
      </w:r>
      <w:r w:rsidR="00242A22" w:rsidRPr="007E0BD4">
        <w:rPr>
          <w:rFonts w:ascii="Arial" w:hAnsi="Arial" w:cs="Arial"/>
          <w:sz w:val="24"/>
          <w:szCs w:val="24"/>
        </w:rPr>
        <w:t>will</w:t>
      </w:r>
      <w:r w:rsidR="00753969" w:rsidRPr="007E0BD4">
        <w:rPr>
          <w:rFonts w:ascii="Arial" w:hAnsi="Arial" w:cs="Arial"/>
          <w:sz w:val="24"/>
          <w:szCs w:val="24"/>
        </w:rPr>
        <w:t xml:space="preserve"> </w:t>
      </w:r>
      <w:r w:rsidR="007D4B3C">
        <w:rPr>
          <w:rFonts w:ascii="Arial" w:hAnsi="Arial" w:cs="Arial"/>
          <w:sz w:val="24"/>
          <w:szCs w:val="24"/>
        </w:rPr>
        <w:t>analyze</w:t>
      </w:r>
      <w:r w:rsidR="00753969" w:rsidRPr="007E0BD4">
        <w:rPr>
          <w:rFonts w:ascii="Arial" w:hAnsi="Arial" w:cs="Arial"/>
          <w:sz w:val="24"/>
          <w:szCs w:val="24"/>
        </w:rPr>
        <w:t xml:space="preserve"> both companies' total revenue, market position, growth potential, and financial commitment to corporate social responsibility (CSR) of both companies to understand their financial performance. The report will also assess the strengths and weaknesses of each hotel chain and provide insight into their respective financial strategies.</w:t>
      </w:r>
    </w:p>
    <w:p w14:paraId="39A9A0DB" w14:textId="77777777" w:rsidR="00881396" w:rsidRPr="007E0BD4" w:rsidRDefault="00881396" w:rsidP="007D4B3C">
      <w:pPr>
        <w:spacing w:after="0" w:line="360" w:lineRule="auto"/>
        <w:jc w:val="both"/>
        <w:rPr>
          <w:rFonts w:ascii="Arial" w:hAnsi="Arial" w:cs="Arial"/>
          <w:sz w:val="24"/>
          <w:szCs w:val="24"/>
        </w:rPr>
      </w:pPr>
    </w:p>
    <w:p w14:paraId="63EB9BBA" w14:textId="0FFEB67F" w:rsidR="00753969" w:rsidRDefault="00D1175E" w:rsidP="007D4B3C">
      <w:pPr>
        <w:spacing w:after="0" w:line="360" w:lineRule="auto"/>
        <w:jc w:val="both"/>
        <w:rPr>
          <w:rFonts w:ascii="Arial" w:hAnsi="Arial" w:cs="Arial"/>
          <w:b/>
          <w:bCs/>
          <w:sz w:val="24"/>
          <w:szCs w:val="24"/>
        </w:rPr>
      </w:pPr>
      <w:r>
        <w:rPr>
          <w:rFonts w:ascii="Arial" w:hAnsi="Arial" w:cs="Arial"/>
          <w:b/>
          <w:bCs/>
          <w:sz w:val="24"/>
          <w:szCs w:val="24"/>
        </w:rPr>
        <w:t xml:space="preserve">           </w:t>
      </w:r>
      <w:r w:rsidRPr="007E0BD4">
        <w:rPr>
          <w:rFonts w:ascii="Arial" w:hAnsi="Arial" w:cs="Arial"/>
          <w:b/>
          <w:bCs/>
          <w:sz w:val="24"/>
          <w:szCs w:val="24"/>
        </w:rPr>
        <w:t>Analysis</w:t>
      </w:r>
    </w:p>
    <w:p w14:paraId="39ABDFD5" w14:textId="77777777" w:rsidR="005C5B39" w:rsidRPr="007E0BD4" w:rsidRDefault="005C5B39" w:rsidP="007D4B3C">
      <w:pPr>
        <w:spacing w:after="0" w:line="360" w:lineRule="auto"/>
        <w:jc w:val="both"/>
        <w:rPr>
          <w:rFonts w:ascii="Arial" w:hAnsi="Arial" w:cs="Arial"/>
          <w:b/>
          <w:bCs/>
          <w:sz w:val="24"/>
          <w:szCs w:val="24"/>
        </w:rPr>
      </w:pPr>
    </w:p>
    <w:p w14:paraId="5565B6AE" w14:textId="32C0A837" w:rsidR="0055294A" w:rsidRDefault="00D1175E" w:rsidP="007D4B3C">
      <w:pPr>
        <w:spacing w:after="0" w:line="360" w:lineRule="auto"/>
        <w:jc w:val="both"/>
        <w:rPr>
          <w:rFonts w:ascii="Arial" w:hAnsi="Arial" w:cs="Arial"/>
          <w:b/>
          <w:bCs/>
          <w:sz w:val="24"/>
          <w:szCs w:val="24"/>
        </w:rPr>
      </w:pPr>
      <w:r>
        <w:rPr>
          <w:rFonts w:ascii="Arial" w:hAnsi="Arial" w:cs="Arial"/>
          <w:b/>
          <w:bCs/>
          <w:sz w:val="24"/>
          <w:szCs w:val="24"/>
        </w:rPr>
        <w:t xml:space="preserve">          </w:t>
      </w:r>
      <w:r w:rsidRPr="007E0BD4">
        <w:rPr>
          <w:rFonts w:ascii="Arial" w:hAnsi="Arial" w:cs="Arial"/>
          <w:b/>
          <w:bCs/>
          <w:sz w:val="24"/>
          <w:szCs w:val="24"/>
        </w:rPr>
        <w:t>Total Revenue</w:t>
      </w:r>
    </w:p>
    <w:p w14:paraId="2402218B" w14:textId="77777777" w:rsidR="00D1175E" w:rsidRPr="007E0BD4" w:rsidRDefault="00D1175E" w:rsidP="007D4B3C">
      <w:pPr>
        <w:spacing w:after="0" w:line="360" w:lineRule="auto"/>
        <w:jc w:val="both"/>
        <w:rPr>
          <w:rFonts w:ascii="Arial" w:hAnsi="Arial" w:cs="Arial"/>
          <w:b/>
          <w:bCs/>
          <w:sz w:val="24"/>
          <w:szCs w:val="24"/>
        </w:rPr>
      </w:pPr>
    </w:p>
    <w:p w14:paraId="30F7927E" w14:textId="12673266" w:rsidR="0055294A"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Marriott International reported a total revenue of $20.5 billion in 2019, while Hyatt Hotels reported a total of $5.3 billion in the same year. Both companies have steadily increased their total revenue over the past five years. Marriott International, in particular, has experienced a compound annual growth rate of 8.9%</w:t>
      </w:r>
      <w:r w:rsidR="008D04CF" w:rsidRPr="007E0BD4">
        <w:rPr>
          <w:rFonts w:ascii="Arial" w:hAnsi="Arial" w:cs="Arial"/>
          <w:sz w:val="24"/>
          <w:szCs w:val="24"/>
        </w:rPr>
        <w:t xml:space="preserve"> (Haywood et al., 2017), which</w:t>
      </w:r>
      <w:r w:rsidRPr="007E0BD4">
        <w:rPr>
          <w:rFonts w:ascii="Arial" w:hAnsi="Arial" w:cs="Arial"/>
          <w:sz w:val="24"/>
          <w:szCs w:val="24"/>
        </w:rPr>
        <w:t xml:space="preserve"> is largely attributed to the company’s aggressive expansion strategy and strong brand recognition in the hospitality industry, both of which have helped the company to increase its market share and attract more customers.</w:t>
      </w:r>
    </w:p>
    <w:p w14:paraId="3A017A1F" w14:textId="4463D888" w:rsidR="0055294A"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Hyatt Hotels' total revenue growth has been comparatively slower, with a compound annual growth rate of 3.3%. However, the company has seen an increase in total revenue due to its expansion into international markets and its focus on customer experience</w:t>
      </w:r>
      <w:r w:rsidR="00D31072" w:rsidRPr="007E0BD4">
        <w:rPr>
          <w:rFonts w:ascii="Arial" w:hAnsi="Arial" w:cs="Arial"/>
          <w:sz w:val="24"/>
          <w:szCs w:val="24"/>
        </w:rPr>
        <w:t xml:space="preserve"> (Khanna &amp; Chopra, 2016)</w:t>
      </w:r>
      <w:r w:rsidRPr="007E0BD4">
        <w:rPr>
          <w:rFonts w:ascii="Arial" w:hAnsi="Arial" w:cs="Arial"/>
          <w:sz w:val="24"/>
          <w:szCs w:val="24"/>
        </w:rPr>
        <w:t>. The company has also seen an increase in its total revenue due to its efforts to diversify its offerings and expand its portfolio of hotels, resorts, and residential properties.</w:t>
      </w:r>
    </w:p>
    <w:p w14:paraId="19BCAB29" w14:textId="731864A2" w:rsidR="0055294A"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 xml:space="preserve">Both companies have employed different strategies to increase their total revenue, with Marriott International focusing on </w:t>
      </w:r>
      <w:r w:rsidR="00B20578">
        <w:rPr>
          <w:rFonts w:ascii="Arial" w:hAnsi="Arial" w:cs="Arial"/>
          <w:sz w:val="24"/>
          <w:szCs w:val="24"/>
        </w:rPr>
        <w:t xml:space="preserve">an </w:t>
      </w:r>
      <w:r w:rsidRPr="007E0BD4">
        <w:rPr>
          <w:rFonts w:ascii="Arial" w:hAnsi="Arial" w:cs="Arial"/>
          <w:sz w:val="24"/>
          <w:szCs w:val="24"/>
        </w:rPr>
        <w:t xml:space="preserve">aggressive expansion and strong brand </w:t>
      </w:r>
      <w:r w:rsidRPr="007E0BD4">
        <w:rPr>
          <w:rFonts w:ascii="Arial" w:hAnsi="Arial" w:cs="Arial"/>
          <w:sz w:val="24"/>
          <w:szCs w:val="24"/>
        </w:rPr>
        <w:lastRenderedPageBreak/>
        <w:t xml:space="preserve">recognition. In contrast, Hyatt Hotels has focused on customer experience, diversification, and international expansion. </w:t>
      </w:r>
    </w:p>
    <w:p w14:paraId="245B02A9" w14:textId="3B8CB43F" w:rsidR="0055294A"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 xml:space="preserve">The total revenue of Marriott International and Hyatt Hotels reflects the different approaches to financial management employed by the two </w:t>
      </w:r>
      <w:r w:rsidR="007D4B3C">
        <w:rPr>
          <w:rFonts w:ascii="Arial" w:hAnsi="Arial" w:cs="Arial"/>
          <w:sz w:val="24"/>
          <w:szCs w:val="24"/>
        </w:rPr>
        <w:t>organizations</w:t>
      </w:r>
      <w:r w:rsidRPr="007E0BD4">
        <w:rPr>
          <w:rFonts w:ascii="Arial" w:hAnsi="Arial" w:cs="Arial"/>
          <w:sz w:val="24"/>
          <w:szCs w:val="24"/>
        </w:rPr>
        <w:t xml:space="preserve">. </w:t>
      </w:r>
      <w:r w:rsidR="005B0D68" w:rsidRPr="007E0BD4">
        <w:rPr>
          <w:rFonts w:ascii="Arial" w:hAnsi="Arial" w:cs="Arial"/>
          <w:sz w:val="24"/>
          <w:szCs w:val="24"/>
        </w:rPr>
        <w:t xml:space="preserve">According to Sohn et al. (2013), </w:t>
      </w:r>
      <w:r w:rsidRPr="007E0BD4">
        <w:rPr>
          <w:rFonts w:ascii="Arial" w:hAnsi="Arial" w:cs="Arial"/>
          <w:sz w:val="24"/>
          <w:szCs w:val="24"/>
        </w:rPr>
        <w:t>Marriott International’s aggressive expansion strategy has enabled the company to capture a larger portion of the hospitality market, while Hyatt Hotels’ focus on customer experience and diversification has allowed the company to remain competitive in a changing market environment.</w:t>
      </w:r>
    </w:p>
    <w:p w14:paraId="1FEBA1B1" w14:textId="77777777" w:rsidR="00881396" w:rsidRPr="007E0BD4" w:rsidRDefault="00881396" w:rsidP="007D4B3C">
      <w:pPr>
        <w:spacing w:after="0" w:line="360" w:lineRule="auto"/>
        <w:ind w:firstLine="720"/>
        <w:jc w:val="both"/>
        <w:rPr>
          <w:rFonts w:ascii="Arial" w:hAnsi="Arial" w:cs="Arial"/>
          <w:sz w:val="24"/>
          <w:szCs w:val="24"/>
        </w:rPr>
      </w:pPr>
    </w:p>
    <w:p w14:paraId="538410BD" w14:textId="00CDA9FE" w:rsidR="0055294A" w:rsidRDefault="00000000" w:rsidP="007D4B3C">
      <w:pPr>
        <w:spacing w:after="0" w:line="360" w:lineRule="auto"/>
        <w:ind w:firstLine="720"/>
        <w:jc w:val="both"/>
        <w:rPr>
          <w:rFonts w:ascii="Arial" w:hAnsi="Arial" w:cs="Arial"/>
          <w:b/>
          <w:bCs/>
          <w:sz w:val="24"/>
          <w:szCs w:val="24"/>
        </w:rPr>
      </w:pPr>
      <w:r w:rsidRPr="007E0BD4">
        <w:rPr>
          <w:rFonts w:ascii="Arial" w:hAnsi="Arial" w:cs="Arial"/>
          <w:b/>
          <w:bCs/>
          <w:sz w:val="24"/>
          <w:szCs w:val="24"/>
        </w:rPr>
        <w:t>Market Position</w:t>
      </w:r>
    </w:p>
    <w:p w14:paraId="6CFF163D" w14:textId="77777777" w:rsidR="00D1175E" w:rsidRPr="007E0BD4" w:rsidRDefault="00D1175E" w:rsidP="007D4B3C">
      <w:pPr>
        <w:spacing w:after="0" w:line="360" w:lineRule="auto"/>
        <w:ind w:firstLine="720"/>
        <w:jc w:val="both"/>
        <w:rPr>
          <w:rFonts w:ascii="Arial" w:hAnsi="Arial" w:cs="Arial"/>
          <w:b/>
          <w:bCs/>
          <w:sz w:val="24"/>
          <w:szCs w:val="24"/>
        </w:rPr>
      </w:pPr>
    </w:p>
    <w:p w14:paraId="0AAC12DA" w14:textId="418703F5" w:rsidR="0068106E"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 xml:space="preserve">Marriott International is the leading hospitality company in the world, with a market </w:t>
      </w:r>
      <w:r w:rsidR="007D4B3C">
        <w:rPr>
          <w:rFonts w:ascii="Arial" w:hAnsi="Arial" w:cs="Arial"/>
          <w:sz w:val="24"/>
          <w:szCs w:val="24"/>
        </w:rPr>
        <w:t>capitalization</w:t>
      </w:r>
      <w:r w:rsidRPr="007E0BD4">
        <w:rPr>
          <w:rFonts w:ascii="Arial" w:hAnsi="Arial" w:cs="Arial"/>
          <w:sz w:val="24"/>
          <w:szCs w:val="24"/>
        </w:rPr>
        <w:t xml:space="preserve"> of $42.8 billion and a presence in over 125 countries. The company has over 5,700 properties worldwide, including hotels, resorts, and residential properties, and is the largest hotel chain in the world</w:t>
      </w:r>
      <w:r w:rsidR="00F80AC0" w:rsidRPr="007E0BD4">
        <w:rPr>
          <w:rFonts w:ascii="Arial" w:hAnsi="Arial" w:cs="Arial"/>
          <w:sz w:val="24"/>
          <w:szCs w:val="24"/>
        </w:rPr>
        <w:t xml:space="preserve"> (Cebeillac &amp; Vaguet, 2021)</w:t>
      </w:r>
      <w:r w:rsidRPr="007E0BD4">
        <w:rPr>
          <w:rFonts w:ascii="Arial" w:hAnsi="Arial" w:cs="Arial"/>
          <w:sz w:val="24"/>
          <w:szCs w:val="24"/>
        </w:rPr>
        <w:t xml:space="preserve">. Marriott International has achieved its position as the leading hospitality company through aggressive expansion, strong brand recognition, and strong customer loyalty. </w:t>
      </w:r>
    </w:p>
    <w:p w14:paraId="122A3B6E" w14:textId="205156FF" w:rsidR="0068106E"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 xml:space="preserve">Hyatt Hotels is the third largest hospitality company in the world, with a market </w:t>
      </w:r>
      <w:r w:rsidR="007D4B3C">
        <w:rPr>
          <w:rFonts w:ascii="Arial" w:hAnsi="Arial" w:cs="Arial"/>
          <w:sz w:val="24"/>
          <w:szCs w:val="24"/>
        </w:rPr>
        <w:t>capitalization</w:t>
      </w:r>
      <w:r w:rsidRPr="007E0BD4">
        <w:rPr>
          <w:rFonts w:ascii="Arial" w:hAnsi="Arial" w:cs="Arial"/>
          <w:sz w:val="24"/>
          <w:szCs w:val="24"/>
        </w:rPr>
        <w:t xml:space="preserve"> of $8.4 billion and a presence in over 60 countries. The company has over 900 properties worldwide, including hotels, resorts, and residential properties, and is the </w:t>
      </w:r>
      <w:r w:rsidR="007D4B3C">
        <w:rPr>
          <w:rFonts w:ascii="Arial" w:hAnsi="Arial" w:cs="Arial"/>
          <w:sz w:val="24"/>
          <w:szCs w:val="24"/>
        </w:rPr>
        <w:t>fifth-largest</w:t>
      </w:r>
      <w:r w:rsidRPr="007E0BD4">
        <w:rPr>
          <w:rFonts w:ascii="Arial" w:hAnsi="Arial" w:cs="Arial"/>
          <w:sz w:val="24"/>
          <w:szCs w:val="24"/>
        </w:rPr>
        <w:t xml:space="preserve"> hotel chain in the world</w:t>
      </w:r>
      <w:r w:rsidR="003630E0" w:rsidRPr="007E0BD4">
        <w:rPr>
          <w:rFonts w:ascii="Arial" w:hAnsi="Arial" w:cs="Arial"/>
          <w:sz w:val="24"/>
          <w:szCs w:val="24"/>
        </w:rPr>
        <w:t xml:space="preserve"> (Hughes, 2018)</w:t>
      </w:r>
      <w:r w:rsidRPr="007E0BD4">
        <w:rPr>
          <w:rFonts w:ascii="Arial" w:hAnsi="Arial" w:cs="Arial"/>
          <w:sz w:val="24"/>
          <w:szCs w:val="24"/>
        </w:rPr>
        <w:t>. Hyatt Hotels has become the third-largest hospitality company through customer experience, diversification, and international expansion.</w:t>
      </w:r>
    </w:p>
    <w:p w14:paraId="422C208C" w14:textId="6B834089" w:rsidR="0068106E"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Marriott International and Hyatt Hotels have both been able to achieve their respective positions in the hospitality industry through different approaches to financial management. Marriott International has focused on aggressive expansion and strong brand recognition, while Hyatt Hotels has focused on customer experience, diversification, and international expansion.</w:t>
      </w:r>
    </w:p>
    <w:p w14:paraId="61AAE5AB" w14:textId="52B02A4A" w:rsidR="0068106E"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 xml:space="preserve">Marriott International's aggressive expansion has enabled the company to capture a larger portion of the hospitality market. In contrast, Hyatt Hotels' focus on customer experience and diversification has allowed the company to remain competitive in a </w:t>
      </w:r>
      <w:r w:rsidRPr="007E0BD4">
        <w:rPr>
          <w:rFonts w:ascii="Arial" w:hAnsi="Arial" w:cs="Arial"/>
          <w:sz w:val="24"/>
          <w:szCs w:val="24"/>
        </w:rPr>
        <w:lastRenderedPageBreak/>
        <w:t>changing market environment</w:t>
      </w:r>
      <w:r w:rsidR="00C70455" w:rsidRPr="007E0BD4">
        <w:rPr>
          <w:rFonts w:ascii="Arial" w:hAnsi="Arial" w:cs="Arial"/>
          <w:sz w:val="24"/>
          <w:szCs w:val="24"/>
        </w:rPr>
        <w:t xml:space="preserve"> (Wong &amp; Wickham, 2015)</w:t>
      </w:r>
      <w:r w:rsidRPr="007E0BD4">
        <w:rPr>
          <w:rFonts w:ascii="Arial" w:hAnsi="Arial" w:cs="Arial"/>
          <w:sz w:val="24"/>
          <w:szCs w:val="24"/>
        </w:rPr>
        <w:t xml:space="preserve">. Additionally, </w:t>
      </w:r>
      <w:r w:rsidR="00B74D21" w:rsidRPr="007E0BD4">
        <w:rPr>
          <w:rFonts w:ascii="Arial" w:hAnsi="Arial" w:cs="Arial"/>
          <w:sz w:val="24"/>
          <w:szCs w:val="24"/>
        </w:rPr>
        <w:t xml:space="preserve">the study by Mody et al. (2017) found that </w:t>
      </w:r>
      <w:r w:rsidRPr="007E0BD4">
        <w:rPr>
          <w:rFonts w:ascii="Arial" w:hAnsi="Arial" w:cs="Arial"/>
          <w:sz w:val="24"/>
          <w:szCs w:val="24"/>
        </w:rPr>
        <w:t>both companies have focused on leveraging technology to improve customer experience, with Marriott International investing heavily in its loyalty program and Hyatt Hotels investing in mobile apps and online booking platforms.</w:t>
      </w:r>
    </w:p>
    <w:p w14:paraId="61BD9100" w14:textId="2DA6BDBF" w:rsidR="0068106E" w:rsidRDefault="007D4B3C" w:rsidP="007D4B3C">
      <w:pPr>
        <w:spacing w:after="0" w:line="360" w:lineRule="auto"/>
        <w:ind w:firstLine="720"/>
        <w:jc w:val="both"/>
        <w:rPr>
          <w:rFonts w:ascii="Arial" w:hAnsi="Arial" w:cs="Arial"/>
          <w:sz w:val="24"/>
          <w:szCs w:val="24"/>
        </w:rPr>
      </w:pPr>
      <w:r>
        <w:rPr>
          <w:rFonts w:ascii="Arial" w:hAnsi="Arial" w:cs="Arial"/>
          <w:sz w:val="24"/>
          <w:szCs w:val="24"/>
        </w:rPr>
        <w:t>To</w:t>
      </w:r>
      <w:r w:rsidRPr="007E0BD4">
        <w:rPr>
          <w:rFonts w:ascii="Arial" w:hAnsi="Arial" w:cs="Arial"/>
          <w:sz w:val="24"/>
          <w:szCs w:val="24"/>
        </w:rPr>
        <w:t xml:space="preserve"> remain competitive, both companies must continue to focus on customer experience, diversification, and international expansion. </w:t>
      </w:r>
      <w:r w:rsidR="00B74D21" w:rsidRPr="007E0BD4">
        <w:rPr>
          <w:rFonts w:ascii="Arial" w:hAnsi="Arial" w:cs="Arial"/>
          <w:sz w:val="24"/>
          <w:szCs w:val="24"/>
        </w:rPr>
        <w:t>Further</w:t>
      </w:r>
      <w:r w:rsidRPr="007E0BD4">
        <w:rPr>
          <w:rFonts w:ascii="Arial" w:hAnsi="Arial" w:cs="Arial"/>
          <w:sz w:val="24"/>
          <w:szCs w:val="24"/>
        </w:rPr>
        <w:t>, both companies must continue investing in technology to remain ahead of the competition and ensure that customers have a positive experience.</w:t>
      </w:r>
    </w:p>
    <w:p w14:paraId="70CA15EF" w14:textId="77777777" w:rsidR="00881396" w:rsidRPr="007E0BD4" w:rsidRDefault="00881396" w:rsidP="007D4B3C">
      <w:pPr>
        <w:spacing w:after="0" w:line="360" w:lineRule="auto"/>
        <w:ind w:firstLine="720"/>
        <w:jc w:val="both"/>
        <w:rPr>
          <w:rFonts w:ascii="Arial" w:hAnsi="Arial" w:cs="Arial"/>
          <w:sz w:val="24"/>
          <w:szCs w:val="24"/>
        </w:rPr>
      </w:pPr>
    </w:p>
    <w:p w14:paraId="0A8D70C6" w14:textId="11051F5F" w:rsidR="005F4D47" w:rsidRDefault="00000000" w:rsidP="007D4B3C">
      <w:pPr>
        <w:spacing w:after="0" w:line="360" w:lineRule="auto"/>
        <w:ind w:firstLine="720"/>
        <w:jc w:val="both"/>
        <w:rPr>
          <w:rFonts w:ascii="Arial" w:hAnsi="Arial" w:cs="Arial"/>
          <w:b/>
          <w:bCs/>
          <w:sz w:val="24"/>
          <w:szCs w:val="24"/>
        </w:rPr>
      </w:pPr>
      <w:r w:rsidRPr="007E0BD4">
        <w:rPr>
          <w:rFonts w:ascii="Arial" w:hAnsi="Arial" w:cs="Arial"/>
          <w:b/>
          <w:bCs/>
          <w:sz w:val="24"/>
          <w:szCs w:val="24"/>
        </w:rPr>
        <w:t>Growth Potential</w:t>
      </w:r>
    </w:p>
    <w:p w14:paraId="0C912C3F" w14:textId="77777777" w:rsidR="00D1175E" w:rsidRPr="007E0BD4" w:rsidRDefault="00D1175E" w:rsidP="007D4B3C">
      <w:pPr>
        <w:spacing w:after="0" w:line="360" w:lineRule="auto"/>
        <w:ind w:firstLine="720"/>
        <w:jc w:val="both"/>
        <w:rPr>
          <w:rFonts w:ascii="Arial" w:hAnsi="Arial" w:cs="Arial"/>
          <w:b/>
          <w:bCs/>
          <w:sz w:val="24"/>
          <w:szCs w:val="24"/>
        </w:rPr>
      </w:pPr>
    </w:p>
    <w:p w14:paraId="68D029BC" w14:textId="195CD4EC" w:rsidR="005F4D47"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According to Dumoulin and Giacomel (2020), Marriott International has strong growth potential, with the company planning to increase its global presence by opening over 1,200 new properties by 202</w:t>
      </w:r>
      <w:r w:rsidR="00A35D9F" w:rsidRPr="007E0BD4">
        <w:rPr>
          <w:rFonts w:ascii="Arial" w:hAnsi="Arial" w:cs="Arial"/>
          <w:sz w:val="24"/>
          <w:szCs w:val="24"/>
        </w:rPr>
        <w:t>3</w:t>
      </w:r>
      <w:r w:rsidRPr="007E0BD4">
        <w:rPr>
          <w:rFonts w:ascii="Arial" w:hAnsi="Arial" w:cs="Arial"/>
          <w:sz w:val="24"/>
          <w:szCs w:val="24"/>
        </w:rPr>
        <w:t>. The company has also announced plans to invest $18 billion in renovations and expansion over the next three years, aiming to improve the customer experience and increase its market share</w:t>
      </w:r>
      <w:r w:rsidR="00D94FCC" w:rsidRPr="007E0BD4">
        <w:rPr>
          <w:rFonts w:ascii="Arial" w:hAnsi="Arial" w:cs="Arial"/>
          <w:sz w:val="24"/>
          <w:szCs w:val="24"/>
        </w:rPr>
        <w:t xml:space="preserve"> (Verevka, 2019)</w:t>
      </w:r>
      <w:r w:rsidRPr="007E0BD4">
        <w:rPr>
          <w:rFonts w:ascii="Arial" w:hAnsi="Arial" w:cs="Arial"/>
          <w:sz w:val="24"/>
          <w:szCs w:val="24"/>
        </w:rPr>
        <w:t>. Marriott International has also made strategic acquisitions to expand its portfolio and reach new markets.</w:t>
      </w:r>
    </w:p>
    <w:p w14:paraId="47C04BFB" w14:textId="5E55939A" w:rsidR="005F4D47"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Hyatt Hotels also has strong growth potential, with the company planning to open over 100 new properties by 2021. The company has also announced plans to invest $2.5 billion in renovations and expansion over the next three years, aiming to improve the customer experience and increase its market share</w:t>
      </w:r>
      <w:r w:rsidR="00F47D22" w:rsidRPr="007E0BD4">
        <w:rPr>
          <w:rFonts w:ascii="Arial" w:hAnsi="Arial" w:cs="Arial"/>
          <w:sz w:val="24"/>
          <w:szCs w:val="24"/>
        </w:rPr>
        <w:t xml:space="preserve"> (Syed, 2020)</w:t>
      </w:r>
      <w:r w:rsidRPr="007E0BD4">
        <w:rPr>
          <w:rFonts w:ascii="Arial" w:hAnsi="Arial" w:cs="Arial"/>
          <w:sz w:val="24"/>
          <w:szCs w:val="24"/>
        </w:rPr>
        <w:t>. Hyatt Hotels has also made strategic acquisitions to expand its portfolio and reach new markets.</w:t>
      </w:r>
    </w:p>
    <w:p w14:paraId="281D0C63" w14:textId="74603532" w:rsidR="005F4D47"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Both Marriott International and Hyatt Hotels have employed different strategies to increase their growth potential, with Marriott International focusing on aggressive expansion, strong brand recognition, and strategic acquisitions, while Hyatt Hotels has focused on customer experience, diversification, and international expansion.</w:t>
      </w:r>
    </w:p>
    <w:p w14:paraId="5FF1FD7A" w14:textId="13B871F4" w:rsidR="005F4D47" w:rsidRDefault="007D4B3C" w:rsidP="007D4B3C">
      <w:pPr>
        <w:spacing w:after="0" w:line="360" w:lineRule="auto"/>
        <w:ind w:firstLine="720"/>
        <w:jc w:val="both"/>
        <w:rPr>
          <w:rFonts w:ascii="Arial" w:hAnsi="Arial" w:cs="Arial"/>
          <w:sz w:val="24"/>
          <w:szCs w:val="24"/>
        </w:rPr>
      </w:pPr>
      <w:r>
        <w:rPr>
          <w:rFonts w:ascii="Arial" w:hAnsi="Arial" w:cs="Arial"/>
          <w:sz w:val="24"/>
          <w:szCs w:val="24"/>
        </w:rPr>
        <w:t>To</w:t>
      </w:r>
      <w:r w:rsidRPr="007E0BD4">
        <w:rPr>
          <w:rFonts w:ascii="Arial" w:hAnsi="Arial" w:cs="Arial"/>
          <w:sz w:val="24"/>
          <w:szCs w:val="24"/>
        </w:rPr>
        <w:t xml:space="preserve"> ensure the continued growth of both companies, they must continue to invest in technology and innovate to remain ahead of the competition and ensure that customers have a positive experience. Additionally, both companies must continue to focus on </w:t>
      </w:r>
      <w:r w:rsidRPr="007E0BD4">
        <w:rPr>
          <w:rFonts w:ascii="Arial" w:hAnsi="Arial" w:cs="Arial"/>
          <w:sz w:val="24"/>
          <w:szCs w:val="24"/>
        </w:rPr>
        <w:lastRenderedPageBreak/>
        <w:t>customer experience, diversification, and international expansion to remain competitive and capture a larger portion of the hospitality market.</w:t>
      </w:r>
    </w:p>
    <w:p w14:paraId="1D7C245C" w14:textId="77777777" w:rsidR="00D1175E" w:rsidRDefault="00D1175E" w:rsidP="007D4B3C">
      <w:pPr>
        <w:spacing w:after="0" w:line="360" w:lineRule="auto"/>
        <w:ind w:firstLine="720"/>
        <w:jc w:val="both"/>
        <w:rPr>
          <w:rFonts w:ascii="Arial" w:hAnsi="Arial" w:cs="Arial"/>
          <w:sz w:val="24"/>
          <w:szCs w:val="24"/>
        </w:rPr>
      </w:pPr>
    </w:p>
    <w:p w14:paraId="5C1F90BB" w14:textId="3E8BB04B" w:rsidR="00110EA1" w:rsidRDefault="00000000" w:rsidP="007D4B3C">
      <w:pPr>
        <w:spacing w:after="0" w:line="360" w:lineRule="auto"/>
        <w:ind w:firstLine="720"/>
        <w:jc w:val="both"/>
        <w:rPr>
          <w:rFonts w:ascii="Arial" w:hAnsi="Arial" w:cs="Arial"/>
          <w:b/>
          <w:bCs/>
          <w:sz w:val="24"/>
          <w:szCs w:val="24"/>
        </w:rPr>
      </w:pPr>
      <w:r w:rsidRPr="007E0BD4">
        <w:rPr>
          <w:rFonts w:ascii="Arial" w:hAnsi="Arial" w:cs="Arial"/>
          <w:b/>
          <w:bCs/>
          <w:sz w:val="24"/>
          <w:szCs w:val="24"/>
        </w:rPr>
        <w:t>Financial Commitment to CSR</w:t>
      </w:r>
    </w:p>
    <w:p w14:paraId="0FF7030B" w14:textId="77777777" w:rsidR="00D1175E" w:rsidRPr="007E0BD4" w:rsidRDefault="00D1175E" w:rsidP="007D4B3C">
      <w:pPr>
        <w:spacing w:after="0" w:line="360" w:lineRule="auto"/>
        <w:ind w:firstLine="720"/>
        <w:jc w:val="both"/>
        <w:rPr>
          <w:rFonts w:ascii="Arial" w:hAnsi="Arial" w:cs="Arial"/>
          <w:b/>
          <w:bCs/>
          <w:sz w:val="24"/>
          <w:szCs w:val="24"/>
        </w:rPr>
      </w:pPr>
    </w:p>
    <w:p w14:paraId="1F2C6E76" w14:textId="6FF838CF" w:rsidR="00110EA1"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Marriott International has taken a holistic approach to corporate social responsibility (CSR) and has committed to developing strategies and initiatives to address challenges such as climate change, the protection of natural resources, and the promotion of human rights and social justice</w:t>
      </w:r>
      <w:r w:rsidR="00A462DC" w:rsidRPr="007E0BD4">
        <w:rPr>
          <w:rFonts w:ascii="Arial" w:hAnsi="Arial" w:cs="Arial"/>
          <w:sz w:val="24"/>
          <w:szCs w:val="24"/>
        </w:rPr>
        <w:t xml:space="preserve"> (Kucukusta et al., 2013)</w:t>
      </w:r>
      <w:r w:rsidRPr="007E0BD4">
        <w:rPr>
          <w:rFonts w:ascii="Arial" w:hAnsi="Arial" w:cs="Arial"/>
          <w:sz w:val="24"/>
          <w:szCs w:val="24"/>
        </w:rPr>
        <w:t>. The company has committed to reducing its greenhouse gas emissions by 30% by 2030 and has implemented various sustainability initiatives, such as investing in renewable energy and increasing water efficiency</w:t>
      </w:r>
      <w:r w:rsidR="008868BD" w:rsidRPr="007E0BD4">
        <w:rPr>
          <w:rFonts w:ascii="Arial" w:hAnsi="Arial" w:cs="Arial"/>
          <w:sz w:val="24"/>
          <w:szCs w:val="24"/>
        </w:rPr>
        <w:t xml:space="preserve"> (Abdou et al., 2020)</w:t>
      </w:r>
      <w:r w:rsidRPr="007E0BD4">
        <w:rPr>
          <w:rFonts w:ascii="Arial" w:hAnsi="Arial" w:cs="Arial"/>
          <w:sz w:val="24"/>
          <w:szCs w:val="24"/>
        </w:rPr>
        <w:t xml:space="preserve">. </w:t>
      </w:r>
      <w:r w:rsidR="002463B6" w:rsidRPr="007E0BD4">
        <w:rPr>
          <w:rFonts w:ascii="Arial" w:hAnsi="Arial" w:cs="Arial"/>
          <w:sz w:val="24"/>
          <w:szCs w:val="24"/>
        </w:rPr>
        <w:t>According to Wickham et al. (2020), t</w:t>
      </w:r>
      <w:r w:rsidRPr="007E0BD4">
        <w:rPr>
          <w:rFonts w:ascii="Arial" w:hAnsi="Arial" w:cs="Arial"/>
          <w:sz w:val="24"/>
          <w:szCs w:val="24"/>
        </w:rPr>
        <w:t xml:space="preserve">he company has a </w:t>
      </w:r>
      <w:r w:rsidR="008868BD" w:rsidRPr="007E0BD4">
        <w:rPr>
          <w:rFonts w:ascii="Arial" w:hAnsi="Arial" w:cs="Arial"/>
          <w:sz w:val="24"/>
          <w:szCs w:val="24"/>
        </w:rPr>
        <w:t>d</w:t>
      </w:r>
      <w:r w:rsidRPr="007E0BD4">
        <w:rPr>
          <w:rFonts w:ascii="Arial" w:hAnsi="Arial" w:cs="Arial"/>
          <w:sz w:val="24"/>
          <w:szCs w:val="24"/>
        </w:rPr>
        <w:t xml:space="preserve">iversity </w:t>
      </w:r>
      <w:r w:rsidR="008868BD" w:rsidRPr="007E0BD4">
        <w:rPr>
          <w:rFonts w:ascii="Arial" w:hAnsi="Arial" w:cs="Arial"/>
          <w:sz w:val="24"/>
          <w:szCs w:val="24"/>
        </w:rPr>
        <w:t>and</w:t>
      </w:r>
      <w:r w:rsidRPr="007E0BD4">
        <w:rPr>
          <w:rFonts w:ascii="Arial" w:hAnsi="Arial" w:cs="Arial"/>
          <w:sz w:val="24"/>
          <w:szCs w:val="24"/>
        </w:rPr>
        <w:t xml:space="preserve"> </w:t>
      </w:r>
      <w:r w:rsidR="008868BD" w:rsidRPr="007E0BD4">
        <w:rPr>
          <w:rFonts w:ascii="Arial" w:hAnsi="Arial" w:cs="Arial"/>
          <w:sz w:val="24"/>
          <w:szCs w:val="24"/>
        </w:rPr>
        <w:t>i</w:t>
      </w:r>
      <w:r w:rsidRPr="007E0BD4">
        <w:rPr>
          <w:rFonts w:ascii="Arial" w:hAnsi="Arial" w:cs="Arial"/>
          <w:sz w:val="24"/>
          <w:szCs w:val="24"/>
        </w:rPr>
        <w:t>nclusion program designed to promote equality, create a respectful and inclusive working environment, and foster a sense of belonging for all employees.</w:t>
      </w:r>
    </w:p>
    <w:p w14:paraId="54658FFF" w14:textId="193CCC82" w:rsidR="00110EA1"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Hyatt Hotels has taken a similar approach to CSR and commitment to social responsibility but has placed greater emphasis on protecting human rights and the environment. The company has committed to reducing its global environmental footprint by 50% by 2030 and has implemented various sustainability initiatives, such as recycling and reducing waste, investing in renewable energy, and introducing energy-efficient products</w:t>
      </w:r>
      <w:r w:rsidR="007C44CE" w:rsidRPr="007E0BD4">
        <w:rPr>
          <w:rFonts w:ascii="Arial" w:hAnsi="Arial" w:cs="Arial"/>
          <w:sz w:val="24"/>
          <w:szCs w:val="24"/>
        </w:rPr>
        <w:t xml:space="preserve"> (Jones &amp; Comfort, 2019)</w:t>
      </w:r>
      <w:r w:rsidRPr="007E0BD4">
        <w:rPr>
          <w:rFonts w:ascii="Arial" w:hAnsi="Arial" w:cs="Arial"/>
          <w:sz w:val="24"/>
          <w:szCs w:val="24"/>
        </w:rPr>
        <w:t xml:space="preserve">. </w:t>
      </w:r>
      <w:r w:rsidR="008B3FF7" w:rsidRPr="007E0BD4">
        <w:rPr>
          <w:rFonts w:ascii="Arial" w:hAnsi="Arial" w:cs="Arial"/>
          <w:sz w:val="24"/>
          <w:szCs w:val="24"/>
        </w:rPr>
        <w:t xml:space="preserve">The study by </w:t>
      </w:r>
      <w:r w:rsidR="000A6C98" w:rsidRPr="007E0BD4">
        <w:rPr>
          <w:rFonts w:ascii="Arial" w:hAnsi="Arial" w:cs="Arial"/>
          <w:sz w:val="24"/>
          <w:szCs w:val="24"/>
        </w:rPr>
        <w:t>Chowdhury and Chowdhury (2019)</w:t>
      </w:r>
      <w:r w:rsidR="008B3FF7" w:rsidRPr="007E0BD4">
        <w:rPr>
          <w:rFonts w:ascii="Arial" w:hAnsi="Arial" w:cs="Arial"/>
          <w:sz w:val="24"/>
          <w:szCs w:val="24"/>
        </w:rPr>
        <w:t xml:space="preserve"> also revealed that Hyatt Hotels </w:t>
      </w:r>
      <w:r w:rsidRPr="007E0BD4">
        <w:rPr>
          <w:rFonts w:ascii="Arial" w:hAnsi="Arial" w:cs="Arial"/>
          <w:sz w:val="24"/>
          <w:szCs w:val="24"/>
        </w:rPr>
        <w:t xml:space="preserve">has a </w:t>
      </w:r>
      <w:r w:rsidR="007C44CE" w:rsidRPr="007E0BD4">
        <w:rPr>
          <w:rFonts w:ascii="Arial" w:hAnsi="Arial" w:cs="Arial"/>
          <w:sz w:val="24"/>
          <w:szCs w:val="24"/>
        </w:rPr>
        <w:t>r</w:t>
      </w:r>
      <w:r w:rsidRPr="007E0BD4">
        <w:rPr>
          <w:rFonts w:ascii="Arial" w:hAnsi="Arial" w:cs="Arial"/>
          <w:sz w:val="24"/>
          <w:szCs w:val="24"/>
        </w:rPr>
        <w:t xml:space="preserve">espect </w:t>
      </w:r>
      <w:r w:rsidR="007C44CE" w:rsidRPr="007E0BD4">
        <w:rPr>
          <w:rFonts w:ascii="Arial" w:hAnsi="Arial" w:cs="Arial"/>
          <w:sz w:val="24"/>
          <w:szCs w:val="24"/>
        </w:rPr>
        <w:t>and</w:t>
      </w:r>
      <w:r w:rsidRPr="007E0BD4">
        <w:rPr>
          <w:rFonts w:ascii="Arial" w:hAnsi="Arial" w:cs="Arial"/>
          <w:sz w:val="24"/>
          <w:szCs w:val="24"/>
        </w:rPr>
        <w:t xml:space="preserve"> </w:t>
      </w:r>
      <w:r w:rsidR="007C44CE" w:rsidRPr="007E0BD4">
        <w:rPr>
          <w:rFonts w:ascii="Arial" w:hAnsi="Arial" w:cs="Arial"/>
          <w:sz w:val="24"/>
          <w:szCs w:val="24"/>
        </w:rPr>
        <w:t>i</w:t>
      </w:r>
      <w:r w:rsidRPr="007E0BD4">
        <w:rPr>
          <w:rFonts w:ascii="Arial" w:hAnsi="Arial" w:cs="Arial"/>
          <w:sz w:val="24"/>
          <w:szCs w:val="24"/>
        </w:rPr>
        <w:t>nclusion program designed to promote equality, create a respectful and inclusive working environment, and foster a sense of belonging for all employees.</w:t>
      </w:r>
    </w:p>
    <w:p w14:paraId="02A6969D" w14:textId="7AB28E28" w:rsidR="00110EA1"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Both Marriott International and Hyatt Hotels have committed to CSR initiatives and have taken steps to address global challenges. Marriott International has taken a holistic approach, focusing on climate change, the protection of natural resources, and the promotion of human rights and social justice, while Hyatt Hotels has focused more on protecting human rights and the environment.</w:t>
      </w:r>
    </w:p>
    <w:p w14:paraId="6C4D5D84" w14:textId="7071D6DF" w:rsidR="005F4D47" w:rsidRDefault="007D4B3C" w:rsidP="007D4B3C">
      <w:pPr>
        <w:spacing w:after="0" w:line="360" w:lineRule="auto"/>
        <w:ind w:firstLine="720"/>
        <w:jc w:val="both"/>
        <w:rPr>
          <w:rFonts w:ascii="Arial" w:hAnsi="Arial" w:cs="Arial"/>
          <w:sz w:val="24"/>
          <w:szCs w:val="24"/>
        </w:rPr>
      </w:pPr>
      <w:r>
        <w:rPr>
          <w:rFonts w:ascii="Arial" w:hAnsi="Arial" w:cs="Arial"/>
          <w:sz w:val="24"/>
          <w:szCs w:val="24"/>
        </w:rPr>
        <w:t>To</w:t>
      </w:r>
      <w:r w:rsidRPr="007E0BD4">
        <w:rPr>
          <w:rFonts w:ascii="Arial" w:hAnsi="Arial" w:cs="Arial"/>
          <w:sz w:val="24"/>
          <w:szCs w:val="24"/>
        </w:rPr>
        <w:t xml:space="preserve"> ensure that both companies meet their CSR commitments, they must continue to invest in sustainability initiatives and remain committed to promoting equality and </w:t>
      </w:r>
      <w:r w:rsidRPr="007E0BD4">
        <w:rPr>
          <w:rFonts w:ascii="Arial" w:hAnsi="Arial" w:cs="Arial"/>
          <w:sz w:val="24"/>
          <w:szCs w:val="24"/>
        </w:rPr>
        <w:lastRenderedPageBreak/>
        <w:t>fostering a sense of belonging for all employees. Additionally, both companies must continue investing in technology to create more efficient and environmentally friendly operations.</w:t>
      </w:r>
    </w:p>
    <w:p w14:paraId="5A4D2936" w14:textId="77777777" w:rsidR="00881396" w:rsidRPr="007E0BD4" w:rsidRDefault="00881396" w:rsidP="007D4B3C">
      <w:pPr>
        <w:spacing w:after="0" w:line="360" w:lineRule="auto"/>
        <w:ind w:firstLine="720"/>
        <w:jc w:val="both"/>
        <w:rPr>
          <w:rFonts w:ascii="Arial" w:hAnsi="Arial" w:cs="Arial"/>
          <w:sz w:val="24"/>
          <w:szCs w:val="24"/>
        </w:rPr>
      </w:pPr>
    </w:p>
    <w:p w14:paraId="2896B041" w14:textId="123C6FA7" w:rsidR="00E054C0" w:rsidRDefault="00000000" w:rsidP="007D4B3C">
      <w:pPr>
        <w:spacing w:after="0" w:line="360" w:lineRule="auto"/>
        <w:ind w:firstLine="720"/>
        <w:jc w:val="both"/>
        <w:rPr>
          <w:rFonts w:ascii="Arial" w:hAnsi="Arial" w:cs="Arial"/>
          <w:b/>
          <w:bCs/>
          <w:sz w:val="24"/>
          <w:szCs w:val="24"/>
        </w:rPr>
      </w:pPr>
      <w:r w:rsidRPr="007E0BD4">
        <w:rPr>
          <w:rFonts w:ascii="Arial" w:hAnsi="Arial" w:cs="Arial"/>
          <w:b/>
          <w:bCs/>
          <w:sz w:val="24"/>
          <w:szCs w:val="24"/>
        </w:rPr>
        <w:t>Strengths</w:t>
      </w:r>
    </w:p>
    <w:p w14:paraId="3394050D" w14:textId="77777777" w:rsidR="00D1175E" w:rsidRPr="007E0BD4" w:rsidRDefault="00D1175E" w:rsidP="007D4B3C">
      <w:pPr>
        <w:spacing w:after="0" w:line="360" w:lineRule="auto"/>
        <w:ind w:firstLine="720"/>
        <w:jc w:val="both"/>
        <w:rPr>
          <w:rFonts w:ascii="Arial" w:hAnsi="Arial" w:cs="Arial"/>
          <w:b/>
          <w:bCs/>
          <w:sz w:val="24"/>
          <w:szCs w:val="24"/>
        </w:rPr>
      </w:pPr>
    </w:p>
    <w:p w14:paraId="3AE91FB8" w14:textId="69E78BCA" w:rsidR="00E054C0"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 xml:space="preserve">Marriott International and Hyatt Hotels have several key strengths that have enabled them to achieve their respective market positions. Marriott International’s strengths include aggressive expansion, strong brand recognition, and strong customer loyalty, while Hyatt Hotels’ strengths include customer experience, diversification, and international expansion. </w:t>
      </w:r>
    </w:p>
    <w:p w14:paraId="754C4F72" w14:textId="717172F2" w:rsidR="00E054C0"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Marriott International has achieved its position as the largest hospitality company in the world through its aggressive expansion and strong brand recognition</w:t>
      </w:r>
      <w:r w:rsidR="008A5736" w:rsidRPr="007E0BD4">
        <w:rPr>
          <w:rFonts w:ascii="Arial" w:hAnsi="Arial" w:cs="Arial"/>
          <w:sz w:val="24"/>
          <w:szCs w:val="24"/>
        </w:rPr>
        <w:t xml:space="preserve"> (Kang &amp; Namkung, 2018)</w:t>
      </w:r>
      <w:r w:rsidRPr="007E0BD4">
        <w:rPr>
          <w:rFonts w:ascii="Arial" w:hAnsi="Arial" w:cs="Arial"/>
          <w:sz w:val="24"/>
          <w:szCs w:val="24"/>
        </w:rPr>
        <w:t>. The company has over 5,700 properties worldwide and has made strategic acquisitions to expand its portfolio and reach new markets. Its strong brand recognition and focus on customer experience have enabled the company to attract and retain a large base of loyal customers.</w:t>
      </w:r>
    </w:p>
    <w:p w14:paraId="4842B70D" w14:textId="2D717816" w:rsidR="00E054C0"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 xml:space="preserve">Hyatt Hotels has achieved its position as the third-largest hospitality company in the world through its focus on customer experience, diversification, and international expansion. The company has over 900 properties worldwide, focusing on providing an exceptional customer experience through </w:t>
      </w:r>
      <w:r w:rsidR="007D4B3C">
        <w:rPr>
          <w:rFonts w:ascii="Arial" w:hAnsi="Arial" w:cs="Arial"/>
          <w:sz w:val="24"/>
          <w:szCs w:val="24"/>
        </w:rPr>
        <w:t>personalized</w:t>
      </w:r>
      <w:r w:rsidRPr="007E0BD4">
        <w:rPr>
          <w:rFonts w:ascii="Arial" w:hAnsi="Arial" w:cs="Arial"/>
          <w:sz w:val="24"/>
          <w:szCs w:val="24"/>
        </w:rPr>
        <w:t xml:space="preserve"> service, innovative technology, and a wide range of amenities</w:t>
      </w:r>
      <w:r w:rsidR="00BF71C8" w:rsidRPr="007E0BD4">
        <w:rPr>
          <w:rFonts w:ascii="Arial" w:hAnsi="Arial" w:cs="Arial"/>
          <w:sz w:val="24"/>
          <w:szCs w:val="24"/>
        </w:rPr>
        <w:t xml:space="preserve"> (O’Neill et al., 2013)</w:t>
      </w:r>
      <w:r w:rsidRPr="007E0BD4">
        <w:rPr>
          <w:rFonts w:ascii="Arial" w:hAnsi="Arial" w:cs="Arial"/>
          <w:sz w:val="24"/>
          <w:szCs w:val="24"/>
        </w:rPr>
        <w:t>. Additionally, the company's diversification strategy has enabled it to remain competitive in a changing market environment, and its international expansion has allowed it to reach new markets.</w:t>
      </w:r>
    </w:p>
    <w:p w14:paraId="20879A12" w14:textId="5D32F4BA" w:rsidR="00DB13DF"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 xml:space="preserve">Both companies have employed different strategies to achieve their respective market positions, with Marriott International focusing on an aggressive expansion and strong brand recognition, while Hyatt Hotels has focused on customer experience, diversification, and international expansion. </w:t>
      </w:r>
      <w:r w:rsidR="007D4B3C">
        <w:rPr>
          <w:rFonts w:ascii="Arial" w:hAnsi="Arial" w:cs="Arial"/>
          <w:sz w:val="24"/>
          <w:szCs w:val="24"/>
        </w:rPr>
        <w:t>To</w:t>
      </w:r>
      <w:r w:rsidRPr="007E0BD4">
        <w:rPr>
          <w:rFonts w:ascii="Arial" w:hAnsi="Arial" w:cs="Arial"/>
          <w:sz w:val="24"/>
          <w:szCs w:val="24"/>
        </w:rPr>
        <w:t xml:space="preserve"> remain competitive, both companies must continue to focus on innovation and customer experience and invest in technology. Additionally, both companies must continue to invest in their brands and customer loyalty </w:t>
      </w:r>
      <w:r w:rsidRPr="007E0BD4">
        <w:rPr>
          <w:rFonts w:ascii="Arial" w:hAnsi="Arial" w:cs="Arial"/>
          <w:sz w:val="24"/>
          <w:szCs w:val="24"/>
        </w:rPr>
        <w:lastRenderedPageBreak/>
        <w:t xml:space="preserve">programs </w:t>
      </w:r>
      <w:r w:rsidR="007D4B3C">
        <w:rPr>
          <w:rFonts w:ascii="Arial" w:hAnsi="Arial" w:cs="Arial"/>
          <w:sz w:val="24"/>
          <w:szCs w:val="24"/>
        </w:rPr>
        <w:t>to</w:t>
      </w:r>
      <w:r w:rsidRPr="007E0BD4">
        <w:rPr>
          <w:rFonts w:ascii="Arial" w:hAnsi="Arial" w:cs="Arial"/>
          <w:sz w:val="24"/>
          <w:szCs w:val="24"/>
        </w:rPr>
        <w:t xml:space="preserve"> remain ahead of the competition and ensure that customers have a positive experience.</w:t>
      </w:r>
    </w:p>
    <w:p w14:paraId="06E363EF" w14:textId="5C7D6B90" w:rsidR="00881396" w:rsidRDefault="00881396" w:rsidP="007D4B3C">
      <w:pPr>
        <w:spacing w:after="0" w:line="360" w:lineRule="auto"/>
        <w:ind w:firstLine="720"/>
        <w:jc w:val="both"/>
        <w:rPr>
          <w:rFonts w:ascii="Arial" w:hAnsi="Arial" w:cs="Arial"/>
          <w:sz w:val="24"/>
          <w:szCs w:val="24"/>
        </w:rPr>
      </w:pPr>
    </w:p>
    <w:p w14:paraId="62B6B8A7" w14:textId="5092A414" w:rsidR="00C87701" w:rsidRDefault="00000000" w:rsidP="007D4B3C">
      <w:pPr>
        <w:spacing w:after="0" w:line="360" w:lineRule="auto"/>
        <w:ind w:firstLine="720"/>
        <w:jc w:val="both"/>
        <w:rPr>
          <w:rFonts w:ascii="Arial" w:hAnsi="Arial" w:cs="Arial"/>
          <w:b/>
          <w:bCs/>
          <w:sz w:val="24"/>
          <w:szCs w:val="24"/>
        </w:rPr>
      </w:pPr>
      <w:r w:rsidRPr="007E0BD4">
        <w:rPr>
          <w:rFonts w:ascii="Arial" w:hAnsi="Arial" w:cs="Arial"/>
          <w:b/>
          <w:bCs/>
          <w:sz w:val="24"/>
          <w:szCs w:val="24"/>
        </w:rPr>
        <w:t>Weaknesses</w:t>
      </w:r>
    </w:p>
    <w:p w14:paraId="24AD83BC" w14:textId="77777777" w:rsidR="00D1175E" w:rsidRPr="007E0BD4" w:rsidRDefault="00D1175E" w:rsidP="007D4B3C">
      <w:pPr>
        <w:spacing w:after="0" w:line="360" w:lineRule="auto"/>
        <w:ind w:firstLine="720"/>
        <w:jc w:val="both"/>
        <w:rPr>
          <w:rFonts w:ascii="Arial" w:hAnsi="Arial" w:cs="Arial"/>
          <w:b/>
          <w:bCs/>
          <w:sz w:val="24"/>
          <w:szCs w:val="24"/>
        </w:rPr>
      </w:pPr>
    </w:p>
    <w:p w14:paraId="464606D7" w14:textId="2AF403A6" w:rsidR="00C87701"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 xml:space="preserve">Marriott International and Hyatt Hotels both have areas for improvement that prevent them from achieving their full potential. Marriott International's weaknesses include its reliance on its legacy brands, lack of focus on innovation, and slow response to the digital shift in the hospitality industry. Hyatt Hotels' weaknesses include its lack of market presence in certain areas, limited resources, and lack of visibility in the consumer market. </w:t>
      </w:r>
    </w:p>
    <w:p w14:paraId="0231B31A" w14:textId="6B012FDA" w:rsidR="00C87701"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According to Buhalis and Sinarta (2019), Marriott International strongly relies on its legacy brands, which has limited its ability to innovate and respond to changing consumer trends. Additionally, the company's lack of focus on innovation has hindered its ability to transition to a digital-first approach successfully and has slowed its response to the digital shift in the hospitality industry</w:t>
      </w:r>
      <w:r w:rsidR="00D401B6" w:rsidRPr="007E0BD4">
        <w:rPr>
          <w:rFonts w:ascii="Arial" w:hAnsi="Arial" w:cs="Arial"/>
          <w:sz w:val="24"/>
          <w:szCs w:val="24"/>
        </w:rPr>
        <w:t xml:space="preserve"> (Furr et al., 2022)</w:t>
      </w:r>
      <w:r w:rsidRPr="007E0BD4">
        <w:rPr>
          <w:rFonts w:ascii="Arial" w:hAnsi="Arial" w:cs="Arial"/>
          <w:sz w:val="24"/>
          <w:szCs w:val="24"/>
        </w:rPr>
        <w:t xml:space="preserve">. </w:t>
      </w:r>
    </w:p>
    <w:p w14:paraId="5E0251C3" w14:textId="3A5F042F" w:rsidR="00C87701"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Hyatt Hotels’ lack of market presence in certain areas has hindered its ability to reach new customers and gain market share. The company’s limited resources have also constrained its ability to invest in marketing and innovation</w:t>
      </w:r>
      <w:r w:rsidR="00116809" w:rsidRPr="007E0BD4">
        <w:rPr>
          <w:rFonts w:ascii="Arial" w:hAnsi="Arial" w:cs="Arial"/>
          <w:sz w:val="24"/>
          <w:szCs w:val="24"/>
        </w:rPr>
        <w:t xml:space="preserve"> (Tanford et al., 2016)</w:t>
      </w:r>
      <w:r w:rsidRPr="007E0BD4">
        <w:rPr>
          <w:rFonts w:ascii="Arial" w:hAnsi="Arial" w:cs="Arial"/>
          <w:sz w:val="24"/>
          <w:szCs w:val="24"/>
        </w:rPr>
        <w:t>. Additionally, the company has struggled to gain visibility in the consumer market and has yet to be able to expand its customer base significantly.</w:t>
      </w:r>
    </w:p>
    <w:p w14:paraId="49A834E4" w14:textId="1C3E0255" w:rsidR="00116809" w:rsidRDefault="007D4B3C" w:rsidP="007D4B3C">
      <w:pPr>
        <w:spacing w:after="0" w:line="360" w:lineRule="auto"/>
        <w:ind w:firstLine="720"/>
        <w:jc w:val="both"/>
        <w:rPr>
          <w:rFonts w:ascii="Arial" w:hAnsi="Arial" w:cs="Arial"/>
          <w:sz w:val="24"/>
          <w:szCs w:val="24"/>
        </w:rPr>
      </w:pPr>
      <w:r>
        <w:rPr>
          <w:rFonts w:ascii="Arial" w:hAnsi="Arial" w:cs="Arial"/>
          <w:sz w:val="24"/>
          <w:szCs w:val="24"/>
        </w:rPr>
        <w:t>To</w:t>
      </w:r>
      <w:r w:rsidRPr="007E0BD4">
        <w:rPr>
          <w:rFonts w:ascii="Arial" w:hAnsi="Arial" w:cs="Arial"/>
          <w:sz w:val="24"/>
          <w:szCs w:val="24"/>
        </w:rPr>
        <w:t xml:space="preserve"> overcome these weaknesses, both Marriott International and Hyatt Hotels must focus on innovation and invest in technology to remain competitive. Additionally, both companies must focus on marketing and customer acquisition </w:t>
      </w:r>
      <w:r>
        <w:rPr>
          <w:rFonts w:ascii="Arial" w:hAnsi="Arial" w:cs="Arial"/>
          <w:sz w:val="24"/>
          <w:szCs w:val="24"/>
        </w:rPr>
        <w:t>to</w:t>
      </w:r>
      <w:r w:rsidRPr="007E0BD4">
        <w:rPr>
          <w:rFonts w:ascii="Arial" w:hAnsi="Arial" w:cs="Arial"/>
          <w:sz w:val="24"/>
          <w:szCs w:val="24"/>
        </w:rPr>
        <w:t xml:space="preserve"> gain visibility in the consumer market. Finally, Marriott International must focus on diversifying its portfolio and expanding its international presence to gain market share. In contrast, Hyatt Hotels must focus on expanding its market presence and investing in marketing to reach new customers.</w:t>
      </w:r>
    </w:p>
    <w:p w14:paraId="11EC33E0" w14:textId="2D8EC64F" w:rsidR="00881396" w:rsidRDefault="00881396" w:rsidP="007D4B3C">
      <w:pPr>
        <w:spacing w:after="0" w:line="360" w:lineRule="auto"/>
        <w:ind w:firstLine="720"/>
        <w:jc w:val="both"/>
        <w:rPr>
          <w:rFonts w:ascii="Arial" w:hAnsi="Arial" w:cs="Arial"/>
          <w:sz w:val="24"/>
          <w:szCs w:val="24"/>
        </w:rPr>
      </w:pPr>
    </w:p>
    <w:p w14:paraId="595A8570" w14:textId="00BDF122" w:rsidR="00881396" w:rsidRDefault="00881396" w:rsidP="007D4B3C">
      <w:pPr>
        <w:spacing w:after="0" w:line="360" w:lineRule="auto"/>
        <w:ind w:firstLine="720"/>
        <w:jc w:val="both"/>
        <w:rPr>
          <w:rFonts w:ascii="Arial" w:hAnsi="Arial" w:cs="Arial"/>
          <w:sz w:val="24"/>
          <w:szCs w:val="24"/>
        </w:rPr>
      </w:pPr>
    </w:p>
    <w:p w14:paraId="11D857DB" w14:textId="33AF305F" w:rsidR="00881396" w:rsidRDefault="00881396" w:rsidP="007D4B3C">
      <w:pPr>
        <w:spacing w:after="0" w:line="360" w:lineRule="auto"/>
        <w:ind w:firstLine="720"/>
        <w:jc w:val="both"/>
        <w:rPr>
          <w:rFonts w:ascii="Arial" w:hAnsi="Arial" w:cs="Arial"/>
          <w:sz w:val="24"/>
          <w:szCs w:val="24"/>
        </w:rPr>
      </w:pPr>
    </w:p>
    <w:p w14:paraId="60AB1851" w14:textId="71BAE6AA" w:rsidR="00B67F83" w:rsidRDefault="00000000" w:rsidP="007D4B3C">
      <w:pPr>
        <w:spacing w:after="0" w:line="360" w:lineRule="auto"/>
        <w:ind w:firstLine="720"/>
        <w:jc w:val="both"/>
        <w:rPr>
          <w:rFonts w:ascii="Arial" w:hAnsi="Arial" w:cs="Arial"/>
          <w:b/>
          <w:bCs/>
          <w:sz w:val="24"/>
          <w:szCs w:val="24"/>
        </w:rPr>
      </w:pPr>
      <w:r w:rsidRPr="007E0BD4">
        <w:rPr>
          <w:rFonts w:ascii="Arial" w:hAnsi="Arial" w:cs="Arial"/>
          <w:b/>
          <w:bCs/>
          <w:sz w:val="24"/>
          <w:szCs w:val="24"/>
        </w:rPr>
        <w:lastRenderedPageBreak/>
        <w:t>Recommendation</w:t>
      </w:r>
    </w:p>
    <w:p w14:paraId="2A300A0F" w14:textId="77777777" w:rsidR="005C5B39" w:rsidRPr="007E0BD4" w:rsidRDefault="005C5B39" w:rsidP="007D4B3C">
      <w:pPr>
        <w:spacing w:after="0" w:line="360" w:lineRule="auto"/>
        <w:ind w:firstLine="720"/>
        <w:jc w:val="both"/>
        <w:rPr>
          <w:rFonts w:ascii="Arial" w:hAnsi="Arial" w:cs="Arial"/>
          <w:b/>
          <w:bCs/>
          <w:sz w:val="24"/>
          <w:szCs w:val="24"/>
        </w:rPr>
      </w:pPr>
    </w:p>
    <w:p w14:paraId="1143ED5F" w14:textId="2FA38F6D" w:rsidR="003D5D62" w:rsidRDefault="00000000" w:rsidP="007D4B3C">
      <w:pPr>
        <w:spacing w:after="0" w:line="360" w:lineRule="auto"/>
        <w:ind w:firstLine="720"/>
        <w:jc w:val="both"/>
        <w:rPr>
          <w:rFonts w:ascii="Arial" w:hAnsi="Arial" w:cs="Arial"/>
          <w:b/>
          <w:bCs/>
          <w:sz w:val="24"/>
          <w:szCs w:val="24"/>
        </w:rPr>
      </w:pPr>
      <w:r w:rsidRPr="007E0BD4">
        <w:rPr>
          <w:rFonts w:ascii="Arial" w:hAnsi="Arial" w:cs="Arial"/>
          <w:b/>
          <w:bCs/>
          <w:sz w:val="24"/>
          <w:szCs w:val="24"/>
        </w:rPr>
        <w:t>Opportunities for Growth</w:t>
      </w:r>
    </w:p>
    <w:p w14:paraId="30C2110E" w14:textId="77777777" w:rsidR="00D1175E" w:rsidRPr="007E0BD4" w:rsidRDefault="00D1175E" w:rsidP="007D4B3C">
      <w:pPr>
        <w:spacing w:after="0" w:line="360" w:lineRule="auto"/>
        <w:ind w:firstLine="720"/>
        <w:jc w:val="both"/>
        <w:rPr>
          <w:rFonts w:ascii="Arial" w:hAnsi="Arial" w:cs="Arial"/>
          <w:b/>
          <w:bCs/>
          <w:sz w:val="24"/>
          <w:szCs w:val="24"/>
        </w:rPr>
      </w:pPr>
    </w:p>
    <w:p w14:paraId="7ACF2310" w14:textId="14D7D35E" w:rsidR="003D5D62"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Marriott International and Hyatt Hotels both have strong potential for growth and should focus on investing in innovation to remain competitive. Marriott International should leverage its strong brand recognition and customer loyalty to increase its market share, while Hyatt Hotels should focus on increasing its market presence and expanding its portfolio. Additionally, both companies should continue investing in technology to improve customer experience and increase efficiency.</w:t>
      </w:r>
    </w:p>
    <w:p w14:paraId="36D47220" w14:textId="77777777" w:rsidR="00881396" w:rsidRPr="007E0BD4" w:rsidRDefault="00881396" w:rsidP="007D4B3C">
      <w:pPr>
        <w:spacing w:after="0" w:line="360" w:lineRule="auto"/>
        <w:ind w:firstLine="720"/>
        <w:jc w:val="both"/>
        <w:rPr>
          <w:rFonts w:ascii="Arial" w:hAnsi="Arial" w:cs="Arial"/>
          <w:sz w:val="24"/>
          <w:szCs w:val="24"/>
        </w:rPr>
      </w:pPr>
    </w:p>
    <w:p w14:paraId="2CBF112C" w14:textId="2015125D" w:rsidR="003D5D62" w:rsidRDefault="00000000" w:rsidP="007D4B3C">
      <w:pPr>
        <w:spacing w:after="0" w:line="360" w:lineRule="auto"/>
        <w:ind w:firstLine="720"/>
        <w:jc w:val="both"/>
        <w:rPr>
          <w:rFonts w:ascii="Arial" w:hAnsi="Arial" w:cs="Arial"/>
          <w:b/>
          <w:bCs/>
          <w:sz w:val="24"/>
          <w:szCs w:val="24"/>
        </w:rPr>
      </w:pPr>
      <w:r w:rsidRPr="007E0BD4">
        <w:rPr>
          <w:rFonts w:ascii="Arial" w:hAnsi="Arial" w:cs="Arial"/>
          <w:b/>
          <w:bCs/>
          <w:sz w:val="24"/>
          <w:szCs w:val="24"/>
        </w:rPr>
        <w:t>Potential for Outsourcing</w:t>
      </w:r>
    </w:p>
    <w:p w14:paraId="636E502D" w14:textId="77777777" w:rsidR="00D1175E" w:rsidRPr="007E0BD4" w:rsidRDefault="00D1175E" w:rsidP="007D4B3C">
      <w:pPr>
        <w:spacing w:after="0" w:line="360" w:lineRule="auto"/>
        <w:ind w:firstLine="720"/>
        <w:jc w:val="both"/>
        <w:rPr>
          <w:rFonts w:ascii="Arial" w:hAnsi="Arial" w:cs="Arial"/>
          <w:b/>
          <w:bCs/>
          <w:sz w:val="24"/>
          <w:szCs w:val="24"/>
        </w:rPr>
      </w:pPr>
    </w:p>
    <w:p w14:paraId="6D337250" w14:textId="0F2AF937" w:rsidR="00B67F83"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Marriott International and Hyatt Hotels should explore the potential for outsourcing certain services to reduce costs and improve efficiency. Both companies should consider outsourcing customer service, IT, and maintenance services to reduce costs and focus on their core business operations. They should also explore the potential for outsourcing certain administrative and non-core functions to reduce costs and streamline processes.</w:t>
      </w:r>
    </w:p>
    <w:p w14:paraId="7EA7604F" w14:textId="77777777" w:rsidR="00881396" w:rsidRPr="007E0BD4" w:rsidRDefault="00881396" w:rsidP="007D4B3C">
      <w:pPr>
        <w:spacing w:after="0" w:line="360" w:lineRule="auto"/>
        <w:ind w:firstLine="720"/>
        <w:jc w:val="both"/>
        <w:rPr>
          <w:rFonts w:ascii="Arial" w:hAnsi="Arial" w:cs="Arial"/>
          <w:sz w:val="24"/>
          <w:szCs w:val="24"/>
        </w:rPr>
      </w:pPr>
    </w:p>
    <w:p w14:paraId="2C774792" w14:textId="1A06B8C0" w:rsidR="00F81AA9" w:rsidRDefault="00000000" w:rsidP="007D4B3C">
      <w:pPr>
        <w:spacing w:after="0" w:line="360" w:lineRule="auto"/>
        <w:ind w:firstLine="720"/>
        <w:jc w:val="both"/>
        <w:rPr>
          <w:rFonts w:ascii="Arial" w:hAnsi="Arial" w:cs="Arial"/>
          <w:b/>
          <w:bCs/>
          <w:sz w:val="24"/>
          <w:szCs w:val="24"/>
        </w:rPr>
      </w:pPr>
      <w:r w:rsidRPr="007E0BD4">
        <w:rPr>
          <w:rFonts w:ascii="Arial" w:hAnsi="Arial" w:cs="Arial"/>
          <w:b/>
          <w:bCs/>
          <w:sz w:val="24"/>
          <w:szCs w:val="24"/>
        </w:rPr>
        <w:t>Conclusion</w:t>
      </w:r>
    </w:p>
    <w:p w14:paraId="0EEA4E88" w14:textId="77777777" w:rsidR="00D1175E" w:rsidRPr="007E0BD4" w:rsidRDefault="00D1175E" w:rsidP="007D4B3C">
      <w:pPr>
        <w:spacing w:after="0" w:line="360" w:lineRule="auto"/>
        <w:ind w:firstLine="720"/>
        <w:jc w:val="both"/>
        <w:rPr>
          <w:rFonts w:ascii="Arial" w:hAnsi="Arial" w:cs="Arial"/>
          <w:b/>
          <w:bCs/>
          <w:sz w:val="24"/>
          <w:szCs w:val="24"/>
        </w:rPr>
      </w:pPr>
    </w:p>
    <w:p w14:paraId="7B9E29B8" w14:textId="254FC80C" w:rsidR="00F81AA9" w:rsidRPr="007E0BD4" w:rsidRDefault="00000000" w:rsidP="007D4B3C">
      <w:pPr>
        <w:spacing w:after="0" w:line="360" w:lineRule="auto"/>
        <w:ind w:firstLine="720"/>
        <w:jc w:val="both"/>
        <w:rPr>
          <w:rFonts w:ascii="Arial" w:hAnsi="Arial" w:cs="Arial"/>
          <w:sz w:val="24"/>
          <w:szCs w:val="24"/>
        </w:rPr>
      </w:pPr>
      <w:r w:rsidRPr="007E0BD4">
        <w:rPr>
          <w:rFonts w:ascii="Arial" w:hAnsi="Arial" w:cs="Arial"/>
          <w:sz w:val="24"/>
          <w:szCs w:val="24"/>
        </w:rPr>
        <w:t>Marriott International and Hyatt Hotels have employed different financial management approaches to achieve success in the hospitality industry. While Marriott International has focused on aggressive expansion and strong brand recognition, Hyatt Hotels has focused on customer experience, diversification, and international expansion. Both companies have committed to corporate social responsibility initiatives and must continue investing in innovation and technology to remain competitive. Additionally, both companies should explore the potential for outsourcing certain services to reduce costs and improve efficiency. Through continued investment in these areas, Marriott International and Hyatt Hotels will be able to ensure continued growth and meet the demands of the changing hospitality market.</w:t>
      </w:r>
    </w:p>
    <w:p w14:paraId="44254159" w14:textId="77777777" w:rsidR="00D1175E" w:rsidRDefault="00D1175E" w:rsidP="00881396">
      <w:pPr>
        <w:spacing w:after="0" w:line="360" w:lineRule="auto"/>
        <w:jc w:val="both"/>
        <w:rPr>
          <w:rFonts w:ascii="Times New Roman" w:hAnsi="Times New Roman" w:cs="Times New Roman"/>
          <w:sz w:val="24"/>
          <w:szCs w:val="24"/>
        </w:rPr>
      </w:pPr>
    </w:p>
    <w:p w14:paraId="17CB694C" w14:textId="4DD37466" w:rsidR="004B6453" w:rsidRDefault="004B6453" w:rsidP="00881396">
      <w:pPr>
        <w:spacing w:after="0" w:line="360" w:lineRule="auto"/>
        <w:jc w:val="both"/>
        <w:rPr>
          <w:rFonts w:ascii="Arial" w:hAnsi="Arial" w:cs="Arial"/>
          <w:b/>
          <w:bCs/>
          <w:sz w:val="24"/>
          <w:szCs w:val="24"/>
        </w:rPr>
      </w:pPr>
      <w:r w:rsidRPr="00881396">
        <w:rPr>
          <w:rFonts w:ascii="Arial" w:hAnsi="Arial" w:cs="Arial"/>
          <w:b/>
          <w:bCs/>
          <w:sz w:val="24"/>
          <w:szCs w:val="24"/>
        </w:rPr>
        <w:t>References</w:t>
      </w:r>
    </w:p>
    <w:p w14:paraId="35FE4BDE" w14:textId="77B15F35" w:rsidR="00881396" w:rsidRDefault="00881396" w:rsidP="00881396">
      <w:pPr>
        <w:spacing w:after="0" w:line="360" w:lineRule="auto"/>
        <w:ind w:firstLine="720"/>
        <w:jc w:val="both"/>
        <w:rPr>
          <w:rFonts w:ascii="Arial" w:hAnsi="Arial" w:cs="Arial"/>
          <w:b/>
          <w:bCs/>
          <w:sz w:val="24"/>
          <w:szCs w:val="24"/>
        </w:rPr>
      </w:pPr>
    </w:p>
    <w:p w14:paraId="6A9E731B" w14:textId="5BB2C094" w:rsidR="00881396" w:rsidRDefault="00881396" w:rsidP="00881396">
      <w:pPr>
        <w:spacing w:after="0" w:line="360" w:lineRule="auto"/>
        <w:ind w:firstLine="720"/>
        <w:jc w:val="both"/>
        <w:rPr>
          <w:rFonts w:ascii="Arial" w:hAnsi="Arial" w:cs="Arial"/>
          <w:b/>
          <w:bCs/>
          <w:sz w:val="24"/>
          <w:szCs w:val="24"/>
        </w:rPr>
      </w:pPr>
    </w:p>
    <w:p w14:paraId="7392CB93" w14:textId="77777777" w:rsidR="00881396" w:rsidRPr="00881396" w:rsidRDefault="00881396" w:rsidP="00881396">
      <w:pPr>
        <w:spacing w:after="0" w:line="360" w:lineRule="auto"/>
        <w:ind w:firstLine="720"/>
        <w:jc w:val="both"/>
        <w:rPr>
          <w:rFonts w:ascii="Arial" w:hAnsi="Arial" w:cs="Arial"/>
          <w:b/>
          <w:bCs/>
          <w:sz w:val="24"/>
          <w:szCs w:val="24"/>
        </w:rPr>
      </w:pPr>
    </w:p>
    <w:p w14:paraId="709FA061" w14:textId="10FEBD24"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Abdou, A. H., Hassan, T. H., &amp; El Dief, M. M. (2020</w:t>
      </w:r>
      <w:r w:rsidRPr="00D1175E">
        <w:rPr>
          <w:rFonts w:ascii="Arial" w:hAnsi="Arial" w:cs="Arial"/>
          <w:i/>
          <w:iCs/>
          <w:color w:val="222222"/>
          <w:sz w:val="24"/>
          <w:szCs w:val="24"/>
          <w:shd w:val="clear" w:color="auto" w:fill="FFFFFF"/>
        </w:rPr>
        <w:t>) A description of green hotel practices</w:t>
      </w:r>
      <w:r w:rsidR="003441AA">
        <w:rPr>
          <w:rFonts w:ascii="Arial" w:hAnsi="Arial" w:cs="Arial"/>
          <w:i/>
          <w:iCs/>
          <w:color w:val="222222"/>
          <w:sz w:val="24"/>
          <w:szCs w:val="24"/>
          <w:shd w:val="clear" w:color="auto" w:fill="FFFFFF"/>
        </w:rPr>
        <w:t xml:space="preserve"> </w:t>
      </w:r>
      <w:r w:rsidRPr="00D1175E">
        <w:rPr>
          <w:rFonts w:ascii="Arial" w:hAnsi="Arial" w:cs="Arial"/>
          <w:i/>
          <w:iCs/>
          <w:color w:val="222222"/>
          <w:sz w:val="24"/>
          <w:szCs w:val="24"/>
          <w:shd w:val="clear" w:color="auto" w:fill="FFFFFF"/>
        </w:rPr>
        <w:t>and their role in achieving sustainable development.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Sustainability</w:t>
      </w:r>
      <w:r w:rsidR="00D1175E">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w:t>
      </w:r>
      <w:r w:rsidRPr="00D1175E">
        <w:rPr>
          <w:rFonts w:ascii="Arial" w:hAnsi="Arial" w:cs="Arial"/>
          <w:color w:val="222222"/>
          <w:sz w:val="24"/>
          <w:szCs w:val="24"/>
          <w:shd w:val="clear" w:color="auto" w:fill="FFFFFF"/>
        </w:rPr>
        <w:t>12(22), 9624</w:t>
      </w:r>
      <w:r w:rsidRPr="00881396">
        <w:rPr>
          <w:rFonts w:ascii="Arial" w:hAnsi="Arial" w:cs="Arial"/>
          <w:color w:val="222222"/>
          <w:sz w:val="24"/>
          <w:szCs w:val="24"/>
          <w:shd w:val="clear" w:color="auto" w:fill="FFFFFF"/>
        </w:rPr>
        <w:t>.</w:t>
      </w:r>
    </w:p>
    <w:p w14:paraId="36D8A326" w14:textId="51E56EE1"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Buhalis, D., &amp; Sinarta, Y. (2019)</w:t>
      </w:r>
      <w:r w:rsidR="00D1175E">
        <w:rPr>
          <w:rFonts w:ascii="Arial" w:hAnsi="Arial" w:cs="Arial"/>
          <w:color w:val="222222"/>
          <w:sz w:val="24"/>
          <w:szCs w:val="24"/>
          <w:shd w:val="clear" w:color="auto" w:fill="FFFFFF"/>
        </w:rPr>
        <w:t xml:space="preserve"> ‘</w:t>
      </w:r>
      <w:r w:rsidRPr="00881396">
        <w:rPr>
          <w:rFonts w:ascii="Arial" w:hAnsi="Arial" w:cs="Arial"/>
          <w:color w:val="222222"/>
          <w:sz w:val="24"/>
          <w:szCs w:val="24"/>
          <w:shd w:val="clear" w:color="auto" w:fill="FFFFFF"/>
        </w:rPr>
        <w:t>Real-time co-creation and nowness service: lessons from tourism and hospitality</w:t>
      </w:r>
      <w:r w:rsidR="001A4514">
        <w:rPr>
          <w:rFonts w:ascii="Arial" w:hAnsi="Arial" w:cs="Arial"/>
          <w:color w:val="222222"/>
          <w:sz w:val="24"/>
          <w:szCs w:val="24"/>
          <w:shd w:val="clear" w:color="auto" w:fill="FFFFFF"/>
        </w:rPr>
        <w:t xml:space="preserve">’, </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Journal of Travel &amp; Tourism Marketing</w:t>
      </w:r>
      <w:r w:rsidRPr="00881396">
        <w:rPr>
          <w:rFonts w:ascii="Arial" w:hAnsi="Arial" w:cs="Arial"/>
          <w:color w:val="222222"/>
          <w:sz w:val="24"/>
          <w:szCs w:val="24"/>
          <w:shd w:val="clear" w:color="auto" w:fill="FFFFFF"/>
        </w:rPr>
        <w:t>, </w:t>
      </w:r>
      <w:r w:rsidRPr="001A4514">
        <w:rPr>
          <w:rFonts w:ascii="Arial" w:hAnsi="Arial" w:cs="Arial"/>
          <w:color w:val="222222"/>
          <w:sz w:val="24"/>
          <w:szCs w:val="24"/>
          <w:shd w:val="clear" w:color="auto" w:fill="FFFFFF"/>
        </w:rPr>
        <w:t>36(5),</w:t>
      </w:r>
      <w:r w:rsidRPr="00881396">
        <w:rPr>
          <w:rFonts w:ascii="Arial" w:hAnsi="Arial" w:cs="Arial"/>
          <w:color w:val="222222"/>
          <w:sz w:val="24"/>
          <w:szCs w:val="24"/>
          <w:shd w:val="clear" w:color="auto" w:fill="FFFFFF"/>
        </w:rPr>
        <w:t xml:space="preserve"> 563-582.</w:t>
      </w:r>
    </w:p>
    <w:p w14:paraId="2FF7B0AA" w14:textId="255A7109"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Cebeillac, A., &amp; Vaguet, Y. (2021)</w:t>
      </w:r>
      <w:r w:rsidR="001A4514">
        <w:rPr>
          <w:rFonts w:ascii="Arial" w:hAnsi="Arial" w:cs="Arial"/>
          <w:color w:val="222222"/>
          <w:sz w:val="24"/>
          <w:szCs w:val="24"/>
          <w:shd w:val="clear" w:color="auto" w:fill="FFFFFF"/>
        </w:rPr>
        <w:t xml:space="preserve"> </w:t>
      </w:r>
      <w:r w:rsidRPr="00881396">
        <w:rPr>
          <w:rFonts w:ascii="Arial" w:hAnsi="Arial" w:cs="Arial"/>
          <w:color w:val="222222"/>
          <w:sz w:val="24"/>
          <w:szCs w:val="24"/>
          <w:shd w:val="clear" w:color="auto" w:fill="FFFFFF"/>
        </w:rPr>
        <w:t xml:space="preserve"> </w:t>
      </w:r>
      <w:r w:rsidRPr="00953956">
        <w:rPr>
          <w:rFonts w:ascii="Arial" w:hAnsi="Arial" w:cs="Arial"/>
          <w:i/>
          <w:iCs/>
          <w:color w:val="222222"/>
          <w:sz w:val="24"/>
          <w:szCs w:val="24"/>
          <w:shd w:val="clear" w:color="auto" w:fill="FFFFFF"/>
        </w:rPr>
        <w:t>What can we learn from Airbnb data on tourist flows? A case study on Iceland.</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Espace populations sociétés. Space populations societies</w:t>
      </w:r>
      <w:r w:rsidRPr="00881396">
        <w:rPr>
          <w:rFonts w:ascii="Arial" w:hAnsi="Arial" w:cs="Arial"/>
          <w:color w:val="222222"/>
          <w:sz w:val="24"/>
          <w:szCs w:val="24"/>
          <w:shd w:val="clear" w:color="auto" w:fill="FFFFFF"/>
        </w:rPr>
        <w:t>, (2020/3-2021/1).</w:t>
      </w:r>
    </w:p>
    <w:p w14:paraId="4C4124A7" w14:textId="19AF2BA8"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 xml:space="preserve">Chowdhury, R., &amp; Chowdhury, R. (2019) </w:t>
      </w:r>
      <w:r w:rsidRPr="00953956">
        <w:rPr>
          <w:rFonts w:ascii="Arial" w:hAnsi="Arial" w:cs="Arial"/>
          <w:i/>
          <w:iCs/>
          <w:color w:val="222222"/>
          <w:sz w:val="24"/>
          <w:szCs w:val="24"/>
          <w:shd w:val="clear" w:color="auto" w:fill="FFFFFF"/>
        </w:rPr>
        <w:t>A holistic approach to employee engagement. Systems Thinking for Management Consulta</w:t>
      </w:r>
      <w:r w:rsidRPr="00881396">
        <w:rPr>
          <w:rFonts w:ascii="Arial" w:hAnsi="Arial" w:cs="Arial"/>
          <w:i/>
          <w:iCs/>
          <w:color w:val="222222"/>
          <w:sz w:val="24"/>
          <w:szCs w:val="24"/>
          <w:shd w:val="clear" w:color="auto" w:fill="FFFFFF"/>
        </w:rPr>
        <w:t>nts: Introducing Holistic Flexibility</w:t>
      </w:r>
      <w:r w:rsidRPr="00881396">
        <w:rPr>
          <w:rFonts w:ascii="Arial" w:hAnsi="Arial" w:cs="Arial"/>
          <w:color w:val="222222"/>
          <w:sz w:val="24"/>
          <w:szCs w:val="24"/>
          <w:shd w:val="clear" w:color="auto" w:fill="FFFFFF"/>
        </w:rPr>
        <w:t>, 269-304.</w:t>
      </w:r>
    </w:p>
    <w:p w14:paraId="7A27EBAA" w14:textId="2A8FA2B5"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Dumoulin, R., &amp; Giacomel, A. (2020</w:t>
      </w:r>
      <w:r w:rsidRPr="00953956">
        <w:rPr>
          <w:rFonts w:ascii="Arial" w:hAnsi="Arial" w:cs="Arial"/>
          <w:i/>
          <w:iCs/>
          <w:color w:val="222222"/>
          <w:sz w:val="24"/>
          <w:szCs w:val="24"/>
          <w:shd w:val="clear" w:color="auto" w:fill="FFFFFF"/>
        </w:rPr>
        <w:t>)</w:t>
      </w:r>
      <w:r w:rsidR="001A4514" w:rsidRPr="00953956">
        <w:rPr>
          <w:rFonts w:ascii="Arial" w:hAnsi="Arial" w:cs="Arial"/>
          <w:i/>
          <w:iCs/>
          <w:color w:val="222222"/>
          <w:sz w:val="24"/>
          <w:szCs w:val="24"/>
          <w:shd w:val="clear" w:color="auto" w:fill="FFFFFF"/>
        </w:rPr>
        <w:t xml:space="preserve"> </w:t>
      </w:r>
      <w:r w:rsidRPr="00953956">
        <w:rPr>
          <w:rFonts w:ascii="Arial" w:hAnsi="Arial" w:cs="Arial"/>
          <w:i/>
          <w:iCs/>
          <w:color w:val="222222"/>
          <w:sz w:val="24"/>
          <w:szCs w:val="24"/>
          <w:shd w:val="clear" w:color="auto" w:fill="FFFFFF"/>
        </w:rPr>
        <w:t xml:space="preserve"> Disruption and the strategy of hotel groups</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Shapes of Tourism Employment: HRM in the Worlds of Hotels and Air Transport</w:t>
      </w:r>
      <w:r w:rsidRPr="00881396">
        <w:rPr>
          <w:rFonts w:ascii="Arial" w:hAnsi="Arial" w:cs="Arial"/>
          <w:color w:val="222222"/>
          <w:sz w:val="24"/>
          <w:szCs w:val="24"/>
          <w:shd w:val="clear" w:color="auto" w:fill="FFFFFF"/>
        </w:rPr>
        <w:t>, </w:t>
      </w:r>
      <w:r w:rsidRPr="001A4514">
        <w:rPr>
          <w:rFonts w:ascii="Arial" w:hAnsi="Arial" w:cs="Arial"/>
          <w:color w:val="222222"/>
          <w:sz w:val="24"/>
          <w:szCs w:val="24"/>
          <w:shd w:val="clear" w:color="auto" w:fill="FFFFFF"/>
        </w:rPr>
        <w:t>4</w:t>
      </w:r>
      <w:r w:rsidRPr="00881396">
        <w:rPr>
          <w:rFonts w:ascii="Arial" w:hAnsi="Arial" w:cs="Arial"/>
          <w:color w:val="222222"/>
          <w:sz w:val="24"/>
          <w:szCs w:val="24"/>
          <w:shd w:val="clear" w:color="auto" w:fill="FFFFFF"/>
        </w:rPr>
        <w:t>, 9-21.</w:t>
      </w:r>
    </w:p>
    <w:p w14:paraId="6888C028" w14:textId="0B1FB9DA"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Furr, N., Ozcan, P., &amp; Eisenhardt, K. M. (2022</w:t>
      </w:r>
      <w:r w:rsidRPr="00953956">
        <w:rPr>
          <w:rFonts w:ascii="Arial" w:hAnsi="Arial" w:cs="Arial"/>
          <w:i/>
          <w:iCs/>
          <w:color w:val="222222"/>
          <w:sz w:val="24"/>
          <w:szCs w:val="24"/>
          <w:shd w:val="clear" w:color="auto" w:fill="FFFFFF"/>
        </w:rPr>
        <w:t xml:space="preserve">) </w:t>
      </w:r>
      <w:r w:rsidR="00953956">
        <w:rPr>
          <w:rFonts w:ascii="Arial" w:hAnsi="Arial" w:cs="Arial"/>
          <w:color w:val="222222"/>
          <w:sz w:val="24"/>
          <w:szCs w:val="24"/>
          <w:shd w:val="clear" w:color="auto" w:fill="FFFFFF"/>
        </w:rPr>
        <w:t>‘</w:t>
      </w:r>
      <w:r w:rsidRPr="00953956">
        <w:rPr>
          <w:rFonts w:ascii="Arial" w:hAnsi="Arial" w:cs="Arial"/>
          <w:color w:val="222222"/>
          <w:sz w:val="24"/>
          <w:szCs w:val="24"/>
          <w:shd w:val="clear" w:color="auto" w:fill="FFFFFF"/>
        </w:rPr>
        <w:t>What is digital transformation? Core tensions facing established companies on the global stage</w:t>
      </w:r>
      <w:r w:rsidR="00953956">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Global Strategy Journal</w:t>
      </w:r>
      <w:r w:rsidRPr="00881396">
        <w:rPr>
          <w:rFonts w:ascii="Arial" w:hAnsi="Arial" w:cs="Arial"/>
          <w:color w:val="222222"/>
          <w:sz w:val="24"/>
          <w:szCs w:val="24"/>
          <w:shd w:val="clear" w:color="auto" w:fill="FFFFFF"/>
        </w:rPr>
        <w:t>, </w:t>
      </w:r>
      <w:r w:rsidRPr="001A4514">
        <w:rPr>
          <w:rFonts w:ascii="Arial" w:hAnsi="Arial" w:cs="Arial"/>
          <w:color w:val="222222"/>
          <w:sz w:val="24"/>
          <w:szCs w:val="24"/>
          <w:shd w:val="clear" w:color="auto" w:fill="FFFFFF"/>
        </w:rPr>
        <w:t>12(</w:t>
      </w:r>
      <w:r w:rsidRPr="00881396">
        <w:rPr>
          <w:rFonts w:ascii="Arial" w:hAnsi="Arial" w:cs="Arial"/>
          <w:color w:val="222222"/>
          <w:sz w:val="24"/>
          <w:szCs w:val="24"/>
          <w:shd w:val="clear" w:color="auto" w:fill="FFFFFF"/>
        </w:rPr>
        <w:t>4), 595-618.</w:t>
      </w:r>
    </w:p>
    <w:p w14:paraId="6140B1D8" w14:textId="6361D4CA"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Haywood, J., Mayock, P., Freitag, J., Owoo, K. A., &amp; Fiorilla, B. (2017</w:t>
      </w:r>
      <w:r w:rsidRPr="001A4514">
        <w:rPr>
          <w:rFonts w:ascii="Arial" w:hAnsi="Arial" w:cs="Arial"/>
          <w:color w:val="222222"/>
          <w:sz w:val="24"/>
          <w:szCs w:val="24"/>
          <w:shd w:val="clear" w:color="auto" w:fill="FFFFFF"/>
        </w:rPr>
        <w:t xml:space="preserve">) </w:t>
      </w:r>
      <w:r w:rsidRPr="00953956">
        <w:rPr>
          <w:rFonts w:ascii="Arial" w:hAnsi="Arial" w:cs="Arial"/>
          <w:i/>
          <w:iCs/>
          <w:color w:val="222222"/>
          <w:sz w:val="24"/>
          <w:szCs w:val="24"/>
          <w:shd w:val="clear" w:color="auto" w:fill="FFFFFF"/>
        </w:rPr>
        <w:t>Airbnb &amp; hotel performance</w:t>
      </w:r>
      <w:r w:rsidRPr="001A4514">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w:t>
      </w:r>
      <w:r w:rsidRPr="001A4514">
        <w:rPr>
          <w:rFonts w:ascii="Arial" w:hAnsi="Arial" w:cs="Arial"/>
          <w:color w:val="222222"/>
          <w:sz w:val="24"/>
          <w:szCs w:val="24"/>
          <w:shd w:val="clear" w:color="auto" w:fill="FFFFFF"/>
        </w:rPr>
        <w:t>STR publication</w:t>
      </w:r>
      <w:r w:rsidRPr="00881396">
        <w:rPr>
          <w:rFonts w:ascii="Arial" w:hAnsi="Arial" w:cs="Arial"/>
          <w:color w:val="222222"/>
          <w:sz w:val="24"/>
          <w:szCs w:val="24"/>
          <w:shd w:val="clear" w:color="auto" w:fill="FFFFFF"/>
        </w:rPr>
        <w:t>.</w:t>
      </w:r>
    </w:p>
    <w:p w14:paraId="09F39A37" w14:textId="44CEA1D0"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 xml:space="preserve">Hughes, J. C. (2018) </w:t>
      </w:r>
      <w:r w:rsidRPr="00953956">
        <w:rPr>
          <w:rFonts w:ascii="Arial" w:hAnsi="Arial" w:cs="Arial"/>
          <w:i/>
          <w:iCs/>
          <w:color w:val="222222"/>
          <w:sz w:val="24"/>
          <w:szCs w:val="24"/>
          <w:shd w:val="clear" w:color="auto" w:fill="FFFFFF"/>
        </w:rPr>
        <w:t>The changing tourism and hospitality context: Implications for human resource management in an age of disruption and growth.</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Handbook of human resource management in the tourism and hospitality industries</w:t>
      </w:r>
      <w:r w:rsidRPr="00881396">
        <w:rPr>
          <w:rFonts w:ascii="Arial" w:hAnsi="Arial" w:cs="Arial"/>
          <w:color w:val="222222"/>
          <w:sz w:val="24"/>
          <w:szCs w:val="24"/>
          <w:shd w:val="clear" w:color="auto" w:fill="FFFFFF"/>
        </w:rPr>
        <w:t>, 40-64.</w:t>
      </w:r>
    </w:p>
    <w:p w14:paraId="616FF54A" w14:textId="462282ED"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 xml:space="preserve">Jones, P., &amp; Comfort, D. (2019) </w:t>
      </w:r>
      <w:r w:rsidRPr="00953956">
        <w:rPr>
          <w:rFonts w:ascii="Arial" w:hAnsi="Arial" w:cs="Arial"/>
          <w:i/>
          <w:iCs/>
          <w:color w:val="222222"/>
          <w:sz w:val="24"/>
          <w:szCs w:val="24"/>
          <w:shd w:val="clear" w:color="auto" w:fill="FFFFFF"/>
        </w:rPr>
        <w:t>Sustainable development goals and the world’s leading hotel groups</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Athens Journal of Tourism</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6</w:t>
      </w:r>
      <w:r w:rsidRPr="00881396">
        <w:rPr>
          <w:rFonts w:ascii="Arial" w:hAnsi="Arial" w:cs="Arial"/>
          <w:color w:val="222222"/>
          <w:sz w:val="24"/>
          <w:szCs w:val="24"/>
          <w:shd w:val="clear" w:color="auto" w:fill="FFFFFF"/>
        </w:rPr>
        <w:t>(1), 1-14.</w:t>
      </w:r>
    </w:p>
    <w:p w14:paraId="1F21F266" w14:textId="3C14C04C"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 xml:space="preserve">Kang, J. W., &amp; Namkung, Y. (2018) </w:t>
      </w:r>
      <w:r w:rsidR="00953956">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The effect of corporate social responsibility on brand equity and the moderating role of ethical consumerism: The case of Starbucks</w:t>
      </w:r>
      <w:r w:rsidR="00953956">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Journal of Hospitality &amp; Tourism Research</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42</w:t>
      </w:r>
      <w:r w:rsidRPr="00881396">
        <w:rPr>
          <w:rFonts w:ascii="Arial" w:hAnsi="Arial" w:cs="Arial"/>
          <w:color w:val="222222"/>
          <w:sz w:val="24"/>
          <w:szCs w:val="24"/>
          <w:shd w:val="clear" w:color="auto" w:fill="FFFFFF"/>
        </w:rPr>
        <w:t>(7), 1130-1151.</w:t>
      </w:r>
    </w:p>
    <w:p w14:paraId="745CF6B6" w14:textId="032206A2"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 xml:space="preserve">Khanna, A., &amp; Chopra, D. (2016) </w:t>
      </w:r>
      <w:r w:rsidRPr="00953956">
        <w:rPr>
          <w:rFonts w:ascii="Arial" w:hAnsi="Arial" w:cs="Arial"/>
          <w:i/>
          <w:iCs/>
          <w:color w:val="222222"/>
          <w:sz w:val="24"/>
          <w:szCs w:val="24"/>
          <w:shd w:val="clear" w:color="auto" w:fill="FFFFFF"/>
        </w:rPr>
        <w:t>Hotels In India Trends &amp; Opportunities</w:t>
      </w:r>
      <w:r w:rsidRPr="00881396">
        <w:rPr>
          <w:rFonts w:ascii="Arial" w:hAnsi="Arial" w:cs="Arial"/>
          <w:color w:val="222222"/>
          <w:sz w:val="24"/>
          <w:szCs w:val="24"/>
          <w:shd w:val="clear" w:color="auto" w:fill="FFFFFF"/>
        </w:rPr>
        <w:t>. </w:t>
      </w:r>
      <w:r w:rsidRPr="00953956">
        <w:rPr>
          <w:rFonts w:ascii="Arial" w:hAnsi="Arial" w:cs="Arial"/>
          <w:color w:val="222222"/>
          <w:sz w:val="24"/>
          <w:szCs w:val="24"/>
          <w:shd w:val="clear" w:color="auto" w:fill="FFFFFF"/>
        </w:rPr>
        <w:t>HVS Report</w:t>
      </w:r>
      <w:r w:rsidRPr="00881396">
        <w:rPr>
          <w:rFonts w:ascii="Arial" w:hAnsi="Arial" w:cs="Arial"/>
          <w:color w:val="222222"/>
          <w:sz w:val="24"/>
          <w:szCs w:val="24"/>
          <w:shd w:val="clear" w:color="auto" w:fill="FFFFFF"/>
        </w:rPr>
        <w:t>.</w:t>
      </w:r>
    </w:p>
    <w:p w14:paraId="2D71A525" w14:textId="4B651692" w:rsidR="004B6453" w:rsidRPr="00953956" w:rsidRDefault="004B6453" w:rsidP="003441AA">
      <w:pPr>
        <w:spacing w:after="0" w:line="360" w:lineRule="auto"/>
        <w:jc w:val="both"/>
        <w:rPr>
          <w:rFonts w:ascii="Arial" w:hAnsi="Arial" w:cs="Arial"/>
          <w:i/>
          <w:iCs/>
          <w:color w:val="222222"/>
          <w:sz w:val="24"/>
          <w:szCs w:val="24"/>
          <w:shd w:val="clear" w:color="auto" w:fill="FFFFFF"/>
        </w:rPr>
      </w:pPr>
      <w:r w:rsidRPr="00881396">
        <w:rPr>
          <w:rFonts w:ascii="Arial" w:hAnsi="Arial" w:cs="Arial"/>
          <w:color w:val="222222"/>
          <w:sz w:val="24"/>
          <w:szCs w:val="24"/>
          <w:shd w:val="clear" w:color="auto" w:fill="FFFFFF"/>
        </w:rPr>
        <w:lastRenderedPageBreak/>
        <w:t xml:space="preserve">Korjala, V. (2013) </w:t>
      </w:r>
      <w:r w:rsidRPr="00953956">
        <w:rPr>
          <w:rFonts w:ascii="Arial" w:hAnsi="Arial" w:cs="Arial"/>
          <w:i/>
          <w:iCs/>
          <w:color w:val="222222"/>
          <w:sz w:val="24"/>
          <w:szCs w:val="24"/>
          <w:shd w:val="clear" w:color="auto" w:fill="FFFFFF"/>
        </w:rPr>
        <w:t>Cultural diversity in hospitality management: how to improve cultural diversity workforce.</w:t>
      </w:r>
    </w:p>
    <w:p w14:paraId="7BD94E2F" w14:textId="77777777" w:rsidR="004B6453" w:rsidRPr="00881396" w:rsidRDefault="004B6453" w:rsidP="003441AA">
      <w:pPr>
        <w:spacing w:after="0" w:line="360" w:lineRule="auto"/>
        <w:jc w:val="both"/>
        <w:rPr>
          <w:rFonts w:ascii="Arial" w:hAnsi="Arial" w:cs="Arial"/>
          <w:sz w:val="24"/>
          <w:szCs w:val="24"/>
        </w:rPr>
      </w:pPr>
      <w:r w:rsidRPr="00881396">
        <w:rPr>
          <w:rFonts w:ascii="Arial" w:hAnsi="Arial" w:cs="Arial"/>
          <w:color w:val="222222"/>
          <w:sz w:val="24"/>
          <w:szCs w:val="24"/>
          <w:shd w:val="clear" w:color="auto" w:fill="FFFFFF"/>
        </w:rPr>
        <w:t>Kucukusta, D., Mak, A., &amp; Chan, X. (2013). Corporate social responsibility practices in four and five-star hotels: Perspectives from Hong Kong visitors. </w:t>
      </w:r>
      <w:r w:rsidRPr="00881396">
        <w:rPr>
          <w:rFonts w:ascii="Arial" w:hAnsi="Arial" w:cs="Arial"/>
          <w:i/>
          <w:iCs/>
          <w:color w:val="222222"/>
          <w:sz w:val="24"/>
          <w:szCs w:val="24"/>
          <w:shd w:val="clear" w:color="auto" w:fill="FFFFFF"/>
        </w:rPr>
        <w:t>International Journal of Hospitality Management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34</w:t>
      </w:r>
      <w:r w:rsidRPr="00881396">
        <w:rPr>
          <w:rFonts w:ascii="Arial" w:hAnsi="Arial" w:cs="Arial"/>
          <w:color w:val="222222"/>
          <w:sz w:val="24"/>
          <w:szCs w:val="24"/>
          <w:shd w:val="clear" w:color="auto" w:fill="FFFFFF"/>
        </w:rPr>
        <w:t>, 19-30.</w:t>
      </w:r>
    </w:p>
    <w:p w14:paraId="5A9967CB" w14:textId="4BC662D1"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 xml:space="preserve">Mody, M. A., Suess, C., &amp; Lehto, X. (2017) </w:t>
      </w:r>
      <w:r w:rsidR="00953956">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xml:space="preserve">The accommodation </w:t>
      </w:r>
      <w:r w:rsidR="007D4B3C" w:rsidRPr="00881396">
        <w:rPr>
          <w:rFonts w:ascii="Arial" w:hAnsi="Arial" w:cs="Arial"/>
          <w:color w:val="222222"/>
          <w:sz w:val="24"/>
          <w:szCs w:val="24"/>
          <w:shd w:val="clear" w:color="auto" w:fill="FFFFFF"/>
        </w:rPr>
        <w:t>experience scape</w:t>
      </w:r>
      <w:r w:rsidRPr="00881396">
        <w:rPr>
          <w:rFonts w:ascii="Arial" w:hAnsi="Arial" w:cs="Arial"/>
          <w:color w:val="222222"/>
          <w:sz w:val="24"/>
          <w:szCs w:val="24"/>
          <w:shd w:val="clear" w:color="auto" w:fill="FFFFFF"/>
        </w:rPr>
        <w:t>: a comparative assessment of hotels and Airbnb</w:t>
      </w:r>
      <w:r w:rsidR="00953956">
        <w:rPr>
          <w:rFonts w:ascii="Arial" w:hAnsi="Arial" w:cs="Arial"/>
          <w:color w:val="222222"/>
          <w:sz w:val="24"/>
          <w:szCs w:val="24"/>
          <w:shd w:val="clear" w:color="auto" w:fill="FFFFFF"/>
        </w:rPr>
        <w:t xml:space="preserve">’, </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International Journal of Contemporary Hospitality Management</w:t>
      </w:r>
      <w:r w:rsidRPr="00881396">
        <w:rPr>
          <w:rFonts w:ascii="Arial" w:hAnsi="Arial" w:cs="Arial"/>
          <w:color w:val="222222"/>
          <w:sz w:val="24"/>
          <w:szCs w:val="24"/>
          <w:shd w:val="clear" w:color="auto" w:fill="FFFFFF"/>
        </w:rPr>
        <w:t>.</w:t>
      </w:r>
    </w:p>
    <w:p w14:paraId="4A2FC75D" w14:textId="09D99C2E"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O’Neill, J. W., Dev, C. S., &amp; Hiromi, Y. (2013)</w:t>
      </w:r>
      <w:r w:rsidR="00953956">
        <w:rPr>
          <w:rFonts w:ascii="Arial" w:hAnsi="Arial" w:cs="Arial"/>
          <w:color w:val="222222"/>
          <w:sz w:val="24"/>
          <w:szCs w:val="24"/>
          <w:shd w:val="clear" w:color="auto" w:fill="FFFFFF"/>
        </w:rPr>
        <w:t xml:space="preserve"> ‘</w:t>
      </w:r>
      <w:r w:rsidRPr="00881396">
        <w:rPr>
          <w:rFonts w:ascii="Arial" w:hAnsi="Arial" w:cs="Arial"/>
          <w:color w:val="222222"/>
          <w:sz w:val="24"/>
          <w:szCs w:val="24"/>
          <w:shd w:val="clear" w:color="auto" w:fill="FFFFFF"/>
        </w:rPr>
        <w:t>Hotel assets: an analysis of brand attributes, franchise fees, hotel age</w:t>
      </w:r>
      <w:r w:rsidR="00B20578">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xml:space="preserve"> and performance</w:t>
      </w:r>
      <w:r w:rsidR="00953956">
        <w:rPr>
          <w:rFonts w:ascii="Arial" w:hAnsi="Arial" w:cs="Arial"/>
          <w:color w:val="222222"/>
          <w:sz w:val="24"/>
          <w:szCs w:val="24"/>
          <w:shd w:val="clear" w:color="auto" w:fill="FFFFFF"/>
        </w:rPr>
        <w:t xml:space="preserve">’, </w:t>
      </w:r>
      <w:r w:rsidRPr="00881396">
        <w:rPr>
          <w:rFonts w:ascii="Arial" w:hAnsi="Arial" w:cs="Arial"/>
          <w:i/>
          <w:iCs/>
          <w:color w:val="222222"/>
          <w:sz w:val="24"/>
          <w:szCs w:val="24"/>
          <w:shd w:val="clear" w:color="auto" w:fill="FFFFFF"/>
        </w:rPr>
        <w:t>International Journal of the Built Environment and Asset Management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1</w:t>
      </w:r>
      <w:r w:rsidRPr="00881396">
        <w:rPr>
          <w:rFonts w:ascii="Arial" w:hAnsi="Arial" w:cs="Arial"/>
          <w:color w:val="222222"/>
          <w:sz w:val="24"/>
          <w:szCs w:val="24"/>
          <w:shd w:val="clear" w:color="auto" w:fill="FFFFFF"/>
        </w:rPr>
        <w:t>(2), 139-164.</w:t>
      </w:r>
    </w:p>
    <w:p w14:paraId="260014DA" w14:textId="7C4957F7"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Sohn, J., Tang, C. H. H., &amp; Jang, S. S. (2013)</w:t>
      </w:r>
      <w:r w:rsidR="00953956">
        <w:rPr>
          <w:rFonts w:ascii="Arial" w:hAnsi="Arial" w:cs="Arial"/>
          <w:color w:val="222222"/>
          <w:sz w:val="24"/>
          <w:szCs w:val="24"/>
          <w:shd w:val="clear" w:color="auto" w:fill="FFFFFF"/>
        </w:rPr>
        <w:t xml:space="preserve"> ‘</w:t>
      </w:r>
      <w:r w:rsidRPr="00881396">
        <w:rPr>
          <w:rFonts w:ascii="Arial" w:hAnsi="Arial" w:cs="Arial"/>
          <w:color w:val="222222"/>
          <w:sz w:val="24"/>
          <w:szCs w:val="24"/>
          <w:shd w:val="clear" w:color="auto" w:fill="FFFFFF"/>
        </w:rPr>
        <w:t>Does the asset-light and fee-oriented strategy create value?</w:t>
      </w:r>
      <w:r w:rsidR="00953956">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International Journal of Hospitality Management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32</w:t>
      </w:r>
      <w:r w:rsidRPr="00881396">
        <w:rPr>
          <w:rFonts w:ascii="Arial" w:hAnsi="Arial" w:cs="Arial"/>
          <w:color w:val="222222"/>
          <w:sz w:val="24"/>
          <w:szCs w:val="24"/>
          <w:shd w:val="clear" w:color="auto" w:fill="FFFFFF"/>
        </w:rPr>
        <w:t>, 270-277.</w:t>
      </w:r>
    </w:p>
    <w:p w14:paraId="6C2CAF68" w14:textId="2B1163F2"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Syed, J. (2020) China’s Belt and Road Initiative: A Pakistani Perspective. </w:t>
      </w:r>
      <w:r w:rsidRPr="00881396">
        <w:rPr>
          <w:rFonts w:ascii="Arial" w:hAnsi="Arial" w:cs="Arial"/>
          <w:i/>
          <w:iCs/>
          <w:color w:val="222222"/>
          <w:sz w:val="24"/>
          <w:szCs w:val="24"/>
          <w:shd w:val="clear" w:color="auto" w:fill="FFFFFF"/>
        </w:rPr>
        <w:t>China’s Belt and Road Initiative in a Global Context: Volume II: The China Pakistan Economic Corridor and its Implications for Business</w:t>
      </w:r>
      <w:r w:rsidRPr="00881396">
        <w:rPr>
          <w:rFonts w:ascii="Arial" w:hAnsi="Arial" w:cs="Arial"/>
          <w:color w:val="222222"/>
          <w:sz w:val="24"/>
          <w:szCs w:val="24"/>
          <w:shd w:val="clear" w:color="auto" w:fill="FFFFFF"/>
        </w:rPr>
        <w:t>, 13-40.</w:t>
      </w:r>
    </w:p>
    <w:p w14:paraId="09521C2D" w14:textId="70ACAA62"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Tanford, S., Shoemaker, S., &amp; Dinca, A. (2016)</w:t>
      </w:r>
      <w:r w:rsidR="00953956">
        <w:rPr>
          <w:rFonts w:ascii="Arial" w:hAnsi="Arial" w:cs="Arial"/>
          <w:color w:val="222222"/>
          <w:sz w:val="24"/>
          <w:szCs w:val="24"/>
          <w:shd w:val="clear" w:color="auto" w:fill="FFFFFF"/>
        </w:rPr>
        <w:t xml:space="preserve"> ‘</w:t>
      </w:r>
      <w:r w:rsidRPr="00881396">
        <w:rPr>
          <w:rFonts w:ascii="Arial" w:hAnsi="Arial" w:cs="Arial"/>
          <w:color w:val="222222"/>
          <w:sz w:val="24"/>
          <w:szCs w:val="24"/>
          <w:shd w:val="clear" w:color="auto" w:fill="FFFFFF"/>
        </w:rPr>
        <w:t>Back to the future: progress and trends in hotel loyalty marketing</w:t>
      </w:r>
      <w:r w:rsidR="00953956">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International Journal of Contemporary Hospitality Management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28</w:t>
      </w:r>
      <w:r w:rsidRPr="00881396">
        <w:rPr>
          <w:rFonts w:ascii="Arial" w:hAnsi="Arial" w:cs="Arial"/>
          <w:color w:val="222222"/>
          <w:sz w:val="24"/>
          <w:szCs w:val="24"/>
          <w:shd w:val="clear" w:color="auto" w:fill="FFFFFF"/>
        </w:rPr>
        <w:t>(9), 1937-1967.</w:t>
      </w:r>
    </w:p>
    <w:p w14:paraId="2E0F9356" w14:textId="1848F8AE"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Verevka, T. V. (2019)</w:t>
      </w:r>
      <w:r w:rsidR="00953956">
        <w:rPr>
          <w:rFonts w:ascii="Arial" w:hAnsi="Arial" w:cs="Arial"/>
          <w:color w:val="222222"/>
          <w:sz w:val="24"/>
          <w:szCs w:val="24"/>
          <w:shd w:val="clear" w:color="auto" w:fill="FFFFFF"/>
        </w:rPr>
        <w:t xml:space="preserve"> ‘</w:t>
      </w:r>
      <w:r w:rsidRPr="00881396">
        <w:rPr>
          <w:rFonts w:ascii="Arial" w:hAnsi="Arial" w:cs="Arial"/>
          <w:color w:val="222222"/>
          <w:sz w:val="24"/>
          <w:szCs w:val="24"/>
          <w:shd w:val="clear" w:color="auto" w:fill="FFFFFF"/>
        </w:rPr>
        <w:t>Development of industry 4.0 in the hotel and restaurant business</w:t>
      </w:r>
      <w:r w:rsidR="00953956">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IBIMA business review</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324071</w:t>
      </w:r>
      <w:r w:rsidRPr="00881396">
        <w:rPr>
          <w:rFonts w:ascii="Arial" w:hAnsi="Arial" w:cs="Arial"/>
          <w:color w:val="222222"/>
          <w:sz w:val="24"/>
          <w:szCs w:val="24"/>
          <w:shd w:val="clear" w:color="auto" w:fill="FFFFFF"/>
        </w:rPr>
        <w:t>.</w:t>
      </w:r>
    </w:p>
    <w:p w14:paraId="26940B6F" w14:textId="7B494B3C"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Wickham, M., French, L., &amp; Wong, T. (2020)</w:t>
      </w:r>
      <w:r w:rsidR="00953956">
        <w:rPr>
          <w:rFonts w:ascii="Arial" w:hAnsi="Arial" w:cs="Arial"/>
          <w:color w:val="222222"/>
          <w:sz w:val="24"/>
          <w:szCs w:val="24"/>
          <w:shd w:val="clear" w:color="auto" w:fill="FFFFFF"/>
        </w:rPr>
        <w:t xml:space="preserve"> ‘</w:t>
      </w:r>
      <w:r w:rsidRPr="00881396">
        <w:rPr>
          <w:rFonts w:ascii="Arial" w:hAnsi="Arial" w:cs="Arial"/>
          <w:color w:val="222222"/>
          <w:sz w:val="24"/>
          <w:szCs w:val="24"/>
          <w:shd w:val="clear" w:color="auto" w:fill="FFFFFF"/>
        </w:rPr>
        <w:t>Marriott's strategic sustainability priorities in the Chinese hotel industry</w:t>
      </w:r>
      <w:r w:rsidR="00953956">
        <w:rPr>
          <w:rFonts w:ascii="Arial" w:hAnsi="Arial" w:cs="Arial"/>
          <w:color w:val="222222"/>
          <w:sz w:val="24"/>
          <w:szCs w:val="24"/>
          <w:shd w:val="clear" w:color="auto" w:fill="FFFFFF"/>
        </w:rPr>
        <w: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International Journal of Sustainable Strategic Management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8</w:t>
      </w:r>
      <w:r w:rsidRPr="00881396">
        <w:rPr>
          <w:rFonts w:ascii="Arial" w:hAnsi="Arial" w:cs="Arial"/>
          <w:color w:val="222222"/>
          <w:sz w:val="24"/>
          <w:szCs w:val="24"/>
          <w:shd w:val="clear" w:color="auto" w:fill="FFFFFF"/>
        </w:rPr>
        <w:t>(1), 77-97.</w:t>
      </w:r>
    </w:p>
    <w:p w14:paraId="2E929DBE" w14:textId="001FAED8" w:rsidR="004B6453" w:rsidRPr="00881396" w:rsidRDefault="004B6453" w:rsidP="003441AA">
      <w:pPr>
        <w:spacing w:after="0" w:line="360" w:lineRule="auto"/>
        <w:jc w:val="both"/>
        <w:rPr>
          <w:rFonts w:ascii="Arial" w:hAnsi="Arial" w:cs="Arial"/>
          <w:color w:val="222222"/>
          <w:sz w:val="24"/>
          <w:szCs w:val="24"/>
          <w:shd w:val="clear" w:color="auto" w:fill="FFFFFF"/>
        </w:rPr>
      </w:pPr>
      <w:r w:rsidRPr="00881396">
        <w:rPr>
          <w:rFonts w:ascii="Arial" w:hAnsi="Arial" w:cs="Arial"/>
          <w:color w:val="222222"/>
          <w:sz w:val="24"/>
          <w:szCs w:val="24"/>
          <w:shd w:val="clear" w:color="auto" w:fill="FFFFFF"/>
        </w:rPr>
        <w:t xml:space="preserve">Wong, T., &amp; Wickham, M. (2015) </w:t>
      </w:r>
      <w:r w:rsidRPr="00953956">
        <w:rPr>
          <w:rFonts w:ascii="Arial" w:hAnsi="Arial" w:cs="Arial"/>
          <w:i/>
          <w:iCs/>
          <w:color w:val="222222"/>
          <w:sz w:val="24"/>
          <w:szCs w:val="24"/>
          <w:shd w:val="clear" w:color="auto" w:fill="FFFFFF"/>
        </w:rPr>
        <w:t>An examination of Marriott's entry into the Chinese hospitality industry: A Brand Equity perspective</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Tourism Management</w:t>
      </w:r>
      <w:r w:rsidRPr="00881396">
        <w:rPr>
          <w:rFonts w:ascii="Arial" w:hAnsi="Arial" w:cs="Arial"/>
          <w:color w:val="222222"/>
          <w:sz w:val="24"/>
          <w:szCs w:val="24"/>
          <w:shd w:val="clear" w:color="auto" w:fill="FFFFFF"/>
        </w:rPr>
        <w:t>, </w:t>
      </w:r>
      <w:r w:rsidRPr="00881396">
        <w:rPr>
          <w:rFonts w:ascii="Arial" w:hAnsi="Arial" w:cs="Arial"/>
          <w:i/>
          <w:iCs/>
          <w:color w:val="222222"/>
          <w:sz w:val="24"/>
          <w:szCs w:val="24"/>
          <w:shd w:val="clear" w:color="auto" w:fill="FFFFFF"/>
        </w:rPr>
        <w:t>48</w:t>
      </w:r>
      <w:r w:rsidRPr="00881396">
        <w:rPr>
          <w:rFonts w:ascii="Arial" w:hAnsi="Arial" w:cs="Arial"/>
          <w:color w:val="222222"/>
          <w:sz w:val="24"/>
          <w:szCs w:val="24"/>
          <w:shd w:val="clear" w:color="auto" w:fill="FFFFFF"/>
        </w:rPr>
        <w:t>, 439-454.</w:t>
      </w:r>
    </w:p>
    <w:sectPr w:rsidR="004B6453" w:rsidRPr="00881396">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5D801" w14:textId="77777777" w:rsidR="002100B6" w:rsidRDefault="002100B6">
      <w:pPr>
        <w:spacing w:after="0" w:line="240" w:lineRule="auto"/>
      </w:pPr>
      <w:r>
        <w:separator/>
      </w:r>
    </w:p>
  </w:endnote>
  <w:endnote w:type="continuationSeparator" w:id="0">
    <w:p w14:paraId="042BF440" w14:textId="77777777" w:rsidR="002100B6" w:rsidRDefault="00210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80332" w14:textId="77777777" w:rsidR="002100B6" w:rsidRDefault="002100B6">
      <w:pPr>
        <w:spacing w:after="0" w:line="240" w:lineRule="auto"/>
      </w:pPr>
      <w:r>
        <w:separator/>
      </w:r>
    </w:p>
  </w:footnote>
  <w:footnote w:type="continuationSeparator" w:id="0">
    <w:p w14:paraId="79835381" w14:textId="77777777" w:rsidR="002100B6" w:rsidRDefault="00210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559408"/>
      <w:docPartObj>
        <w:docPartGallery w:val="Page Numbers (Top of Page)"/>
        <w:docPartUnique/>
      </w:docPartObj>
    </w:sdtPr>
    <w:sdtEndPr>
      <w:rPr>
        <w:rFonts w:ascii="Times New Roman" w:hAnsi="Times New Roman" w:cs="Times New Roman"/>
        <w:noProof/>
        <w:sz w:val="24"/>
        <w:szCs w:val="24"/>
      </w:rPr>
    </w:sdtEndPr>
    <w:sdtContent>
      <w:p w14:paraId="1B964665" w14:textId="6CDDDD6D" w:rsidR="006A0F22" w:rsidRPr="006A0F22" w:rsidRDefault="00000000" w:rsidP="006A0F22">
        <w:pPr>
          <w:pStyle w:val="Header"/>
          <w:spacing w:line="480" w:lineRule="auto"/>
          <w:jc w:val="right"/>
          <w:rPr>
            <w:rFonts w:ascii="Times New Roman" w:hAnsi="Times New Roman" w:cs="Times New Roman"/>
            <w:sz w:val="24"/>
            <w:szCs w:val="24"/>
          </w:rPr>
        </w:pPr>
        <w:r w:rsidRPr="006A0F22">
          <w:rPr>
            <w:rFonts w:ascii="Times New Roman" w:hAnsi="Times New Roman" w:cs="Times New Roman"/>
            <w:sz w:val="24"/>
            <w:szCs w:val="24"/>
          </w:rPr>
          <w:fldChar w:fldCharType="begin"/>
        </w:r>
        <w:r w:rsidRPr="006A0F22">
          <w:rPr>
            <w:rFonts w:ascii="Times New Roman" w:hAnsi="Times New Roman" w:cs="Times New Roman"/>
            <w:sz w:val="24"/>
            <w:szCs w:val="24"/>
          </w:rPr>
          <w:instrText xml:space="preserve"> PAGE   \* MERGEFORMAT </w:instrText>
        </w:r>
        <w:r w:rsidRPr="006A0F22">
          <w:rPr>
            <w:rFonts w:ascii="Times New Roman" w:hAnsi="Times New Roman" w:cs="Times New Roman"/>
            <w:sz w:val="24"/>
            <w:szCs w:val="24"/>
          </w:rPr>
          <w:fldChar w:fldCharType="separate"/>
        </w:r>
        <w:r w:rsidRPr="006A0F22">
          <w:rPr>
            <w:rFonts w:ascii="Times New Roman" w:hAnsi="Times New Roman" w:cs="Times New Roman"/>
            <w:noProof/>
            <w:sz w:val="24"/>
            <w:szCs w:val="24"/>
          </w:rPr>
          <w:t>2</w:t>
        </w:r>
        <w:r w:rsidRPr="006A0F22">
          <w:rPr>
            <w:rFonts w:ascii="Times New Roman" w:hAnsi="Times New Roman" w:cs="Times New Roman"/>
            <w:noProof/>
            <w:sz w:val="24"/>
            <w:szCs w:val="24"/>
          </w:rPr>
          <w:fldChar w:fldCharType="end"/>
        </w:r>
      </w:p>
    </w:sdtContent>
  </w:sdt>
  <w:p w14:paraId="252632ED" w14:textId="77777777" w:rsidR="006A0F22" w:rsidRDefault="006A0F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779"/>
    <w:rsid w:val="00014222"/>
    <w:rsid w:val="000A6C98"/>
    <w:rsid w:val="000D5C1F"/>
    <w:rsid w:val="00110EA1"/>
    <w:rsid w:val="00116809"/>
    <w:rsid w:val="001A4514"/>
    <w:rsid w:val="002100B6"/>
    <w:rsid w:val="00242A22"/>
    <w:rsid w:val="002463B6"/>
    <w:rsid w:val="0027525C"/>
    <w:rsid w:val="003060B7"/>
    <w:rsid w:val="00317C12"/>
    <w:rsid w:val="003441AA"/>
    <w:rsid w:val="003630E0"/>
    <w:rsid w:val="00387A9C"/>
    <w:rsid w:val="003D5D62"/>
    <w:rsid w:val="00492454"/>
    <w:rsid w:val="004B6453"/>
    <w:rsid w:val="00505073"/>
    <w:rsid w:val="00505DBC"/>
    <w:rsid w:val="0055294A"/>
    <w:rsid w:val="005B0D68"/>
    <w:rsid w:val="005C5B39"/>
    <w:rsid w:val="005F4D47"/>
    <w:rsid w:val="0067415D"/>
    <w:rsid w:val="0068106E"/>
    <w:rsid w:val="006A0F22"/>
    <w:rsid w:val="00720813"/>
    <w:rsid w:val="00753969"/>
    <w:rsid w:val="007C44CE"/>
    <w:rsid w:val="007D4B3C"/>
    <w:rsid w:val="007E0BD4"/>
    <w:rsid w:val="007E2AAD"/>
    <w:rsid w:val="00881396"/>
    <w:rsid w:val="008868BD"/>
    <w:rsid w:val="008A5736"/>
    <w:rsid w:val="008B3FF7"/>
    <w:rsid w:val="008D04CF"/>
    <w:rsid w:val="008F7C72"/>
    <w:rsid w:val="00953956"/>
    <w:rsid w:val="00A35D9F"/>
    <w:rsid w:val="00A462DC"/>
    <w:rsid w:val="00A95411"/>
    <w:rsid w:val="00AF47E3"/>
    <w:rsid w:val="00B20578"/>
    <w:rsid w:val="00B67F83"/>
    <w:rsid w:val="00B74D21"/>
    <w:rsid w:val="00BF71C8"/>
    <w:rsid w:val="00C70455"/>
    <w:rsid w:val="00C87701"/>
    <w:rsid w:val="00D1175E"/>
    <w:rsid w:val="00D31072"/>
    <w:rsid w:val="00D401B6"/>
    <w:rsid w:val="00D94FCC"/>
    <w:rsid w:val="00DB13DF"/>
    <w:rsid w:val="00E054C0"/>
    <w:rsid w:val="00F21779"/>
    <w:rsid w:val="00F30450"/>
    <w:rsid w:val="00F47D22"/>
    <w:rsid w:val="00F80AC0"/>
    <w:rsid w:val="00F81AA9"/>
    <w:rsid w:val="00FB3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1DEE1"/>
  <w15:chartTrackingRefBased/>
  <w15:docId w15:val="{6B21A46E-7905-42CB-92C7-A481E20E1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0F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F22"/>
  </w:style>
  <w:style w:type="paragraph" w:styleId="Footer">
    <w:name w:val="footer"/>
    <w:basedOn w:val="Normal"/>
    <w:link w:val="FooterChar"/>
    <w:uiPriority w:val="99"/>
    <w:unhideWhenUsed/>
    <w:rsid w:val="006A0F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F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1</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Otieno Omondi</dc:creator>
  <cp:lastModifiedBy>Andreea Gheorghe (2107271)</cp:lastModifiedBy>
  <cp:revision>15</cp:revision>
  <dcterms:created xsi:type="dcterms:W3CDTF">2023-02-07T07:53:00Z</dcterms:created>
  <dcterms:modified xsi:type="dcterms:W3CDTF">2023-02-15T13:08:00Z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4d71160e-7d85-476b-9476-893f5a4ca0f2</vt:lpwstr>
  </property>
</Properties>
</file>