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336B9" w:rsidRDefault="00090BD9" w:rsidP="00C55400">
      <w:pPr>
        <w:jc w:val="both"/>
        <w:rPr>
          <w:b/>
          <w:u w:val="single"/>
        </w:rPr>
      </w:pPr>
      <w:r>
        <w:rPr>
          <w:b/>
          <w:u w:val="single"/>
        </w:rPr>
        <w:t>Word Count - 4268</w:t>
      </w:r>
    </w:p>
    <w:p w:rsidR="000556C0" w:rsidRPr="004B4E11" w:rsidRDefault="000556C0" w:rsidP="004B4E11">
      <w:pPr>
        <w:pStyle w:val="Nornal"/>
        <w:jc w:val="both"/>
        <w:rPr>
          <w:rFonts w:asciiTheme="minorHAnsi" w:hAnsiTheme="minorHAnsi" w:cstheme="minorHAnsi"/>
          <w:b/>
        </w:rPr>
      </w:pPr>
      <w:r w:rsidRPr="004B4E11">
        <w:rPr>
          <w:rFonts w:asciiTheme="minorHAnsi" w:hAnsiTheme="minorHAnsi" w:cstheme="minorHAnsi"/>
          <w:b/>
        </w:rPr>
        <w:t xml:space="preserve">Peachy Desserts Ltd is a small chain of dessert restaurants. The business is owned by sisters, </w:t>
      </w:r>
      <w:bookmarkStart w:id="0" w:name="_Hlk123120784"/>
      <w:r w:rsidRPr="004B4E11">
        <w:rPr>
          <w:rFonts w:asciiTheme="minorHAnsi" w:hAnsiTheme="minorHAnsi" w:cstheme="minorHAnsi"/>
          <w:b/>
        </w:rPr>
        <w:t>Charlotte and Madeleine</w:t>
      </w:r>
      <w:bookmarkEnd w:id="0"/>
      <w:r w:rsidRPr="004B4E11">
        <w:rPr>
          <w:rFonts w:asciiTheme="minorHAnsi" w:hAnsiTheme="minorHAnsi" w:cstheme="minorHAnsi"/>
          <w:b/>
        </w:rPr>
        <w:t>, and has grown from a single restaurant that opened in December 2018, to a chain that consists of 10 branches and 60 employees. All restaurants are located within a 30 mile radius.  Each store is staffed by a manager, a supervisor, and several full-time/part-time sales assistants. Despite Covid lockdowns the business has flourished, combining dining in, takeaway and home delivery services. The sisters plan to expand the chain further by opening two new stores and taking over Crumbly Cakes an existing chain of two dessert parlours. All individuals employed at Peachy Desserts Ltd and Crumbly Cakes are employees and none are apprentices.</w:t>
      </w:r>
    </w:p>
    <w:p w:rsidR="000556C0" w:rsidRPr="004B4E11" w:rsidRDefault="000556C0" w:rsidP="004B4E11">
      <w:pPr>
        <w:pStyle w:val="Nornal"/>
        <w:jc w:val="both"/>
        <w:rPr>
          <w:rFonts w:asciiTheme="minorHAnsi" w:hAnsiTheme="minorHAnsi" w:cstheme="minorHAnsi"/>
          <w:b/>
        </w:rPr>
      </w:pPr>
      <w:r w:rsidRPr="004B4E11">
        <w:rPr>
          <w:rFonts w:asciiTheme="minorHAnsi" w:hAnsiTheme="minorHAnsi" w:cstheme="minorHAnsi"/>
          <w:b/>
        </w:rPr>
        <w:t>Historically, Charlotte has dealt with all business matters, while Madeleine has focused on the creative side, developing recipes. Both have become increasingly concerned that they may have made some mistakes in the past in relation to employment law.  They know that you are studying the CIPD Associate Diploma in People Management and have decided to seek your advice on several matters.</w:t>
      </w:r>
    </w:p>
    <w:p w:rsidR="000556C0" w:rsidRPr="004B4E11" w:rsidRDefault="000556C0" w:rsidP="004B4E11">
      <w:pPr>
        <w:pStyle w:val="Nornal"/>
        <w:jc w:val="both"/>
        <w:rPr>
          <w:rFonts w:asciiTheme="minorHAnsi" w:hAnsiTheme="minorHAnsi" w:cstheme="minorHAnsi"/>
          <w:b/>
        </w:rPr>
      </w:pPr>
      <w:r w:rsidRPr="004B4E11">
        <w:rPr>
          <w:rFonts w:asciiTheme="minorHAnsi" w:hAnsiTheme="minorHAnsi" w:cstheme="minorHAnsi"/>
          <w:b/>
        </w:rPr>
        <w:t>After meeting with Charlotte and Madeleine, you have some concerns and decide that you must provide them with detailed written advice on how to proceed with each of the matters below. To help the reader, please make use of headings and assessment criteria references to signpost the assessment criteria being addressed. You decide to:</w:t>
      </w:r>
    </w:p>
    <w:p w:rsidR="000556C0" w:rsidRPr="004B4E11" w:rsidRDefault="000556C0" w:rsidP="004D307C">
      <w:pPr>
        <w:pStyle w:val="Nornal"/>
        <w:numPr>
          <w:ilvl w:val="0"/>
          <w:numId w:val="2"/>
        </w:numPr>
        <w:jc w:val="both"/>
        <w:rPr>
          <w:rFonts w:asciiTheme="minorHAnsi" w:hAnsiTheme="minorHAnsi" w:cstheme="minorHAnsi"/>
          <w:b/>
        </w:rPr>
      </w:pPr>
      <w:r w:rsidRPr="004B4E11">
        <w:rPr>
          <w:rFonts w:asciiTheme="minorHAnsi" w:hAnsiTheme="minorHAnsi" w:cstheme="minorHAnsi"/>
          <w:b/>
        </w:rPr>
        <w:t>Evaluate the aims and objectives of employment regulation. (AC 1.1)</w:t>
      </w:r>
    </w:p>
    <w:p w:rsidR="004B4E11" w:rsidRPr="00862461" w:rsidRDefault="004B4E11" w:rsidP="004B4E11">
      <w:pPr>
        <w:pStyle w:val="Nornal"/>
        <w:ind w:left="360"/>
        <w:jc w:val="both"/>
        <w:rPr>
          <w:rFonts w:asciiTheme="minorHAnsi" w:hAnsiTheme="minorHAnsi" w:cstheme="minorHAnsi"/>
        </w:rPr>
      </w:pPr>
      <w:r w:rsidRPr="00862461">
        <w:rPr>
          <w:rFonts w:asciiTheme="minorHAnsi" w:hAnsiTheme="minorHAnsi" w:cstheme="minorHAnsi"/>
        </w:rPr>
        <w:t>Employment law governs the relationship between e</w:t>
      </w:r>
      <w:r w:rsidR="000861E6">
        <w:rPr>
          <w:rFonts w:asciiTheme="minorHAnsi" w:hAnsiTheme="minorHAnsi" w:cstheme="minorHAnsi"/>
        </w:rPr>
        <w:t>mployers and</w:t>
      </w:r>
      <w:r w:rsidR="00E504F4">
        <w:rPr>
          <w:rFonts w:asciiTheme="minorHAnsi" w:hAnsiTheme="minorHAnsi" w:cstheme="minorHAnsi"/>
        </w:rPr>
        <w:t xml:space="preserve"> employees, encompassing</w:t>
      </w:r>
      <w:r w:rsidRPr="00862461">
        <w:rPr>
          <w:rFonts w:asciiTheme="minorHAnsi" w:hAnsiTheme="minorHAnsi" w:cstheme="minorHAnsi"/>
        </w:rPr>
        <w:t xml:space="preserve"> all areas of employment and the workplace (CIPD, 2023).  </w:t>
      </w:r>
      <w:r w:rsidR="00DE28F8" w:rsidRPr="00862461">
        <w:rPr>
          <w:rFonts w:asciiTheme="minorHAnsi" w:hAnsiTheme="minorHAnsi" w:cstheme="minorHAnsi"/>
        </w:rPr>
        <w:t xml:space="preserve">Employment </w:t>
      </w:r>
      <w:r w:rsidR="005644FA" w:rsidRPr="00862461">
        <w:rPr>
          <w:rFonts w:asciiTheme="minorHAnsi" w:hAnsiTheme="minorHAnsi" w:cstheme="minorHAnsi"/>
        </w:rPr>
        <w:t>regulation</w:t>
      </w:r>
      <w:r w:rsidR="00DE28F8" w:rsidRPr="00862461">
        <w:rPr>
          <w:rFonts w:asciiTheme="minorHAnsi" w:hAnsiTheme="minorHAnsi" w:cstheme="minorHAnsi"/>
        </w:rPr>
        <w:t xml:space="preserve"> provides rules and regulations</w:t>
      </w:r>
      <w:r w:rsidR="00E504F4">
        <w:rPr>
          <w:rFonts w:asciiTheme="minorHAnsi" w:hAnsiTheme="minorHAnsi" w:cstheme="minorHAnsi"/>
        </w:rPr>
        <w:t xml:space="preserve"> to protect the employee and employer, promoting</w:t>
      </w:r>
      <w:r w:rsidR="00DE28F8" w:rsidRPr="00862461">
        <w:rPr>
          <w:rFonts w:asciiTheme="minorHAnsi" w:hAnsiTheme="minorHAnsi" w:cstheme="minorHAnsi"/>
        </w:rPr>
        <w:t xml:space="preserve"> equality, fairness and </w:t>
      </w:r>
      <w:r w:rsidR="00E504F4">
        <w:rPr>
          <w:rFonts w:asciiTheme="minorHAnsi" w:hAnsiTheme="minorHAnsi" w:cstheme="minorHAnsi"/>
        </w:rPr>
        <w:t xml:space="preserve">structured processes </w:t>
      </w:r>
      <w:r w:rsidR="00DE28F8" w:rsidRPr="00862461">
        <w:rPr>
          <w:rFonts w:asciiTheme="minorHAnsi" w:hAnsiTheme="minorHAnsi" w:cstheme="minorHAnsi"/>
        </w:rPr>
        <w:t>when issues arise.  Daniels (2019) states that employment law is mostly based on civil law, although some employment matters such as Health and Sa</w:t>
      </w:r>
      <w:r w:rsidR="00E504F4">
        <w:rPr>
          <w:rFonts w:asciiTheme="minorHAnsi" w:hAnsiTheme="minorHAnsi" w:cstheme="minorHAnsi"/>
        </w:rPr>
        <w:t>fety can come under criminal</w:t>
      </w:r>
      <w:r w:rsidR="002515FA">
        <w:rPr>
          <w:rFonts w:asciiTheme="minorHAnsi" w:hAnsiTheme="minorHAnsi" w:cstheme="minorHAnsi"/>
        </w:rPr>
        <w:t>.</w:t>
      </w:r>
      <w:r w:rsidR="00DE28F8" w:rsidRPr="00862461">
        <w:rPr>
          <w:rFonts w:asciiTheme="minorHAnsi" w:hAnsiTheme="minorHAnsi" w:cstheme="minorHAnsi"/>
        </w:rPr>
        <w:t xml:space="preserve">  </w:t>
      </w:r>
      <w:r w:rsidR="00712BCE" w:rsidRPr="00862461">
        <w:rPr>
          <w:rFonts w:asciiTheme="minorHAnsi" w:hAnsiTheme="minorHAnsi" w:cstheme="minorHAnsi"/>
        </w:rPr>
        <w:t>Any issues arising in an employer and employee relationship can potentially result in an employment tribunal</w:t>
      </w:r>
      <w:r w:rsidR="005644FA" w:rsidRPr="00862461">
        <w:rPr>
          <w:rFonts w:asciiTheme="minorHAnsi" w:hAnsiTheme="minorHAnsi" w:cstheme="minorHAnsi"/>
        </w:rPr>
        <w:t xml:space="preserve"> or industrial action</w:t>
      </w:r>
      <w:r w:rsidR="00171BC6" w:rsidRPr="00862461">
        <w:rPr>
          <w:rFonts w:asciiTheme="minorHAnsi" w:hAnsiTheme="minorHAnsi" w:cstheme="minorHAnsi"/>
        </w:rPr>
        <w:t>, which can be time consum</w:t>
      </w:r>
      <w:r w:rsidR="008C0FFB" w:rsidRPr="00862461">
        <w:rPr>
          <w:rFonts w:asciiTheme="minorHAnsi" w:hAnsiTheme="minorHAnsi" w:cstheme="minorHAnsi"/>
        </w:rPr>
        <w:t xml:space="preserve">ing, costly and cause reputational damage for the employer.  </w:t>
      </w:r>
    </w:p>
    <w:p w:rsidR="00056581" w:rsidRPr="00862461" w:rsidRDefault="00A6689C" w:rsidP="00056581">
      <w:pPr>
        <w:pStyle w:val="Nornal"/>
        <w:ind w:left="360"/>
        <w:jc w:val="both"/>
        <w:rPr>
          <w:rFonts w:asciiTheme="minorHAnsi" w:hAnsiTheme="minorHAnsi" w:cstheme="minorHAnsi"/>
        </w:rPr>
      </w:pPr>
      <w:r w:rsidRPr="00862461">
        <w:rPr>
          <w:rFonts w:asciiTheme="minorHAnsi" w:hAnsiTheme="minorHAnsi" w:cstheme="minorHAnsi"/>
        </w:rPr>
        <w:t>According to Diaz (2022) the main employment laws are:</w:t>
      </w:r>
    </w:p>
    <w:p w:rsidR="00056581" w:rsidRPr="00862461" w:rsidRDefault="00AC0674" w:rsidP="004D307C">
      <w:pPr>
        <w:pStyle w:val="Nornal"/>
        <w:numPr>
          <w:ilvl w:val="0"/>
          <w:numId w:val="4"/>
        </w:numPr>
        <w:jc w:val="both"/>
        <w:rPr>
          <w:rFonts w:asciiTheme="minorHAnsi" w:hAnsiTheme="minorHAnsi" w:cstheme="minorHAnsi"/>
        </w:rPr>
      </w:pPr>
      <w:r w:rsidRPr="002515FA">
        <w:rPr>
          <w:rFonts w:asciiTheme="minorHAnsi" w:hAnsiTheme="minorHAnsi" w:cstheme="minorHAnsi"/>
          <w:i/>
        </w:rPr>
        <w:t>Employee Rights Act 1996</w:t>
      </w:r>
      <w:r>
        <w:rPr>
          <w:rFonts w:asciiTheme="minorHAnsi" w:hAnsiTheme="minorHAnsi" w:cstheme="minorHAnsi"/>
        </w:rPr>
        <w:t xml:space="preserve"> </w:t>
      </w:r>
      <w:r w:rsidR="00A973A6" w:rsidRPr="00862461">
        <w:rPr>
          <w:rFonts w:asciiTheme="minorHAnsi" w:hAnsiTheme="minorHAnsi" w:cstheme="minorHAnsi"/>
        </w:rPr>
        <w:t>(Politics.co.uk, 2021).</w:t>
      </w:r>
    </w:p>
    <w:p w:rsidR="00A6689C" w:rsidRPr="00862461" w:rsidRDefault="00AC0674" w:rsidP="004D307C">
      <w:pPr>
        <w:pStyle w:val="Nornal"/>
        <w:numPr>
          <w:ilvl w:val="0"/>
          <w:numId w:val="4"/>
        </w:numPr>
        <w:jc w:val="both"/>
        <w:rPr>
          <w:rFonts w:asciiTheme="minorHAnsi" w:hAnsiTheme="minorHAnsi" w:cstheme="minorHAnsi"/>
        </w:rPr>
      </w:pPr>
      <w:r w:rsidRPr="002515FA">
        <w:rPr>
          <w:rFonts w:asciiTheme="minorHAnsi" w:hAnsiTheme="minorHAnsi" w:cstheme="minorHAnsi"/>
          <w:i/>
        </w:rPr>
        <w:t>Equ</w:t>
      </w:r>
      <w:r w:rsidR="00261A4F" w:rsidRPr="002515FA">
        <w:rPr>
          <w:rFonts w:asciiTheme="minorHAnsi" w:hAnsiTheme="minorHAnsi" w:cstheme="minorHAnsi"/>
          <w:i/>
        </w:rPr>
        <w:t>al</w:t>
      </w:r>
      <w:r w:rsidRPr="002515FA">
        <w:rPr>
          <w:rFonts w:asciiTheme="minorHAnsi" w:hAnsiTheme="minorHAnsi" w:cstheme="minorHAnsi"/>
          <w:i/>
        </w:rPr>
        <w:t>ity Act 2010</w:t>
      </w:r>
      <w:r>
        <w:rPr>
          <w:rFonts w:asciiTheme="minorHAnsi" w:hAnsiTheme="minorHAnsi" w:cstheme="minorHAnsi"/>
        </w:rPr>
        <w:t xml:space="preserve"> </w:t>
      </w:r>
      <w:r w:rsidR="00056581" w:rsidRPr="00862461">
        <w:rPr>
          <w:rFonts w:asciiTheme="minorHAnsi" w:eastAsia="Times New Roman" w:hAnsiTheme="minorHAnsi" w:cs="Times New Roman"/>
          <w:lang w:eastAsia="en-GB"/>
        </w:rPr>
        <w:t>(Equality and Human Rights Commission, 2021)</w:t>
      </w:r>
    </w:p>
    <w:p w:rsidR="00056581" w:rsidRDefault="00A973A6" w:rsidP="004D307C">
      <w:pPr>
        <w:pStyle w:val="ListParagraph"/>
        <w:numPr>
          <w:ilvl w:val="0"/>
          <w:numId w:val="4"/>
        </w:numPr>
        <w:spacing w:after="0" w:line="240" w:lineRule="auto"/>
        <w:rPr>
          <w:rFonts w:eastAsia="Times New Roman" w:cs="Times New Roman"/>
          <w:lang w:eastAsia="en-GB"/>
        </w:rPr>
      </w:pPr>
      <w:r w:rsidRPr="002515FA">
        <w:rPr>
          <w:rFonts w:eastAsia="Times New Roman" w:cs="Times New Roman"/>
          <w:i/>
          <w:lang w:eastAsia="en-GB"/>
        </w:rPr>
        <w:t>Health and Safety at Work</w:t>
      </w:r>
      <w:r w:rsidR="005F7B91">
        <w:rPr>
          <w:rFonts w:eastAsia="Times New Roman" w:cs="Times New Roman"/>
          <w:i/>
          <w:lang w:eastAsia="en-GB"/>
        </w:rPr>
        <w:t xml:space="preserve"> etc.</w:t>
      </w:r>
      <w:r w:rsidRPr="002515FA">
        <w:rPr>
          <w:rFonts w:eastAsia="Times New Roman" w:cs="Times New Roman"/>
          <w:i/>
          <w:lang w:eastAsia="en-GB"/>
        </w:rPr>
        <w:t xml:space="preserve"> Act</w:t>
      </w:r>
      <w:r w:rsidR="002515FA">
        <w:rPr>
          <w:rFonts w:eastAsia="Times New Roman" w:cs="Times New Roman"/>
          <w:lang w:eastAsia="en-GB"/>
        </w:rPr>
        <w:t xml:space="preserve"> 1974</w:t>
      </w:r>
      <w:r w:rsidRPr="00862461">
        <w:rPr>
          <w:rFonts w:eastAsia="Times New Roman" w:cs="Times New Roman"/>
          <w:lang w:eastAsia="en-GB"/>
        </w:rPr>
        <w:t xml:space="preserve"> </w:t>
      </w:r>
      <w:r w:rsidR="00056581" w:rsidRPr="00862461">
        <w:rPr>
          <w:rFonts w:eastAsia="Times New Roman" w:cs="Times New Roman"/>
          <w:lang w:eastAsia="en-GB"/>
        </w:rPr>
        <w:t>(Health and Safety Executive, 1974)</w:t>
      </w:r>
      <w:r w:rsidRPr="00862461">
        <w:rPr>
          <w:rFonts w:eastAsia="Times New Roman" w:cs="Times New Roman"/>
          <w:lang w:eastAsia="en-GB"/>
        </w:rPr>
        <w:t>.</w:t>
      </w:r>
    </w:p>
    <w:p w:rsidR="00A973A6" w:rsidRPr="00862461" w:rsidRDefault="00A973A6" w:rsidP="004D307C">
      <w:pPr>
        <w:pStyle w:val="ListParagraph"/>
        <w:numPr>
          <w:ilvl w:val="0"/>
          <w:numId w:val="4"/>
        </w:numPr>
        <w:spacing w:after="0" w:line="240" w:lineRule="auto"/>
        <w:rPr>
          <w:rFonts w:eastAsia="Times New Roman" w:cs="Times New Roman"/>
          <w:lang w:eastAsia="en-GB"/>
        </w:rPr>
      </w:pPr>
      <w:r w:rsidRPr="002515FA">
        <w:rPr>
          <w:rFonts w:eastAsia="Times New Roman" w:cs="Times New Roman"/>
          <w:i/>
          <w:lang w:eastAsia="en-GB"/>
        </w:rPr>
        <w:t>Data Protection Act 1998</w:t>
      </w:r>
      <w:r w:rsidRPr="00862461">
        <w:rPr>
          <w:rFonts w:eastAsia="Times New Roman" w:cs="Times New Roman"/>
          <w:lang w:eastAsia="en-GB"/>
        </w:rPr>
        <w:t xml:space="preserve"> </w:t>
      </w:r>
      <w:r w:rsidR="006A32FB" w:rsidRPr="00862461">
        <w:rPr>
          <w:rFonts w:eastAsia="Times New Roman" w:cs="Times New Roman"/>
          <w:lang w:eastAsia="en-GB"/>
        </w:rPr>
        <w:t>(Suff, 2023).</w:t>
      </w:r>
    </w:p>
    <w:p w:rsidR="006A32FB" w:rsidRPr="00862461" w:rsidRDefault="005F7B91" w:rsidP="004D307C">
      <w:pPr>
        <w:pStyle w:val="ListParagraph"/>
        <w:numPr>
          <w:ilvl w:val="0"/>
          <w:numId w:val="4"/>
        </w:numPr>
        <w:spacing w:after="0" w:line="240" w:lineRule="auto"/>
        <w:rPr>
          <w:rFonts w:eastAsia="Times New Roman" w:cs="Times New Roman"/>
          <w:lang w:eastAsia="en-GB"/>
        </w:rPr>
      </w:pPr>
      <w:r>
        <w:rPr>
          <w:rFonts w:cs="Arial"/>
          <w:bCs/>
          <w:i/>
          <w:color w:val="000000"/>
        </w:rPr>
        <w:t xml:space="preserve">The </w:t>
      </w:r>
      <w:r w:rsidR="006A32FB" w:rsidRPr="002515FA">
        <w:rPr>
          <w:rFonts w:cs="Arial"/>
          <w:bCs/>
          <w:i/>
          <w:color w:val="000000"/>
        </w:rPr>
        <w:t>Working Time Regulations</w:t>
      </w:r>
      <w:r w:rsidR="002515FA">
        <w:rPr>
          <w:rFonts w:cs="Arial"/>
          <w:bCs/>
          <w:color w:val="000000"/>
        </w:rPr>
        <w:t xml:space="preserve"> </w:t>
      </w:r>
      <w:r w:rsidR="002515FA" w:rsidRPr="002515FA">
        <w:rPr>
          <w:rFonts w:cs="Arial"/>
          <w:bCs/>
          <w:i/>
          <w:color w:val="000000"/>
        </w:rPr>
        <w:t>1998</w:t>
      </w:r>
      <w:r w:rsidR="006A32FB" w:rsidRPr="00862461">
        <w:rPr>
          <w:rFonts w:cs="Arial"/>
          <w:bCs/>
          <w:color w:val="000000"/>
        </w:rPr>
        <w:t xml:space="preserve"> and </w:t>
      </w:r>
      <w:bookmarkStart w:id="1" w:name="_GoBack"/>
      <w:bookmarkEnd w:id="1"/>
      <w:r w:rsidR="00D0577B" w:rsidRPr="002515FA">
        <w:rPr>
          <w:rFonts w:cs="Arial"/>
          <w:bCs/>
          <w:i/>
          <w:color w:val="000000"/>
        </w:rPr>
        <w:t>the</w:t>
      </w:r>
      <w:r w:rsidR="006A32FB" w:rsidRPr="002515FA">
        <w:rPr>
          <w:rFonts w:cs="Arial"/>
          <w:bCs/>
          <w:i/>
          <w:color w:val="000000"/>
        </w:rPr>
        <w:t xml:space="preserve"> Working Time</w:t>
      </w:r>
      <w:r w:rsidR="00AC0674" w:rsidRPr="002515FA">
        <w:rPr>
          <w:rFonts w:cs="Arial"/>
          <w:bCs/>
          <w:i/>
          <w:color w:val="000000"/>
        </w:rPr>
        <w:t xml:space="preserve"> (Amendment) Regulations 2007</w:t>
      </w:r>
      <w:r w:rsidR="00AC0674">
        <w:rPr>
          <w:rFonts w:cs="Arial"/>
          <w:bCs/>
          <w:color w:val="000000"/>
        </w:rPr>
        <w:t xml:space="preserve"> </w:t>
      </w:r>
      <w:r w:rsidR="006A32FB" w:rsidRPr="00862461">
        <w:rPr>
          <w:rFonts w:cs="Arial"/>
          <w:bCs/>
          <w:color w:val="000000"/>
        </w:rPr>
        <w:t>(CIPD, 2024</w:t>
      </w:r>
      <w:r w:rsidR="00AC1184">
        <w:rPr>
          <w:rFonts w:cs="Arial"/>
          <w:bCs/>
          <w:color w:val="000000"/>
        </w:rPr>
        <w:t>c</w:t>
      </w:r>
      <w:r w:rsidR="006A32FB" w:rsidRPr="00862461">
        <w:rPr>
          <w:rFonts w:cs="Arial"/>
          <w:bCs/>
          <w:color w:val="000000"/>
        </w:rPr>
        <w:t>).</w:t>
      </w:r>
    </w:p>
    <w:p w:rsidR="00862461" w:rsidRPr="00862461" w:rsidRDefault="00862461" w:rsidP="00862461">
      <w:pPr>
        <w:spacing w:after="0" w:line="240" w:lineRule="auto"/>
        <w:rPr>
          <w:rFonts w:eastAsia="Times New Roman" w:cs="Times New Roman"/>
          <w:lang w:eastAsia="en-GB"/>
        </w:rPr>
      </w:pPr>
    </w:p>
    <w:p w:rsidR="00862461" w:rsidRDefault="00862461" w:rsidP="002627D3">
      <w:pPr>
        <w:ind w:left="720"/>
        <w:jc w:val="both"/>
        <w:rPr>
          <w:rFonts w:eastAsia="Times New Roman" w:cs="Times New Roman"/>
          <w:lang w:eastAsia="en-GB"/>
        </w:rPr>
      </w:pPr>
      <w:r w:rsidRPr="00862461">
        <w:rPr>
          <w:rFonts w:eastAsia="Times New Roman" w:cs="Times New Roman"/>
          <w:lang w:eastAsia="en-GB"/>
        </w:rPr>
        <w:t>Employers should ensure that they stay up to date with any changes to the legislation and regulations thus providing a workplace that is free from discrimination, safe and fair, which will result employees feeling valued, safe and therefore increase productivity (Symonds and Curnock, 2021)</w:t>
      </w:r>
      <w:r w:rsidR="00F643D3">
        <w:rPr>
          <w:rFonts w:eastAsia="Times New Roman" w:cs="Times New Roman"/>
          <w:lang w:eastAsia="en-GB"/>
        </w:rPr>
        <w:t>.</w:t>
      </w:r>
      <w:r w:rsidR="002627D3">
        <w:rPr>
          <w:rFonts w:eastAsia="Times New Roman" w:cs="Times New Roman"/>
          <w:lang w:eastAsia="en-GB"/>
        </w:rPr>
        <w:t xml:space="preserve">  </w:t>
      </w:r>
    </w:p>
    <w:p w:rsidR="00F643D3" w:rsidRPr="00E81A88" w:rsidRDefault="004E40D0" w:rsidP="002627D3">
      <w:pPr>
        <w:ind w:left="720"/>
        <w:jc w:val="both"/>
        <w:rPr>
          <w:rFonts w:eastAsia="Times New Roman" w:cs="Times New Roman"/>
          <w:lang w:eastAsia="en-GB"/>
        </w:rPr>
      </w:pPr>
      <w:r w:rsidRPr="004E40D0">
        <w:rPr>
          <w:rFonts w:eastAsia="Times New Roman" w:cs="Times New Roman"/>
          <w:lang w:eastAsia="en-GB"/>
        </w:rPr>
        <w:t>However, 37% of businesses argue that regulation is an obstacle of their success and there is too much ‘red tape’ (Department for Business, Energy &amp; Industrial Strategy, 2020)</w:t>
      </w:r>
      <w:r>
        <w:rPr>
          <w:rFonts w:eastAsia="Times New Roman" w:cs="Times New Roman"/>
          <w:lang w:eastAsia="en-GB"/>
        </w:rPr>
        <w:t xml:space="preserve"> with many others concerned over good and bad regulations and the majority reporting that they feel </w:t>
      </w:r>
      <w:r>
        <w:rPr>
          <w:rFonts w:eastAsia="Times New Roman" w:cs="Times New Roman"/>
          <w:lang w:eastAsia="en-GB"/>
        </w:rPr>
        <w:lastRenderedPageBreak/>
        <w:t>employment law is too complex (CIPD and Lewis Silkin, 2017).</w:t>
      </w:r>
      <w:r w:rsidR="002627D3">
        <w:rPr>
          <w:rFonts w:eastAsia="Times New Roman" w:cs="Times New Roman"/>
          <w:lang w:eastAsia="en-GB"/>
        </w:rPr>
        <w:t xml:space="preserve">  Employers in the UK also argue that it places a burden on them and increases the economic risk in employing a workforce in the UK compared to less regulated countries (Taylor and Woodhams, 2022). </w:t>
      </w:r>
    </w:p>
    <w:p w:rsidR="00056581" w:rsidRPr="00E81A88" w:rsidRDefault="00056581" w:rsidP="00862461">
      <w:pPr>
        <w:spacing w:after="0" w:line="240" w:lineRule="auto"/>
        <w:rPr>
          <w:rFonts w:ascii="Times New Roman" w:eastAsia="Times New Roman" w:hAnsi="Times New Roman" w:cs="Times New Roman"/>
          <w:lang w:eastAsia="en-GB"/>
        </w:rPr>
      </w:pPr>
    </w:p>
    <w:p w:rsidR="000556C0" w:rsidRDefault="000556C0" w:rsidP="004D307C">
      <w:pPr>
        <w:pStyle w:val="Nornal"/>
        <w:numPr>
          <w:ilvl w:val="0"/>
          <w:numId w:val="2"/>
        </w:numPr>
        <w:jc w:val="both"/>
        <w:rPr>
          <w:rFonts w:asciiTheme="minorHAnsi" w:hAnsiTheme="minorHAnsi" w:cstheme="minorHAnsi"/>
          <w:b/>
        </w:rPr>
      </w:pPr>
      <w:r w:rsidRPr="004B4E11">
        <w:rPr>
          <w:rFonts w:asciiTheme="minorHAnsi" w:hAnsiTheme="minorHAnsi" w:cstheme="minorHAnsi"/>
          <w:b/>
        </w:rPr>
        <w:t>Examine the role played by the tribunal and courts system in enforcing employment law. (AC 1.2)</w:t>
      </w:r>
    </w:p>
    <w:p w:rsidR="00EA4804" w:rsidRDefault="003D2A4D" w:rsidP="00EA4804">
      <w:pPr>
        <w:pStyle w:val="Nornal"/>
        <w:ind w:left="720"/>
        <w:jc w:val="both"/>
        <w:rPr>
          <w:rFonts w:asciiTheme="minorHAnsi" w:hAnsiTheme="minorHAnsi" w:cstheme="minorHAnsi"/>
        </w:rPr>
      </w:pPr>
      <w:r>
        <w:rPr>
          <w:rFonts w:asciiTheme="minorHAnsi" w:hAnsiTheme="minorHAnsi" w:cstheme="minorHAnsi"/>
        </w:rPr>
        <w:t>When an employee feels their employer has breached their contract or they feel they’ve been treated unfairly, they can look for redress in the form of employment tribunal or through the civil courts.  Employment tribunals</w:t>
      </w:r>
      <w:r w:rsidR="00106531">
        <w:rPr>
          <w:rFonts w:asciiTheme="minorHAnsi" w:hAnsiTheme="minorHAnsi" w:cstheme="minorHAnsi"/>
        </w:rPr>
        <w:t xml:space="preserve"> (ET)</w:t>
      </w:r>
      <w:r>
        <w:rPr>
          <w:rFonts w:asciiTheme="minorHAnsi" w:hAnsiTheme="minorHAnsi" w:cstheme="minorHAnsi"/>
        </w:rPr>
        <w:t xml:space="preserve"> would deal with disputes such as discrimination, unfair/wrongful dismissal, </w:t>
      </w:r>
      <w:r w:rsidR="00163E17">
        <w:rPr>
          <w:rFonts w:asciiTheme="minorHAnsi" w:hAnsiTheme="minorHAnsi" w:cstheme="minorHAnsi"/>
        </w:rPr>
        <w:t>equal pay, unauthorised pay deductions and incorrect management of redundancies and sit before an Employment Judge.  Civil Courts deal with disputes such as breach of contracts and accidents in work (Ayling and Suff, 2023)</w:t>
      </w:r>
      <w:r w:rsidR="00106531">
        <w:rPr>
          <w:rFonts w:asciiTheme="minorHAnsi" w:hAnsiTheme="minorHAnsi" w:cstheme="minorHAnsi"/>
        </w:rPr>
        <w:t xml:space="preserve"> and have the ability to award higher award Judgments than ET</w:t>
      </w:r>
      <w:r w:rsidR="00163E17">
        <w:rPr>
          <w:rFonts w:asciiTheme="minorHAnsi" w:hAnsiTheme="minorHAnsi" w:cstheme="minorHAnsi"/>
        </w:rPr>
        <w:t xml:space="preserve">.  Criminal Court can also be involved in cases such as Health and Safety breaches.  </w:t>
      </w:r>
    </w:p>
    <w:p w:rsidR="00163E17" w:rsidRDefault="006A4FAA" w:rsidP="00EA4804">
      <w:pPr>
        <w:pStyle w:val="Nornal"/>
        <w:ind w:left="720"/>
        <w:jc w:val="both"/>
        <w:rPr>
          <w:rFonts w:asciiTheme="minorHAnsi" w:hAnsiTheme="minorHAnsi" w:cstheme="minorHAnsi"/>
        </w:rPr>
      </w:pPr>
      <w:r>
        <w:rPr>
          <w:rFonts w:asciiTheme="minorHAnsi" w:hAnsiTheme="minorHAnsi" w:cstheme="minorHAnsi"/>
        </w:rPr>
        <w:t xml:space="preserve">Employment Tribunals are considered easily accessible, quick, inexpensive and informal (Daniels, 2019).  </w:t>
      </w:r>
      <w:r w:rsidR="00481B0A">
        <w:rPr>
          <w:rFonts w:asciiTheme="minorHAnsi" w:hAnsiTheme="minorHAnsi" w:cstheme="minorHAnsi"/>
        </w:rPr>
        <w:t>If an employee wants to proceed to ET they must do so within 3 months less a day and proceed as follows:</w:t>
      </w:r>
    </w:p>
    <w:p w:rsidR="00481B0A" w:rsidRDefault="00481B0A" w:rsidP="004D307C">
      <w:pPr>
        <w:pStyle w:val="Nornal"/>
        <w:numPr>
          <w:ilvl w:val="0"/>
          <w:numId w:val="5"/>
        </w:numPr>
        <w:jc w:val="both"/>
        <w:rPr>
          <w:rFonts w:asciiTheme="minorHAnsi" w:hAnsiTheme="minorHAnsi" w:cstheme="minorHAnsi"/>
        </w:rPr>
      </w:pPr>
      <w:r>
        <w:rPr>
          <w:rFonts w:asciiTheme="minorHAnsi" w:hAnsiTheme="minorHAnsi" w:cstheme="minorHAnsi"/>
        </w:rPr>
        <w:t xml:space="preserve">Inform ACAS – The employee would need to discuss their issue with ACAS and establish their claim.  ACAS would offer early conciliation at this point but </w:t>
      </w:r>
      <w:r w:rsidR="00D20C3F">
        <w:rPr>
          <w:rFonts w:asciiTheme="minorHAnsi" w:hAnsiTheme="minorHAnsi" w:cstheme="minorHAnsi"/>
        </w:rPr>
        <w:t>it is not required</w:t>
      </w:r>
      <w:r>
        <w:rPr>
          <w:rFonts w:asciiTheme="minorHAnsi" w:hAnsiTheme="minorHAnsi" w:cstheme="minorHAnsi"/>
        </w:rPr>
        <w:t xml:space="preserve"> to proceed</w:t>
      </w:r>
      <w:r w:rsidR="00D20C3F">
        <w:rPr>
          <w:rFonts w:asciiTheme="minorHAnsi" w:hAnsiTheme="minorHAnsi" w:cstheme="minorHAnsi"/>
        </w:rPr>
        <w:t xml:space="preserve"> to ET</w:t>
      </w:r>
      <w:r>
        <w:rPr>
          <w:rFonts w:asciiTheme="minorHAnsi" w:hAnsiTheme="minorHAnsi" w:cstheme="minorHAnsi"/>
        </w:rPr>
        <w:t xml:space="preserve">. </w:t>
      </w:r>
      <w:r w:rsidR="00D20C3F">
        <w:rPr>
          <w:rFonts w:asciiTheme="minorHAnsi" w:hAnsiTheme="minorHAnsi" w:cstheme="minorHAnsi"/>
        </w:rPr>
        <w:t>ACAS will issue a certificate along with an ET1 Form.</w:t>
      </w:r>
    </w:p>
    <w:p w:rsidR="00D20C3F" w:rsidRDefault="00D20C3F" w:rsidP="004D307C">
      <w:pPr>
        <w:pStyle w:val="Nornal"/>
        <w:numPr>
          <w:ilvl w:val="0"/>
          <w:numId w:val="5"/>
        </w:numPr>
        <w:jc w:val="both"/>
        <w:rPr>
          <w:rFonts w:asciiTheme="minorHAnsi" w:hAnsiTheme="minorHAnsi" w:cstheme="minorHAnsi"/>
        </w:rPr>
      </w:pPr>
      <w:r>
        <w:rPr>
          <w:rFonts w:asciiTheme="minorHAnsi" w:hAnsiTheme="minorHAnsi" w:cstheme="minorHAnsi"/>
        </w:rPr>
        <w:t xml:space="preserve">ET1 form – The Claimant has 1 month from the date of receipt of the certificate to submit the ET1 form to Tribunal.  </w:t>
      </w:r>
    </w:p>
    <w:p w:rsidR="00D20C3F" w:rsidRDefault="0012328C" w:rsidP="004D307C">
      <w:pPr>
        <w:pStyle w:val="Nornal"/>
        <w:numPr>
          <w:ilvl w:val="0"/>
          <w:numId w:val="5"/>
        </w:numPr>
        <w:jc w:val="both"/>
        <w:rPr>
          <w:rFonts w:asciiTheme="minorHAnsi" w:hAnsiTheme="minorHAnsi" w:cstheme="minorHAnsi"/>
        </w:rPr>
      </w:pPr>
      <w:r>
        <w:rPr>
          <w:rFonts w:asciiTheme="minorHAnsi" w:hAnsiTheme="minorHAnsi" w:cstheme="minorHAnsi"/>
        </w:rPr>
        <w:t xml:space="preserve">ET3 form - </w:t>
      </w:r>
      <w:r w:rsidR="00D20C3F">
        <w:rPr>
          <w:rFonts w:asciiTheme="minorHAnsi" w:hAnsiTheme="minorHAnsi" w:cstheme="minorHAnsi"/>
        </w:rPr>
        <w:t>Tribunal will then forward a copy of the claim form to ACAS and the Employer (Respondent) along with a</w:t>
      </w:r>
      <w:r w:rsidR="00802049">
        <w:rPr>
          <w:rFonts w:asciiTheme="minorHAnsi" w:hAnsiTheme="minorHAnsi" w:cstheme="minorHAnsi"/>
        </w:rPr>
        <w:t>n</w:t>
      </w:r>
      <w:r w:rsidR="00D20C3F">
        <w:rPr>
          <w:rFonts w:asciiTheme="minorHAnsi" w:hAnsiTheme="minorHAnsi" w:cstheme="minorHAnsi"/>
        </w:rPr>
        <w:t xml:space="preserve"> ET3 Form for them to complete.</w:t>
      </w:r>
    </w:p>
    <w:p w:rsidR="0012328C" w:rsidRDefault="0012328C" w:rsidP="004D307C">
      <w:pPr>
        <w:pStyle w:val="Nornal"/>
        <w:numPr>
          <w:ilvl w:val="0"/>
          <w:numId w:val="5"/>
        </w:numPr>
        <w:jc w:val="both"/>
        <w:rPr>
          <w:rFonts w:asciiTheme="minorHAnsi" w:hAnsiTheme="minorHAnsi" w:cstheme="minorHAnsi"/>
        </w:rPr>
      </w:pPr>
      <w:r>
        <w:rPr>
          <w:rFonts w:asciiTheme="minorHAnsi" w:hAnsiTheme="minorHAnsi" w:cstheme="minorHAnsi"/>
        </w:rPr>
        <w:t>Preliminary hearing – To clarify details of the claim and discuss any issues.</w:t>
      </w:r>
    </w:p>
    <w:p w:rsidR="0012328C" w:rsidRDefault="0012328C" w:rsidP="004D307C">
      <w:pPr>
        <w:pStyle w:val="Nornal"/>
        <w:numPr>
          <w:ilvl w:val="0"/>
          <w:numId w:val="5"/>
        </w:numPr>
        <w:jc w:val="both"/>
        <w:rPr>
          <w:rFonts w:asciiTheme="minorHAnsi" w:hAnsiTheme="minorHAnsi" w:cstheme="minorHAnsi"/>
        </w:rPr>
      </w:pPr>
      <w:r>
        <w:rPr>
          <w:rFonts w:asciiTheme="minorHAnsi" w:hAnsiTheme="minorHAnsi" w:cstheme="minorHAnsi"/>
        </w:rPr>
        <w:t>Preparation – Both parties will need to submit witness statements and exchange relevant documents.</w:t>
      </w:r>
    </w:p>
    <w:p w:rsidR="0012328C" w:rsidRDefault="0012328C" w:rsidP="004D307C">
      <w:pPr>
        <w:pStyle w:val="Nornal"/>
        <w:numPr>
          <w:ilvl w:val="0"/>
          <w:numId w:val="5"/>
        </w:numPr>
        <w:jc w:val="both"/>
        <w:rPr>
          <w:rFonts w:asciiTheme="minorHAnsi" w:hAnsiTheme="minorHAnsi" w:cstheme="minorHAnsi"/>
        </w:rPr>
      </w:pPr>
      <w:r>
        <w:rPr>
          <w:rFonts w:asciiTheme="minorHAnsi" w:hAnsiTheme="minorHAnsi" w:cstheme="minorHAnsi"/>
        </w:rPr>
        <w:t>Hearing – All parties will attend the ET along with any witnesses and representatives.  The details of the case will be heard and evidence given followed by summing up before the Judge adjourns to make a decision.</w:t>
      </w:r>
    </w:p>
    <w:p w:rsidR="0012328C" w:rsidRDefault="0012328C" w:rsidP="004D307C">
      <w:pPr>
        <w:pStyle w:val="Nornal"/>
        <w:numPr>
          <w:ilvl w:val="0"/>
          <w:numId w:val="5"/>
        </w:numPr>
        <w:jc w:val="both"/>
        <w:rPr>
          <w:rFonts w:asciiTheme="minorHAnsi" w:hAnsiTheme="minorHAnsi" w:cstheme="minorHAnsi"/>
        </w:rPr>
      </w:pPr>
      <w:r>
        <w:rPr>
          <w:rFonts w:asciiTheme="minorHAnsi" w:hAnsiTheme="minorHAnsi" w:cstheme="minorHAnsi"/>
        </w:rPr>
        <w:t xml:space="preserve">Outcome – The Judge will deliver the outcome.  When in favour of the Claim can be in the form of compensation, payment of wages or monies owed, re-instatement or re-engagement.  </w:t>
      </w:r>
    </w:p>
    <w:p w:rsidR="00802049" w:rsidRDefault="00802049" w:rsidP="00802049">
      <w:pPr>
        <w:pStyle w:val="Nornal"/>
        <w:ind w:left="1440"/>
        <w:jc w:val="both"/>
        <w:rPr>
          <w:rFonts w:asciiTheme="minorHAnsi" w:hAnsiTheme="minorHAnsi" w:cstheme="minorHAnsi"/>
        </w:rPr>
      </w:pPr>
      <w:r>
        <w:rPr>
          <w:rFonts w:asciiTheme="minorHAnsi" w:hAnsiTheme="minorHAnsi" w:cstheme="minorHAnsi"/>
        </w:rPr>
        <w:t>(Ayling and Suff, 2023)</w:t>
      </w:r>
    </w:p>
    <w:p w:rsidR="00835B97" w:rsidRDefault="006A4FAA" w:rsidP="0012328C">
      <w:pPr>
        <w:pStyle w:val="Nornal"/>
        <w:ind w:left="720"/>
        <w:jc w:val="both"/>
        <w:rPr>
          <w:rFonts w:asciiTheme="minorHAnsi" w:hAnsiTheme="minorHAnsi" w:cstheme="minorHAnsi"/>
        </w:rPr>
      </w:pPr>
      <w:r>
        <w:rPr>
          <w:rFonts w:asciiTheme="minorHAnsi" w:hAnsiTheme="minorHAnsi" w:cstheme="minorHAnsi"/>
        </w:rPr>
        <w:t xml:space="preserve">If the claimant is not happy with the decision of the Employment Judge, they can appeal only on a point of law to the Employment Appeal </w:t>
      </w:r>
      <w:r w:rsidR="00163B0D">
        <w:rPr>
          <w:rFonts w:asciiTheme="minorHAnsi" w:hAnsiTheme="minorHAnsi" w:cstheme="minorHAnsi"/>
        </w:rPr>
        <w:t>Tribunal, Appeal Court and finally the Supreme Court</w:t>
      </w:r>
      <w:r w:rsidR="00D20C3F">
        <w:rPr>
          <w:rFonts w:asciiTheme="minorHAnsi" w:hAnsiTheme="minorHAnsi" w:cstheme="minorHAnsi"/>
        </w:rPr>
        <w:t xml:space="preserve"> (Ross, 2010)</w:t>
      </w:r>
      <w:r w:rsidR="00163B0D">
        <w:rPr>
          <w:rFonts w:asciiTheme="minorHAnsi" w:hAnsiTheme="minorHAnsi" w:cstheme="minorHAnsi"/>
        </w:rPr>
        <w:t>.</w:t>
      </w:r>
      <w:r w:rsidR="00AD7947">
        <w:rPr>
          <w:rFonts w:asciiTheme="minorHAnsi" w:hAnsiTheme="minorHAnsi" w:cstheme="minorHAnsi"/>
        </w:rPr>
        <w:t xml:space="preserve">  The process is shown in the diagram below:</w:t>
      </w:r>
    </w:p>
    <w:p w:rsidR="00835B97" w:rsidRDefault="00835B97" w:rsidP="0012328C">
      <w:pPr>
        <w:pStyle w:val="Nornal"/>
        <w:ind w:left="720"/>
        <w:jc w:val="both"/>
        <w:rPr>
          <w:rFonts w:asciiTheme="minorHAnsi" w:hAnsiTheme="minorHAnsi" w:cstheme="minorHAnsi"/>
        </w:rPr>
      </w:pPr>
      <w:r>
        <w:rPr>
          <w:noProof/>
          <w:lang w:eastAsia="en-GB"/>
        </w:rPr>
        <w:lastRenderedPageBreak/>
        <w:drawing>
          <wp:inline distT="0" distB="0" distL="0" distR="0">
            <wp:extent cx="5731510" cy="3223974"/>
            <wp:effectExtent l="0" t="0" r="2540" b="0"/>
            <wp:docPr id="4" name="Picture 4" descr="A flowchart displaying the employment tribunal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flowchart displaying the employment tribunal proces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rsidR="00266EDD" w:rsidRDefault="008F68FD" w:rsidP="0012328C">
      <w:pPr>
        <w:pStyle w:val="Nornal"/>
        <w:ind w:left="720"/>
        <w:jc w:val="both"/>
        <w:rPr>
          <w:rFonts w:asciiTheme="minorHAnsi" w:hAnsiTheme="minorHAnsi" w:cstheme="minorHAnsi"/>
        </w:rPr>
      </w:pPr>
      <w:r>
        <w:rPr>
          <w:rFonts w:asciiTheme="minorHAnsi" w:hAnsiTheme="minorHAnsi" w:cstheme="minorHAnsi"/>
        </w:rPr>
        <w:t>(Zaidi and Brione, 2023)</w:t>
      </w:r>
    </w:p>
    <w:p w:rsidR="00E81A88" w:rsidRPr="003D2A4D" w:rsidRDefault="00E81A88" w:rsidP="00266EDD">
      <w:pPr>
        <w:pStyle w:val="Nornal"/>
        <w:jc w:val="both"/>
        <w:rPr>
          <w:rFonts w:asciiTheme="minorHAnsi" w:hAnsiTheme="minorHAnsi" w:cstheme="minorHAnsi"/>
        </w:rPr>
      </w:pPr>
    </w:p>
    <w:p w:rsidR="000556C0" w:rsidRDefault="000556C0" w:rsidP="004D307C">
      <w:pPr>
        <w:pStyle w:val="Nornal"/>
        <w:numPr>
          <w:ilvl w:val="0"/>
          <w:numId w:val="2"/>
        </w:numPr>
        <w:jc w:val="both"/>
        <w:rPr>
          <w:rFonts w:asciiTheme="minorHAnsi" w:hAnsiTheme="minorHAnsi" w:cstheme="minorHAnsi"/>
          <w:b/>
        </w:rPr>
      </w:pPr>
      <w:r w:rsidRPr="004B4E11">
        <w:rPr>
          <w:rFonts w:asciiTheme="minorHAnsi" w:hAnsiTheme="minorHAnsi" w:cstheme="minorHAnsi"/>
          <w:b/>
        </w:rPr>
        <w:t>Explain how cases are settled before and during legal procedures. (AC 1.3)</w:t>
      </w:r>
    </w:p>
    <w:p w:rsidR="00F11963" w:rsidRDefault="00FC0F80" w:rsidP="00F11963">
      <w:pPr>
        <w:pStyle w:val="Nornal"/>
        <w:ind w:left="720"/>
        <w:jc w:val="both"/>
        <w:rPr>
          <w:rFonts w:asciiTheme="minorHAnsi" w:hAnsiTheme="minorHAnsi" w:cstheme="minorHAnsi"/>
        </w:rPr>
      </w:pPr>
      <w:r>
        <w:rPr>
          <w:rFonts w:asciiTheme="minorHAnsi" w:hAnsiTheme="minorHAnsi" w:cstheme="minorHAnsi"/>
        </w:rPr>
        <w:t xml:space="preserve">Saundry and Gifford (2021) emphasise the importance of addressing conflict in the early stages to avoid it escalating </w:t>
      </w:r>
      <w:r w:rsidR="00FE4A24">
        <w:rPr>
          <w:rFonts w:asciiTheme="minorHAnsi" w:hAnsiTheme="minorHAnsi" w:cstheme="minorHAnsi"/>
        </w:rPr>
        <w:t>to ET</w:t>
      </w:r>
      <w:r>
        <w:rPr>
          <w:rFonts w:asciiTheme="minorHAnsi" w:hAnsiTheme="minorHAnsi" w:cstheme="minorHAnsi"/>
        </w:rPr>
        <w:t xml:space="preserve">.  </w:t>
      </w:r>
      <w:r w:rsidR="00FE4A24">
        <w:rPr>
          <w:rFonts w:asciiTheme="minorHAnsi" w:hAnsiTheme="minorHAnsi" w:cstheme="minorHAnsi"/>
        </w:rPr>
        <w:t>Settlement outside of ET</w:t>
      </w:r>
      <w:r w:rsidR="00F61429">
        <w:rPr>
          <w:rFonts w:asciiTheme="minorHAnsi" w:hAnsiTheme="minorHAnsi" w:cstheme="minorHAnsi"/>
        </w:rPr>
        <w:t xml:space="preserve"> is less time consuming, does not incur costs of going to tribunal and is seen as less stressful to both parties (ACAS 2018).</w:t>
      </w:r>
    </w:p>
    <w:p w:rsidR="00471DCB" w:rsidRDefault="00471DCB" w:rsidP="00F11963">
      <w:pPr>
        <w:pStyle w:val="Nornal"/>
        <w:ind w:left="720"/>
        <w:jc w:val="both"/>
        <w:rPr>
          <w:rFonts w:asciiTheme="minorHAnsi" w:hAnsiTheme="minorHAnsi" w:cstheme="minorHAnsi"/>
        </w:rPr>
      </w:pPr>
      <w:r>
        <w:rPr>
          <w:rFonts w:asciiTheme="minorHAnsi" w:hAnsiTheme="minorHAnsi" w:cstheme="minorHAnsi"/>
        </w:rPr>
        <w:t>Arbitration can be used whereby an independent third party makes a decision in relation to a dispute.  Arbitration can only be used for disputes if both parties agree to arbitration and the dispute is relating to flexible working requests or unfair dismissal (ACAS, 2022a)</w:t>
      </w:r>
    </w:p>
    <w:p w:rsidR="00D328D3" w:rsidRDefault="004B7BF1" w:rsidP="004B7BF1">
      <w:pPr>
        <w:pStyle w:val="Nornal"/>
        <w:ind w:left="720"/>
        <w:jc w:val="both"/>
        <w:rPr>
          <w:rFonts w:asciiTheme="minorHAnsi" w:hAnsiTheme="minorHAnsi" w:cstheme="minorHAnsi"/>
        </w:rPr>
      </w:pPr>
      <w:r>
        <w:rPr>
          <w:rFonts w:asciiTheme="minorHAnsi" w:hAnsiTheme="minorHAnsi" w:cstheme="minorHAnsi"/>
        </w:rPr>
        <w:t>Daniels (2019) identifies the following methods</w:t>
      </w:r>
      <w:r w:rsidR="00D328D3">
        <w:rPr>
          <w:rFonts w:asciiTheme="minorHAnsi" w:hAnsiTheme="minorHAnsi" w:cstheme="minorHAnsi"/>
        </w:rPr>
        <w:t xml:space="preserve"> of settlement outside of the legal system:</w:t>
      </w:r>
    </w:p>
    <w:p w:rsidR="00840F3C" w:rsidRDefault="00FC0F80" w:rsidP="00840F3C">
      <w:pPr>
        <w:pStyle w:val="Nornal"/>
        <w:numPr>
          <w:ilvl w:val="0"/>
          <w:numId w:val="22"/>
        </w:numPr>
        <w:jc w:val="both"/>
        <w:rPr>
          <w:rFonts w:asciiTheme="minorHAnsi" w:hAnsiTheme="minorHAnsi" w:cstheme="minorHAnsi"/>
        </w:rPr>
      </w:pPr>
      <w:r w:rsidRPr="00D328D3">
        <w:rPr>
          <w:rFonts w:asciiTheme="minorHAnsi" w:hAnsiTheme="minorHAnsi" w:cstheme="minorHAnsi"/>
        </w:rPr>
        <w:t>Early conciliation</w:t>
      </w:r>
      <w:r w:rsidR="00D328D3" w:rsidRPr="00D328D3">
        <w:rPr>
          <w:rFonts w:asciiTheme="minorHAnsi" w:hAnsiTheme="minorHAnsi" w:cstheme="minorHAnsi"/>
        </w:rPr>
        <w:t xml:space="preserve"> </w:t>
      </w:r>
      <w:r w:rsidR="00D328D3">
        <w:rPr>
          <w:rFonts w:asciiTheme="minorHAnsi" w:hAnsiTheme="minorHAnsi" w:cstheme="minorHAnsi"/>
        </w:rPr>
        <w:t>–</w:t>
      </w:r>
      <w:r w:rsidR="00D328D3" w:rsidRPr="00D328D3">
        <w:rPr>
          <w:rFonts w:asciiTheme="minorHAnsi" w:hAnsiTheme="minorHAnsi" w:cstheme="minorHAnsi"/>
        </w:rPr>
        <w:t xml:space="preserve"> </w:t>
      </w:r>
      <w:r w:rsidR="00D328D3">
        <w:rPr>
          <w:rFonts w:asciiTheme="minorHAnsi" w:hAnsiTheme="minorHAnsi" w:cstheme="minorHAnsi"/>
        </w:rPr>
        <w:t xml:space="preserve">The Claimant must contact ACAS within 3 months less a day of the issue arising explaining that they wish to make a claim, provide their details and that of their employer.  An early support conciliation officer will contact the Claimant in 2 days to take details of the claim and </w:t>
      </w:r>
      <w:r w:rsidR="00840F3C">
        <w:rPr>
          <w:rFonts w:asciiTheme="minorHAnsi" w:hAnsiTheme="minorHAnsi" w:cstheme="minorHAnsi"/>
        </w:rPr>
        <w:t>offer</w:t>
      </w:r>
      <w:r w:rsidR="00D328D3">
        <w:rPr>
          <w:rFonts w:asciiTheme="minorHAnsi" w:hAnsiTheme="minorHAnsi" w:cstheme="minorHAnsi"/>
        </w:rPr>
        <w:t xml:space="preserve"> early conciliation.  If </w:t>
      </w:r>
      <w:r w:rsidR="00840F3C">
        <w:rPr>
          <w:rFonts w:asciiTheme="minorHAnsi" w:hAnsiTheme="minorHAnsi" w:cstheme="minorHAnsi"/>
        </w:rPr>
        <w:t>the Claimant wishes to proceed t</w:t>
      </w:r>
      <w:r w:rsidR="00D328D3">
        <w:rPr>
          <w:rFonts w:asciiTheme="minorHAnsi" w:hAnsiTheme="minorHAnsi" w:cstheme="minorHAnsi"/>
        </w:rPr>
        <w:t>he</w:t>
      </w:r>
      <w:r w:rsidR="00840F3C">
        <w:rPr>
          <w:rFonts w:asciiTheme="minorHAnsi" w:hAnsiTheme="minorHAnsi" w:cstheme="minorHAnsi"/>
        </w:rPr>
        <w:t xml:space="preserve"> conciliation officer will contact the employer and </w:t>
      </w:r>
      <w:r w:rsidR="00D328D3">
        <w:rPr>
          <w:rFonts w:asciiTheme="minorHAnsi" w:hAnsiTheme="minorHAnsi" w:cstheme="minorHAnsi"/>
        </w:rPr>
        <w:t>act as a third party to see whether a settlement can be agreed within 6 weeks</w:t>
      </w:r>
      <w:r w:rsidR="00FE4A24">
        <w:rPr>
          <w:rFonts w:asciiTheme="minorHAnsi" w:hAnsiTheme="minorHAnsi" w:cstheme="minorHAnsi"/>
        </w:rPr>
        <w:t xml:space="preserve"> (ACAS, 2022</w:t>
      </w:r>
      <w:r w:rsidR="00471DCB">
        <w:rPr>
          <w:rFonts w:asciiTheme="minorHAnsi" w:hAnsiTheme="minorHAnsi" w:cstheme="minorHAnsi"/>
        </w:rPr>
        <w:t>c</w:t>
      </w:r>
      <w:r w:rsidR="00FE4A24">
        <w:rPr>
          <w:rFonts w:asciiTheme="minorHAnsi" w:hAnsiTheme="minorHAnsi" w:cstheme="minorHAnsi"/>
        </w:rPr>
        <w:t>)</w:t>
      </w:r>
      <w:r w:rsidR="00D328D3">
        <w:rPr>
          <w:rFonts w:asciiTheme="minorHAnsi" w:hAnsiTheme="minorHAnsi" w:cstheme="minorHAnsi"/>
        </w:rPr>
        <w:t xml:space="preserve">.  </w:t>
      </w:r>
      <w:r w:rsidR="00FE4A24">
        <w:rPr>
          <w:rFonts w:asciiTheme="minorHAnsi" w:hAnsiTheme="minorHAnsi" w:cstheme="minorHAnsi"/>
        </w:rPr>
        <w:t xml:space="preserve">If Settlement is </w:t>
      </w:r>
      <w:r w:rsidR="00147F04">
        <w:rPr>
          <w:rFonts w:asciiTheme="minorHAnsi" w:hAnsiTheme="minorHAnsi" w:cstheme="minorHAnsi"/>
        </w:rPr>
        <w:t>agreed,</w:t>
      </w:r>
      <w:r w:rsidR="00FE4A24">
        <w:rPr>
          <w:rFonts w:asciiTheme="minorHAnsi" w:hAnsiTheme="minorHAnsi" w:cstheme="minorHAnsi"/>
        </w:rPr>
        <w:t xml:space="preserve"> the terms are outlined in a COT3 form.</w:t>
      </w:r>
    </w:p>
    <w:p w:rsidR="00840F3C" w:rsidRDefault="00705533" w:rsidP="00840F3C">
      <w:pPr>
        <w:pStyle w:val="Nornal"/>
        <w:numPr>
          <w:ilvl w:val="0"/>
          <w:numId w:val="22"/>
        </w:numPr>
        <w:jc w:val="both"/>
        <w:rPr>
          <w:rFonts w:asciiTheme="minorHAnsi" w:hAnsiTheme="minorHAnsi" w:cstheme="minorHAnsi"/>
        </w:rPr>
      </w:pPr>
      <w:r w:rsidRPr="00840F3C">
        <w:rPr>
          <w:rFonts w:asciiTheme="minorHAnsi" w:hAnsiTheme="minorHAnsi" w:cstheme="minorHAnsi"/>
        </w:rPr>
        <w:t xml:space="preserve">Settlement prior to hearing – If early conciliation was not entered into or attempts to come to a settlement were unsuccessful, ACAS will still be sent copies of the ET1 and ET3 forms from </w:t>
      </w:r>
      <w:r w:rsidR="00840F3C">
        <w:rPr>
          <w:rFonts w:asciiTheme="minorHAnsi" w:hAnsiTheme="minorHAnsi" w:cstheme="minorHAnsi"/>
        </w:rPr>
        <w:t>the ET and will continue to attempt settlement.</w:t>
      </w:r>
      <w:r w:rsidRPr="00840F3C">
        <w:rPr>
          <w:rFonts w:asciiTheme="minorHAnsi" w:hAnsiTheme="minorHAnsi" w:cstheme="minorHAnsi"/>
        </w:rPr>
        <w:t xml:space="preserve">  </w:t>
      </w:r>
    </w:p>
    <w:p w:rsidR="00DB3A21" w:rsidRPr="00840F3C" w:rsidRDefault="00FE4A24" w:rsidP="00840F3C">
      <w:pPr>
        <w:pStyle w:val="Nornal"/>
        <w:numPr>
          <w:ilvl w:val="0"/>
          <w:numId w:val="22"/>
        </w:numPr>
        <w:jc w:val="both"/>
        <w:rPr>
          <w:rFonts w:asciiTheme="minorHAnsi" w:hAnsiTheme="minorHAnsi" w:cstheme="minorHAnsi"/>
        </w:rPr>
      </w:pPr>
      <w:r w:rsidRPr="00840F3C">
        <w:rPr>
          <w:rFonts w:asciiTheme="minorHAnsi" w:hAnsiTheme="minorHAnsi" w:cstheme="minorHAnsi"/>
        </w:rPr>
        <w:t xml:space="preserve">Judicial Mediation – </w:t>
      </w:r>
      <w:r w:rsidR="00840F3C">
        <w:rPr>
          <w:rFonts w:asciiTheme="minorHAnsi" w:hAnsiTheme="minorHAnsi" w:cstheme="minorHAnsi"/>
        </w:rPr>
        <w:t xml:space="preserve">On reading the ET1 and </w:t>
      </w:r>
      <w:r w:rsidR="00D0577B">
        <w:rPr>
          <w:rFonts w:asciiTheme="minorHAnsi" w:hAnsiTheme="minorHAnsi" w:cstheme="minorHAnsi"/>
        </w:rPr>
        <w:t>ET3,</w:t>
      </w:r>
      <w:r w:rsidR="00840F3C">
        <w:rPr>
          <w:rFonts w:asciiTheme="minorHAnsi" w:hAnsiTheme="minorHAnsi" w:cstheme="minorHAnsi"/>
        </w:rPr>
        <w:t xml:space="preserve"> the Judge feels </w:t>
      </w:r>
      <w:r w:rsidRPr="00840F3C">
        <w:rPr>
          <w:rFonts w:asciiTheme="minorHAnsi" w:hAnsiTheme="minorHAnsi" w:cstheme="minorHAnsi"/>
        </w:rPr>
        <w:t xml:space="preserve">the case could be resolved through mediation.  If both parties agree to mediation the regional </w:t>
      </w:r>
      <w:r w:rsidR="00D0577B">
        <w:rPr>
          <w:rFonts w:asciiTheme="minorHAnsi" w:hAnsiTheme="minorHAnsi" w:cstheme="minorHAnsi"/>
        </w:rPr>
        <w:t>employment,</w:t>
      </w:r>
      <w:r w:rsidRPr="00840F3C">
        <w:rPr>
          <w:rFonts w:asciiTheme="minorHAnsi" w:hAnsiTheme="minorHAnsi" w:cstheme="minorHAnsi"/>
        </w:rPr>
        <w:t xml:space="preserve"> Judge will decide whether this is a suitable option for the case.   The case will then be put before an employment Judge specially trained in mediation to </w:t>
      </w:r>
      <w:r w:rsidRPr="00840F3C">
        <w:rPr>
          <w:rFonts w:asciiTheme="minorHAnsi" w:hAnsiTheme="minorHAnsi" w:cstheme="minorHAnsi"/>
        </w:rPr>
        <w:lastRenderedPageBreak/>
        <w:t xml:space="preserve">see whether the parties can agree to a settlement.  If settlement </w:t>
      </w:r>
      <w:r w:rsidR="00147F04" w:rsidRPr="00840F3C">
        <w:rPr>
          <w:rFonts w:asciiTheme="minorHAnsi" w:hAnsiTheme="minorHAnsi" w:cstheme="minorHAnsi"/>
        </w:rPr>
        <w:t>cannot</w:t>
      </w:r>
      <w:r w:rsidRPr="00840F3C">
        <w:rPr>
          <w:rFonts w:asciiTheme="minorHAnsi" w:hAnsiTheme="minorHAnsi" w:cstheme="minorHAnsi"/>
        </w:rPr>
        <w:t xml:space="preserve"> be reached, the case will be listed for Tribunal in f</w:t>
      </w:r>
      <w:r w:rsidR="00A31F3D" w:rsidRPr="00840F3C">
        <w:rPr>
          <w:rFonts w:asciiTheme="minorHAnsi" w:hAnsiTheme="minorHAnsi" w:cstheme="minorHAnsi"/>
        </w:rPr>
        <w:t>ront of a different employment J</w:t>
      </w:r>
      <w:r w:rsidRPr="00840F3C">
        <w:rPr>
          <w:rFonts w:asciiTheme="minorHAnsi" w:hAnsiTheme="minorHAnsi" w:cstheme="minorHAnsi"/>
        </w:rPr>
        <w:t>udge.</w:t>
      </w:r>
    </w:p>
    <w:p w:rsidR="00FE4A24" w:rsidRPr="00D328D3" w:rsidRDefault="00DB3A21" w:rsidP="00F11963">
      <w:pPr>
        <w:pStyle w:val="Nornal"/>
        <w:ind w:left="720"/>
        <w:jc w:val="both"/>
        <w:rPr>
          <w:rFonts w:asciiTheme="minorHAnsi" w:hAnsiTheme="minorHAnsi" w:cstheme="minorHAnsi"/>
        </w:rPr>
      </w:pPr>
      <w:r>
        <w:rPr>
          <w:rFonts w:asciiTheme="minorHAnsi" w:hAnsiTheme="minorHAnsi" w:cstheme="minorHAnsi"/>
        </w:rPr>
        <w:t xml:space="preserve">A settlement </w:t>
      </w:r>
      <w:r w:rsidRPr="00DB3A21">
        <w:rPr>
          <w:rFonts w:asciiTheme="minorHAnsi" w:hAnsiTheme="minorHAnsi" w:cstheme="minorHAnsi"/>
        </w:rPr>
        <w:t xml:space="preserve">agreement can be reached </w:t>
      </w:r>
      <w:r>
        <w:rPr>
          <w:rFonts w:asciiTheme="minorHAnsi" w:hAnsiTheme="minorHAnsi" w:cstheme="minorHAnsi"/>
        </w:rPr>
        <w:t>under the terms outlined in</w:t>
      </w:r>
      <w:r w:rsidRPr="00DB3A21">
        <w:rPr>
          <w:rFonts w:asciiTheme="minorHAnsi" w:hAnsiTheme="minorHAnsi" w:cstheme="minorHAnsi"/>
        </w:rPr>
        <w:t xml:space="preserve"> </w:t>
      </w:r>
      <w:r w:rsidRPr="00DB3A21">
        <w:rPr>
          <w:rFonts w:asciiTheme="minorHAnsi" w:hAnsiTheme="minorHAnsi" w:cstheme="minorHAnsi"/>
          <w:color w:val="000000"/>
        </w:rPr>
        <w:t>Section 111A of the ERA 1996</w:t>
      </w:r>
      <w:r>
        <w:rPr>
          <w:rFonts w:asciiTheme="minorHAnsi" w:hAnsiTheme="minorHAnsi" w:cstheme="minorHAnsi"/>
        </w:rPr>
        <w:t xml:space="preserve"> and on a ‘without prejudice’ basis</w:t>
      </w:r>
      <w:r w:rsidR="00840F3C">
        <w:rPr>
          <w:rFonts w:asciiTheme="minorHAnsi" w:hAnsiTheme="minorHAnsi" w:cstheme="minorHAnsi"/>
        </w:rPr>
        <w:t xml:space="preserve"> usually with the agreement that the Claimants contract is terminated</w:t>
      </w:r>
      <w:r>
        <w:rPr>
          <w:rFonts w:asciiTheme="minorHAnsi" w:hAnsiTheme="minorHAnsi" w:cstheme="minorHAnsi"/>
        </w:rPr>
        <w:t xml:space="preserve">.  </w:t>
      </w:r>
      <w:r w:rsidR="00840F3C">
        <w:rPr>
          <w:rFonts w:asciiTheme="minorHAnsi" w:hAnsiTheme="minorHAnsi" w:cstheme="minorHAnsi"/>
        </w:rPr>
        <w:t xml:space="preserve">The Claimant must have </w:t>
      </w:r>
      <w:r>
        <w:rPr>
          <w:rFonts w:asciiTheme="minorHAnsi" w:hAnsiTheme="minorHAnsi" w:cstheme="minorHAnsi"/>
        </w:rPr>
        <w:t xml:space="preserve">received advice from a lawyer, certified advisor or trade union and </w:t>
      </w:r>
      <w:r w:rsidR="00840F3C">
        <w:rPr>
          <w:rFonts w:asciiTheme="minorHAnsi" w:hAnsiTheme="minorHAnsi" w:cstheme="minorHAnsi"/>
        </w:rPr>
        <w:t>the settlement must be in</w:t>
      </w:r>
      <w:r>
        <w:rPr>
          <w:rFonts w:asciiTheme="minorHAnsi" w:hAnsiTheme="minorHAnsi" w:cstheme="minorHAnsi"/>
        </w:rPr>
        <w:t xml:space="preserve"> writing</w:t>
      </w:r>
      <w:r w:rsidR="00840F3C">
        <w:rPr>
          <w:rFonts w:asciiTheme="minorHAnsi" w:hAnsiTheme="minorHAnsi" w:cstheme="minorHAnsi"/>
        </w:rPr>
        <w:t xml:space="preserve"> and is subject to the </w:t>
      </w:r>
      <w:r>
        <w:rPr>
          <w:rFonts w:asciiTheme="minorHAnsi" w:hAnsiTheme="minorHAnsi" w:cstheme="minorHAnsi"/>
        </w:rPr>
        <w:t>parties</w:t>
      </w:r>
      <w:r w:rsidR="00840F3C">
        <w:rPr>
          <w:rFonts w:asciiTheme="minorHAnsi" w:hAnsiTheme="minorHAnsi" w:cstheme="minorHAnsi"/>
        </w:rPr>
        <w:t xml:space="preserve"> not having</w:t>
      </w:r>
      <w:r>
        <w:rPr>
          <w:rFonts w:asciiTheme="minorHAnsi" w:hAnsiTheme="minorHAnsi" w:cstheme="minorHAnsi"/>
        </w:rPr>
        <w:t xml:space="preserve"> engaged in any improper behaviour as outlined by ACAS (2013).</w:t>
      </w:r>
    </w:p>
    <w:p w:rsidR="00E81A88" w:rsidRDefault="00E81A88" w:rsidP="004B4E11">
      <w:pPr>
        <w:pStyle w:val="Nornal"/>
        <w:jc w:val="both"/>
        <w:rPr>
          <w:rFonts w:asciiTheme="minorHAnsi" w:hAnsiTheme="minorHAnsi" w:cstheme="minorHAnsi"/>
          <w:b/>
        </w:rPr>
      </w:pPr>
    </w:p>
    <w:p w:rsidR="00E81A88" w:rsidRPr="004B4E11" w:rsidRDefault="000556C0" w:rsidP="004B4E11">
      <w:pPr>
        <w:pStyle w:val="Nornal"/>
        <w:jc w:val="both"/>
        <w:rPr>
          <w:rFonts w:asciiTheme="minorHAnsi" w:hAnsiTheme="minorHAnsi" w:cstheme="minorHAnsi"/>
          <w:b/>
        </w:rPr>
      </w:pPr>
      <w:r w:rsidRPr="004B4E11">
        <w:rPr>
          <w:rFonts w:asciiTheme="minorHAnsi" w:hAnsiTheme="minorHAnsi" w:cstheme="minorHAnsi"/>
          <w:b/>
        </w:rPr>
        <w:t>And provide tailored advice for each of the following scenarios:</w:t>
      </w:r>
    </w:p>
    <w:p w:rsidR="00D02D72" w:rsidRDefault="000556C0" w:rsidP="004D307C">
      <w:pPr>
        <w:pStyle w:val="Nornal"/>
        <w:numPr>
          <w:ilvl w:val="0"/>
          <w:numId w:val="2"/>
        </w:numPr>
        <w:jc w:val="both"/>
        <w:rPr>
          <w:rFonts w:asciiTheme="minorHAnsi" w:hAnsiTheme="minorHAnsi" w:cstheme="minorHAnsi"/>
          <w:b/>
        </w:rPr>
      </w:pPr>
      <w:bookmarkStart w:id="2" w:name="_Hlk123122771"/>
      <w:r w:rsidRPr="004B4E11">
        <w:rPr>
          <w:rFonts w:asciiTheme="minorHAnsi" w:hAnsiTheme="minorHAnsi" w:cstheme="minorHAnsi"/>
          <w:b/>
        </w:rPr>
        <w:t xml:space="preserve">Charlotte and Madeleine </w:t>
      </w:r>
      <w:bookmarkEnd w:id="2"/>
      <w:r w:rsidRPr="004B4E11">
        <w:rPr>
          <w:rFonts w:asciiTheme="minorHAnsi" w:hAnsiTheme="minorHAnsi" w:cstheme="minorHAnsi"/>
          <w:b/>
        </w:rPr>
        <w:t>are aware discrimination legislation exists. They are unsure how this might affect their approach to recruitment and selection of employees for their two new branch openings. They want to avoid dealing with retirement and do not want their business disrupted by employees taking maternity leave. To overcome this, they decide to appoint young men. Advise them on the decision of appointing young men only. (AC 2.1)</w:t>
      </w:r>
      <w:r w:rsidR="00090BD9">
        <w:rPr>
          <w:rFonts w:asciiTheme="minorHAnsi" w:hAnsiTheme="minorHAnsi" w:cstheme="minorHAnsi"/>
          <w:b/>
        </w:rPr>
        <w:t xml:space="preserve"> </w:t>
      </w:r>
    </w:p>
    <w:p w:rsidR="003F019F" w:rsidRPr="00D81027" w:rsidRDefault="003F019F" w:rsidP="00D81027">
      <w:pPr>
        <w:ind w:left="720"/>
        <w:jc w:val="both"/>
        <w:rPr>
          <w:rFonts w:ascii="Times New Roman" w:eastAsia="Times New Roman" w:hAnsi="Times New Roman" w:cs="Times New Roman"/>
          <w:sz w:val="24"/>
          <w:szCs w:val="24"/>
          <w:lang w:eastAsia="en-GB"/>
        </w:rPr>
      </w:pPr>
      <w:r w:rsidRPr="003F019F">
        <w:rPr>
          <w:rFonts w:cstheme="minorHAnsi"/>
        </w:rPr>
        <w:t xml:space="preserve">Charlotte and Madeline should familiarise themselves with the </w:t>
      </w:r>
      <w:r w:rsidRPr="005F7B91">
        <w:rPr>
          <w:rFonts w:cstheme="minorHAnsi"/>
          <w:i/>
        </w:rPr>
        <w:t>Equality Act 2010</w:t>
      </w:r>
      <w:r>
        <w:rPr>
          <w:rFonts w:cstheme="minorHAnsi"/>
        </w:rPr>
        <w:t xml:space="preserve">, which protects individuals from discrimination against the nine protected characteristics set out in AC1.1.  </w:t>
      </w:r>
      <w:r w:rsidR="00651B4E">
        <w:rPr>
          <w:rFonts w:cstheme="minorHAnsi"/>
        </w:rPr>
        <w:t xml:space="preserve">The </w:t>
      </w:r>
      <w:r w:rsidR="00651B4E" w:rsidRPr="005F7B91">
        <w:rPr>
          <w:rFonts w:cstheme="minorHAnsi"/>
          <w:i/>
        </w:rPr>
        <w:t>Equality Act 2010</w:t>
      </w:r>
      <w:r w:rsidR="00651B4E">
        <w:rPr>
          <w:rFonts w:cstheme="minorHAnsi"/>
        </w:rPr>
        <w:t xml:space="preserve"> </w:t>
      </w:r>
      <w:r w:rsidR="00651B4E" w:rsidRPr="00651B4E">
        <w:rPr>
          <w:rFonts w:cstheme="minorHAnsi"/>
        </w:rPr>
        <w:t>protects those individuals who are in employment, engaged in occupations or activ</w:t>
      </w:r>
      <w:r w:rsidR="00651B4E">
        <w:rPr>
          <w:rFonts w:cstheme="minorHAnsi"/>
        </w:rPr>
        <w:t>ities relating to work</w:t>
      </w:r>
      <w:r w:rsidR="00773814">
        <w:rPr>
          <w:rFonts w:cstheme="minorHAnsi"/>
        </w:rPr>
        <w:t>, ex-employees</w:t>
      </w:r>
      <w:r w:rsidR="00651B4E">
        <w:rPr>
          <w:rFonts w:cstheme="minorHAnsi"/>
        </w:rPr>
        <w:t xml:space="preserve"> and, </w:t>
      </w:r>
      <w:r w:rsidR="00651B4E" w:rsidRPr="00651B4E">
        <w:rPr>
          <w:rFonts w:cstheme="minorHAnsi"/>
        </w:rPr>
        <w:t>relevant in this situation</w:t>
      </w:r>
      <w:r w:rsidR="00651B4E">
        <w:rPr>
          <w:rFonts w:cstheme="minorHAnsi"/>
        </w:rPr>
        <w:t>,</w:t>
      </w:r>
      <w:r w:rsidR="00651B4E" w:rsidRPr="00651B4E">
        <w:rPr>
          <w:rFonts w:cstheme="minorHAnsi"/>
        </w:rPr>
        <w:t xml:space="preserve"> those seeking employment </w:t>
      </w:r>
      <w:r w:rsidR="00651B4E" w:rsidRPr="00651B4E">
        <w:rPr>
          <w:rFonts w:eastAsia="Times New Roman" w:cs="Times New Roman"/>
          <w:lang w:eastAsia="en-GB"/>
        </w:rPr>
        <w:t>(Equality and Human Rights Commission, 2019)</w:t>
      </w:r>
      <w:r w:rsidR="00651B4E">
        <w:rPr>
          <w:rFonts w:cstheme="minorHAnsi"/>
        </w:rPr>
        <w:t xml:space="preserve">.  </w:t>
      </w:r>
      <w:r>
        <w:rPr>
          <w:rFonts w:cstheme="minorHAnsi"/>
        </w:rPr>
        <w:t xml:space="preserve">By looking to </w:t>
      </w:r>
      <w:r w:rsidR="00884414">
        <w:rPr>
          <w:rFonts w:cstheme="minorHAnsi"/>
        </w:rPr>
        <w:t>recruit,</w:t>
      </w:r>
      <w:r>
        <w:rPr>
          <w:rFonts w:cstheme="minorHAnsi"/>
        </w:rPr>
        <w:t xml:space="preserve"> young men only to avoid retirement and maternity leave they would be directly discriminating based on age and sex, which are two of the protected characteristics</w:t>
      </w:r>
      <w:r w:rsidR="0003236F">
        <w:rPr>
          <w:rFonts w:cstheme="minorHAnsi"/>
        </w:rPr>
        <w:t xml:space="preserve"> and would therefore be unlawful.</w:t>
      </w:r>
    </w:p>
    <w:p w:rsidR="0003236F" w:rsidRDefault="003F019F" w:rsidP="00651B4E">
      <w:pPr>
        <w:pStyle w:val="Nornal"/>
        <w:ind w:left="720"/>
        <w:jc w:val="both"/>
        <w:rPr>
          <w:rFonts w:asciiTheme="minorHAnsi" w:hAnsiTheme="minorHAnsi" w:cstheme="minorHAnsi"/>
        </w:rPr>
      </w:pPr>
      <w:r>
        <w:rPr>
          <w:rFonts w:asciiTheme="minorHAnsi" w:hAnsiTheme="minorHAnsi" w:cstheme="minorHAnsi"/>
        </w:rPr>
        <w:t xml:space="preserve">Daniels (2019) outlines that an individual could make a claim to ET for discrimination </w:t>
      </w:r>
      <w:r w:rsidR="00884414">
        <w:rPr>
          <w:rFonts w:asciiTheme="minorHAnsi" w:hAnsiTheme="minorHAnsi" w:cstheme="minorHAnsi"/>
        </w:rPr>
        <w:t>and if successful could be awarded compensation for loss or damages</w:t>
      </w:r>
      <w:r w:rsidR="0003236F">
        <w:rPr>
          <w:rFonts w:asciiTheme="minorHAnsi" w:hAnsiTheme="minorHAnsi" w:cstheme="minorHAnsi"/>
        </w:rPr>
        <w:t xml:space="preserve"> </w:t>
      </w:r>
      <w:r w:rsidR="00884414">
        <w:rPr>
          <w:rFonts w:asciiTheme="minorHAnsi" w:hAnsiTheme="minorHAnsi" w:cstheme="minorHAnsi"/>
        </w:rPr>
        <w:t xml:space="preserve"> (including injury to feelings), a declaration of the rights of the parties  and/or recommendations to the employer for actions to be taken.  </w:t>
      </w:r>
      <w:r w:rsidR="0003236F">
        <w:rPr>
          <w:rFonts w:asciiTheme="minorHAnsi" w:hAnsiTheme="minorHAnsi" w:cstheme="minorHAnsi"/>
        </w:rPr>
        <w:t xml:space="preserve">Guidelines for the levels of compensation were set out in the case of </w:t>
      </w:r>
      <w:r w:rsidR="00214D41">
        <w:rPr>
          <w:rFonts w:asciiTheme="minorHAnsi" w:hAnsiTheme="minorHAnsi" w:cstheme="minorHAnsi"/>
        </w:rPr>
        <w:t>‘</w:t>
      </w:r>
      <w:r w:rsidR="0003236F" w:rsidRPr="0003236F">
        <w:rPr>
          <w:rFonts w:asciiTheme="minorHAnsi" w:hAnsiTheme="minorHAnsi" w:cstheme="minorHAnsi"/>
          <w:i/>
        </w:rPr>
        <w:t>Vento v Chief Constable of West Yorkshire Police</w:t>
      </w:r>
      <w:r w:rsidR="00214D41">
        <w:rPr>
          <w:rFonts w:asciiTheme="minorHAnsi" w:hAnsiTheme="minorHAnsi" w:cstheme="minorHAnsi"/>
          <w:i/>
        </w:rPr>
        <w:t>’</w:t>
      </w:r>
      <w:r w:rsidR="00261A4F">
        <w:rPr>
          <w:rFonts w:asciiTheme="minorHAnsi" w:hAnsiTheme="minorHAnsi" w:cstheme="minorHAnsi"/>
          <w:i/>
        </w:rPr>
        <w:t xml:space="preserve"> (2003)</w:t>
      </w:r>
      <w:r w:rsidR="0003236F">
        <w:rPr>
          <w:rFonts w:asciiTheme="minorHAnsi" w:hAnsiTheme="minorHAnsi" w:cstheme="minorHAnsi"/>
        </w:rPr>
        <w:t xml:space="preserve"> and range from £900 in the lowest band to in excess of £45,600 in exceptional cases</w:t>
      </w:r>
      <w:r w:rsidR="0003236F">
        <w:rPr>
          <w:rFonts w:asciiTheme="minorHAnsi" w:hAnsiTheme="minorHAnsi" w:cstheme="minorHAnsi"/>
          <w:i/>
        </w:rPr>
        <w:t xml:space="preserve"> </w:t>
      </w:r>
      <w:r w:rsidR="0003236F" w:rsidRPr="0003236F">
        <w:rPr>
          <w:rFonts w:asciiTheme="minorHAnsi" w:hAnsiTheme="minorHAnsi" w:cstheme="minorHAnsi"/>
        </w:rPr>
        <w:t>(Daniels, 2019)</w:t>
      </w:r>
      <w:r w:rsidR="0003236F">
        <w:rPr>
          <w:rFonts w:asciiTheme="minorHAnsi" w:hAnsiTheme="minorHAnsi" w:cstheme="minorHAnsi"/>
        </w:rPr>
        <w:t>.</w:t>
      </w:r>
    </w:p>
    <w:p w:rsidR="003F019F" w:rsidRDefault="00884414" w:rsidP="00651B4E">
      <w:pPr>
        <w:pStyle w:val="Nornal"/>
        <w:ind w:left="720"/>
        <w:jc w:val="both"/>
        <w:rPr>
          <w:rFonts w:asciiTheme="minorHAnsi" w:hAnsiTheme="minorHAnsi" w:cstheme="minorHAnsi"/>
        </w:rPr>
      </w:pPr>
      <w:r>
        <w:rPr>
          <w:rFonts w:asciiTheme="minorHAnsi" w:hAnsiTheme="minorHAnsi" w:cstheme="minorHAnsi"/>
        </w:rPr>
        <w:t>Charlotte and Madeleine would need to provide a defence that they had taken reasonable steps to avoid discrimination</w:t>
      </w:r>
      <w:r w:rsidR="009A3D84">
        <w:rPr>
          <w:rFonts w:asciiTheme="minorHAnsi" w:hAnsiTheme="minorHAnsi" w:cstheme="minorHAnsi"/>
        </w:rPr>
        <w:t xml:space="preserve"> and as outline by Taylor and Woodhams (2022) there is no defence to rejecting a candidate based on a protected characteristic, regardless of how the employer feels the decision is justified.</w:t>
      </w:r>
      <w:r>
        <w:rPr>
          <w:rFonts w:asciiTheme="minorHAnsi" w:hAnsiTheme="minorHAnsi" w:cstheme="minorHAnsi"/>
        </w:rPr>
        <w:t xml:space="preserve">  </w:t>
      </w:r>
    </w:p>
    <w:p w:rsidR="00884414" w:rsidRDefault="00884414" w:rsidP="00651B4E">
      <w:pPr>
        <w:pStyle w:val="Nornal"/>
        <w:ind w:left="720"/>
        <w:jc w:val="both"/>
        <w:rPr>
          <w:rFonts w:asciiTheme="minorHAnsi" w:hAnsiTheme="minorHAnsi" w:cstheme="minorHAnsi"/>
        </w:rPr>
      </w:pPr>
      <w:r>
        <w:rPr>
          <w:rFonts w:asciiTheme="minorHAnsi" w:hAnsiTheme="minorHAnsi" w:cstheme="minorHAnsi"/>
        </w:rPr>
        <w:t xml:space="preserve">Charlotte and Madeleine should be advised to appoint the best candidates for their vacancies regardless of their age or sex and </w:t>
      </w:r>
      <w:r w:rsidR="005304E2">
        <w:rPr>
          <w:rFonts w:asciiTheme="minorHAnsi" w:hAnsiTheme="minorHAnsi" w:cstheme="minorHAnsi"/>
        </w:rPr>
        <w:t>made aware</w:t>
      </w:r>
      <w:r>
        <w:rPr>
          <w:rFonts w:asciiTheme="minorHAnsi" w:hAnsiTheme="minorHAnsi" w:cstheme="minorHAnsi"/>
        </w:rPr>
        <w:t xml:space="preserve"> of the benefits of </w:t>
      </w:r>
      <w:r w:rsidR="005304E2">
        <w:rPr>
          <w:rFonts w:asciiTheme="minorHAnsi" w:hAnsiTheme="minorHAnsi" w:cstheme="minorHAnsi"/>
        </w:rPr>
        <w:t xml:space="preserve">equality, diversity </w:t>
      </w:r>
      <w:r>
        <w:rPr>
          <w:rFonts w:asciiTheme="minorHAnsi" w:hAnsiTheme="minorHAnsi" w:cstheme="minorHAnsi"/>
        </w:rPr>
        <w:t>inclusivity in the workplace</w:t>
      </w:r>
      <w:r w:rsidR="005304E2">
        <w:rPr>
          <w:rFonts w:asciiTheme="minorHAnsi" w:hAnsiTheme="minorHAnsi" w:cstheme="minorHAnsi"/>
        </w:rPr>
        <w:t xml:space="preserve"> such as a more creative, engaged and loyal workforce (Ali, 2022)</w:t>
      </w:r>
      <w:r>
        <w:rPr>
          <w:rFonts w:asciiTheme="minorHAnsi" w:hAnsiTheme="minorHAnsi" w:cstheme="minorHAnsi"/>
        </w:rPr>
        <w:t xml:space="preserve">.  Furthermore, they may </w:t>
      </w:r>
      <w:r w:rsidR="0003236F">
        <w:rPr>
          <w:rFonts w:asciiTheme="minorHAnsi" w:hAnsiTheme="minorHAnsi" w:cstheme="minorHAnsi"/>
        </w:rPr>
        <w:t>wish to consider positive action for underrepresented characteristics in the workplace</w:t>
      </w:r>
      <w:r w:rsidR="00541DBF">
        <w:rPr>
          <w:rFonts w:asciiTheme="minorHAnsi" w:hAnsiTheme="minorHAnsi" w:cstheme="minorHAnsi"/>
        </w:rPr>
        <w:t xml:space="preserve"> if they have two candidates of equal merit i.e. they may select a</w:t>
      </w:r>
      <w:r w:rsidR="0003236F">
        <w:rPr>
          <w:rFonts w:asciiTheme="minorHAnsi" w:hAnsiTheme="minorHAnsi" w:cstheme="minorHAnsi"/>
        </w:rPr>
        <w:t xml:space="preserve"> </w:t>
      </w:r>
      <w:r w:rsidR="00541DBF">
        <w:rPr>
          <w:rFonts w:asciiTheme="minorHAnsi" w:hAnsiTheme="minorHAnsi" w:cstheme="minorHAnsi"/>
        </w:rPr>
        <w:t>male candidate</w:t>
      </w:r>
      <w:r w:rsidR="0003236F">
        <w:rPr>
          <w:rFonts w:asciiTheme="minorHAnsi" w:hAnsiTheme="minorHAnsi" w:cstheme="minorHAnsi"/>
        </w:rPr>
        <w:t xml:space="preserve"> if they have a majority female workforce (Daniels, 2019).  </w:t>
      </w:r>
      <w:r w:rsidR="00147F04">
        <w:rPr>
          <w:rFonts w:asciiTheme="minorHAnsi" w:hAnsiTheme="minorHAnsi" w:cstheme="minorHAnsi"/>
        </w:rPr>
        <w:t>Guidance sh</w:t>
      </w:r>
      <w:r w:rsidR="001E417D">
        <w:rPr>
          <w:rFonts w:asciiTheme="minorHAnsi" w:hAnsiTheme="minorHAnsi" w:cstheme="minorHAnsi"/>
        </w:rPr>
        <w:t>ould be given for Charlotte and Madeleine to create a written inclusion and diversity policy for Peachy Desserts Ltd to help them avoid any future discrimination issues (Miller, 2023).</w:t>
      </w:r>
    </w:p>
    <w:p w:rsidR="00E81A88" w:rsidRPr="003F019F" w:rsidRDefault="00E81A88" w:rsidP="00651B4E">
      <w:pPr>
        <w:pStyle w:val="Nornal"/>
        <w:ind w:left="720"/>
        <w:jc w:val="both"/>
        <w:rPr>
          <w:rFonts w:asciiTheme="minorHAnsi" w:hAnsiTheme="minorHAnsi" w:cstheme="minorHAnsi"/>
        </w:rPr>
      </w:pPr>
    </w:p>
    <w:p w:rsidR="000556C0" w:rsidRDefault="000556C0" w:rsidP="004D307C">
      <w:pPr>
        <w:pStyle w:val="Nornal"/>
        <w:numPr>
          <w:ilvl w:val="0"/>
          <w:numId w:val="2"/>
        </w:numPr>
        <w:jc w:val="both"/>
        <w:rPr>
          <w:rFonts w:asciiTheme="minorHAnsi" w:hAnsiTheme="minorHAnsi" w:cstheme="minorHAnsi"/>
          <w:b/>
        </w:rPr>
      </w:pPr>
      <w:r w:rsidRPr="004B4E11">
        <w:rPr>
          <w:rFonts w:asciiTheme="minorHAnsi" w:hAnsiTheme="minorHAnsi" w:cstheme="minorHAnsi"/>
          <w:b/>
        </w:rPr>
        <w:lastRenderedPageBreak/>
        <w:t>Cat, a restaurant manager, has recently become aware that she is paid less than Kit, another manager who is male. Her salary is £28,000 a year, whereas Kit earns £30,000 a year. She asked Charlotte to increase her salary to match Kit’s, but she refused saying Kit deserved the extra money. (AC 2.2)</w:t>
      </w:r>
      <w:r w:rsidR="00090BD9">
        <w:rPr>
          <w:rFonts w:asciiTheme="minorHAnsi" w:hAnsiTheme="minorHAnsi" w:cstheme="minorHAnsi"/>
          <w:b/>
        </w:rPr>
        <w:t xml:space="preserve"> </w:t>
      </w:r>
    </w:p>
    <w:p w:rsidR="005A79C6" w:rsidRDefault="00385CB2" w:rsidP="005A79C6">
      <w:pPr>
        <w:pStyle w:val="Nornal"/>
        <w:ind w:left="720"/>
        <w:jc w:val="both"/>
        <w:rPr>
          <w:rFonts w:asciiTheme="minorHAnsi" w:hAnsiTheme="minorHAnsi" w:cstheme="minorHAnsi"/>
        </w:rPr>
      </w:pPr>
      <w:r>
        <w:rPr>
          <w:rFonts w:asciiTheme="minorHAnsi" w:hAnsiTheme="minorHAnsi" w:cstheme="minorHAnsi"/>
        </w:rPr>
        <w:t xml:space="preserve">The </w:t>
      </w:r>
      <w:r w:rsidRPr="005F7B91">
        <w:rPr>
          <w:rFonts w:asciiTheme="minorHAnsi" w:hAnsiTheme="minorHAnsi" w:cstheme="minorHAnsi"/>
          <w:i/>
        </w:rPr>
        <w:t>Equ</w:t>
      </w:r>
      <w:r w:rsidR="00214D41" w:rsidRPr="005F7B91">
        <w:rPr>
          <w:rFonts w:asciiTheme="minorHAnsi" w:hAnsiTheme="minorHAnsi" w:cstheme="minorHAnsi"/>
          <w:i/>
        </w:rPr>
        <w:t>al</w:t>
      </w:r>
      <w:r w:rsidRPr="005F7B91">
        <w:rPr>
          <w:rFonts w:asciiTheme="minorHAnsi" w:hAnsiTheme="minorHAnsi" w:cstheme="minorHAnsi"/>
          <w:i/>
        </w:rPr>
        <w:t>ity Act 2010</w:t>
      </w:r>
      <w:r>
        <w:rPr>
          <w:rFonts w:asciiTheme="minorHAnsi" w:hAnsiTheme="minorHAnsi" w:cstheme="minorHAnsi"/>
        </w:rPr>
        <w:t xml:space="preserve"> sets out that it is unlawful to discriminate </w:t>
      </w:r>
      <w:r w:rsidR="00A75CF0">
        <w:rPr>
          <w:rFonts w:asciiTheme="minorHAnsi" w:hAnsiTheme="minorHAnsi" w:cstheme="minorHAnsi"/>
        </w:rPr>
        <w:t>based on</w:t>
      </w:r>
      <w:r>
        <w:rPr>
          <w:rFonts w:asciiTheme="minorHAnsi" w:hAnsiTheme="minorHAnsi" w:cstheme="minorHAnsi"/>
        </w:rPr>
        <w:t xml:space="preserve"> sex, which includes </w:t>
      </w:r>
      <w:r w:rsidR="00A75CF0">
        <w:rPr>
          <w:rFonts w:asciiTheme="minorHAnsi" w:hAnsiTheme="minorHAnsi" w:cstheme="minorHAnsi"/>
        </w:rPr>
        <w:t xml:space="preserve">provisions </w:t>
      </w:r>
      <w:r>
        <w:rPr>
          <w:rFonts w:asciiTheme="minorHAnsi" w:hAnsiTheme="minorHAnsi" w:cstheme="minorHAnsi"/>
        </w:rPr>
        <w:t>in relation to equal pay</w:t>
      </w:r>
      <w:r w:rsidR="00A75CF0">
        <w:rPr>
          <w:rFonts w:asciiTheme="minorHAnsi" w:hAnsiTheme="minorHAnsi" w:cstheme="minorHAnsi"/>
        </w:rPr>
        <w:t xml:space="preserve">.  Daniels (2019) advised that the term ‘equal pay’ also encompasses terms, conditions of employment, and can only be used in cases against the opposite sex.  To ensure transparency, employers are not permitted to add a secrecy clause to the contract in relation to pay.  </w:t>
      </w:r>
      <w:r w:rsidR="005A79C6">
        <w:rPr>
          <w:rFonts w:asciiTheme="minorHAnsi" w:hAnsiTheme="minorHAnsi" w:cstheme="minorHAnsi"/>
        </w:rPr>
        <w:t>Daniels (2019) outlines that a claim can only be brought if the employees work for the same employer (they can work in different locations and predecessors of the role are included) and that their work is either of the following:</w:t>
      </w:r>
    </w:p>
    <w:p w:rsidR="005A79C6" w:rsidRDefault="005A79C6" w:rsidP="004D307C">
      <w:pPr>
        <w:pStyle w:val="Nornal"/>
        <w:numPr>
          <w:ilvl w:val="0"/>
          <w:numId w:val="6"/>
        </w:numPr>
        <w:jc w:val="both"/>
        <w:rPr>
          <w:rFonts w:asciiTheme="minorHAnsi" w:hAnsiTheme="minorHAnsi" w:cstheme="minorHAnsi"/>
        </w:rPr>
      </w:pPr>
      <w:r>
        <w:rPr>
          <w:rFonts w:asciiTheme="minorHAnsi" w:hAnsiTheme="minorHAnsi" w:cstheme="minorHAnsi"/>
        </w:rPr>
        <w:t>Like work – The work does not need to be identical but similar and the whole rol</w:t>
      </w:r>
      <w:r w:rsidR="009F4129">
        <w:rPr>
          <w:rFonts w:asciiTheme="minorHAnsi" w:hAnsiTheme="minorHAnsi" w:cstheme="minorHAnsi"/>
        </w:rPr>
        <w:t xml:space="preserve">e is considered in terms of </w:t>
      </w:r>
      <w:r>
        <w:rPr>
          <w:rFonts w:asciiTheme="minorHAnsi" w:hAnsiTheme="minorHAnsi" w:cstheme="minorHAnsi"/>
        </w:rPr>
        <w:t xml:space="preserve">the regular </w:t>
      </w:r>
      <w:r w:rsidR="009F4129">
        <w:rPr>
          <w:rFonts w:asciiTheme="minorHAnsi" w:hAnsiTheme="minorHAnsi" w:cstheme="minorHAnsi"/>
        </w:rPr>
        <w:t>daily</w:t>
      </w:r>
      <w:r>
        <w:rPr>
          <w:rFonts w:asciiTheme="minorHAnsi" w:hAnsiTheme="minorHAnsi" w:cstheme="minorHAnsi"/>
        </w:rPr>
        <w:t xml:space="preserve"> task</w:t>
      </w:r>
      <w:r w:rsidR="009F4129">
        <w:rPr>
          <w:rFonts w:asciiTheme="minorHAnsi" w:hAnsiTheme="minorHAnsi" w:cstheme="minorHAnsi"/>
        </w:rPr>
        <w:t>s</w:t>
      </w:r>
      <w:r>
        <w:rPr>
          <w:rFonts w:asciiTheme="minorHAnsi" w:hAnsiTheme="minorHAnsi" w:cstheme="minorHAnsi"/>
        </w:rPr>
        <w:t xml:space="preserve"> (</w:t>
      </w:r>
      <w:r w:rsidR="009F4129">
        <w:rPr>
          <w:rFonts w:asciiTheme="minorHAnsi" w:hAnsiTheme="minorHAnsi" w:cstheme="minorHAnsi"/>
        </w:rPr>
        <w:t>not those that occur rarely).</w:t>
      </w:r>
      <w:r>
        <w:rPr>
          <w:rFonts w:asciiTheme="minorHAnsi" w:hAnsiTheme="minorHAnsi" w:cstheme="minorHAnsi"/>
        </w:rPr>
        <w:t xml:space="preserve"> </w:t>
      </w:r>
    </w:p>
    <w:p w:rsidR="005A79C6" w:rsidRDefault="005A79C6" w:rsidP="004D307C">
      <w:pPr>
        <w:pStyle w:val="Nornal"/>
        <w:numPr>
          <w:ilvl w:val="0"/>
          <w:numId w:val="6"/>
        </w:numPr>
        <w:jc w:val="both"/>
        <w:rPr>
          <w:rFonts w:asciiTheme="minorHAnsi" w:hAnsiTheme="minorHAnsi" w:cstheme="minorHAnsi"/>
        </w:rPr>
      </w:pPr>
      <w:r>
        <w:rPr>
          <w:rFonts w:asciiTheme="minorHAnsi" w:hAnsiTheme="minorHAnsi" w:cstheme="minorHAnsi"/>
        </w:rPr>
        <w:t xml:space="preserve">Rated as equivalent </w:t>
      </w:r>
      <w:r w:rsidR="009F4129">
        <w:rPr>
          <w:rFonts w:asciiTheme="minorHAnsi" w:hAnsiTheme="minorHAnsi" w:cstheme="minorHAnsi"/>
        </w:rPr>
        <w:t xml:space="preserve">– A job evaluation scheme must be in place that is non-discriminatory and based on objective data and analytics.  </w:t>
      </w:r>
    </w:p>
    <w:p w:rsidR="005A79C6" w:rsidRDefault="005A79C6" w:rsidP="004D307C">
      <w:pPr>
        <w:pStyle w:val="Nornal"/>
        <w:numPr>
          <w:ilvl w:val="0"/>
          <w:numId w:val="6"/>
        </w:numPr>
        <w:jc w:val="both"/>
        <w:rPr>
          <w:rFonts w:asciiTheme="minorHAnsi" w:hAnsiTheme="minorHAnsi" w:cstheme="minorHAnsi"/>
        </w:rPr>
      </w:pPr>
      <w:r>
        <w:rPr>
          <w:rFonts w:asciiTheme="minorHAnsi" w:hAnsiTheme="minorHAnsi" w:cstheme="minorHAnsi"/>
        </w:rPr>
        <w:t xml:space="preserve">Of Equal Value </w:t>
      </w:r>
      <w:r w:rsidR="00637444">
        <w:rPr>
          <w:rFonts w:asciiTheme="minorHAnsi" w:hAnsiTheme="minorHAnsi" w:cstheme="minorHAnsi"/>
        </w:rPr>
        <w:t xml:space="preserve">– Where there is no comparable for the work done but the value of the work to the employer is considered equal.  The value of work to the employer is difficult to measure and therefore an independent expert appointed by the ET would investigate the claim.  </w:t>
      </w:r>
    </w:p>
    <w:p w:rsidR="0041077F" w:rsidRDefault="00471DCB" w:rsidP="0041077F">
      <w:pPr>
        <w:pStyle w:val="Nornal"/>
        <w:ind w:left="720"/>
        <w:jc w:val="both"/>
        <w:rPr>
          <w:rFonts w:asciiTheme="minorHAnsi" w:hAnsiTheme="minorHAnsi" w:cstheme="minorHAnsi"/>
        </w:rPr>
      </w:pPr>
      <w:r>
        <w:rPr>
          <w:rFonts w:asciiTheme="minorHAnsi" w:hAnsiTheme="minorHAnsi" w:cstheme="minorHAnsi"/>
        </w:rPr>
        <w:t>ACAS (2022d</w:t>
      </w:r>
      <w:r w:rsidR="0041077F">
        <w:rPr>
          <w:rFonts w:asciiTheme="minorHAnsi" w:hAnsiTheme="minorHAnsi" w:cstheme="minorHAnsi"/>
        </w:rPr>
        <w:t>) outlined that there some reasons whereby a pay difference can be justified:</w:t>
      </w:r>
    </w:p>
    <w:p w:rsidR="0041077F" w:rsidRDefault="0041077F" w:rsidP="004D307C">
      <w:pPr>
        <w:pStyle w:val="Nornal"/>
        <w:numPr>
          <w:ilvl w:val="0"/>
          <w:numId w:val="7"/>
        </w:numPr>
        <w:jc w:val="both"/>
        <w:rPr>
          <w:rFonts w:asciiTheme="minorHAnsi" w:hAnsiTheme="minorHAnsi" w:cstheme="minorHAnsi"/>
        </w:rPr>
      </w:pPr>
      <w:r>
        <w:rPr>
          <w:rFonts w:asciiTheme="minorHAnsi" w:hAnsiTheme="minorHAnsi" w:cstheme="minorHAnsi"/>
        </w:rPr>
        <w:t>A difference in experience/qualifications</w:t>
      </w:r>
    </w:p>
    <w:p w:rsidR="0041077F" w:rsidRDefault="0041077F" w:rsidP="004D307C">
      <w:pPr>
        <w:pStyle w:val="Nornal"/>
        <w:numPr>
          <w:ilvl w:val="0"/>
          <w:numId w:val="7"/>
        </w:numPr>
        <w:jc w:val="both"/>
        <w:rPr>
          <w:rFonts w:asciiTheme="minorHAnsi" w:hAnsiTheme="minorHAnsi" w:cstheme="minorHAnsi"/>
        </w:rPr>
      </w:pPr>
      <w:r>
        <w:rPr>
          <w:rFonts w:asciiTheme="minorHAnsi" w:hAnsiTheme="minorHAnsi" w:cstheme="minorHAnsi"/>
        </w:rPr>
        <w:t>Location that reflects a cost of living difference</w:t>
      </w:r>
    </w:p>
    <w:p w:rsidR="00F405D5" w:rsidRDefault="0041077F" w:rsidP="004D307C">
      <w:pPr>
        <w:pStyle w:val="Nornal"/>
        <w:numPr>
          <w:ilvl w:val="0"/>
          <w:numId w:val="7"/>
        </w:numPr>
        <w:jc w:val="both"/>
        <w:rPr>
          <w:rFonts w:asciiTheme="minorHAnsi" w:hAnsiTheme="minorHAnsi" w:cstheme="minorHAnsi"/>
        </w:rPr>
      </w:pPr>
      <w:r>
        <w:rPr>
          <w:rFonts w:asciiTheme="minorHAnsi" w:hAnsiTheme="minorHAnsi" w:cstheme="minorHAnsi"/>
        </w:rPr>
        <w:t>Different shifts that makes the pay difference reasonable</w:t>
      </w:r>
    </w:p>
    <w:p w:rsidR="00F405D5" w:rsidRDefault="00F405D5" w:rsidP="00F405D5">
      <w:pPr>
        <w:pStyle w:val="Nornal"/>
        <w:ind w:left="720"/>
        <w:jc w:val="both"/>
        <w:rPr>
          <w:rFonts w:asciiTheme="minorHAnsi" w:hAnsiTheme="minorHAnsi" w:cstheme="minorHAnsi"/>
        </w:rPr>
      </w:pPr>
      <w:r>
        <w:rPr>
          <w:rFonts w:asciiTheme="minorHAnsi" w:hAnsiTheme="minorHAnsi" w:cstheme="minorHAnsi"/>
        </w:rPr>
        <w:t>Daniels (2019) advised that if the ET rules in favour of the Claimant the Judge can award payment of the arrears of pay or damages of no more than 2 years before the claim was brought.  There can be no award in regards to injury to feelings as this claim is based on contract.</w:t>
      </w:r>
      <w:r w:rsidR="0041077F">
        <w:rPr>
          <w:rFonts w:asciiTheme="minorHAnsi" w:hAnsiTheme="minorHAnsi" w:cstheme="minorHAnsi"/>
        </w:rPr>
        <w:t xml:space="preserve"> </w:t>
      </w:r>
    </w:p>
    <w:p w:rsidR="00DD0D3D" w:rsidRDefault="00F405D5" w:rsidP="00DD0D3D">
      <w:pPr>
        <w:pStyle w:val="Nornal"/>
        <w:ind w:left="720"/>
        <w:jc w:val="both"/>
        <w:rPr>
          <w:rFonts w:asciiTheme="minorHAnsi" w:hAnsiTheme="minorHAnsi" w:cstheme="minorHAnsi"/>
        </w:rPr>
      </w:pPr>
      <w:r>
        <w:rPr>
          <w:rFonts w:asciiTheme="minorHAnsi" w:hAnsiTheme="minorHAnsi" w:cstheme="minorHAnsi"/>
        </w:rPr>
        <w:t xml:space="preserve">If Charlotte’s reasons for the difference in pay cannot be </w:t>
      </w:r>
      <w:r w:rsidR="00147F04">
        <w:rPr>
          <w:rFonts w:asciiTheme="minorHAnsi" w:hAnsiTheme="minorHAnsi" w:cstheme="minorHAnsi"/>
        </w:rPr>
        <w:t>justified,</w:t>
      </w:r>
      <w:r>
        <w:rPr>
          <w:rFonts w:asciiTheme="minorHAnsi" w:hAnsiTheme="minorHAnsi" w:cstheme="minorHAnsi"/>
        </w:rPr>
        <w:t xml:space="preserve"> as a reasonable defence, then Charlotte should agree to increase Cat’s salary in line with Kit’s to avoid Cat bringing a sex discrimination claim against Peachy Desserts Ltd under the equal pa</w:t>
      </w:r>
      <w:r w:rsidR="00D81027">
        <w:rPr>
          <w:rFonts w:asciiTheme="minorHAnsi" w:hAnsiTheme="minorHAnsi" w:cstheme="minorHAnsi"/>
        </w:rPr>
        <w:t xml:space="preserve">y regulations in line the </w:t>
      </w:r>
      <w:r w:rsidR="00D81027" w:rsidRPr="005F7B91">
        <w:rPr>
          <w:rFonts w:asciiTheme="minorHAnsi" w:hAnsiTheme="minorHAnsi" w:cstheme="minorHAnsi"/>
          <w:i/>
        </w:rPr>
        <w:t>Equality</w:t>
      </w:r>
      <w:r w:rsidRPr="005F7B91">
        <w:rPr>
          <w:rFonts w:asciiTheme="minorHAnsi" w:hAnsiTheme="minorHAnsi" w:cstheme="minorHAnsi"/>
          <w:i/>
        </w:rPr>
        <w:t xml:space="preserve"> Act 2010</w:t>
      </w:r>
      <w:r>
        <w:rPr>
          <w:rFonts w:asciiTheme="minorHAnsi" w:hAnsiTheme="minorHAnsi" w:cstheme="minorHAnsi"/>
        </w:rPr>
        <w:t xml:space="preserve">.  </w:t>
      </w:r>
    </w:p>
    <w:p w:rsidR="00E81A88" w:rsidRPr="005A79C6" w:rsidRDefault="00E81A88" w:rsidP="00DD0D3D">
      <w:pPr>
        <w:pStyle w:val="Nornal"/>
        <w:ind w:left="720"/>
        <w:jc w:val="both"/>
        <w:rPr>
          <w:rFonts w:asciiTheme="minorHAnsi" w:hAnsiTheme="minorHAnsi" w:cstheme="minorHAnsi"/>
        </w:rPr>
      </w:pPr>
    </w:p>
    <w:p w:rsidR="000556C0" w:rsidRPr="004B4E11" w:rsidRDefault="000556C0" w:rsidP="004D307C">
      <w:pPr>
        <w:pStyle w:val="Nornal"/>
        <w:numPr>
          <w:ilvl w:val="0"/>
          <w:numId w:val="2"/>
        </w:numPr>
        <w:jc w:val="both"/>
        <w:rPr>
          <w:rFonts w:asciiTheme="minorHAnsi" w:hAnsiTheme="minorHAnsi" w:cstheme="minorHAnsi"/>
          <w:b/>
        </w:rPr>
      </w:pPr>
      <w:r w:rsidRPr="004B4E11">
        <w:rPr>
          <w:rFonts w:asciiTheme="minorHAnsi" w:hAnsiTheme="minorHAnsi" w:cstheme="minorHAnsi"/>
          <w:b/>
        </w:rPr>
        <w:t>The lease on an existing site is due to expire in four months’ time and the new terms are prohibitively expensive. Charlotte and Madeleine decide to close the restaurant when the lease expires, rather than renew the lease. When the restaurant closes, they intend to dismiss all six employees, paying each person two weeks’ notice as stated in their contracts of employment:</w:t>
      </w:r>
    </w:p>
    <w:p w:rsidR="000556C0" w:rsidRPr="004B4E11" w:rsidRDefault="000556C0" w:rsidP="004D307C">
      <w:pPr>
        <w:pStyle w:val="Nornal"/>
        <w:numPr>
          <w:ilvl w:val="1"/>
          <w:numId w:val="2"/>
        </w:numPr>
        <w:jc w:val="both"/>
        <w:rPr>
          <w:rFonts w:asciiTheme="minorHAnsi" w:hAnsiTheme="minorHAnsi" w:cstheme="minorHAnsi"/>
          <w:b/>
        </w:rPr>
      </w:pPr>
      <w:r w:rsidRPr="004B4E11">
        <w:rPr>
          <w:rFonts w:asciiTheme="minorHAnsi" w:hAnsiTheme="minorHAnsi" w:cstheme="minorHAnsi"/>
          <w:b/>
        </w:rPr>
        <w:t>Angelica, the manager (eight years’ service, 53 years old, salary £700 per week)</w:t>
      </w:r>
    </w:p>
    <w:p w:rsidR="000556C0" w:rsidRPr="004B4E11" w:rsidRDefault="000556C0" w:rsidP="004D307C">
      <w:pPr>
        <w:pStyle w:val="Nornal"/>
        <w:numPr>
          <w:ilvl w:val="1"/>
          <w:numId w:val="2"/>
        </w:numPr>
        <w:jc w:val="both"/>
        <w:rPr>
          <w:rFonts w:asciiTheme="minorHAnsi" w:hAnsiTheme="minorHAnsi" w:cstheme="minorHAnsi"/>
          <w:b/>
        </w:rPr>
      </w:pPr>
      <w:r w:rsidRPr="004B4E11">
        <w:rPr>
          <w:rFonts w:asciiTheme="minorHAnsi" w:hAnsiTheme="minorHAnsi" w:cstheme="minorHAnsi"/>
          <w:b/>
        </w:rPr>
        <w:t>Saffron, the supervisor (five years’ service, 30 years old, salary £350 per week)</w:t>
      </w:r>
    </w:p>
    <w:p w:rsidR="000556C0" w:rsidRPr="004B4E11" w:rsidRDefault="000556C0" w:rsidP="004D307C">
      <w:pPr>
        <w:pStyle w:val="Nornal"/>
        <w:numPr>
          <w:ilvl w:val="1"/>
          <w:numId w:val="2"/>
        </w:numPr>
        <w:jc w:val="both"/>
        <w:rPr>
          <w:rFonts w:asciiTheme="minorHAnsi" w:hAnsiTheme="minorHAnsi" w:cstheme="minorHAnsi"/>
          <w:b/>
        </w:rPr>
      </w:pPr>
      <w:r w:rsidRPr="004B4E11">
        <w:rPr>
          <w:rFonts w:asciiTheme="minorHAnsi" w:hAnsiTheme="minorHAnsi" w:cstheme="minorHAnsi"/>
          <w:b/>
        </w:rPr>
        <w:lastRenderedPageBreak/>
        <w:t>Chip and Cherry, full-time sales assistants, who are 18 years old, and Reese and Carmel, full-time sales assistants who are 19 years old. All four employees have one year’s service, are paid £9.00 per hour and work 25 hours a week)</w:t>
      </w:r>
    </w:p>
    <w:p w:rsidR="000556C0" w:rsidRDefault="000556C0" w:rsidP="004B4E11">
      <w:pPr>
        <w:pStyle w:val="Nornal"/>
        <w:ind w:left="720"/>
        <w:jc w:val="both"/>
        <w:rPr>
          <w:rFonts w:asciiTheme="minorHAnsi" w:hAnsiTheme="minorHAnsi" w:cstheme="minorHAnsi"/>
          <w:b/>
        </w:rPr>
      </w:pPr>
      <w:r w:rsidRPr="004B4E11">
        <w:rPr>
          <w:rFonts w:asciiTheme="minorHAnsi" w:hAnsiTheme="minorHAnsi" w:cstheme="minorHAnsi"/>
          <w:b/>
        </w:rPr>
        <w:t>Advise why their approach is risky and what they should do instead. (AC 3.1)</w:t>
      </w:r>
    </w:p>
    <w:p w:rsidR="000D5C63" w:rsidRDefault="00801E8B" w:rsidP="000D5C63">
      <w:pPr>
        <w:pStyle w:val="Nornal"/>
        <w:ind w:left="720"/>
        <w:jc w:val="both"/>
        <w:rPr>
          <w:rFonts w:asciiTheme="minorHAnsi" w:hAnsiTheme="minorHAnsi" w:cstheme="minorHAnsi"/>
        </w:rPr>
      </w:pPr>
      <w:r>
        <w:rPr>
          <w:rFonts w:asciiTheme="minorHAnsi" w:hAnsiTheme="minorHAnsi" w:cstheme="minorHAnsi"/>
        </w:rPr>
        <w:t>Daniels (2019) stated that i</w:t>
      </w:r>
      <w:r w:rsidR="007567E4">
        <w:rPr>
          <w:rFonts w:asciiTheme="minorHAnsi" w:hAnsiTheme="minorHAnsi" w:cstheme="minorHAnsi"/>
        </w:rPr>
        <w:t xml:space="preserve">n line with </w:t>
      </w:r>
      <w:r w:rsidR="007567E4" w:rsidRPr="005F7B91">
        <w:rPr>
          <w:rFonts w:asciiTheme="minorHAnsi" w:hAnsiTheme="minorHAnsi" w:cstheme="minorHAnsi"/>
          <w:i/>
        </w:rPr>
        <w:t>Employment Rights Act 1996 Section 139(1)</w:t>
      </w:r>
      <w:r>
        <w:rPr>
          <w:rFonts w:asciiTheme="minorHAnsi" w:hAnsiTheme="minorHAnsi" w:cstheme="minorHAnsi"/>
        </w:rPr>
        <w:t xml:space="preserve"> Charlotte and Madeleine would </w:t>
      </w:r>
      <w:r w:rsidR="007567E4">
        <w:rPr>
          <w:rFonts w:asciiTheme="minorHAnsi" w:hAnsiTheme="minorHAnsi" w:cstheme="minorHAnsi"/>
        </w:rPr>
        <w:t xml:space="preserve">need to comply with the redundancy regulations, which is the lawful route to dismissing employees </w:t>
      </w:r>
      <w:r>
        <w:rPr>
          <w:rFonts w:asciiTheme="minorHAnsi" w:hAnsiTheme="minorHAnsi" w:cstheme="minorHAnsi"/>
        </w:rPr>
        <w:t xml:space="preserve">if the employer intends to cease to carry out business in the location where the employees </w:t>
      </w:r>
      <w:r w:rsidR="00F864A5">
        <w:rPr>
          <w:rFonts w:asciiTheme="minorHAnsi" w:hAnsiTheme="minorHAnsi" w:cstheme="minorHAnsi"/>
        </w:rPr>
        <w:t>work</w:t>
      </w:r>
      <w:r w:rsidR="007567E4">
        <w:rPr>
          <w:rFonts w:asciiTheme="minorHAnsi" w:hAnsiTheme="minorHAnsi" w:cstheme="minorHAnsi"/>
        </w:rPr>
        <w:t>.</w:t>
      </w:r>
      <w:r>
        <w:rPr>
          <w:rFonts w:asciiTheme="minorHAnsi" w:hAnsiTheme="minorHAnsi" w:cstheme="minorHAnsi"/>
        </w:rPr>
        <w:t xml:space="preserve">  ACAS (2021</w:t>
      </w:r>
      <w:r w:rsidR="00ED5474">
        <w:rPr>
          <w:rFonts w:asciiTheme="minorHAnsi" w:hAnsiTheme="minorHAnsi" w:cstheme="minorHAnsi"/>
        </w:rPr>
        <w:t>b</w:t>
      </w:r>
      <w:r>
        <w:rPr>
          <w:rFonts w:asciiTheme="minorHAnsi" w:hAnsiTheme="minorHAnsi" w:cstheme="minorHAnsi"/>
        </w:rPr>
        <w:t>) advise that employers should consider options to reduce or avoid redundancies where possible, for example, they could offer to move employees to a different restaurant</w:t>
      </w:r>
      <w:r w:rsidR="003D6349">
        <w:rPr>
          <w:rFonts w:asciiTheme="minorHAnsi" w:hAnsiTheme="minorHAnsi" w:cstheme="minorHAnsi"/>
        </w:rPr>
        <w:t xml:space="preserve">.  </w:t>
      </w:r>
      <w:r w:rsidR="001C02D7">
        <w:rPr>
          <w:rFonts w:asciiTheme="minorHAnsi" w:hAnsiTheme="minorHAnsi" w:cstheme="minorHAnsi"/>
        </w:rPr>
        <w:t xml:space="preserve">A </w:t>
      </w:r>
      <w:r w:rsidR="000D5C63">
        <w:rPr>
          <w:rFonts w:asciiTheme="minorHAnsi" w:hAnsiTheme="minorHAnsi" w:cstheme="minorHAnsi"/>
        </w:rPr>
        <w:t>redundancy plan</w:t>
      </w:r>
      <w:r w:rsidR="001C02D7">
        <w:rPr>
          <w:rFonts w:asciiTheme="minorHAnsi" w:hAnsiTheme="minorHAnsi" w:cstheme="minorHAnsi"/>
        </w:rPr>
        <w:t xml:space="preserve"> needs to be drawn up</w:t>
      </w:r>
      <w:r w:rsidR="000D5C63">
        <w:rPr>
          <w:rFonts w:asciiTheme="minorHAnsi" w:hAnsiTheme="minorHAnsi" w:cstheme="minorHAnsi"/>
        </w:rPr>
        <w:t xml:space="preserve"> to ensu</w:t>
      </w:r>
      <w:r w:rsidR="001C02D7">
        <w:rPr>
          <w:rFonts w:asciiTheme="minorHAnsi" w:hAnsiTheme="minorHAnsi" w:cstheme="minorHAnsi"/>
        </w:rPr>
        <w:t>re they follow a</w:t>
      </w:r>
      <w:r w:rsidR="000D5C63">
        <w:rPr>
          <w:rFonts w:asciiTheme="minorHAnsi" w:hAnsiTheme="minorHAnsi" w:cstheme="minorHAnsi"/>
        </w:rPr>
        <w:t xml:space="preserve"> fair process, which should include:</w:t>
      </w:r>
    </w:p>
    <w:p w:rsidR="000D5C63" w:rsidRDefault="000D5C63" w:rsidP="004D307C">
      <w:pPr>
        <w:pStyle w:val="Nornal"/>
        <w:numPr>
          <w:ilvl w:val="0"/>
          <w:numId w:val="8"/>
        </w:numPr>
        <w:jc w:val="both"/>
        <w:rPr>
          <w:rFonts w:asciiTheme="minorHAnsi" w:hAnsiTheme="minorHAnsi" w:cstheme="minorHAnsi"/>
        </w:rPr>
      </w:pPr>
      <w:r>
        <w:rPr>
          <w:rFonts w:asciiTheme="minorHAnsi" w:hAnsiTheme="minorHAnsi" w:cstheme="minorHAnsi"/>
        </w:rPr>
        <w:t>Other options considered prior to making redundancies</w:t>
      </w:r>
    </w:p>
    <w:p w:rsidR="000D5C63" w:rsidRDefault="000D5C63" w:rsidP="004D307C">
      <w:pPr>
        <w:pStyle w:val="Nornal"/>
        <w:numPr>
          <w:ilvl w:val="0"/>
          <w:numId w:val="8"/>
        </w:numPr>
        <w:jc w:val="both"/>
        <w:rPr>
          <w:rFonts w:asciiTheme="minorHAnsi" w:hAnsiTheme="minorHAnsi" w:cstheme="minorHAnsi"/>
        </w:rPr>
      </w:pPr>
      <w:r>
        <w:rPr>
          <w:rFonts w:asciiTheme="minorHAnsi" w:hAnsiTheme="minorHAnsi" w:cstheme="minorHAnsi"/>
        </w:rPr>
        <w:t>The number of redundancies</w:t>
      </w:r>
    </w:p>
    <w:p w:rsidR="000D5C63" w:rsidRDefault="000D5C63" w:rsidP="004D307C">
      <w:pPr>
        <w:pStyle w:val="Nornal"/>
        <w:numPr>
          <w:ilvl w:val="0"/>
          <w:numId w:val="8"/>
        </w:numPr>
        <w:jc w:val="both"/>
        <w:rPr>
          <w:rFonts w:asciiTheme="minorHAnsi" w:hAnsiTheme="minorHAnsi" w:cstheme="minorHAnsi"/>
        </w:rPr>
      </w:pPr>
      <w:r>
        <w:rPr>
          <w:rFonts w:asciiTheme="minorHAnsi" w:hAnsiTheme="minorHAnsi" w:cstheme="minorHAnsi"/>
        </w:rPr>
        <w:t>Keeping staff informed and supported during the redundancy process</w:t>
      </w:r>
    </w:p>
    <w:p w:rsidR="000D5C63" w:rsidRDefault="000D5C63" w:rsidP="004D307C">
      <w:pPr>
        <w:pStyle w:val="Nornal"/>
        <w:numPr>
          <w:ilvl w:val="0"/>
          <w:numId w:val="8"/>
        </w:numPr>
        <w:jc w:val="both"/>
        <w:rPr>
          <w:rFonts w:asciiTheme="minorHAnsi" w:hAnsiTheme="minorHAnsi" w:cstheme="minorHAnsi"/>
        </w:rPr>
      </w:pPr>
      <w:r>
        <w:rPr>
          <w:rFonts w:asciiTheme="minorHAnsi" w:hAnsiTheme="minorHAnsi" w:cstheme="minorHAnsi"/>
        </w:rPr>
        <w:t>Consulting with all employees including those that may be off sick, on maternity leave etc.</w:t>
      </w:r>
    </w:p>
    <w:p w:rsidR="000D5C63" w:rsidRDefault="000D5C63" w:rsidP="004D307C">
      <w:pPr>
        <w:pStyle w:val="Nornal"/>
        <w:numPr>
          <w:ilvl w:val="0"/>
          <w:numId w:val="8"/>
        </w:numPr>
        <w:jc w:val="both"/>
        <w:rPr>
          <w:rFonts w:asciiTheme="minorHAnsi" w:hAnsiTheme="minorHAnsi" w:cstheme="minorHAnsi"/>
        </w:rPr>
      </w:pPr>
      <w:r>
        <w:rPr>
          <w:rFonts w:asciiTheme="minorHAnsi" w:hAnsiTheme="minorHAnsi" w:cstheme="minorHAnsi"/>
        </w:rPr>
        <w:t xml:space="preserve">The timescales ensuring a </w:t>
      </w:r>
      <w:r w:rsidR="003B2641">
        <w:rPr>
          <w:rFonts w:asciiTheme="minorHAnsi" w:hAnsiTheme="minorHAnsi" w:cstheme="minorHAnsi"/>
        </w:rPr>
        <w:t>‘</w:t>
      </w:r>
      <w:r>
        <w:rPr>
          <w:rFonts w:asciiTheme="minorHAnsi" w:hAnsiTheme="minorHAnsi" w:cstheme="minorHAnsi"/>
        </w:rPr>
        <w:t>reasonable period</w:t>
      </w:r>
      <w:r w:rsidR="003B2641">
        <w:rPr>
          <w:rFonts w:asciiTheme="minorHAnsi" w:hAnsiTheme="minorHAnsi" w:cstheme="minorHAnsi"/>
        </w:rPr>
        <w:t>’ for consultation (as under 20 employees)</w:t>
      </w:r>
    </w:p>
    <w:p w:rsidR="000D5C63" w:rsidRDefault="000D5C63" w:rsidP="004D307C">
      <w:pPr>
        <w:pStyle w:val="Nornal"/>
        <w:numPr>
          <w:ilvl w:val="0"/>
          <w:numId w:val="8"/>
        </w:numPr>
        <w:jc w:val="both"/>
        <w:rPr>
          <w:rFonts w:asciiTheme="minorHAnsi" w:hAnsiTheme="minorHAnsi" w:cstheme="minorHAnsi"/>
        </w:rPr>
      </w:pPr>
      <w:r>
        <w:rPr>
          <w:rFonts w:asciiTheme="minorHAnsi" w:hAnsiTheme="minorHAnsi" w:cstheme="minorHAnsi"/>
        </w:rPr>
        <w:t>Redundancy pay arrangements outlining whether they are statutory or contractual</w:t>
      </w:r>
    </w:p>
    <w:p w:rsidR="000D5C63" w:rsidRDefault="000D5C63" w:rsidP="004D307C">
      <w:pPr>
        <w:pStyle w:val="Nornal"/>
        <w:numPr>
          <w:ilvl w:val="0"/>
          <w:numId w:val="8"/>
        </w:numPr>
        <w:jc w:val="both"/>
        <w:rPr>
          <w:rFonts w:asciiTheme="minorHAnsi" w:hAnsiTheme="minorHAnsi" w:cstheme="minorHAnsi"/>
        </w:rPr>
      </w:pPr>
      <w:r>
        <w:rPr>
          <w:rFonts w:asciiTheme="minorHAnsi" w:hAnsiTheme="minorHAnsi" w:cstheme="minorHAnsi"/>
        </w:rPr>
        <w:t>An appeals procedure in the event that an employee feels the process was unfair</w:t>
      </w:r>
    </w:p>
    <w:p w:rsidR="000D5C63" w:rsidRDefault="00D854C7" w:rsidP="0042285C">
      <w:pPr>
        <w:pStyle w:val="Nornal"/>
        <w:ind w:left="720"/>
        <w:jc w:val="both"/>
        <w:rPr>
          <w:rFonts w:asciiTheme="minorHAnsi" w:hAnsiTheme="minorHAnsi" w:cstheme="minorHAnsi"/>
        </w:rPr>
      </w:pPr>
      <w:r>
        <w:rPr>
          <w:rFonts w:asciiTheme="minorHAnsi" w:hAnsiTheme="minorHAnsi" w:cstheme="minorHAnsi"/>
        </w:rPr>
        <w:t>I</w:t>
      </w:r>
      <w:r w:rsidR="003D6349">
        <w:rPr>
          <w:rFonts w:asciiTheme="minorHAnsi" w:hAnsiTheme="minorHAnsi" w:cstheme="minorHAnsi"/>
        </w:rPr>
        <w:t>ndividual consultations</w:t>
      </w:r>
      <w:r>
        <w:rPr>
          <w:rFonts w:asciiTheme="minorHAnsi" w:hAnsiTheme="minorHAnsi" w:cstheme="minorHAnsi"/>
        </w:rPr>
        <w:t xml:space="preserve"> need to be held</w:t>
      </w:r>
      <w:r w:rsidR="003B2641">
        <w:rPr>
          <w:rFonts w:asciiTheme="minorHAnsi" w:hAnsiTheme="minorHAnsi" w:cstheme="minorHAnsi"/>
        </w:rPr>
        <w:t xml:space="preserve"> with each employee to discuss the redundancy plan</w:t>
      </w:r>
      <w:r w:rsidR="001C02D7">
        <w:rPr>
          <w:rFonts w:asciiTheme="minorHAnsi" w:hAnsiTheme="minorHAnsi" w:cstheme="minorHAnsi"/>
        </w:rPr>
        <w:t xml:space="preserve">.  They do not need to submit a HR1, </w:t>
      </w:r>
      <w:r w:rsidR="003B2641">
        <w:rPr>
          <w:rFonts w:asciiTheme="minorHAnsi" w:hAnsiTheme="minorHAnsi" w:cstheme="minorHAnsi"/>
        </w:rPr>
        <w:t xml:space="preserve">as there are less than 20 employees).  </w:t>
      </w:r>
      <w:r w:rsidR="00ED526A">
        <w:rPr>
          <w:rFonts w:asciiTheme="minorHAnsi" w:hAnsiTheme="minorHAnsi" w:cstheme="minorHAnsi"/>
        </w:rPr>
        <w:t xml:space="preserve">Statutory notice also needs to be </w:t>
      </w:r>
      <w:r w:rsidR="001C02D7">
        <w:rPr>
          <w:rFonts w:asciiTheme="minorHAnsi" w:hAnsiTheme="minorHAnsi" w:cstheme="minorHAnsi"/>
        </w:rPr>
        <w:t>calculated</w:t>
      </w:r>
      <w:r w:rsidR="00ED526A">
        <w:rPr>
          <w:rFonts w:asciiTheme="minorHAnsi" w:hAnsiTheme="minorHAnsi" w:cstheme="minorHAnsi"/>
        </w:rPr>
        <w:t xml:space="preserve"> to ensure adequate notice is given to each employee.  ACAS (2021) outline that some contracts can give more than the statutory </w:t>
      </w:r>
      <w:r w:rsidR="001C02D7">
        <w:rPr>
          <w:rFonts w:asciiTheme="minorHAnsi" w:hAnsiTheme="minorHAnsi" w:cstheme="minorHAnsi"/>
        </w:rPr>
        <w:t xml:space="preserve">notice, but they are </w:t>
      </w:r>
      <w:r w:rsidR="00147F04">
        <w:rPr>
          <w:rFonts w:asciiTheme="minorHAnsi" w:hAnsiTheme="minorHAnsi" w:cstheme="minorHAnsi"/>
        </w:rPr>
        <w:t>cannot</w:t>
      </w:r>
      <w:r w:rsidR="00ED526A">
        <w:rPr>
          <w:rFonts w:asciiTheme="minorHAnsi" w:hAnsiTheme="minorHAnsi" w:cstheme="minorHAnsi"/>
        </w:rPr>
        <w:t xml:space="preserve"> give less than the legal </w:t>
      </w:r>
      <w:r w:rsidR="00147F04">
        <w:rPr>
          <w:rFonts w:asciiTheme="minorHAnsi" w:hAnsiTheme="minorHAnsi" w:cstheme="minorHAnsi"/>
        </w:rPr>
        <w:t>minimum, which</w:t>
      </w:r>
      <w:r w:rsidR="00ED526A">
        <w:rPr>
          <w:rFonts w:asciiTheme="minorHAnsi" w:hAnsiTheme="minorHAnsi" w:cstheme="minorHAnsi"/>
        </w:rPr>
        <w:t xml:space="preserve"> is worked out as:</w:t>
      </w:r>
    </w:p>
    <w:p w:rsidR="00ED526A" w:rsidRDefault="00ED526A" w:rsidP="004D307C">
      <w:pPr>
        <w:pStyle w:val="Nornal"/>
        <w:numPr>
          <w:ilvl w:val="0"/>
          <w:numId w:val="9"/>
        </w:numPr>
        <w:jc w:val="both"/>
        <w:rPr>
          <w:rFonts w:asciiTheme="minorHAnsi" w:hAnsiTheme="minorHAnsi" w:cstheme="minorHAnsi"/>
        </w:rPr>
      </w:pPr>
      <w:r>
        <w:rPr>
          <w:rFonts w:asciiTheme="minorHAnsi" w:hAnsiTheme="minorHAnsi" w:cstheme="minorHAnsi"/>
        </w:rPr>
        <w:t xml:space="preserve">1 month to 2 years – 1 </w:t>
      </w:r>
      <w:r w:rsidR="00147F04">
        <w:rPr>
          <w:rFonts w:asciiTheme="minorHAnsi" w:hAnsiTheme="minorHAnsi" w:cstheme="minorHAnsi"/>
        </w:rPr>
        <w:t>week’s notice</w:t>
      </w:r>
    </w:p>
    <w:p w:rsidR="00ED526A" w:rsidRDefault="00ED526A" w:rsidP="004D307C">
      <w:pPr>
        <w:pStyle w:val="Nornal"/>
        <w:numPr>
          <w:ilvl w:val="0"/>
          <w:numId w:val="9"/>
        </w:numPr>
        <w:jc w:val="both"/>
        <w:rPr>
          <w:rFonts w:asciiTheme="minorHAnsi" w:hAnsiTheme="minorHAnsi" w:cstheme="minorHAnsi"/>
        </w:rPr>
      </w:pPr>
      <w:r>
        <w:rPr>
          <w:rFonts w:asciiTheme="minorHAnsi" w:hAnsiTheme="minorHAnsi" w:cstheme="minorHAnsi"/>
        </w:rPr>
        <w:t xml:space="preserve">2 – 12 years – 1 week notice for each full year of service </w:t>
      </w:r>
    </w:p>
    <w:p w:rsidR="00ED526A" w:rsidRDefault="00ED526A" w:rsidP="004D307C">
      <w:pPr>
        <w:pStyle w:val="Nornal"/>
        <w:numPr>
          <w:ilvl w:val="0"/>
          <w:numId w:val="9"/>
        </w:numPr>
        <w:jc w:val="both"/>
        <w:rPr>
          <w:rFonts w:asciiTheme="minorHAnsi" w:hAnsiTheme="minorHAnsi" w:cstheme="minorHAnsi"/>
        </w:rPr>
      </w:pPr>
      <w:r>
        <w:rPr>
          <w:rFonts w:asciiTheme="minorHAnsi" w:hAnsiTheme="minorHAnsi" w:cstheme="minorHAnsi"/>
        </w:rPr>
        <w:t xml:space="preserve">12 + years – 12 </w:t>
      </w:r>
      <w:r w:rsidR="00147F04">
        <w:rPr>
          <w:rFonts w:asciiTheme="minorHAnsi" w:hAnsiTheme="minorHAnsi" w:cstheme="minorHAnsi"/>
        </w:rPr>
        <w:t>week’s notice</w:t>
      </w:r>
    </w:p>
    <w:p w:rsidR="00E81A88" w:rsidRDefault="001D4316" w:rsidP="0042285C">
      <w:pPr>
        <w:pStyle w:val="Nornal"/>
        <w:ind w:left="720"/>
        <w:jc w:val="both"/>
        <w:rPr>
          <w:rFonts w:asciiTheme="minorHAnsi" w:hAnsiTheme="minorHAnsi" w:cstheme="minorHAnsi"/>
          <w:b/>
          <w:u w:val="single"/>
        </w:rPr>
      </w:pPr>
      <w:r>
        <w:rPr>
          <w:rFonts w:asciiTheme="minorHAnsi" w:hAnsiTheme="minorHAnsi" w:cstheme="minorHAnsi"/>
        </w:rPr>
        <w:t>The minimum statutory redundancy rates</w:t>
      </w:r>
      <w:r w:rsidR="001C02D7">
        <w:rPr>
          <w:rFonts w:asciiTheme="minorHAnsi" w:hAnsiTheme="minorHAnsi" w:cstheme="minorHAnsi"/>
        </w:rPr>
        <w:t xml:space="preserve"> and </w:t>
      </w:r>
      <w:r w:rsidR="00ED526A">
        <w:rPr>
          <w:rFonts w:asciiTheme="minorHAnsi" w:hAnsiTheme="minorHAnsi" w:cstheme="minorHAnsi"/>
        </w:rPr>
        <w:t>notice period</w:t>
      </w:r>
      <w:r w:rsidR="001C02D7">
        <w:rPr>
          <w:rFonts w:asciiTheme="minorHAnsi" w:hAnsiTheme="minorHAnsi" w:cstheme="minorHAnsi"/>
        </w:rPr>
        <w:t>s are calculated</w:t>
      </w:r>
      <w:r>
        <w:rPr>
          <w:rFonts w:asciiTheme="minorHAnsi" w:hAnsiTheme="minorHAnsi" w:cstheme="minorHAnsi"/>
        </w:rPr>
        <w:t xml:space="preserve"> below:</w:t>
      </w:r>
      <w:r w:rsidR="00D81027" w:rsidRPr="00D81027">
        <w:rPr>
          <w:rFonts w:asciiTheme="minorHAnsi" w:hAnsiTheme="minorHAnsi" w:cstheme="minorHAnsi"/>
          <w:b/>
          <w:u w:val="single"/>
        </w:rPr>
        <w:t xml:space="preserve"> </w:t>
      </w:r>
    </w:p>
    <w:p w:rsidR="00E81A88" w:rsidRPr="00E81A88" w:rsidRDefault="00511613" w:rsidP="00E81A88">
      <w:pPr>
        <w:pStyle w:val="Nornal"/>
        <w:ind w:left="720"/>
        <w:jc w:val="both"/>
        <w:rPr>
          <w:rFonts w:asciiTheme="minorHAnsi" w:hAnsiTheme="minorHAnsi" w:cstheme="minorHAnsi"/>
        </w:rPr>
      </w:pPr>
      <w:r w:rsidRPr="00511613">
        <w:rPr>
          <w:rFonts w:asciiTheme="minorHAnsi" w:hAnsiTheme="minorHAnsi" w:cstheme="minorHAnsi"/>
          <w:noProof/>
          <w:lang w:eastAsia="en-GB"/>
        </w:rPr>
        <w:lastRenderedPageBreak/>
        <w:drawing>
          <wp:inline distT="0" distB="0" distL="0" distR="0" wp14:anchorId="2894DEB2" wp14:editId="25FD6EFD">
            <wp:extent cx="4907131" cy="3043987"/>
            <wp:effectExtent l="0" t="0" r="8255"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960537" cy="3077116"/>
                    </a:xfrm>
                    <a:prstGeom prst="rect">
                      <a:avLst/>
                    </a:prstGeom>
                  </pic:spPr>
                </pic:pic>
              </a:graphicData>
            </a:graphic>
          </wp:inline>
        </w:drawing>
      </w:r>
    </w:p>
    <w:p w:rsidR="00F20323" w:rsidRDefault="00F20323" w:rsidP="0042285C">
      <w:pPr>
        <w:pStyle w:val="Nornal"/>
        <w:ind w:left="720"/>
        <w:jc w:val="both"/>
        <w:rPr>
          <w:rFonts w:asciiTheme="minorHAnsi" w:hAnsiTheme="minorHAnsi" w:cstheme="minorHAnsi"/>
        </w:rPr>
      </w:pPr>
      <w:r>
        <w:rPr>
          <w:rFonts w:asciiTheme="minorHAnsi" w:hAnsiTheme="minorHAnsi" w:cstheme="minorHAnsi"/>
        </w:rPr>
        <w:t xml:space="preserve">Each employee should also receive </w:t>
      </w:r>
      <w:r w:rsidR="00DD62B4">
        <w:rPr>
          <w:rFonts w:asciiTheme="minorHAnsi" w:hAnsiTheme="minorHAnsi" w:cstheme="minorHAnsi"/>
        </w:rPr>
        <w:t xml:space="preserve">payment in lieu of any holidays owed unless agreed between both parties that they take remaining holidays during their notice period.  </w:t>
      </w:r>
    </w:p>
    <w:p w:rsidR="00D854C7" w:rsidRDefault="001C02D7" w:rsidP="0042285C">
      <w:pPr>
        <w:pStyle w:val="Nornal"/>
        <w:ind w:left="720"/>
        <w:jc w:val="both"/>
        <w:rPr>
          <w:rFonts w:asciiTheme="minorHAnsi" w:hAnsiTheme="minorHAnsi" w:cstheme="minorHAnsi"/>
        </w:rPr>
      </w:pPr>
      <w:r>
        <w:rPr>
          <w:rFonts w:asciiTheme="minorHAnsi" w:hAnsiTheme="minorHAnsi" w:cstheme="minorHAnsi"/>
        </w:rPr>
        <w:t>Notice should be given</w:t>
      </w:r>
      <w:r w:rsidR="00D854C7">
        <w:rPr>
          <w:rFonts w:asciiTheme="minorHAnsi" w:hAnsiTheme="minorHAnsi" w:cstheme="minorHAnsi"/>
        </w:rPr>
        <w:t xml:space="preserve"> in line </w:t>
      </w:r>
      <w:r>
        <w:rPr>
          <w:rFonts w:asciiTheme="minorHAnsi" w:hAnsiTheme="minorHAnsi" w:cstheme="minorHAnsi"/>
        </w:rPr>
        <w:t xml:space="preserve">with the above calculations, </w:t>
      </w:r>
      <w:r w:rsidR="00D854C7">
        <w:rPr>
          <w:rFonts w:asciiTheme="minorHAnsi" w:hAnsiTheme="minorHAnsi" w:cstheme="minorHAnsi"/>
        </w:rPr>
        <w:t xml:space="preserve">if </w:t>
      </w:r>
      <w:r>
        <w:rPr>
          <w:rFonts w:asciiTheme="minorHAnsi" w:hAnsiTheme="minorHAnsi" w:cstheme="minorHAnsi"/>
        </w:rPr>
        <w:t xml:space="preserve">not </w:t>
      </w:r>
      <w:r w:rsidR="00D854C7">
        <w:rPr>
          <w:rFonts w:asciiTheme="minorHAnsi" w:hAnsiTheme="minorHAnsi" w:cstheme="minorHAnsi"/>
        </w:rPr>
        <w:t xml:space="preserve">they could end up having to make payment in lieu of notice, which could also affect the redundancy </w:t>
      </w:r>
      <w:r>
        <w:rPr>
          <w:rFonts w:asciiTheme="minorHAnsi" w:hAnsiTheme="minorHAnsi" w:cstheme="minorHAnsi"/>
        </w:rPr>
        <w:t>pay if it pushes either employee</w:t>
      </w:r>
      <w:r w:rsidR="00D854C7">
        <w:rPr>
          <w:rFonts w:asciiTheme="minorHAnsi" w:hAnsiTheme="minorHAnsi" w:cstheme="minorHAnsi"/>
        </w:rPr>
        <w:t xml:space="preserve"> into another full </w:t>
      </w:r>
      <w:r w:rsidR="00147F04">
        <w:rPr>
          <w:rFonts w:asciiTheme="minorHAnsi" w:hAnsiTheme="minorHAnsi" w:cstheme="minorHAnsi"/>
        </w:rPr>
        <w:t>year’s service</w:t>
      </w:r>
      <w:r w:rsidR="00D854C7">
        <w:rPr>
          <w:rFonts w:asciiTheme="minorHAnsi" w:hAnsiTheme="minorHAnsi" w:cstheme="minorHAnsi"/>
        </w:rPr>
        <w:t xml:space="preserve"> (ACAS, 2020).</w:t>
      </w:r>
      <w:r w:rsidR="00DD62B4">
        <w:rPr>
          <w:rFonts w:asciiTheme="minorHAnsi" w:hAnsiTheme="minorHAnsi" w:cstheme="minorHAnsi"/>
        </w:rPr>
        <w:t xml:space="preserve">  </w:t>
      </w:r>
      <w:r>
        <w:rPr>
          <w:rFonts w:asciiTheme="minorHAnsi" w:hAnsiTheme="minorHAnsi" w:cstheme="minorHAnsi"/>
        </w:rPr>
        <w:t>In light of the cost of Charlotte’s redundancy pay it may be more cost effective to offer her employment in another restaurant and if she were to decline this offer, redundancy pay would be forfeited (Daniels, 2019).</w:t>
      </w:r>
    </w:p>
    <w:p w:rsidR="00E81A88" w:rsidRPr="001D4316" w:rsidRDefault="00E81A88" w:rsidP="0042285C">
      <w:pPr>
        <w:pStyle w:val="Nornal"/>
        <w:ind w:left="720"/>
        <w:jc w:val="both"/>
        <w:rPr>
          <w:rFonts w:asciiTheme="minorHAnsi" w:hAnsiTheme="minorHAnsi" w:cstheme="minorHAnsi"/>
        </w:rPr>
      </w:pPr>
    </w:p>
    <w:p w:rsidR="000556C0" w:rsidRDefault="000556C0" w:rsidP="004D307C">
      <w:pPr>
        <w:pStyle w:val="Nornal"/>
        <w:numPr>
          <w:ilvl w:val="0"/>
          <w:numId w:val="2"/>
        </w:numPr>
        <w:jc w:val="both"/>
        <w:rPr>
          <w:rFonts w:asciiTheme="minorHAnsi" w:hAnsiTheme="minorHAnsi" w:cstheme="minorHAnsi"/>
          <w:b/>
        </w:rPr>
      </w:pPr>
      <w:r w:rsidRPr="004B4E11">
        <w:rPr>
          <w:rFonts w:asciiTheme="minorHAnsi" w:hAnsiTheme="minorHAnsi" w:cstheme="minorHAnsi"/>
          <w:b/>
        </w:rPr>
        <w:t>The takeover of Crumbly Cakes is due to be complete in four months. Ownership will transfer to Peachy Desserts Ltd, and the identity of the owner will change</w:t>
      </w:r>
      <w:bookmarkStart w:id="3" w:name="_Hlk123126731"/>
      <w:r w:rsidRPr="004B4E11">
        <w:rPr>
          <w:rFonts w:asciiTheme="minorHAnsi" w:hAnsiTheme="minorHAnsi" w:cstheme="minorHAnsi"/>
          <w:b/>
        </w:rPr>
        <w:t xml:space="preserve">. Charlotte and Madeleine consider the takeover a ‘good fit’ with their business, as the nature of the business is the same and they will take over all tangible assets. Charlotte and Madeleine do not dispute that Peachy Desserts Ltd will become the employer of the 12 employees of Crumbly Cakes </w:t>
      </w:r>
      <w:bookmarkEnd w:id="3"/>
      <w:r w:rsidRPr="004B4E11">
        <w:rPr>
          <w:rFonts w:asciiTheme="minorHAnsi" w:hAnsiTheme="minorHAnsi" w:cstheme="minorHAnsi"/>
          <w:b/>
        </w:rPr>
        <w:t>but plan to give the employees of Crumbly Cakes new contracts on the same terms and conditions as their existing employees. Advise on the legal risk of this approach and what should be done instead. (AC 3.2)</w:t>
      </w:r>
      <w:r w:rsidR="00090BD9">
        <w:rPr>
          <w:rFonts w:asciiTheme="minorHAnsi" w:hAnsiTheme="minorHAnsi" w:cstheme="minorHAnsi"/>
          <w:b/>
        </w:rPr>
        <w:t xml:space="preserve"> </w:t>
      </w:r>
    </w:p>
    <w:p w:rsidR="00B46E96" w:rsidRDefault="00F2318C" w:rsidP="00DB1F67">
      <w:pPr>
        <w:pStyle w:val="Nornal"/>
        <w:ind w:left="720"/>
        <w:jc w:val="both"/>
        <w:rPr>
          <w:rFonts w:asciiTheme="minorHAnsi" w:hAnsiTheme="minorHAnsi" w:cstheme="minorHAnsi"/>
        </w:rPr>
      </w:pPr>
      <w:r>
        <w:rPr>
          <w:rFonts w:asciiTheme="minorHAnsi" w:hAnsiTheme="minorHAnsi" w:cstheme="minorHAnsi"/>
        </w:rPr>
        <w:t>Daniels (2019) outlines that a transfer of a business whereby the only change is to the employer but the busi</w:t>
      </w:r>
      <w:r w:rsidR="002441E6">
        <w:rPr>
          <w:rFonts w:asciiTheme="minorHAnsi" w:hAnsiTheme="minorHAnsi" w:cstheme="minorHAnsi"/>
        </w:rPr>
        <w:t xml:space="preserve">ness identify remains unchanged </w:t>
      </w:r>
      <w:r>
        <w:rPr>
          <w:rFonts w:asciiTheme="minorHAnsi" w:hAnsiTheme="minorHAnsi" w:cstheme="minorHAnsi"/>
        </w:rPr>
        <w:t>come</w:t>
      </w:r>
      <w:r w:rsidR="0026250D">
        <w:rPr>
          <w:rFonts w:asciiTheme="minorHAnsi" w:hAnsiTheme="minorHAnsi" w:cstheme="minorHAnsi"/>
        </w:rPr>
        <w:t>s</w:t>
      </w:r>
      <w:r>
        <w:rPr>
          <w:rFonts w:asciiTheme="minorHAnsi" w:hAnsiTheme="minorHAnsi" w:cstheme="minorHAnsi"/>
        </w:rPr>
        <w:t xml:space="preserve"> under </w:t>
      </w:r>
      <w:r w:rsidRPr="005F7B91">
        <w:rPr>
          <w:rFonts w:asciiTheme="minorHAnsi" w:hAnsiTheme="minorHAnsi" w:cstheme="minorHAnsi"/>
          <w:i/>
        </w:rPr>
        <w:t xml:space="preserve">The Transfer </w:t>
      </w:r>
      <w:r w:rsidR="0026250D" w:rsidRPr="005F7B91">
        <w:rPr>
          <w:rFonts w:asciiTheme="minorHAnsi" w:hAnsiTheme="minorHAnsi" w:cstheme="minorHAnsi"/>
          <w:i/>
        </w:rPr>
        <w:t>of Undertakings (Protection of E</w:t>
      </w:r>
      <w:r w:rsidRPr="005F7B91">
        <w:rPr>
          <w:rFonts w:asciiTheme="minorHAnsi" w:hAnsiTheme="minorHAnsi" w:cstheme="minorHAnsi"/>
          <w:i/>
        </w:rPr>
        <w:t>mployment) Regulations</w:t>
      </w:r>
      <w:r w:rsidR="0026250D" w:rsidRPr="005F7B91">
        <w:rPr>
          <w:rFonts w:asciiTheme="minorHAnsi" w:hAnsiTheme="minorHAnsi" w:cstheme="minorHAnsi"/>
          <w:i/>
        </w:rPr>
        <w:t xml:space="preserve"> (TUPE) 2006</w:t>
      </w:r>
      <w:r w:rsidR="0026250D">
        <w:rPr>
          <w:rFonts w:asciiTheme="minorHAnsi" w:hAnsiTheme="minorHAnsi" w:cstheme="minorHAnsi"/>
        </w:rPr>
        <w:t>.  TUPE protects the rights of employees who are subject to the transfer including their contracts (including all rights and obligations), terms and conditions of employment and continuation of service.</w:t>
      </w:r>
      <w:r>
        <w:rPr>
          <w:rFonts w:asciiTheme="minorHAnsi" w:hAnsiTheme="minorHAnsi" w:cstheme="minorHAnsi"/>
        </w:rPr>
        <w:t xml:space="preserve"> </w:t>
      </w:r>
    </w:p>
    <w:p w:rsidR="00B46E96" w:rsidRDefault="00B46E96" w:rsidP="00DB1F67">
      <w:pPr>
        <w:pStyle w:val="Nornal"/>
        <w:ind w:left="720"/>
        <w:jc w:val="both"/>
        <w:rPr>
          <w:rFonts w:asciiTheme="minorHAnsi" w:hAnsiTheme="minorHAnsi" w:cstheme="minorHAnsi"/>
        </w:rPr>
      </w:pPr>
      <w:r>
        <w:rPr>
          <w:rFonts w:asciiTheme="minorHAnsi" w:hAnsiTheme="minorHAnsi" w:cstheme="minorHAnsi"/>
        </w:rPr>
        <w:t xml:space="preserve">ACAS (2021c) advises that the </w:t>
      </w:r>
      <w:r w:rsidR="00AC0674">
        <w:rPr>
          <w:rFonts w:asciiTheme="minorHAnsi" w:hAnsiTheme="minorHAnsi" w:cstheme="minorHAnsi"/>
        </w:rPr>
        <w:t>parties</w:t>
      </w:r>
      <w:r>
        <w:rPr>
          <w:rFonts w:asciiTheme="minorHAnsi" w:hAnsiTheme="minorHAnsi" w:cstheme="minorHAnsi"/>
        </w:rPr>
        <w:t xml:space="preserve"> should create a transfer plan, which should be shared with the employees for transparency.  The Transferor must provide the Transferee with the Employee Liability Information (ELI) at least 28 days before the transfer date</w:t>
      </w:r>
      <w:r w:rsidR="00AC0674">
        <w:rPr>
          <w:rFonts w:asciiTheme="minorHAnsi" w:hAnsiTheme="minorHAnsi" w:cstheme="minorHAnsi"/>
        </w:rPr>
        <w:t xml:space="preserve"> including</w:t>
      </w:r>
      <w:r>
        <w:rPr>
          <w:rFonts w:asciiTheme="minorHAnsi" w:hAnsiTheme="minorHAnsi" w:cstheme="minorHAnsi"/>
        </w:rPr>
        <w:t>:</w:t>
      </w:r>
    </w:p>
    <w:p w:rsidR="00B46E96" w:rsidRDefault="00F16E40" w:rsidP="004D307C">
      <w:pPr>
        <w:pStyle w:val="Nornal"/>
        <w:numPr>
          <w:ilvl w:val="0"/>
          <w:numId w:val="10"/>
        </w:numPr>
        <w:jc w:val="both"/>
        <w:rPr>
          <w:rFonts w:asciiTheme="minorHAnsi" w:hAnsiTheme="minorHAnsi" w:cstheme="minorHAnsi"/>
        </w:rPr>
      </w:pPr>
      <w:r>
        <w:rPr>
          <w:rFonts w:asciiTheme="minorHAnsi" w:hAnsiTheme="minorHAnsi" w:cstheme="minorHAnsi"/>
        </w:rPr>
        <w:t>The employees identify and age</w:t>
      </w:r>
    </w:p>
    <w:p w:rsidR="00F16E40" w:rsidRDefault="00F16E40" w:rsidP="004D307C">
      <w:pPr>
        <w:pStyle w:val="Nornal"/>
        <w:numPr>
          <w:ilvl w:val="0"/>
          <w:numId w:val="10"/>
        </w:numPr>
        <w:jc w:val="both"/>
        <w:rPr>
          <w:rFonts w:asciiTheme="minorHAnsi" w:hAnsiTheme="minorHAnsi" w:cstheme="minorHAnsi"/>
        </w:rPr>
      </w:pPr>
      <w:r>
        <w:rPr>
          <w:rFonts w:asciiTheme="minorHAnsi" w:hAnsiTheme="minorHAnsi" w:cstheme="minorHAnsi"/>
        </w:rPr>
        <w:t>Written statement of employment particulars</w:t>
      </w:r>
    </w:p>
    <w:p w:rsidR="00F16E40" w:rsidRDefault="00F16E40" w:rsidP="004D307C">
      <w:pPr>
        <w:pStyle w:val="Nornal"/>
        <w:numPr>
          <w:ilvl w:val="0"/>
          <w:numId w:val="10"/>
        </w:numPr>
        <w:jc w:val="both"/>
        <w:rPr>
          <w:rFonts w:asciiTheme="minorHAnsi" w:hAnsiTheme="minorHAnsi" w:cstheme="minorHAnsi"/>
        </w:rPr>
      </w:pPr>
      <w:r>
        <w:rPr>
          <w:rFonts w:asciiTheme="minorHAnsi" w:hAnsiTheme="minorHAnsi" w:cstheme="minorHAnsi"/>
        </w:rPr>
        <w:lastRenderedPageBreak/>
        <w:t>Any grievance or disciplinary records for the last 2 years</w:t>
      </w:r>
    </w:p>
    <w:p w:rsidR="00F16E40" w:rsidRDefault="00F16E40" w:rsidP="004D307C">
      <w:pPr>
        <w:pStyle w:val="Nornal"/>
        <w:numPr>
          <w:ilvl w:val="0"/>
          <w:numId w:val="10"/>
        </w:numPr>
        <w:jc w:val="both"/>
        <w:rPr>
          <w:rFonts w:asciiTheme="minorHAnsi" w:hAnsiTheme="minorHAnsi" w:cstheme="minorHAnsi"/>
        </w:rPr>
      </w:pPr>
      <w:r>
        <w:rPr>
          <w:rFonts w:asciiTheme="minorHAnsi" w:hAnsiTheme="minorHAnsi" w:cstheme="minorHAnsi"/>
        </w:rPr>
        <w:t>Any claims they have made against the transferor in the last 2 years or that may be brought after the transfer</w:t>
      </w:r>
    </w:p>
    <w:p w:rsidR="00F16E40" w:rsidRDefault="00F16E40" w:rsidP="00F16E40">
      <w:pPr>
        <w:pStyle w:val="Nornal"/>
        <w:ind w:left="720"/>
        <w:jc w:val="both"/>
        <w:rPr>
          <w:rFonts w:asciiTheme="minorHAnsi" w:hAnsiTheme="minorHAnsi" w:cstheme="minorHAnsi"/>
        </w:rPr>
      </w:pPr>
      <w:r>
        <w:rPr>
          <w:rFonts w:asciiTheme="minorHAnsi" w:hAnsiTheme="minorHAnsi" w:cstheme="minorHAnsi"/>
        </w:rPr>
        <w:t>It is imp</w:t>
      </w:r>
      <w:r w:rsidR="00147F04">
        <w:rPr>
          <w:rFonts w:asciiTheme="minorHAnsi" w:hAnsiTheme="minorHAnsi" w:cstheme="minorHAnsi"/>
        </w:rPr>
        <w:t>ortant that the Transferee make</w:t>
      </w:r>
      <w:r>
        <w:rPr>
          <w:rFonts w:asciiTheme="minorHAnsi" w:hAnsiTheme="minorHAnsi" w:cstheme="minorHAnsi"/>
        </w:rPr>
        <w:t xml:space="preserve"> the transferor aware of any changes they wish to make such as da</w:t>
      </w:r>
      <w:r w:rsidR="00AC0674">
        <w:rPr>
          <w:rFonts w:asciiTheme="minorHAnsi" w:hAnsiTheme="minorHAnsi" w:cstheme="minorHAnsi"/>
        </w:rPr>
        <w:t xml:space="preserve">te of wage payments so the </w:t>
      </w:r>
      <w:r>
        <w:rPr>
          <w:rFonts w:asciiTheme="minorHAnsi" w:hAnsiTheme="minorHAnsi" w:cstheme="minorHAnsi"/>
        </w:rPr>
        <w:t xml:space="preserve">Transferee </w:t>
      </w:r>
      <w:r w:rsidR="00AC0674">
        <w:rPr>
          <w:rFonts w:asciiTheme="minorHAnsi" w:hAnsiTheme="minorHAnsi" w:cstheme="minorHAnsi"/>
        </w:rPr>
        <w:t>can inform</w:t>
      </w:r>
      <w:r>
        <w:rPr>
          <w:rFonts w:asciiTheme="minorHAnsi" w:hAnsiTheme="minorHAnsi" w:cstheme="minorHAnsi"/>
        </w:rPr>
        <w:t xml:space="preserve"> the employees.  Both parties need to inform and consult the employee’s representatives prior to the transfer and failure to do so could make both or individual parties liable by ET resulting in payment of compensation up to 13 week</w:t>
      </w:r>
      <w:r w:rsidR="00147F04">
        <w:rPr>
          <w:rFonts w:asciiTheme="minorHAnsi" w:hAnsiTheme="minorHAnsi" w:cstheme="minorHAnsi"/>
        </w:rPr>
        <w:t>’</w:t>
      </w:r>
      <w:r>
        <w:rPr>
          <w:rFonts w:asciiTheme="minorHAnsi" w:hAnsiTheme="minorHAnsi" w:cstheme="minorHAnsi"/>
        </w:rPr>
        <w:t>s pay per employee</w:t>
      </w:r>
      <w:r w:rsidR="00E60EDA">
        <w:rPr>
          <w:rFonts w:asciiTheme="minorHAnsi" w:hAnsiTheme="minorHAnsi" w:cstheme="minorHAnsi"/>
        </w:rPr>
        <w:t xml:space="preserve"> (ACAS, 2023</w:t>
      </w:r>
      <w:r w:rsidR="00AC40CB">
        <w:rPr>
          <w:rFonts w:asciiTheme="minorHAnsi" w:hAnsiTheme="minorHAnsi" w:cstheme="minorHAnsi"/>
        </w:rPr>
        <w:t>c</w:t>
      </w:r>
      <w:r w:rsidR="00E60EDA">
        <w:rPr>
          <w:rFonts w:asciiTheme="minorHAnsi" w:hAnsiTheme="minorHAnsi" w:cstheme="minorHAnsi"/>
        </w:rPr>
        <w:t>)</w:t>
      </w:r>
      <w:r>
        <w:rPr>
          <w:rFonts w:asciiTheme="minorHAnsi" w:hAnsiTheme="minorHAnsi" w:cstheme="minorHAnsi"/>
        </w:rPr>
        <w:t xml:space="preserve">.  </w:t>
      </w:r>
      <w:r w:rsidR="00EF1317">
        <w:rPr>
          <w:rFonts w:asciiTheme="minorHAnsi" w:hAnsiTheme="minorHAnsi" w:cstheme="minorHAnsi"/>
        </w:rPr>
        <w:t>There is no minimum consultation period and as there are more than 10 employees involved in the transfer between Crumbly Cakes and Peachy Desserts Ltd consultation is with the employee representative and if there is no representative appointed, the employer must facilitate an election of a representative (Suff, 2023b).</w:t>
      </w:r>
    </w:p>
    <w:p w:rsidR="0026250D" w:rsidRDefault="0026250D" w:rsidP="00DB1F67">
      <w:pPr>
        <w:pStyle w:val="Nornal"/>
        <w:ind w:left="720"/>
        <w:jc w:val="both"/>
        <w:rPr>
          <w:rFonts w:asciiTheme="minorHAnsi" w:hAnsiTheme="minorHAnsi" w:cstheme="minorHAnsi"/>
        </w:rPr>
      </w:pPr>
      <w:r>
        <w:rPr>
          <w:rFonts w:asciiTheme="minorHAnsi" w:hAnsiTheme="minorHAnsi" w:cstheme="minorHAnsi"/>
        </w:rPr>
        <w:t>Charlotte and Madeleine should be adv</w:t>
      </w:r>
      <w:r w:rsidR="00FE1B1A">
        <w:rPr>
          <w:rFonts w:asciiTheme="minorHAnsi" w:hAnsiTheme="minorHAnsi" w:cstheme="minorHAnsi"/>
        </w:rPr>
        <w:t>ised that</w:t>
      </w:r>
      <w:r>
        <w:rPr>
          <w:rFonts w:asciiTheme="minorHAnsi" w:hAnsiTheme="minorHAnsi" w:cstheme="minorHAnsi"/>
        </w:rPr>
        <w:t xml:space="preserve"> if employees were to sign a new contract after the transfer, the employe</w:t>
      </w:r>
      <w:r w:rsidR="00FE1B1A">
        <w:rPr>
          <w:rFonts w:asciiTheme="minorHAnsi" w:hAnsiTheme="minorHAnsi" w:cstheme="minorHAnsi"/>
        </w:rPr>
        <w:t>es could make a claim to the ET to void any of the conditions that were less favourable than their previous contract but keep any that were more favourable.  The only changes that can be made to the new employee’s contract would be to improve the terms and condition</w:t>
      </w:r>
      <w:r w:rsidR="00511613">
        <w:rPr>
          <w:rFonts w:asciiTheme="minorHAnsi" w:hAnsiTheme="minorHAnsi" w:cstheme="minorHAnsi"/>
        </w:rPr>
        <w:t>s or if there were an economic</w:t>
      </w:r>
      <w:r w:rsidR="00FE1B1A">
        <w:rPr>
          <w:rFonts w:asciiTheme="minorHAnsi" w:hAnsiTheme="minorHAnsi" w:cstheme="minorHAnsi"/>
        </w:rPr>
        <w:t>, technical or organisational (ETO) reason but the workforce would also have to change e.g. redundancies</w:t>
      </w:r>
      <w:r w:rsidR="00ED5474">
        <w:rPr>
          <w:rFonts w:asciiTheme="minorHAnsi" w:hAnsiTheme="minorHAnsi" w:cstheme="minorHAnsi"/>
        </w:rPr>
        <w:t xml:space="preserve"> (ACAS, 2021a)</w:t>
      </w:r>
      <w:r w:rsidR="00FE1B1A">
        <w:rPr>
          <w:rFonts w:asciiTheme="minorHAnsi" w:hAnsiTheme="minorHAnsi" w:cstheme="minorHAnsi"/>
        </w:rPr>
        <w:t>.</w:t>
      </w:r>
    </w:p>
    <w:p w:rsidR="00DB1F67" w:rsidRDefault="00F2318C" w:rsidP="00DB1F67">
      <w:pPr>
        <w:pStyle w:val="Nornal"/>
        <w:ind w:left="720"/>
        <w:jc w:val="both"/>
        <w:rPr>
          <w:rFonts w:asciiTheme="minorHAnsi" w:hAnsiTheme="minorHAnsi" w:cstheme="minorHAnsi"/>
        </w:rPr>
      </w:pPr>
      <w:r>
        <w:rPr>
          <w:rFonts w:asciiTheme="minorHAnsi" w:hAnsiTheme="minorHAnsi" w:cstheme="minorHAnsi"/>
        </w:rPr>
        <w:t xml:space="preserve">If any employees resign </w:t>
      </w:r>
      <w:r w:rsidR="00ED5474">
        <w:rPr>
          <w:rFonts w:asciiTheme="minorHAnsi" w:hAnsiTheme="minorHAnsi" w:cstheme="minorHAnsi"/>
        </w:rPr>
        <w:t>because</w:t>
      </w:r>
      <w:r>
        <w:rPr>
          <w:rFonts w:asciiTheme="minorHAnsi" w:hAnsiTheme="minorHAnsi" w:cstheme="minorHAnsi"/>
        </w:rPr>
        <w:t xml:space="preserve"> of a </w:t>
      </w:r>
      <w:r w:rsidR="00ED5474">
        <w:rPr>
          <w:rFonts w:asciiTheme="minorHAnsi" w:hAnsiTheme="minorHAnsi" w:cstheme="minorHAnsi"/>
        </w:rPr>
        <w:t xml:space="preserve">‘substantial’ </w:t>
      </w:r>
      <w:r>
        <w:rPr>
          <w:rFonts w:asciiTheme="minorHAnsi" w:hAnsiTheme="minorHAnsi" w:cstheme="minorHAnsi"/>
        </w:rPr>
        <w:t>change to</w:t>
      </w:r>
      <w:r w:rsidR="00ED5474">
        <w:rPr>
          <w:rFonts w:asciiTheme="minorHAnsi" w:hAnsiTheme="minorHAnsi" w:cstheme="minorHAnsi"/>
        </w:rPr>
        <w:t xml:space="preserve"> their working conditions to their detriment, they can treat the contract as having been terminated and make a claim to ET for constructive dismissal</w:t>
      </w:r>
      <w:r w:rsidR="005552C8">
        <w:rPr>
          <w:rFonts w:asciiTheme="minorHAnsi" w:hAnsiTheme="minorHAnsi" w:cstheme="minorHAnsi"/>
        </w:rPr>
        <w:t xml:space="preserve">.  This was evidenced in the case of </w:t>
      </w:r>
      <w:r w:rsidR="00214D41">
        <w:rPr>
          <w:rFonts w:asciiTheme="minorHAnsi" w:hAnsiTheme="minorHAnsi" w:cstheme="minorHAnsi"/>
        </w:rPr>
        <w:t>‘</w:t>
      </w:r>
      <w:r w:rsidR="005552C8" w:rsidRPr="005552C8">
        <w:rPr>
          <w:rFonts w:asciiTheme="minorHAnsi" w:hAnsiTheme="minorHAnsi" w:cstheme="minorHAnsi"/>
          <w:i/>
        </w:rPr>
        <w:t>Tapere v South London and Maudsley NHS Trust</w:t>
      </w:r>
      <w:r w:rsidR="00214D41">
        <w:rPr>
          <w:rFonts w:asciiTheme="minorHAnsi" w:hAnsiTheme="minorHAnsi" w:cstheme="minorHAnsi"/>
          <w:i/>
        </w:rPr>
        <w:t>’</w:t>
      </w:r>
      <w:r w:rsidR="005552C8" w:rsidRPr="005552C8">
        <w:rPr>
          <w:rFonts w:asciiTheme="minorHAnsi" w:hAnsiTheme="minorHAnsi" w:cstheme="minorHAnsi"/>
          <w:i/>
        </w:rPr>
        <w:t xml:space="preserve"> (2009) </w:t>
      </w:r>
      <w:r w:rsidR="005552C8">
        <w:rPr>
          <w:rFonts w:asciiTheme="minorHAnsi" w:hAnsiTheme="minorHAnsi" w:cstheme="minorHAnsi"/>
        </w:rPr>
        <w:t>where the Judge deemed the change to Tapere’s contract was a material detriment and therefore upheld her claim of constructive dismissal</w:t>
      </w:r>
      <w:r w:rsidR="00EF1317">
        <w:rPr>
          <w:rFonts w:asciiTheme="minorHAnsi" w:hAnsiTheme="minorHAnsi" w:cstheme="minorHAnsi"/>
        </w:rPr>
        <w:t xml:space="preserve">.  </w:t>
      </w:r>
    </w:p>
    <w:p w:rsidR="00E81A88" w:rsidRPr="00DB1F67" w:rsidRDefault="00E81A88" w:rsidP="00DB1F67">
      <w:pPr>
        <w:pStyle w:val="Nornal"/>
        <w:ind w:left="720"/>
        <w:jc w:val="both"/>
        <w:rPr>
          <w:rFonts w:asciiTheme="minorHAnsi" w:hAnsiTheme="minorHAnsi" w:cstheme="minorHAnsi"/>
        </w:rPr>
      </w:pPr>
    </w:p>
    <w:p w:rsidR="000556C0" w:rsidRDefault="000556C0" w:rsidP="004D307C">
      <w:pPr>
        <w:pStyle w:val="ListParagraph"/>
        <w:numPr>
          <w:ilvl w:val="0"/>
          <w:numId w:val="2"/>
        </w:numPr>
        <w:spacing w:after="120" w:line="264" w:lineRule="auto"/>
        <w:contextualSpacing w:val="0"/>
        <w:jc w:val="both"/>
        <w:rPr>
          <w:rFonts w:cstheme="minorHAnsi"/>
          <w:b/>
        </w:rPr>
      </w:pPr>
      <w:r w:rsidRPr="004B4E11">
        <w:rPr>
          <w:rFonts w:cstheme="minorHAnsi"/>
          <w:b/>
        </w:rPr>
        <w:t>Charlotte and Madeleine are aware there are changes to the National Minimum Wage each year. They firmly believe that all sales assistants work hard regardless of age and as such should be paid the same. All sales assistants are currently paid £9.00 per hour. They want to check their approach is lawful and wonder whether there are any rights related to pay statements they need to comply with. (AC 4.1)</w:t>
      </w:r>
      <w:r w:rsidR="00090BD9">
        <w:rPr>
          <w:rFonts w:cstheme="minorHAnsi"/>
          <w:b/>
        </w:rPr>
        <w:t xml:space="preserve"> </w:t>
      </w:r>
    </w:p>
    <w:p w:rsidR="002441E6" w:rsidRDefault="0064607C" w:rsidP="002441E6">
      <w:pPr>
        <w:pStyle w:val="ListParagraph"/>
        <w:spacing w:after="120" w:line="264" w:lineRule="auto"/>
        <w:contextualSpacing w:val="0"/>
        <w:jc w:val="both"/>
        <w:rPr>
          <w:rFonts w:cstheme="minorHAnsi"/>
        </w:rPr>
      </w:pPr>
      <w:r>
        <w:rPr>
          <w:rFonts w:cstheme="minorHAnsi"/>
        </w:rPr>
        <w:t xml:space="preserve">Daniels (2019) states there is a duty of the employer to pay their </w:t>
      </w:r>
      <w:r w:rsidR="00147F04">
        <w:rPr>
          <w:rFonts w:cstheme="minorHAnsi"/>
        </w:rPr>
        <w:t>employees’</w:t>
      </w:r>
      <w:r>
        <w:rPr>
          <w:rFonts w:cstheme="minorHAnsi"/>
        </w:rPr>
        <w:t xml:space="preserve"> wages (payment for work undertaken) but the Employment Rights Act 1996 sets out the rights of the emp</w:t>
      </w:r>
      <w:r w:rsidR="002441E6">
        <w:rPr>
          <w:rFonts w:cstheme="minorHAnsi"/>
        </w:rPr>
        <w:t>loyees in regard to their wages.</w:t>
      </w:r>
      <w:r>
        <w:rPr>
          <w:rFonts w:cstheme="minorHAnsi"/>
        </w:rPr>
        <w:t xml:space="preserve"> </w:t>
      </w:r>
      <w:r w:rsidR="002441E6">
        <w:rPr>
          <w:rFonts w:cstheme="minorHAnsi"/>
        </w:rPr>
        <w:t xml:space="preserve"> </w:t>
      </w:r>
      <w:r>
        <w:rPr>
          <w:rFonts w:cstheme="minorHAnsi"/>
        </w:rPr>
        <w:t xml:space="preserve">Employees should receive a pay statement </w:t>
      </w:r>
      <w:r w:rsidR="003C2BD1">
        <w:rPr>
          <w:rFonts w:cstheme="minorHAnsi"/>
        </w:rPr>
        <w:t>prior to or on receipt of their wages.  The pay statement must include; gross salary, amount of deductions/reason for deduction, variable elements to the pay, method/amount of any part payments, net salary and if the salary varies as a result of varied hours worked, the total number of hours worked.</w:t>
      </w:r>
      <w:r w:rsidR="00F669AB">
        <w:rPr>
          <w:rFonts w:cstheme="minorHAnsi"/>
        </w:rPr>
        <w:t xml:space="preserve">  Payslips </w:t>
      </w:r>
      <w:r w:rsidR="002441E6">
        <w:rPr>
          <w:rFonts w:cstheme="minorHAnsi"/>
        </w:rPr>
        <w:t>can be a paper document,</w:t>
      </w:r>
      <w:r w:rsidR="00F669AB">
        <w:rPr>
          <w:rFonts w:cstheme="minorHAnsi"/>
        </w:rPr>
        <w:t xml:space="preserve"> email attach</w:t>
      </w:r>
      <w:r w:rsidR="00251DFB">
        <w:rPr>
          <w:rFonts w:cstheme="minorHAnsi"/>
        </w:rPr>
        <w:t xml:space="preserve">ment or </w:t>
      </w:r>
      <w:r w:rsidR="002441E6">
        <w:rPr>
          <w:rFonts w:cstheme="minorHAnsi"/>
        </w:rPr>
        <w:t>through</w:t>
      </w:r>
      <w:r w:rsidR="00251DFB">
        <w:rPr>
          <w:rFonts w:cstheme="minorHAnsi"/>
        </w:rPr>
        <w:t xml:space="preserve"> online system</w:t>
      </w:r>
      <w:r w:rsidR="002441E6">
        <w:rPr>
          <w:rFonts w:cstheme="minorHAnsi"/>
        </w:rPr>
        <w:t>s</w:t>
      </w:r>
      <w:r w:rsidR="00251DFB">
        <w:rPr>
          <w:rFonts w:cstheme="minorHAnsi"/>
        </w:rPr>
        <w:t xml:space="preserve"> (Acas</w:t>
      </w:r>
      <w:r w:rsidR="00F669AB">
        <w:rPr>
          <w:rFonts w:cstheme="minorHAnsi"/>
        </w:rPr>
        <w:t>, 2023a)</w:t>
      </w:r>
    </w:p>
    <w:p w:rsidR="006950DB" w:rsidRPr="002441E6" w:rsidRDefault="006950DB" w:rsidP="002441E6">
      <w:pPr>
        <w:spacing w:after="120" w:line="264" w:lineRule="auto"/>
        <w:ind w:left="720"/>
        <w:jc w:val="both"/>
        <w:rPr>
          <w:rFonts w:cstheme="minorHAnsi"/>
        </w:rPr>
      </w:pPr>
      <w:r w:rsidRPr="002441E6">
        <w:rPr>
          <w:rFonts w:cstheme="minorHAnsi"/>
        </w:rPr>
        <w:t>National Minimum wage</w:t>
      </w:r>
      <w:r w:rsidR="00F706D3" w:rsidRPr="002441E6">
        <w:rPr>
          <w:rFonts w:cstheme="minorHAnsi"/>
        </w:rPr>
        <w:t xml:space="preserve"> (NMW)</w:t>
      </w:r>
      <w:r w:rsidRPr="002441E6">
        <w:rPr>
          <w:rFonts w:cstheme="minorHAnsi"/>
        </w:rPr>
        <w:t xml:space="preserve"> – In line with the National Minimum Wage Act 1998 (amended in 2016 to include the National Living Wage</w:t>
      </w:r>
      <w:r w:rsidR="00F706D3" w:rsidRPr="002441E6">
        <w:rPr>
          <w:rFonts w:cstheme="minorHAnsi"/>
        </w:rPr>
        <w:t xml:space="preserve"> (NLW)</w:t>
      </w:r>
      <w:r w:rsidRPr="002441E6">
        <w:rPr>
          <w:rFonts w:cstheme="minorHAnsi"/>
        </w:rPr>
        <w:t xml:space="preserve"> for those over 23).  Details of the current rates are found below:</w:t>
      </w:r>
    </w:p>
    <w:p w:rsidR="009C6773" w:rsidRDefault="009C6773" w:rsidP="009C6773">
      <w:pPr>
        <w:spacing w:after="120" w:line="264" w:lineRule="auto"/>
        <w:ind w:left="720"/>
        <w:jc w:val="both"/>
        <w:rPr>
          <w:rFonts w:cstheme="minorHAnsi"/>
        </w:rPr>
      </w:pPr>
      <w:r>
        <w:rPr>
          <w:noProof/>
          <w:lang w:eastAsia="en-GB"/>
        </w:rPr>
        <w:lastRenderedPageBreak/>
        <w:drawing>
          <wp:inline distT="0" distB="0" distL="0" distR="0" wp14:anchorId="2CEFF311" wp14:editId="3210883A">
            <wp:extent cx="4968240" cy="3473887"/>
            <wp:effectExtent l="0" t="0" r="3810" b="0"/>
            <wp:docPr id="1" name="Picture 1" descr="https://ndna.org.uk/wp-content/uploads/2023/11/Full-table-1-1024x71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ndna.org.uk/wp-content/uploads/2023/11/Full-table-1-1024x716.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39958" cy="3524033"/>
                    </a:xfrm>
                    <a:prstGeom prst="rect">
                      <a:avLst/>
                    </a:prstGeom>
                    <a:noFill/>
                    <a:ln>
                      <a:noFill/>
                    </a:ln>
                  </pic:spPr>
                </pic:pic>
              </a:graphicData>
            </a:graphic>
          </wp:inline>
        </w:drawing>
      </w:r>
    </w:p>
    <w:p w:rsidR="00D87F59" w:rsidRDefault="00D87F59" w:rsidP="006950DB">
      <w:pPr>
        <w:spacing w:after="120" w:line="264" w:lineRule="auto"/>
        <w:ind w:left="720" w:firstLine="720"/>
        <w:jc w:val="both"/>
        <w:rPr>
          <w:rFonts w:cstheme="minorHAnsi"/>
        </w:rPr>
      </w:pPr>
      <w:r>
        <w:rPr>
          <w:rFonts w:cstheme="minorHAnsi"/>
        </w:rPr>
        <w:t>Argile (2023)</w:t>
      </w:r>
    </w:p>
    <w:p w:rsidR="00F706D3" w:rsidRDefault="00AC0674" w:rsidP="00147F04">
      <w:pPr>
        <w:spacing w:after="120" w:line="264" w:lineRule="auto"/>
        <w:ind w:left="720"/>
        <w:jc w:val="both"/>
        <w:rPr>
          <w:rFonts w:cstheme="minorHAnsi"/>
        </w:rPr>
      </w:pPr>
      <w:r>
        <w:rPr>
          <w:rFonts w:cstheme="minorHAnsi"/>
        </w:rPr>
        <w:t>E</w:t>
      </w:r>
      <w:r w:rsidR="002441E6">
        <w:rPr>
          <w:rFonts w:cstheme="minorHAnsi"/>
        </w:rPr>
        <w:t>mployers</w:t>
      </w:r>
      <w:r w:rsidR="006950DB">
        <w:rPr>
          <w:rFonts w:cstheme="minorHAnsi"/>
        </w:rPr>
        <w:t xml:space="preserve"> need to be mindful of the E</w:t>
      </w:r>
      <w:r w:rsidR="000476F3">
        <w:rPr>
          <w:rFonts w:cstheme="minorHAnsi"/>
        </w:rPr>
        <w:t xml:space="preserve">qual pay rights under the </w:t>
      </w:r>
      <w:r w:rsidR="000476F3" w:rsidRPr="005F7B91">
        <w:rPr>
          <w:rFonts w:cstheme="minorHAnsi"/>
          <w:i/>
        </w:rPr>
        <w:t>Equality</w:t>
      </w:r>
      <w:r w:rsidR="005F7B91">
        <w:rPr>
          <w:rFonts w:cstheme="minorHAnsi"/>
          <w:i/>
        </w:rPr>
        <w:t xml:space="preserve"> Act 2010</w:t>
      </w:r>
      <w:r>
        <w:rPr>
          <w:rFonts w:cstheme="minorHAnsi"/>
        </w:rPr>
        <w:t xml:space="preserve"> and </w:t>
      </w:r>
      <w:r w:rsidRPr="005F7B91">
        <w:rPr>
          <w:rFonts w:cstheme="minorHAnsi"/>
          <w:i/>
        </w:rPr>
        <w:t>the Working Time Regulations 1998</w:t>
      </w:r>
      <w:r>
        <w:rPr>
          <w:rFonts w:cstheme="minorHAnsi"/>
        </w:rPr>
        <w:t xml:space="preserve">.  </w:t>
      </w:r>
      <w:r w:rsidR="006950DB">
        <w:rPr>
          <w:rFonts w:cstheme="minorHAnsi"/>
        </w:rPr>
        <w:t xml:space="preserve">Furthermore, </w:t>
      </w:r>
      <w:r w:rsidR="00F706D3">
        <w:rPr>
          <w:rFonts w:cstheme="minorHAnsi"/>
        </w:rPr>
        <w:t>employees are also entitled to s</w:t>
      </w:r>
      <w:r w:rsidR="006950DB">
        <w:rPr>
          <w:rFonts w:cstheme="minorHAnsi"/>
        </w:rPr>
        <w:t xml:space="preserve">tatutory pay in relation to </w:t>
      </w:r>
      <w:r w:rsidR="00147F04">
        <w:rPr>
          <w:rFonts w:cstheme="minorHAnsi"/>
        </w:rPr>
        <w:t xml:space="preserve">leave for </w:t>
      </w:r>
      <w:r w:rsidR="00F706D3">
        <w:rPr>
          <w:rFonts w:cstheme="minorHAnsi"/>
        </w:rPr>
        <w:t>sickness, maternity/paternity, parental bereavement or adoption (HM Revenue &amp; Customs, 2014).</w:t>
      </w:r>
      <w:r w:rsidR="007E0EFC">
        <w:rPr>
          <w:rFonts w:cstheme="minorHAnsi"/>
        </w:rPr>
        <w:t xml:space="preserve">  </w:t>
      </w:r>
    </w:p>
    <w:p w:rsidR="007E0EFC" w:rsidRDefault="00F706D3" w:rsidP="007E0EFC">
      <w:pPr>
        <w:spacing w:after="120" w:line="264" w:lineRule="auto"/>
        <w:ind w:left="720"/>
        <w:jc w:val="both"/>
        <w:rPr>
          <w:rFonts w:cstheme="minorHAnsi"/>
        </w:rPr>
      </w:pPr>
      <w:r>
        <w:rPr>
          <w:rFonts w:cstheme="minorHAnsi"/>
        </w:rPr>
        <w:t>Charlotte and Madeline</w:t>
      </w:r>
      <w:r w:rsidR="00CD7CCF">
        <w:rPr>
          <w:rFonts w:cstheme="minorHAnsi"/>
        </w:rPr>
        <w:t xml:space="preserve"> are in breach of the law in relation to the NMN/NLW and ris</w:t>
      </w:r>
      <w:r w:rsidR="007E0EFC">
        <w:rPr>
          <w:rFonts w:cstheme="minorHAnsi"/>
        </w:rPr>
        <w:t>k being reported to the HMRC or</w:t>
      </w:r>
      <w:r w:rsidR="00CD7CCF">
        <w:rPr>
          <w:rFonts w:cstheme="minorHAnsi"/>
        </w:rPr>
        <w:t xml:space="preserve"> make a claim to ET. </w:t>
      </w:r>
      <w:r w:rsidR="007E0EFC">
        <w:rPr>
          <w:rFonts w:cstheme="minorHAnsi"/>
        </w:rPr>
        <w:t>The HMRC can issue a fine for between £100.00 to £20,000.00 for each employee affected (even if the discrepancy is less), issue a notice for the employer to pay back the discrepancy going back 6 years and also take legal action in the form of criminal legal proceedings.  The employer can be reported to the D</w:t>
      </w:r>
      <w:r w:rsidR="00251DFB">
        <w:rPr>
          <w:rFonts w:cstheme="minorHAnsi"/>
        </w:rPr>
        <w:t>epartment of Business and Trade who can place the employer on a list of non-compliance, which would be damaging to the business reputation.  An ET can order</w:t>
      </w:r>
      <w:r w:rsidR="002441E6">
        <w:rPr>
          <w:rFonts w:cstheme="minorHAnsi"/>
        </w:rPr>
        <w:t xml:space="preserve"> repayment of </w:t>
      </w:r>
      <w:r w:rsidR="00251DFB">
        <w:rPr>
          <w:rFonts w:cstheme="minorHAnsi"/>
        </w:rPr>
        <w:t>the money o</w:t>
      </w:r>
      <w:r w:rsidR="002441E6">
        <w:rPr>
          <w:rFonts w:cstheme="minorHAnsi"/>
        </w:rPr>
        <w:t>wed up to 2 years</w:t>
      </w:r>
      <w:r w:rsidR="00251DFB">
        <w:rPr>
          <w:rFonts w:cstheme="minorHAnsi"/>
        </w:rPr>
        <w:t xml:space="preserve"> (Acas, 2024a).</w:t>
      </w:r>
      <w:r w:rsidR="00A0076E">
        <w:rPr>
          <w:rFonts w:cstheme="minorHAnsi"/>
        </w:rPr>
        <w:t xml:space="preserve">  Gov.UK (2022) state that the NMW regulations are there to protect business’ too, as those who do not pay the NMW make competition against those that do more difficult.  </w:t>
      </w:r>
    </w:p>
    <w:p w:rsidR="007E0EFC" w:rsidRPr="009C6773" w:rsidRDefault="00251DFB" w:rsidP="007E0EFC">
      <w:pPr>
        <w:spacing w:after="120" w:line="264" w:lineRule="auto"/>
        <w:ind w:left="720"/>
        <w:jc w:val="both"/>
        <w:rPr>
          <w:rFonts w:cstheme="minorHAnsi"/>
        </w:rPr>
      </w:pPr>
      <w:r>
        <w:rPr>
          <w:rFonts w:cstheme="minorHAnsi"/>
        </w:rPr>
        <w:t>Acas</w:t>
      </w:r>
      <w:r w:rsidR="00CD7CCF">
        <w:rPr>
          <w:rFonts w:cstheme="minorHAnsi"/>
        </w:rPr>
        <w:t xml:space="preserve"> (2024a) advise that rectifying the situation can be done informally between the parties if it is agreed that Peachy Desserts Ltd increase</w:t>
      </w:r>
      <w:r w:rsidR="00F706D3">
        <w:rPr>
          <w:rFonts w:cstheme="minorHAnsi"/>
        </w:rPr>
        <w:t xml:space="preserve"> the pay of any employees over 21 to the hourly rates in line with the NMW/NLW </w:t>
      </w:r>
      <w:r w:rsidR="00CD7CCF">
        <w:rPr>
          <w:rFonts w:cstheme="minorHAnsi"/>
        </w:rPr>
        <w:t>and backdate the increase owed (t</w:t>
      </w:r>
      <w:r w:rsidR="00F706D3">
        <w:rPr>
          <w:rFonts w:cstheme="minorHAnsi"/>
        </w:rPr>
        <w:t>his also applies for any employees over 21 who have left the company</w:t>
      </w:r>
      <w:r w:rsidR="00CD7CCF">
        <w:rPr>
          <w:rFonts w:cstheme="minorHAnsi"/>
        </w:rPr>
        <w:t>)</w:t>
      </w:r>
      <w:r w:rsidR="00F706D3">
        <w:rPr>
          <w:rFonts w:cstheme="minorHAnsi"/>
        </w:rPr>
        <w:t>.</w:t>
      </w:r>
      <w:r w:rsidR="007E0EFC">
        <w:rPr>
          <w:rFonts w:cstheme="minorHAnsi"/>
        </w:rPr>
        <w:t xml:space="preserve"> </w:t>
      </w:r>
    </w:p>
    <w:p w:rsidR="0064607C" w:rsidRPr="0043568F" w:rsidRDefault="0064607C" w:rsidP="0043568F">
      <w:pPr>
        <w:pStyle w:val="ListParagraph"/>
        <w:spacing w:after="120" w:line="264" w:lineRule="auto"/>
        <w:contextualSpacing w:val="0"/>
        <w:jc w:val="both"/>
        <w:rPr>
          <w:rFonts w:cstheme="minorHAnsi"/>
        </w:rPr>
      </w:pPr>
    </w:p>
    <w:p w:rsidR="000556C0" w:rsidRDefault="000556C0" w:rsidP="004D307C">
      <w:pPr>
        <w:pStyle w:val="ListParagraph"/>
        <w:numPr>
          <w:ilvl w:val="0"/>
          <w:numId w:val="2"/>
        </w:numPr>
        <w:spacing w:after="120" w:line="264" w:lineRule="auto"/>
        <w:contextualSpacing w:val="0"/>
        <w:jc w:val="both"/>
        <w:rPr>
          <w:rFonts w:cstheme="minorHAnsi"/>
          <w:b/>
        </w:rPr>
      </w:pPr>
      <w:r w:rsidRPr="004B4E11">
        <w:rPr>
          <w:rFonts w:cstheme="minorHAnsi"/>
          <w:b/>
        </w:rPr>
        <w:t>Charlotte has received a complaint from Kit, manager of a restaurant that trades seven days a week. Kit states his working hours are too long, and that he does not have adequate breaks or sufficient days off.  He normally works five days a week from 9.30am to 9.30pm but when his supervisor is on holiday, he must cover their days off. Advise on whether Kit has a legal cause for complaint, with reference to employment law. (AC 4.2)</w:t>
      </w:r>
      <w:r w:rsidR="00090BD9">
        <w:rPr>
          <w:rFonts w:cstheme="minorHAnsi"/>
          <w:b/>
        </w:rPr>
        <w:t xml:space="preserve"> </w:t>
      </w:r>
    </w:p>
    <w:p w:rsidR="00C93482" w:rsidRDefault="006C389F" w:rsidP="00C93482">
      <w:pPr>
        <w:pStyle w:val="ListParagraph"/>
        <w:spacing w:after="120" w:line="264" w:lineRule="auto"/>
        <w:contextualSpacing w:val="0"/>
        <w:jc w:val="both"/>
        <w:rPr>
          <w:rFonts w:cstheme="minorHAnsi"/>
        </w:rPr>
      </w:pPr>
      <w:r w:rsidRPr="005F7B91">
        <w:rPr>
          <w:rFonts w:cstheme="minorHAnsi"/>
          <w:i/>
        </w:rPr>
        <w:lastRenderedPageBreak/>
        <w:t>The Working Time Regulations 1998</w:t>
      </w:r>
      <w:r>
        <w:rPr>
          <w:rFonts w:cstheme="minorHAnsi"/>
        </w:rPr>
        <w:t xml:space="preserve"> (WTR) set</w:t>
      </w:r>
      <w:r w:rsidR="00AC40CB">
        <w:rPr>
          <w:rFonts w:cstheme="minorHAnsi"/>
        </w:rPr>
        <w:t xml:space="preserve"> our rules to protect worker’s health, safety and wellbeing.  It covers workers, employees, apprentices, agency workers, casual/seasonal workers, zero hour contract workers and doctors in training (Acas, 2023b).  </w:t>
      </w:r>
    </w:p>
    <w:p w:rsidR="00AC40CB" w:rsidRDefault="00AC40CB" w:rsidP="00C93482">
      <w:pPr>
        <w:pStyle w:val="ListParagraph"/>
        <w:spacing w:after="120" w:line="264" w:lineRule="auto"/>
        <w:contextualSpacing w:val="0"/>
        <w:jc w:val="both"/>
        <w:rPr>
          <w:rFonts w:cstheme="minorHAnsi"/>
        </w:rPr>
      </w:pPr>
      <w:r>
        <w:rPr>
          <w:rFonts w:cstheme="minorHAnsi"/>
        </w:rPr>
        <w:t>Danie</w:t>
      </w:r>
      <w:r w:rsidR="00097610">
        <w:rPr>
          <w:rFonts w:cstheme="minorHAnsi"/>
        </w:rPr>
        <w:t>ls (2019) sets of the provision of the WTR in relation to annual leave, maximum working weeks, rest periods and other more specific provisions.</w:t>
      </w:r>
    </w:p>
    <w:p w:rsidR="004D303C" w:rsidRDefault="00997154" w:rsidP="004D303C">
      <w:pPr>
        <w:spacing w:after="120" w:line="264" w:lineRule="auto"/>
        <w:ind w:left="720"/>
        <w:jc w:val="both"/>
        <w:rPr>
          <w:rFonts w:cstheme="minorHAnsi"/>
        </w:rPr>
      </w:pPr>
      <w:r>
        <w:rPr>
          <w:rFonts w:cstheme="minorHAnsi"/>
        </w:rPr>
        <w:t xml:space="preserve">Charlotte should </w:t>
      </w:r>
      <w:r w:rsidR="00C62D10">
        <w:rPr>
          <w:rFonts w:cstheme="minorHAnsi"/>
        </w:rPr>
        <w:t>discuss the complaint with Kit</w:t>
      </w:r>
      <w:r w:rsidR="00AC0674">
        <w:rPr>
          <w:rFonts w:cstheme="minorHAnsi"/>
        </w:rPr>
        <w:t xml:space="preserve"> as follows</w:t>
      </w:r>
      <w:r w:rsidR="00434505">
        <w:rPr>
          <w:rFonts w:cstheme="minorHAnsi"/>
        </w:rPr>
        <w:t>:</w:t>
      </w:r>
    </w:p>
    <w:p w:rsidR="00C62D10" w:rsidRPr="00434505" w:rsidRDefault="00434505" w:rsidP="004D307C">
      <w:pPr>
        <w:pStyle w:val="ListParagraph"/>
        <w:numPr>
          <w:ilvl w:val="0"/>
          <w:numId w:val="13"/>
        </w:numPr>
        <w:spacing w:after="120" w:line="264" w:lineRule="auto"/>
        <w:jc w:val="both"/>
        <w:rPr>
          <w:rFonts w:cstheme="minorHAnsi"/>
        </w:rPr>
      </w:pPr>
      <w:r>
        <w:rPr>
          <w:rFonts w:cstheme="minorHAnsi"/>
        </w:rPr>
        <w:t xml:space="preserve">Kit is currently working a 12-hour day, which does meet the minimum requirement of an 11-hour rest period over 24 hours.  Therefore, his working day is considered reasonable.  </w:t>
      </w:r>
    </w:p>
    <w:p w:rsidR="00C62D10" w:rsidRDefault="00434505" w:rsidP="004D307C">
      <w:pPr>
        <w:pStyle w:val="ListParagraph"/>
        <w:numPr>
          <w:ilvl w:val="0"/>
          <w:numId w:val="13"/>
        </w:numPr>
        <w:spacing w:after="120" w:line="264" w:lineRule="auto"/>
        <w:jc w:val="both"/>
        <w:rPr>
          <w:rFonts w:cstheme="minorHAnsi"/>
        </w:rPr>
      </w:pPr>
      <w:r>
        <w:rPr>
          <w:rFonts w:cstheme="minorHAnsi"/>
        </w:rPr>
        <w:t>Kit should be taking a</w:t>
      </w:r>
      <w:r w:rsidR="00C62D10">
        <w:rPr>
          <w:rFonts w:cstheme="minorHAnsi"/>
        </w:rPr>
        <w:t xml:space="preserve"> minimum of 20 minutes br</w:t>
      </w:r>
      <w:r w:rsidR="00AC0674">
        <w:rPr>
          <w:rFonts w:cstheme="minorHAnsi"/>
        </w:rPr>
        <w:t xml:space="preserve">eak every day he is in work, which should </w:t>
      </w:r>
      <w:r>
        <w:rPr>
          <w:rFonts w:cstheme="minorHAnsi"/>
        </w:rPr>
        <w:t>be taken away from his</w:t>
      </w:r>
      <w:r w:rsidR="00C62D10">
        <w:rPr>
          <w:rFonts w:cstheme="minorHAnsi"/>
        </w:rPr>
        <w:t xml:space="preserve"> workstation.</w:t>
      </w:r>
    </w:p>
    <w:p w:rsidR="00434505" w:rsidRDefault="00434505" w:rsidP="004D307C">
      <w:pPr>
        <w:pStyle w:val="ListParagraph"/>
        <w:numPr>
          <w:ilvl w:val="0"/>
          <w:numId w:val="13"/>
        </w:numPr>
        <w:spacing w:after="120" w:line="264" w:lineRule="auto"/>
        <w:jc w:val="both"/>
        <w:rPr>
          <w:rFonts w:cstheme="minorHAnsi"/>
        </w:rPr>
      </w:pPr>
      <w:r>
        <w:rPr>
          <w:rFonts w:cstheme="minorHAnsi"/>
        </w:rPr>
        <w:t xml:space="preserve">In a normal working week, Kit is having 48 hours rest, which exceeds the minimum requirement of 24-hours per week.  </w:t>
      </w:r>
    </w:p>
    <w:p w:rsidR="00434505" w:rsidRDefault="00434505" w:rsidP="004D307C">
      <w:pPr>
        <w:pStyle w:val="ListParagraph"/>
        <w:numPr>
          <w:ilvl w:val="0"/>
          <w:numId w:val="13"/>
        </w:numPr>
        <w:spacing w:after="120" w:line="264" w:lineRule="auto"/>
        <w:jc w:val="both"/>
        <w:rPr>
          <w:rFonts w:cstheme="minorHAnsi"/>
        </w:rPr>
      </w:pPr>
      <w:r>
        <w:rPr>
          <w:rFonts w:cstheme="minorHAnsi"/>
        </w:rPr>
        <w:t>Kit is also entitled to 28 days paid annual leave per 12 months</w:t>
      </w:r>
      <w:r w:rsidR="00097610">
        <w:rPr>
          <w:rFonts w:cstheme="minorHAnsi"/>
        </w:rPr>
        <w:t xml:space="preserve"> (Acas, 2024c)</w:t>
      </w:r>
      <w:r>
        <w:rPr>
          <w:rFonts w:cstheme="minorHAnsi"/>
        </w:rPr>
        <w:t>.</w:t>
      </w:r>
    </w:p>
    <w:p w:rsidR="00434505" w:rsidRDefault="00434505" w:rsidP="00434505">
      <w:pPr>
        <w:spacing w:after="120" w:line="264" w:lineRule="auto"/>
        <w:ind w:left="720"/>
        <w:jc w:val="both"/>
        <w:rPr>
          <w:rFonts w:cstheme="minorHAnsi"/>
        </w:rPr>
      </w:pPr>
      <w:r>
        <w:rPr>
          <w:rFonts w:cstheme="minorHAnsi"/>
        </w:rPr>
        <w:t>Issues that need to be addressed:</w:t>
      </w:r>
    </w:p>
    <w:p w:rsidR="00434505" w:rsidRDefault="00434505" w:rsidP="004D307C">
      <w:pPr>
        <w:pStyle w:val="ListParagraph"/>
        <w:numPr>
          <w:ilvl w:val="0"/>
          <w:numId w:val="14"/>
        </w:numPr>
        <w:spacing w:after="120" w:line="264" w:lineRule="auto"/>
        <w:jc w:val="both"/>
        <w:rPr>
          <w:rFonts w:cstheme="minorHAnsi"/>
        </w:rPr>
      </w:pPr>
      <w:r>
        <w:rPr>
          <w:rFonts w:cstheme="minorHAnsi"/>
        </w:rPr>
        <w:t xml:space="preserve">Kit is currently working 12 hours per day over a </w:t>
      </w:r>
      <w:r w:rsidR="00147F04">
        <w:rPr>
          <w:rFonts w:cstheme="minorHAnsi"/>
        </w:rPr>
        <w:t>5-day</w:t>
      </w:r>
      <w:r>
        <w:rPr>
          <w:rFonts w:cstheme="minorHAnsi"/>
        </w:rPr>
        <w:t xml:space="preserve"> period and therefore is working a </w:t>
      </w:r>
      <w:r w:rsidR="00147F04">
        <w:rPr>
          <w:rFonts w:cstheme="minorHAnsi"/>
        </w:rPr>
        <w:t>60-hour</w:t>
      </w:r>
      <w:r>
        <w:rPr>
          <w:rFonts w:cstheme="minorHAnsi"/>
        </w:rPr>
        <w:t xml:space="preserve"> week.</w:t>
      </w:r>
      <w:r w:rsidR="00521137">
        <w:rPr>
          <w:rFonts w:cstheme="minorHAnsi"/>
        </w:rPr>
        <w:t xml:space="preserve">  This exceeds the maximum 48 hours set out in the WTR.  To rectify this, </w:t>
      </w:r>
      <w:r w:rsidR="000B4074">
        <w:rPr>
          <w:rFonts w:cstheme="minorHAnsi"/>
        </w:rPr>
        <w:t>either Kit’s working hours</w:t>
      </w:r>
      <w:r w:rsidR="00521137">
        <w:rPr>
          <w:rFonts w:cstheme="minorHAnsi"/>
        </w:rPr>
        <w:t xml:space="preserve"> need to be reduced by</w:t>
      </w:r>
      <w:r w:rsidR="000B4074">
        <w:rPr>
          <w:rFonts w:cstheme="minorHAnsi"/>
        </w:rPr>
        <w:t xml:space="preserve"> a minimum of</w:t>
      </w:r>
      <w:r w:rsidR="00521137">
        <w:rPr>
          <w:rFonts w:cstheme="minorHAnsi"/>
        </w:rPr>
        <w:t xml:space="preserve"> 12 hours per week</w:t>
      </w:r>
      <w:r w:rsidR="000B4074">
        <w:rPr>
          <w:rFonts w:cstheme="minorHAnsi"/>
        </w:rPr>
        <w:t xml:space="preserve"> e.g. he works 9 hours 36 minutes per day instead</w:t>
      </w:r>
      <w:r w:rsidR="00521137">
        <w:rPr>
          <w:rFonts w:cstheme="minorHAnsi"/>
        </w:rPr>
        <w:t xml:space="preserve"> or he agrees</w:t>
      </w:r>
      <w:r w:rsidR="00723526">
        <w:rPr>
          <w:rFonts w:cstheme="minorHAnsi"/>
        </w:rPr>
        <w:t xml:space="preserve"> to sign an</w:t>
      </w:r>
      <w:r w:rsidR="00521137">
        <w:rPr>
          <w:rFonts w:cstheme="minorHAnsi"/>
        </w:rPr>
        <w:t xml:space="preserve"> opt-out agreement, which must be in writing </w:t>
      </w:r>
      <w:r w:rsidR="000B4074">
        <w:rPr>
          <w:rFonts w:cstheme="minorHAnsi"/>
        </w:rPr>
        <w:t>stating</w:t>
      </w:r>
      <w:r w:rsidR="00521137">
        <w:rPr>
          <w:rFonts w:cstheme="minorHAnsi"/>
        </w:rPr>
        <w:t xml:space="preserve"> that it runs indefinitely with Kit able to give notice to terminate the agreement between 7 days and 3 months (period to be agreed between the parties). </w:t>
      </w:r>
    </w:p>
    <w:p w:rsidR="004D303C" w:rsidRDefault="000B6AFB" w:rsidP="004D307C">
      <w:pPr>
        <w:pStyle w:val="ListParagraph"/>
        <w:numPr>
          <w:ilvl w:val="0"/>
          <w:numId w:val="14"/>
        </w:numPr>
        <w:spacing w:after="120" w:line="264" w:lineRule="auto"/>
        <w:jc w:val="both"/>
        <w:rPr>
          <w:rFonts w:cstheme="minorHAnsi"/>
        </w:rPr>
      </w:pPr>
      <w:r>
        <w:rPr>
          <w:rFonts w:cstheme="minorHAnsi"/>
        </w:rPr>
        <w:t xml:space="preserve">Advice in relation to holiday cover for the supervisor is subject to the details of the hours/days required for cover.  Kit is able to provide cover if his working hours do not exceed an average of 48 hours per week over 17 weeks </w:t>
      </w:r>
      <w:r w:rsidR="00723526">
        <w:rPr>
          <w:rFonts w:cstheme="minorHAnsi"/>
        </w:rPr>
        <w:t xml:space="preserve">and he has 48 hours rest period over a 14 day period.  Therefore, it would be possible for him to work longer one week and for more days if the average still came under the stated allowance.  </w:t>
      </w:r>
    </w:p>
    <w:p w:rsidR="00097610" w:rsidRPr="00097610" w:rsidRDefault="00097610" w:rsidP="00097610">
      <w:pPr>
        <w:spacing w:after="120" w:line="264" w:lineRule="auto"/>
        <w:ind w:left="720"/>
        <w:jc w:val="both"/>
        <w:rPr>
          <w:rFonts w:cstheme="minorHAnsi"/>
        </w:rPr>
      </w:pPr>
      <w:r>
        <w:rPr>
          <w:rFonts w:cstheme="minorHAnsi"/>
        </w:rPr>
        <w:t xml:space="preserve">Failure to comply with the WTR can result in an ET ordering the employer to compensation it deems to be just in line with the employee’s loss and this figure is unlimited (CIPD, 2024c). </w:t>
      </w:r>
      <w:r w:rsidR="00FB6E91">
        <w:rPr>
          <w:rFonts w:cstheme="minorHAnsi"/>
        </w:rPr>
        <w:t xml:space="preserve"> The Health and Safety Executive enforce limits and if the employee were to suffer loss, injury or damage and they were working over the weekly working hours they could make </w:t>
      </w:r>
      <w:r w:rsidR="002F252F">
        <w:rPr>
          <w:rFonts w:cstheme="minorHAnsi"/>
        </w:rPr>
        <w:t xml:space="preserve">a civil claim.  </w:t>
      </w:r>
    </w:p>
    <w:p w:rsidR="005D0DF1" w:rsidRPr="005D0DF1" w:rsidRDefault="005D0DF1" w:rsidP="005D0DF1">
      <w:pPr>
        <w:pStyle w:val="ListParagraph"/>
        <w:spacing w:after="120" w:line="264" w:lineRule="auto"/>
        <w:ind w:left="1440"/>
        <w:jc w:val="both"/>
        <w:rPr>
          <w:rFonts w:cstheme="minorHAnsi"/>
        </w:rPr>
      </w:pPr>
    </w:p>
    <w:p w:rsidR="000556C0" w:rsidRDefault="000556C0" w:rsidP="004D307C">
      <w:pPr>
        <w:pStyle w:val="Nornal"/>
        <w:numPr>
          <w:ilvl w:val="0"/>
          <w:numId w:val="2"/>
        </w:numPr>
        <w:jc w:val="both"/>
        <w:rPr>
          <w:rFonts w:asciiTheme="minorHAnsi" w:hAnsiTheme="minorHAnsi" w:cstheme="minorHAnsi"/>
          <w:b/>
        </w:rPr>
      </w:pPr>
      <w:r w:rsidRPr="004B4E11">
        <w:rPr>
          <w:rFonts w:asciiTheme="minorHAnsi" w:hAnsiTheme="minorHAnsi" w:cstheme="minorHAnsi"/>
          <w:b/>
        </w:rPr>
        <w:t>Coco, a restaurant manager with eight years’ service, was delighted to inform Charlotte and Madeleine that she is pregnant and that her baby is due in six months’ time. Charlotte, who took two weeks off after the birth of her baby, is unhappy at the disruption this will cause but is happy to let Coco book two weeks’ annual leave to coincide with the birth of her baby. Charlotte feels a small business cannot afford the maternity leave and maternity pay that a larger organisation could offer, and she knows from experience that two weeks off is sufficient. Advise Charlotte and Madeleine on Coco’s maternity rights. You are concerned about Charlotte and Madeleine’s lack of knowledge in this area and decide to add a brief overview of paternity and adoption rights in case they make mistakes in this area too. (AC 4.3)</w:t>
      </w:r>
      <w:r w:rsidR="00090BD9">
        <w:rPr>
          <w:rFonts w:asciiTheme="minorHAnsi" w:hAnsiTheme="minorHAnsi" w:cstheme="minorHAnsi"/>
          <w:b/>
        </w:rPr>
        <w:t xml:space="preserve"> </w:t>
      </w:r>
    </w:p>
    <w:p w:rsidR="00EA43D0" w:rsidRDefault="00A84EBE" w:rsidP="009B46F1">
      <w:pPr>
        <w:ind w:left="720"/>
        <w:jc w:val="both"/>
      </w:pPr>
      <w:r>
        <w:lastRenderedPageBreak/>
        <w:t>Ac</w:t>
      </w:r>
      <w:r w:rsidR="00471DCB">
        <w:t>as (2022b</w:t>
      </w:r>
      <w:r w:rsidR="00273185">
        <w:t xml:space="preserve">) state that the </w:t>
      </w:r>
      <w:r w:rsidR="00273185" w:rsidRPr="005F7B91">
        <w:rPr>
          <w:i/>
        </w:rPr>
        <w:t>Equality</w:t>
      </w:r>
      <w:r w:rsidRPr="005F7B91">
        <w:rPr>
          <w:i/>
        </w:rPr>
        <w:t xml:space="preserve"> Act 2010</w:t>
      </w:r>
      <w:r>
        <w:t xml:space="preserve"> protects employees (and potential employees) </w:t>
      </w:r>
      <w:r w:rsidR="009B46F1">
        <w:t xml:space="preserve">from </w:t>
      </w:r>
      <w:r w:rsidR="00BC6706">
        <w:t xml:space="preserve">decimation due to their pregnancy; </w:t>
      </w:r>
      <w:r w:rsidR="009B46F1">
        <w:t xml:space="preserve">pregnancy </w:t>
      </w:r>
      <w:r w:rsidR="00BC6706">
        <w:t>related sickness or</w:t>
      </w:r>
      <w:r w:rsidR="009B46F1">
        <w:t xml:space="preserve"> maternity pay/leave or planned leave.</w:t>
      </w:r>
      <w:r>
        <w:t xml:space="preserve"> </w:t>
      </w:r>
      <w:r w:rsidR="009B46F1">
        <w:t xml:space="preserve"> </w:t>
      </w:r>
      <w:r w:rsidRPr="00A84EBE">
        <w:t>Taylor and Woodhams (2022)</w:t>
      </w:r>
      <w:r>
        <w:t xml:space="preserve"> </w:t>
      </w:r>
      <w:r w:rsidR="00BC6706">
        <w:t>state</w:t>
      </w:r>
      <w:r w:rsidR="009B46F1">
        <w:t xml:space="preserve"> that women are entitled to paid time off to attend antenatal appointments and/or recommended treatments.  Peachy Desserts Ltd need to carry out a risk assessment for Coco to ensure that her role doesn’t pose a risk to her or her unborn baby.  If it does, she should be moved to a more appropriate role or suspended on full pay.  </w:t>
      </w:r>
      <w:r w:rsidR="00EA43D0">
        <w:t>Daniels (2019) sets out the 3 different types of maternity leave:</w:t>
      </w:r>
    </w:p>
    <w:p w:rsidR="005D0DF1" w:rsidRDefault="00EA43D0" w:rsidP="004D307C">
      <w:pPr>
        <w:pStyle w:val="ListParagraph"/>
        <w:numPr>
          <w:ilvl w:val="0"/>
          <w:numId w:val="15"/>
        </w:numPr>
        <w:jc w:val="both"/>
      </w:pPr>
      <w:r>
        <w:t>Ordinary Maternity Leave (OML) – Applies to all employees and runs for 26 weeks.</w:t>
      </w:r>
    </w:p>
    <w:p w:rsidR="00EA43D0" w:rsidRDefault="00EA43D0" w:rsidP="004D307C">
      <w:pPr>
        <w:pStyle w:val="ListParagraph"/>
        <w:numPr>
          <w:ilvl w:val="0"/>
          <w:numId w:val="15"/>
        </w:numPr>
        <w:jc w:val="both"/>
      </w:pPr>
      <w:r>
        <w:t>Compulsory Maternity Leave (CML) – Is the 2 weeks after the baby is born</w:t>
      </w:r>
      <w:r w:rsidR="00C50712">
        <w:t xml:space="preserve"> (4 weeks if a factory worker)</w:t>
      </w:r>
      <w:r>
        <w:t>.  This is compulsory and the onus is on the employer</w:t>
      </w:r>
      <w:r w:rsidR="009C46B3">
        <w:t xml:space="preserve"> to ensure it’s adhered to.  It</w:t>
      </w:r>
      <w:r>
        <w:t xml:space="preserve"> normally doesn’t </w:t>
      </w:r>
      <w:r w:rsidR="00147F04">
        <w:t>apply,</w:t>
      </w:r>
      <w:r>
        <w:t xml:space="preserve"> as OML would overlap it.</w:t>
      </w:r>
    </w:p>
    <w:p w:rsidR="00C50712" w:rsidRDefault="00EA43D0" w:rsidP="004D307C">
      <w:pPr>
        <w:pStyle w:val="ListParagraph"/>
        <w:numPr>
          <w:ilvl w:val="0"/>
          <w:numId w:val="15"/>
        </w:numPr>
        <w:jc w:val="both"/>
      </w:pPr>
      <w:r>
        <w:t>Additional Maternity Leave (AML)</w:t>
      </w:r>
      <w:r w:rsidR="00C50712">
        <w:t xml:space="preserve"> – Applied to employees who have a contract or service and runs for a further 26 weeks immediately after OML.</w:t>
      </w:r>
    </w:p>
    <w:p w:rsidR="00C50712" w:rsidRDefault="00C50712" w:rsidP="00C50712">
      <w:pPr>
        <w:ind w:left="720"/>
        <w:jc w:val="both"/>
      </w:pPr>
      <w:r>
        <w:t xml:space="preserve">Employees do not have to take the full leave of 52 weeks and can return any time after the CML.  During maternity </w:t>
      </w:r>
      <w:r w:rsidR="009C46B3">
        <w:t>leave,</w:t>
      </w:r>
      <w:r>
        <w:t xml:space="preserve"> the employee is entitled to all the benefits of their contract and will continue to accrue annual leave.  The earliest leave can start is 11 weeks before the expected week of birth but will start automatically the day after the baby is born or if the employee is off work due to a pregnancy related illness 4 weeks prior to the due date (Gov.uk, 2013).</w:t>
      </w:r>
    </w:p>
    <w:p w:rsidR="00C50712" w:rsidRDefault="00C50712" w:rsidP="00C50712">
      <w:pPr>
        <w:ind w:left="720"/>
        <w:jc w:val="both"/>
      </w:pPr>
      <w:r>
        <w:t xml:space="preserve">Statutory maternity pay (SMP) is 90% of the average weekly earnings (before tax) for 6 weeks followed by £184.03 or 90% of </w:t>
      </w:r>
      <w:r w:rsidR="00A51110">
        <w:t>your average weekly earnings (before tax), if lower, for the remaining 33 weeks.  To qualify for SMP the employee must have worked for the employer continuously for a minimum of 26 weeks and continuing into the qualifying period, which is 15 weeks prior to the week of the due date (Gov.uk, 2013</w:t>
      </w:r>
      <w:r w:rsidR="00156A0A">
        <w:t>)</w:t>
      </w:r>
      <w:r w:rsidR="00A51110">
        <w:t xml:space="preserve">.  </w:t>
      </w:r>
    </w:p>
    <w:p w:rsidR="00BD3DD5" w:rsidRDefault="00BD3DD5" w:rsidP="00C50712">
      <w:pPr>
        <w:ind w:left="720"/>
        <w:jc w:val="both"/>
      </w:pPr>
      <w:r>
        <w:t>Ordinary Paternity Leave (OPL) is for 2 weeks (does not need to be consecutive) during the first year after birth.  Statutory Adoption Leave is 52 weeks (26 weeks of Ordinary Adoption Leave and 26 weeks Additional Adoption Leave).</w:t>
      </w:r>
    </w:p>
    <w:p w:rsidR="005D0DF1" w:rsidRDefault="000767AB" w:rsidP="000767AB">
      <w:pPr>
        <w:ind w:left="720"/>
        <w:jc w:val="both"/>
      </w:pPr>
      <w:r>
        <w:t>S</w:t>
      </w:r>
      <w:r w:rsidR="00A51110">
        <w:t>hared Parental Leave (SPL) and Shared Parental Pay (ShPP) is accessible to all employees who are having a baby including through adoption, fostering or surrogate.  The SPL can be split in any</w:t>
      </w:r>
      <w:r>
        <w:t xml:space="preserve"> way up to 50 week.  The ShPP is for up to 37 weeks and paid at the same rate as SMP</w:t>
      </w:r>
      <w:r w:rsidR="00156A0A">
        <w:t xml:space="preserve"> Gov.uk (2014)</w:t>
      </w:r>
      <w:r>
        <w:t xml:space="preserve">. </w:t>
      </w:r>
    </w:p>
    <w:p w:rsidR="000767AB" w:rsidRPr="000767AB" w:rsidRDefault="000767AB" w:rsidP="000767AB">
      <w:pPr>
        <w:ind w:left="720"/>
        <w:jc w:val="both"/>
      </w:pPr>
      <w:r>
        <w:t>Charlotte and Madeline should be advised that Coco’s entitled to a maximum of 52 weeks maternity leave made up of OML and AML but that the decision of how much is taken is up to Coco.  Coco is also entitled to SMP during the period of her leave.  However, Charlotte and Madeline may be reassured to hear that SMP and SPP can be mostly claimed back by employers through reduced National Insurance Contributions (Taylor and Woodhams, 2022).</w:t>
      </w:r>
    </w:p>
    <w:p w:rsidR="000556C0" w:rsidRDefault="000556C0" w:rsidP="004D307C">
      <w:pPr>
        <w:pStyle w:val="Nornal"/>
        <w:numPr>
          <w:ilvl w:val="0"/>
          <w:numId w:val="2"/>
        </w:numPr>
        <w:jc w:val="both"/>
        <w:rPr>
          <w:rFonts w:asciiTheme="minorHAnsi" w:hAnsiTheme="minorHAnsi" w:cstheme="minorHAnsi"/>
          <w:b/>
        </w:rPr>
      </w:pPr>
      <w:r w:rsidRPr="004B4E11">
        <w:rPr>
          <w:rFonts w:asciiTheme="minorHAnsi" w:hAnsiTheme="minorHAnsi" w:cstheme="minorHAnsi"/>
          <w:b/>
        </w:rPr>
        <w:t>Chelsea, a restaurant manager, has made a flexible working request and wants to change from working full-time to working three days a week. Charlotte informs you she will let Chelsea know that Peachy Desserts Ltd ‘don’t do’ flexible working and if she does not like it, she should leave and find a part-time job somewhere else. Advise Charlotte and Madeleine of the risks of their approach and what they should do instead. (AC 4.4)</w:t>
      </w:r>
      <w:r w:rsidR="00090BD9">
        <w:rPr>
          <w:rFonts w:asciiTheme="minorHAnsi" w:hAnsiTheme="minorHAnsi" w:cstheme="minorHAnsi"/>
          <w:b/>
        </w:rPr>
        <w:t xml:space="preserve"> </w:t>
      </w:r>
    </w:p>
    <w:p w:rsidR="00AB1369" w:rsidRPr="00E52261" w:rsidRDefault="00A0593E" w:rsidP="00E52261">
      <w:pPr>
        <w:pStyle w:val="Nornal"/>
        <w:ind w:left="720"/>
        <w:jc w:val="both"/>
        <w:rPr>
          <w:rFonts w:asciiTheme="minorHAnsi" w:hAnsiTheme="minorHAnsi" w:cstheme="minorHAnsi"/>
        </w:rPr>
      </w:pPr>
      <w:r>
        <w:rPr>
          <w:rFonts w:asciiTheme="minorHAnsi" w:hAnsiTheme="minorHAnsi" w:cstheme="minorHAnsi"/>
        </w:rPr>
        <w:t xml:space="preserve">Daniels (2019) states that the </w:t>
      </w:r>
      <w:r w:rsidRPr="005F7B91">
        <w:rPr>
          <w:rFonts w:asciiTheme="minorHAnsi" w:hAnsiTheme="minorHAnsi" w:cstheme="minorHAnsi"/>
          <w:i/>
        </w:rPr>
        <w:t>Flexible Working Regulations 2014</w:t>
      </w:r>
      <w:r w:rsidR="0055706E">
        <w:rPr>
          <w:rFonts w:asciiTheme="minorHAnsi" w:hAnsiTheme="minorHAnsi" w:cstheme="minorHAnsi"/>
        </w:rPr>
        <w:t xml:space="preserve"> (FWR)</w:t>
      </w:r>
      <w:r>
        <w:rPr>
          <w:rFonts w:asciiTheme="minorHAnsi" w:hAnsiTheme="minorHAnsi" w:cstheme="minorHAnsi"/>
        </w:rPr>
        <w:t xml:space="preserve"> were introduced to meet the demand of employees struggling to fit in their caring responsibilities.  </w:t>
      </w:r>
      <w:r w:rsidR="00FE6AF8">
        <w:rPr>
          <w:rFonts w:asciiTheme="minorHAnsi" w:hAnsiTheme="minorHAnsi" w:cstheme="minorHAnsi"/>
        </w:rPr>
        <w:t xml:space="preserve">Charlotte and </w:t>
      </w:r>
      <w:r w:rsidR="00FE6AF8">
        <w:rPr>
          <w:rFonts w:asciiTheme="minorHAnsi" w:hAnsiTheme="minorHAnsi" w:cstheme="minorHAnsi"/>
        </w:rPr>
        <w:lastRenderedPageBreak/>
        <w:t>Madeleine should ensure that Chelsea puts the request in writing</w:t>
      </w:r>
      <w:r w:rsidR="00E52261">
        <w:rPr>
          <w:rFonts w:asciiTheme="minorHAnsi" w:hAnsiTheme="minorHAnsi" w:cstheme="minorHAnsi"/>
        </w:rPr>
        <w:t>,</w:t>
      </w:r>
      <w:r w:rsidR="00FE6AF8">
        <w:rPr>
          <w:rFonts w:asciiTheme="minorHAnsi" w:hAnsiTheme="minorHAnsi" w:cstheme="minorHAnsi"/>
        </w:rPr>
        <w:t xml:space="preserve"> </w:t>
      </w:r>
      <w:r w:rsidR="00E52261">
        <w:rPr>
          <w:rFonts w:asciiTheme="minorHAnsi" w:hAnsiTheme="minorHAnsi" w:cstheme="minorHAnsi"/>
        </w:rPr>
        <w:t>stating that it is a statutory request, and include</w:t>
      </w:r>
      <w:r w:rsidR="00FE6AF8" w:rsidRPr="00E52261">
        <w:rPr>
          <w:rFonts w:asciiTheme="minorHAnsi" w:hAnsiTheme="minorHAnsi" w:cstheme="minorHAnsi"/>
        </w:rPr>
        <w:t xml:space="preserve"> the date, any previous request made and when and</w:t>
      </w:r>
      <w:r w:rsidR="00E52261">
        <w:rPr>
          <w:rFonts w:asciiTheme="minorHAnsi" w:hAnsiTheme="minorHAnsi" w:cstheme="minorHAnsi"/>
        </w:rPr>
        <w:t xml:space="preserve"> what change she</w:t>
      </w:r>
      <w:r w:rsidR="00FE6AF8" w:rsidRPr="00E52261">
        <w:rPr>
          <w:rFonts w:asciiTheme="minorHAnsi" w:hAnsiTheme="minorHAnsi" w:cstheme="minorHAnsi"/>
        </w:rPr>
        <w:t xml:space="preserve"> want</w:t>
      </w:r>
      <w:r w:rsidR="00E52261">
        <w:rPr>
          <w:rFonts w:asciiTheme="minorHAnsi" w:hAnsiTheme="minorHAnsi" w:cstheme="minorHAnsi"/>
        </w:rPr>
        <w:t>s</w:t>
      </w:r>
      <w:r w:rsidR="00FE6AF8" w:rsidRPr="00E52261">
        <w:rPr>
          <w:rFonts w:asciiTheme="minorHAnsi" w:hAnsiTheme="minorHAnsi" w:cstheme="minorHAnsi"/>
        </w:rPr>
        <w:t xml:space="preserve"> and when (ACAS, </w:t>
      </w:r>
      <w:r w:rsidR="005A260A" w:rsidRPr="00E52261">
        <w:rPr>
          <w:rFonts w:asciiTheme="minorHAnsi" w:hAnsiTheme="minorHAnsi" w:cstheme="minorHAnsi"/>
        </w:rPr>
        <w:t>2024b</w:t>
      </w:r>
      <w:r w:rsidR="00FE6AF8" w:rsidRPr="00E52261">
        <w:rPr>
          <w:rFonts w:asciiTheme="minorHAnsi" w:hAnsiTheme="minorHAnsi" w:cstheme="minorHAnsi"/>
        </w:rPr>
        <w:t>)</w:t>
      </w:r>
      <w:r w:rsidR="00E52261" w:rsidRPr="00E52261">
        <w:rPr>
          <w:rFonts w:asciiTheme="minorHAnsi" w:hAnsiTheme="minorHAnsi" w:cstheme="minorHAnsi"/>
        </w:rPr>
        <w:t xml:space="preserve">.  </w:t>
      </w:r>
      <w:r w:rsidR="00E52261" w:rsidRPr="00E52261">
        <w:rPr>
          <w:rFonts w:asciiTheme="minorHAnsi" w:hAnsiTheme="minorHAnsi" w:cstheme="minorHAnsi"/>
          <w:color w:val="000000"/>
        </w:rPr>
        <w:t>CIPD (2024b) advises that every employee is entitled to make 2 flexible working requests within a period of 12 months from day one of commencement of their employment</w:t>
      </w:r>
      <w:r w:rsidR="00E52261">
        <w:rPr>
          <w:rFonts w:asciiTheme="minorHAnsi" w:hAnsiTheme="minorHAnsi" w:cstheme="minorHAnsi"/>
          <w:color w:val="000000"/>
        </w:rPr>
        <w:t>.</w:t>
      </w:r>
    </w:p>
    <w:p w:rsidR="00CA5C82" w:rsidRDefault="006D490D" w:rsidP="00CA5C82">
      <w:pPr>
        <w:pStyle w:val="Nornal"/>
        <w:ind w:left="720"/>
        <w:jc w:val="both"/>
        <w:rPr>
          <w:rFonts w:asciiTheme="minorHAnsi" w:hAnsiTheme="minorHAnsi" w:cstheme="minorHAnsi"/>
        </w:rPr>
      </w:pPr>
      <w:r>
        <w:rPr>
          <w:rFonts w:asciiTheme="minorHAnsi" w:hAnsiTheme="minorHAnsi" w:cstheme="minorHAnsi"/>
        </w:rPr>
        <w:t>On receipt of the request</w:t>
      </w:r>
      <w:r w:rsidR="00AC1184">
        <w:rPr>
          <w:rFonts w:asciiTheme="minorHAnsi" w:hAnsiTheme="minorHAnsi" w:cstheme="minorHAnsi"/>
        </w:rPr>
        <w:t>,</w:t>
      </w:r>
      <w:r>
        <w:rPr>
          <w:rFonts w:asciiTheme="minorHAnsi" w:hAnsiTheme="minorHAnsi" w:cstheme="minorHAnsi"/>
        </w:rPr>
        <w:t xml:space="preserve"> </w:t>
      </w:r>
      <w:r w:rsidR="00E52261">
        <w:rPr>
          <w:rFonts w:asciiTheme="minorHAnsi" w:hAnsiTheme="minorHAnsi" w:cstheme="minorHAnsi"/>
        </w:rPr>
        <w:t>Charlotte and Madeleine should</w:t>
      </w:r>
      <w:r>
        <w:rPr>
          <w:rFonts w:asciiTheme="minorHAnsi" w:hAnsiTheme="minorHAnsi" w:cstheme="minorHAnsi"/>
        </w:rPr>
        <w:t xml:space="preserve"> arrange a meeting</w:t>
      </w:r>
      <w:r w:rsidR="00E52261">
        <w:rPr>
          <w:rFonts w:asciiTheme="minorHAnsi" w:hAnsiTheme="minorHAnsi" w:cstheme="minorHAnsi"/>
        </w:rPr>
        <w:t xml:space="preserve"> with Chelsea</w:t>
      </w:r>
      <w:r>
        <w:rPr>
          <w:rFonts w:asciiTheme="minorHAnsi" w:hAnsiTheme="minorHAnsi" w:cstheme="minorHAnsi"/>
        </w:rPr>
        <w:t xml:space="preserve"> to discuss </w:t>
      </w:r>
      <w:r w:rsidR="00E52261">
        <w:rPr>
          <w:rFonts w:asciiTheme="minorHAnsi" w:hAnsiTheme="minorHAnsi" w:cstheme="minorHAnsi"/>
        </w:rPr>
        <w:t xml:space="preserve">the request.   </w:t>
      </w:r>
      <w:r w:rsidR="00AC1184">
        <w:rPr>
          <w:rFonts w:asciiTheme="minorHAnsi" w:hAnsiTheme="minorHAnsi" w:cstheme="minorHAnsi"/>
        </w:rPr>
        <w:t xml:space="preserve">According to CIPD (2024a) the employee should treat the meeting as a chance to consider alternatives and suggest different options if they feel the request cannot be accommodated.  </w:t>
      </w:r>
      <w:r>
        <w:rPr>
          <w:rFonts w:asciiTheme="minorHAnsi" w:hAnsiTheme="minorHAnsi" w:cstheme="minorHAnsi"/>
        </w:rPr>
        <w:t xml:space="preserve">A decision in relation to the request must be made within 2 months.  </w:t>
      </w:r>
      <w:r w:rsidR="00E52261">
        <w:rPr>
          <w:rFonts w:asciiTheme="minorHAnsi" w:hAnsiTheme="minorHAnsi" w:cstheme="minorHAnsi"/>
        </w:rPr>
        <w:t>Charlotte and Madeleine can:</w:t>
      </w:r>
    </w:p>
    <w:p w:rsidR="00AC1184" w:rsidRDefault="00BA26E6" w:rsidP="00AC1184">
      <w:pPr>
        <w:pStyle w:val="Nornal"/>
        <w:numPr>
          <w:ilvl w:val="0"/>
          <w:numId w:val="18"/>
        </w:numPr>
        <w:jc w:val="both"/>
        <w:rPr>
          <w:rFonts w:asciiTheme="minorHAnsi" w:hAnsiTheme="minorHAnsi" w:cstheme="minorHAnsi"/>
        </w:rPr>
      </w:pPr>
      <w:r>
        <w:rPr>
          <w:rFonts w:asciiTheme="minorHAnsi" w:hAnsiTheme="minorHAnsi" w:cstheme="minorHAnsi"/>
        </w:rPr>
        <w:t xml:space="preserve">Accept the request </w:t>
      </w:r>
      <w:r w:rsidR="00AC1184">
        <w:rPr>
          <w:rFonts w:asciiTheme="minorHAnsi" w:hAnsiTheme="minorHAnsi" w:cstheme="minorHAnsi"/>
        </w:rPr>
        <w:t xml:space="preserve">(or different agreed terms if negotiated) – These would need to be in writing including a start date.  This would be considered a permanent change to contract (Daniels, 2019).  </w:t>
      </w:r>
    </w:p>
    <w:p w:rsidR="00AC1184" w:rsidRDefault="00E52261" w:rsidP="00AC1184">
      <w:pPr>
        <w:pStyle w:val="Nornal"/>
        <w:numPr>
          <w:ilvl w:val="0"/>
          <w:numId w:val="18"/>
        </w:numPr>
        <w:jc w:val="both"/>
        <w:rPr>
          <w:rFonts w:asciiTheme="minorHAnsi" w:hAnsiTheme="minorHAnsi" w:cstheme="minorHAnsi"/>
        </w:rPr>
      </w:pPr>
      <w:r>
        <w:rPr>
          <w:rFonts w:asciiTheme="minorHAnsi" w:hAnsiTheme="minorHAnsi" w:cstheme="minorHAnsi"/>
        </w:rPr>
        <w:t xml:space="preserve">Agree to a trial period if they are unsure of the effects on the business.  </w:t>
      </w:r>
      <w:r w:rsidR="00B3183F">
        <w:rPr>
          <w:rFonts w:asciiTheme="minorHAnsi" w:hAnsiTheme="minorHAnsi" w:cstheme="minorHAnsi"/>
        </w:rPr>
        <w:t>This should be for a set time with a written decision</w:t>
      </w:r>
      <w:r w:rsidR="00BA26E6">
        <w:rPr>
          <w:rFonts w:asciiTheme="minorHAnsi" w:hAnsiTheme="minorHAnsi" w:cstheme="minorHAnsi"/>
        </w:rPr>
        <w:t xml:space="preserve"> at the end (CIPD, 2024a).</w:t>
      </w:r>
    </w:p>
    <w:p w:rsidR="00BA26E6" w:rsidRDefault="00B3183F" w:rsidP="00AC1184">
      <w:pPr>
        <w:pStyle w:val="Nornal"/>
        <w:numPr>
          <w:ilvl w:val="0"/>
          <w:numId w:val="18"/>
        </w:numPr>
        <w:jc w:val="both"/>
        <w:rPr>
          <w:rFonts w:asciiTheme="minorHAnsi" w:hAnsiTheme="minorHAnsi" w:cstheme="minorHAnsi"/>
        </w:rPr>
      </w:pPr>
      <w:r>
        <w:rPr>
          <w:rFonts w:asciiTheme="minorHAnsi" w:hAnsiTheme="minorHAnsi" w:cstheme="minorHAnsi"/>
        </w:rPr>
        <w:t xml:space="preserve">Refuse the request </w:t>
      </w:r>
      <w:r w:rsidR="00E52261">
        <w:rPr>
          <w:rFonts w:asciiTheme="minorHAnsi" w:hAnsiTheme="minorHAnsi" w:cstheme="minorHAnsi"/>
        </w:rPr>
        <w:t>on at least one of the following grounds</w:t>
      </w:r>
      <w:r w:rsidR="00BA26E6">
        <w:rPr>
          <w:rFonts w:asciiTheme="minorHAnsi" w:hAnsiTheme="minorHAnsi" w:cstheme="minorHAnsi"/>
        </w:rPr>
        <w:t>:</w:t>
      </w:r>
    </w:p>
    <w:p w:rsidR="00BA26E6" w:rsidRDefault="00BA26E6" w:rsidP="00BA26E6">
      <w:pPr>
        <w:pStyle w:val="Nornal"/>
        <w:numPr>
          <w:ilvl w:val="0"/>
          <w:numId w:val="19"/>
        </w:numPr>
        <w:jc w:val="both"/>
        <w:rPr>
          <w:rFonts w:asciiTheme="minorHAnsi" w:hAnsiTheme="minorHAnsi" w:cstheme="minorHAnsi"/>
        </w:rPr>
      </w:pPr>
      <w:r>
        <w:rPr>
          <w:rFonts w:asciiTheme="minorHAnsi" w:hAnsiTheme="minorHAnsi" w:cstheme="minorHAnsi"/>
        </w:rPr>
        <w:t xml:space="preserve">Work could not be reorganised </w:t>
      </w:r>
    </w:p>
    <w:p w:rsidR="00BA26E6" w:rsidRDefault="00BA26E6" w:rsidP="00BA26E6">
      <w:pPr>
        <w:pStyle w:val="Nornal"/>
        <w:numPr>
          <w:ilvl w:val="0"/>
          <w:numId w:val="19"/>
        </w:numPr>
        <w:jc w:val="both"/>
        <w:rPr>
          <w:rFonts w:asciiTheme="minorHAnsi" w:hAnsiTheme="minorHAnsi" w:cstheme="minorHAnsi"/>
        </w:rPr>
      </w:pPr>
      <w:r>
        <w:rPr>
          <w:rFonts w:asciiTheme="minorHAnsi" w:hAnsiTheme="minorHAnsi" w:cstheme="minorHAnsi"/>
        </w:rPr>
        <w:t>Meeting customer demand would be negatively effected</w:t>
      </w:r>
    </w:p>
    <w:p w:rsidR="00BA26E6" w:rsidRDefault="00BA26E6" w:rsidP="00BA26E6">
      <w:pPr>
        <w:pStyle w:val="Nornal"/>
        <w:numPr>
          <w:ilvl w:val="0"/>
          <w:numId w:val="19"/>
        </w:numPr>
        <w:jc w:val="both"/>
        <w:rPr>
          <w:rFonts w:asciiTheme="minorHAnsi" w:hAnsiTheme="minorHAnsi" w:cstheme="minorHAnsi"/>
        </w:rPr>
      </w:pPr>
      <w:r>
        <w:rPr>
          <w:rFonts w:asciiTheme="minorHAnsi" w:hAnsiTheme="minorHAnsi" w:cstheme="minorHAnsi"/>
        </w:rPr>
        <w:t>No work can be provided for the proposed working times</w:t>
      </w:r>
    </w:p>
    <w:p w:rsidR="00BA26E6" w:rsidRDefault="00BA26E6" w:rsidP="00BA26E6">
      <w:pPr>
        <w:pStyle w:val="Nornal"/>
        <w:numPr>
          <w:ilvl w:val="0"/>
          <w:numId w:val="19"/>
        </w:numPr>
        <w:jc w:val="both"/>
        <w:rPr>
          <w:rFonts w:asciiTheme="minorHAnsi" w:hAnsiTheme="minorHAnsi" w:cstheme="minorHAnsi"/>
        </w:rPr>
      </w:pPr>
      <w:r>
        <w:rPr>
          <w:rFonts w:asciiTheme="minorHAnsi" w:hAnsiTheme="minorHAnsi" w:cstheme="minorHAnsi"/>
        </w:rPr>
        <w:t>Workforce restructure planned</w:t>
      </w:r>
    </w:p>
    <w:p w:rsidR="00BA26E6" w:rsidRDefault="00BA26E6" w:rsidP="00BA26E6">
      <w:pPr>
        <w:pStyle w:val="Nornal"/>
        <w:numPr>
          <w:ilvl w:val="0"/>
          <w:numId w:val="19"/>
        </w:numPr>
        <w:jc w:val="both"/>
        <w:rPr>
          <w:rFonts w:asciiTheme="minorHAnsi" w:hAnsiTheme="minorHAnsi" w:cstheme="minorHAnsi"/>
        </w:rPr>
      </w:pPr>
      <w:r>
        <w:rPr>
          <w:rFonts w:asciiTheme="minorHAnsi" w:hAnsiTheme="minorHAnsi" w:cstheme="minorHAnsi"/>
        </w:rPr>
        <w:t xml:space="preserve">The additional cost would be detrimental </w:t>
      </w:r>
    </w:p>
    <w:p w:rsidR="00BA26E6" w:rsidRDefault="00BA26E6" w:rsidP="00BA26E6">
      <w:pPr>
        <w:pStyle w:val="Nornal"/>
        <w:numPr>
          <w:ilvl w:val="0"/>
          <w:numId w:val="19"/>
        </w:numPr>
        <w:jc w:val="both"/>
        <w:rPr>
          <w:rFonts w:asciiTheme="minorHAnsi" w:hAnsiTheme="minorHAnsi" w:cstheme="minorHAnsi"/>
        </w:rPr>
      </w:pPr>
      <w:r>
        <w:rPr>
          <w:rFonts w:asciiTheme="minorHAnsi" w:hAnsiTheme="minorHAnsi" w:cstheme="minorHAnsi"/>
        </w:rPr>
        <w:t xml:space="preserve">There can be no further recruitment </w:t>
      </w:r>
    </w:p>
    <w:p w:rsidR="00BA26E6" w:rsidRDefault="00BA26E6" w:rsidP="00BA26E6">
      <w:pPr>
        <w:pStyle w:val="Nornal"/>
        <w:numPr>
          <w:ilvl w:val="0"/>
          <w:numId w:val="19"/>
        </w:numPr>
        <w:jc w:val="both"/>
        <w:rPr>
          <w:rFonts w:asciiTheme="minorHAnsi" w:hAnsiTheme="minorHAnsi" w:cstheme="minorHAnsi"/>
        </w:rPr>
      </w:pPr>
      <w:r>
        <w:rPr>
          <w:rFonts w:asciiTheme="minorHAnsi" w:hAnsiTheme="minorHAnsi" w:cstheme="minorHAnsi"/>
        </w:rPr>
        <w:t>Quality of service would be negatively effected</w:t>
      </w:r>
    </w:p>
    <w:p w:rsidR="00BA26E6" w:rsidRDefault="00BA26E6" w:rsidP="00BA26E6">
      <w:pPr>
        <w:pStyle w:val="Nornal"/>
        <w:numPr>
          <w:ilvl w:val="0"/>
          <w:numId w:val="19"/>
        </w:numPr>
        <w:jc w:val="both"/>
        <w:rPr>
          <w:rFonts w:asciiTheme="minorHAnsi" w:hAnsiTheme="minorHAnsi" w:cstheme="minorHAnsi"/>
        </w:rPr>
      </w:pPr>
      <w:r>
        <w:rPr>
          <w:rFonts w:asciiTheme="minorHAnsi" w:hAnsiTheme="minorHAnsi" w:cstheme="minorHAnsi"/>
        </w:rPr>
        <w:t xml:space="preserve">Performance would be negatively effected </w:t>
      </w:r>
    </w:p>
    <w:p w:rsidR="0055706E" w:rsidRDefault="0055706E" w:rsidP="0055706E">
      <w:pPr>
        <w:pStyle w:val="Nornal"/>
        <w:ind w:left="1800"/>
        <w:jc w:val="both"/>
        <w:rPr>
          <w:rFonts w:asciiTheme="minorHAnsi" w:hAnsiTheme="minorHAnsi" w:cstheme="minorHAnsi"/>
        </w:rPr>
      </w:pPr>
      <w:r>
        <w:rPr>
          <w:rFonts w:asciiTheme="minorHAnsi" w:hAnsiTheme="minorHAnsi" w:cstheme="minorHAnsi"/>
        </w:rPr>
        <w:t>(Gov.uk, 2023)</w:t>
      </w:r>
    </w:p>
    <w:p w:rsidR="00E504F4" w:rsidRDefault="0055706E" w:rsidP="00E504F4">
      <w:pPr>
        <w:pStyle w:val="Nornal"/>
        <w:ind w:left="720"/>
        <w:jc w:val="both"/>
        <w:rPr>
          <w:rFonts w:asciiTheme="minorHAnsi" w:hAnsiTheme="minorHAnsi" w:cstheme="minorHAnsi"/>
        </w:rPr>
      </w:pPr>
      <w:r>
        <w:rPr>
          <w:rFonts w:asciiTheme="minorHAnsi" w:hAnsiTheme="minorHAnsi" w:cstheme="minorHAnsi"/>
        </w:rPr>
        <w:t xml:space="preserve">Charlotte and Madeline need to ensure that the follow the process outlined above as otherwise they would be in breach of the FWR and face the ET awarding Chelsea with compensation of a maximum of 8 </w:t>
      </w:r>
      <w:r w:rsidR="00147F04">
        <w:rPr>
          <w:rFonts w:asciiTheme="minorHAnsi" w:hAnsiTheme="minorHAnsi" w:cstheme="minorHAnsi"/>
        </w:rPr>
        <w:t>weeks’</w:t>
      </w:r>
      <w:r>
        <w:rPr>
          <w:rFonts w:asciiTheme="minorHAnsi" w:hAnsiTheme="minorHAnsi" w:cstheme="minorHAnsi"/>
        </w:rPr>
        <w:t xml:space="preserve"> pay</w:t>
      </w:r>
      <w:r w:rsidR="00136A43">
        <w:rPr>
          <w:rFonts w:asciiTheme="minorHAnsi" w:hAnsiTheme="minorHAnsi" w:cstheme="minorHAnsi"/>
        </w:rPr>
        <w:t xml:space="preserve"> (capped at £700.00 per week).</w:t>
      </w:r>
      <w:r>
        <w:rPr>
          <w:rFonts w:asciiTheme="minorHAnsi" w:hAnsiTheme="minorHAnsi" w:cstheme="minorHAnsi"/>
        </w:rPr>
        <w:t xml:space="preserve"> </w:t>
      </w:r>
      <w:r w:rsidR="00136A43">
        <w:rPr>
          <w:rFonts w:asciiTheme="minorHAnsi" w:hAnsiTheme="minorHAnsi" w:cstheme="minorHAnsi"/>
        </w:rPr>
        <w:t xml:space="preserve">They should also consider the advantages of </w:t>
      </w:r>
      <w:r w:rsidR="00ED0CE4">
        <w:rPr>
          <w:rFonts w:asciiTheme="minorHAnsi" w:hAnsiTheme="minorHAnsi" w:cstheme="minorHAnsi"/>
        </w:rPr>
        <w:t xml:space="preserve">allowing flexible working such as increased employee satisfaction, commitment and retention and reduce absence, employee stress levels and mental health issues </w:t>
      </w:r>
      <w:r w:rsidR="00ED0CE4" w:rsidRPr="00ED0CE4">
        <w:rPr>
          <w:rFonts w:asciiTheme="minorHAnsi" w:hAnsiTheme="minorHAnsi" w:cstheme="minorHAnsi"/>
        </w:rPr>
        <w:t>(</w:t>
      </w:r>
      <w:r w:rsidR="00ED0CE4" w:rsidRPr="00ED0CE4">
        <w:rPr>
          <w:rStyle w:val="Strong"/>
          <w:rFonts w:asciiTheme="minorHAnsi" w:hAnsiTheme="minorHAnsi" w:cstheme="minorHAnsi"/>
          <w:b w:val="0"/>
          <w:color w:val="202020"/>
          <w:shd w:val="clear" w:color="auto" w:fill="FFFFFF"/>
        </w:rPr>
        <w:t>McCartney, 2023</w:t>
      </w:r>
      <w:r w:rsidR="00ED0CE4" w:rsidRPr="00ED0CE4">
        <w:rPr>
          <w:rFonts w:asciiTheme="minorHAnsi" w:hAnsiTheme="minorHAnsi" w:cstheme="minorHAnsi"/>
        </w:rPr>
        <w:t>)</w:t>
      </w:r>
      <w:r w:rsidR="00ED0CE4">
        <w:rPr>
          <w:rFonts w:asciiTheme="minorHAnsi" w:hAnsiTheme="minorHAnsi" w:cstheme="minorHAnsi"/>
        </w:rPr>
        <w:t>.</w:t>
      </w:r>
      <w:r w:rsidR="00E504F4">
        <w:rPr>
          <w:rFonts w:asciiTheme="minorHAnsi" w:hAnsiTheme="minorHAnsi" w:cstheme="minorHAnsi"/>
        </w:rPr>
        <w:t xml:space="preserve">  There are a number of flexible working options available to employees such as flexitime, job-shares and commissioned outcomes, which Charlotte, Madeline and Chelsea could consider (CIPD, 2023b).   </w:t>
      </w:r>
    </w:p>
    <w:p w:rsidR="000556C0" w:rsidRDefault="0055706E" w:rsidP="0055706E">
      <w:pPr>
        <w:pStyle w:val="Nornal"/>
        <w:jc w:val="both"/>
        <w:rPr>
          <w:rFonts w:asciiTheme="minorHAnsi" w:hAnsiTheme="minorHAnsi" w:cstheme="minorHAnsi"/>
        </w:rPr>
      </w:pPr>
      <w:r w:rsidRPr="00214D41">
        <w:rPr>
          <w:rFonts w:asciiTheme="minorHAnsi" w:hAnsiTheme="minorHAnsi" w:cstheme="minorHAnsi"/>
        </w:rPr>
        <w:tab/>
      </w:r>
    </w:p>
    <w:p w:rsidR="00E4256C" w:rsidRDefault="00E4256C" w:rsidP="0055706E">
      <w:pPr>
        <w:pStyle w:val="Nornal"/>
        <w:jc w:val="both"/>
        <w:rPr>
          <w:rFonts w:asciiTheme="minorHAnsi" w:hAnsiTheme="minorHAnsi" w:cstheme="minorHAnsi"/>
        </w:rPr>
      </w:pPr>
    </w:p>
    <w:p w:rsidR="00E4256C" w:rsidRDefault="00E4256C" w:rsidP="0055706E">
      <w:pPr>
        <w:pStyle w:val="Nornal"/>
        <w:jc w:val="both"/>
        <w:rPr>
          <w:rFonts w:asciiTheme="minorHAnsi" w:hAnsiTheme="minorHAnsi" w:cstheme="minorHAnsi"/>
        </w:rPr>
      </w:pPr>
    </w:p>
    <w:p w:rsidR="00E4256C" w:rsidRPr="00214D41" w:rsidRDefault="00E4256C" w:rsidP="0055706E">
      <w:pPr>
        <w:pStyle w:val="Nornal"/>
        <w:jc w:val="both"/>
        <w:rPr>
          <w:rFonts w:asciiTheme="minorHAnsi" w:hAnsiTheme="minorHAnsi" w:cstheme="minorHAnsi"/>
        </w:rPr>
      </w:pPr>
    </w:p>
    <w:p w:rsidR="00214D41" w:rsidRDefault="00504930" w:rsidP="00214D41">
      <w:pPr>
        <w:pStyle w:val="Nornal"/>
        <w:jc w:val="both"/>
        <w:rPr>
          <w:rFonts w:asciiTheme="minorHAnsi" w:hAnsiTheme="minorHAnsi" w:cstheme="minorHAnsi"/>
          <w:b/>
          <w:u w:val="single"/>
        </w:rPr>
      </w:pPr>
      <w:r w:rsidRPr="00214D41">
        <w:rPr>
          <w:rFonts w:asciiTheme="minorHAnsi" w:hAnsiTheme="minorHAnsi" w:cstheme="minorHAnsi"/>
          <w:b/>
          <w:u w:val="single"/>
        </w:rPr>
        <w:lastRenderedPageBreak/>
        <w:t>References</w:t>
      </w:r>
    </w:p>
    <w:p w:rsidR="00214D41" w:rsidRPr="00214D41" w:rsidRDefault="00214D41" w:rsidP="00214D41">
      <w:pPr>
        <w:pStyle w:val="Nornal"/>
        <w:jc w:val="both"/>
        <w:rPr>
          <w:rFonts w:asciiTheme="minorHAnsi" w:hAnsiTheme="minorHAnsi" w:cstheme="minorHAnsi"/>
          <w:b/>
          <w:u w:val="single"/>
        </w:rPr>
      </w:pPr>
      <w:r w:rsidRPr="00214D41">
        <w:rPr>
          <w:rFonts w:asciiTheme="minorHAnsi" w:hAnsiTheme="minorHAnsi" w:cstheme="minorHAnsi"/>
        </w:rPr>
        <w:t xml:space="preserve">ACAS (2013). </w:t>
      </w:r>
      <w:r w:rsidRPr="00214D41">
        <w:rPr>
          <w:rFonts w:asciiTheme="minorHAnsi" w:hAnsiTheme="minorHAnsi" w:cstheme="minorHAnsi"/>
          <w:i/>
          <w:iCs/>
        </w:rPr>
        <w:t>Settlement Agreements (under section 111A of the Employment Rights Act 1996)</w:t>
      </w:r>
      <w:r w:rsidRPr="00214D41">
        <w:rPr>
          <w:rFonts w:asciiTheme="minorHAnsi" w:hAnsiTheme="minorHAnsi" w:cstheme="minorHAnsi"/>
        </w:rPr>
        <w:t>. [online] Acas. Available at: https://www.acas.org.uk/acas-code-of-practice-settlement-agreements/html [Accessed 18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ACAS (2018). </w:t>
      </w:r>
      <w:r w:rsidRPr="00214D41">
        <w:rPr>
          <w:rFonts w:asciiTheme="minorHAnsi" w:hAnsiTheme="minorHAnsi" w:cstheme="minorHAnsi"/>
          <w:i/>
          <w:iCs/>
          <w:sz w:val="22"/>
          <w:szCs w:val="22"/>
        </w:rPr>
        <w:t>Settlement Agreements</w:t>
      </w:r>
      <w:r w:rsidRPr="00214D41">
        <w:rPr>
          <w:rFonts w:asciiTheme="minorHAnsi" w:hAnsiTheme="minorHAnsi" w:cstheme="minorHAnsi"/>
          <w:sz w:val="22"/>
          <w:szCs w:val="22"/>
        </w:rPr>
        <w:t>. [online] Available at: https://www.acas.org.uk/sites/default/files/2021-03/settlement-agreements.pdf [Accessed 18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ACAS (2020). </w:t>
      </w:r>
      <w:r w:rsidRPr="00214D41">
        <w:rPr>
          <w:rFonts w:asciiTheme="minorHAnsi" w:hAnsiTheme="minorHAnsi" w:cstheme="minorHAnsi"/>
          <w:i/>
          <w:iCs/>
          <w:sz w:val="22"/>
          <w:szCs w:val="22"/>
        </w:rPr>
        <w:t>Work out Redundancy Pay | Acas</w:t>
      </w:r>
      <w:r w:rsidRPr="00214D41">
        <w:rPr>
          <w:rFonts w:asciiTheme="minorHAnsi" w:hAnsiTheme="minorHAnsi" w:cstheme="minorHAnsi"/>
          <w:sz w:val="22"/>
          <w:szCs w:val="22"/>
        </w:rPr>
        <w:t>. [online] Acas.org.uk. Available at: https://www.acas.org.uk/manage-staff-redundancies/work-out-redundancy-pay [Accessed 20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ACAS (2021a). </w:t>
      </w:r>
      <w:r w:rsidRPr="00214D41">
        <w:rPr>
          <w:rFonts w:asciiTheme="minorHAnsi" w:hAnsiTheme="minorHAnsi" w:cstheme="minorHAnsi"/>
          <w:i/>
          <w:iCs/>
          <w:sz w:val="22"/>
          <w:szCs w:val="22"/>
        </w:rPr>
        <w:t>Changing an employment contract after a TUPE transfer: employer responsibilities - Acas</w:t>
      </w:r>
      <w:r w:rsidRPr="00214D41">
        <w:rPr>
          <w:rFonts w:asciiTheme="minorHAnsi" w:hAnsiTheme="minorHAnsi" w:cstheme="minorHAnsi"/>
          <w:sz w:val="22"/>
          <w:szCs w:val="22"/>
        </w:rPr>
        <w:t>. [online] www.acas.org.uk. Available at: https://www.acas.org.uk/changing-an-employment-contract-after-a-tupe-transfer-employer-responsibilities [Accessed 21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ACAS (2021b). </w:t>
      </w:r>
      <w:r w:rsidRPr="00214D41">
        <w:rPr>
          <w:rFonts w:asciiTheme="minorHAnsi" w:hAnsiTheme="minorHAnsi" w:cstheme="minorHAnsi"/>
          <w:i/>
          <w:iCs/>
          <w:sz w:val="22"/>
          <w:szCs w:val="22"/>
        </w:rPr>
        <w:t>Manage staff redundancies | Acas</w:t>
      </w:r>
      <w:r w:rsidRPr="00214D41">
        <w:rPr>
          <w:rFonts w:asciiTheme="minorHAnsi" w:hAnsiTheme="minorHAnsi" w:cstheme="minorHAnsi"/>
          <w:sz w:val="22"/>
          <w:szCs w:val="22"/>
        </w:rPr>
        <w:t>. [online] Acas.org.uk. Available at: https://www.acas.org.uk/manage-staff-redundancies [Accessed 20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ACAS (2021c). </w:t>
      </w:r>
      <w:r w:rsidRPr="00214D41">
        <w:rPr>
          <w:rFonts w:asciiTheme="minorHAnsi" w:hAnsiTheme="minorHAnsi" w:cstheme="minorHAnsi"/>
          <w:i/>
          <w:iCs/>
          <w:sz w:val="22"/>
          <w:szCs w:val="22"/>
        </w:rPr>
        <w:t>Step 3: Prepare for a TUPE transfer: Handling a TUPE transfer: step by step - Acas</w:t>
      </w:r>
      <w:r w:rsidRPr="00214D41">
        <w:rPr>
          <w:rFonts w:asciiTheme="minorHAnsi" w:hAnsiTheme="minorHAnsi" w:cstheme="minorHAnsi"/>
          <w:sz w:val="22"/>
          <w:szCs w:val="22"/>
        </w:rPr>
        <w:t>. [online] www.acas.org.uk. Available at: https://www.acas.org.uk/handling-a-tupe-transfer-step-by-step/step-3-prepare-for-a-tupe-transfer [Accessed 21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ACAS (2022a). Arbitration. </w:t>
      </w:r>
      <w:r w:rsidRPr="00214D41">
        <w:rPr>
          <w:rFonts w:asciiTheme="minorHAnsi" w:hAnsiTheme="minorHAnsi" w:cstheme="minorHAnsi"/>
          <w:i/>
          <w:iCs/>
          <w:sz w:val="22"/>
          <w:szCs w:val="22"/>
        </w:rPr>
        <w:t>ACAS</w:t>
      </w:r>
      <w:r w:rsidRPr="00214D41">
        <w:rPr>
          <w:rFonts w:asciiTheme="minorHAnsi" w:hAnsiTheme="minorHAnsi" w:cstheme="minorHAnsi"/>
          <w:sz w:val="22"/>
          <w:szCs w:val="22"/>
        </w:rPr>
        <w:t>. [online] Available at: https://www.acas.org.uk/arbitration [Accessed 2 May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ACAS (2022b). </w:t>
      </w:r>
      <w:r w:rsidRPr="00214D41">
        <w:rPr>
          <w:rFonts w:asciiTheme="minorHAnsi" w:hAnsiTheme="minorHAnsi" w:cstheme="minorHAnsi"/>
          <w:i/>
          <w:iCs/>
          <w:sz w:val="22"/>
          <w:szCs w:val="22"/>
        </w:rPr>
        <w:t>Discrimination because of pregnancy and maternity: Managing your employee’s maternity leave and pay - Acas</w:t>
      </w:r>
      <w:r w:rsidRPr="00214D41">
        <w:rPr>
          <w:rFonts w:asciiTheme="minorHAnsi" w:hAnsiTheme="minorHAnsi" w:cstheme="minorHAnsi"/>
          <w:sz w:val="22"/>
          <w:szCs w:val="22"/>
        </w:rPr>
        <w:t>. [online] www.acas.org.uk. Available at: https://www.acas.org.uk/managing-your-employees-maternity-leave-and-pay/discrimination-because-of-pregnancy-and-maternity [Accessed 21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ACAS (2022c). </w:t>
      </w:r>
      <w:r w:rsidRPr="00214D41">
        <w:rPr>
          <w:rFonts w:asciiTheme="minorHAnsi" w:hAnsiTheme="minorHAnsi" w:cstheme="minorHAnsi"/>
          <w:i/>
          <w:iCs/>
          <w:sz w:val="22"/>
          <w:szCs w:val="22"/>
        </w:rPr>
        <w:t>Early conciliation</w:t>
      </w:r>
      <w:r w:rsidRPr="00214D41">
        <w:rPr>
          <w:rFonts w:asciiTheme="minorHAnsi" w:hAnsiTheme="minorHAnsi" w:cstheme="minorHAnsi"/>
          <w:sz w:val="22"/>
          <w:szCs w:val="22"/>
        </w:rPr>
        <w:t>. [online] Acas. Available at: https://www.acas.org.uk/early-conciliation [Accessed 18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ACAS (2022d). </w:t>
      </w:r>
      <w:r w:rsidRPr="00214D41">
        <w:rPr>
          <w:rFonts w:asciiTheme="minorHAnsi" w:hAnsiTheme="minorHAnsi" w:cstheme="minorHAnsi"/>
          <w:i/>
          <w:iCs/>
          <w:sz w:val="22"/>
          <w:szCs w:val="22"/>
        </w:rPr>
        <w:t>Equal pay and the law</w:t>
      </w:r>
      <w:r w:rsidRPr="00214D41">
        <w:rPr>
          <w:rFonts w:asciiTheme="minorHAnsi" w:hAnsiTheme="minorHAnsi" w:cstheme="minorHAnsi"/>
          <w:sz w:val="22"/>
          <w:szCs w:val="22"/>
        </w:rPr>
        <w:t>. [online] Acas. Available at: https://www.acas.org.uk/equal-pay/equal-pay-law#:~:text=By%20law%2C%20men%20and%20women [Accessed 20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lastRenderedPageBreak/>
        <w:t xml:space="preserve">ACAS (2023a). </w:t>
      </w:r>
      <w:r w:rsidRPr="00214D41">
        <w:rPr>
          <w:rFonts w:asciiTheme="minorHAnsi" w:hAnsiTheme="minorHAnsi" w:cstheme="minorHAnsi"/>
          <w:i/>
          <w:iCs/>
          <w:sz w:val="22"/>
          <w:szCs w:val="22"/>
        </w:rPr>
        <w:t>Payslips - Acas</w:t>
      </w:r>
      <w:r w:rsidRPr="00214D41">
        <w:rPr>
          <w:rFonts w:asciiTheme="minorHAnsi" w:hAnsiTheme="minorHAnsi" w:cstheme="minorHAnsi"/>
          <w:sz w:val="22"/>
          <w:szCs w:val="22"/>
        </w:rPr>
        <w:t>. [online] www.acas.org.uk. Available at: https://www.acas.org.uk/payslips [Accessed 21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ACAS (2023b). </w:t>
      </w:r>
      <w:r w:rsidRPr="00214D41">
        <w:rPr>
          <w:rFonts w:asciiTheme="minorHAnsi" w:hAnsiTheme="minorHAnsi" w:cstheme="minorHAnsi"/>
          <w:i/>
          <w:iCs/>
          <w:sz w:val="22"/>
          <w:szCs w:val="22"/>
        </w:rPr>
        <w:t>Understanding the Working Time Regulations: Working time rules</w:t>
      </w:r>
      <w:r w:rsidRPr="00214D41">
        <w:rPr>
          <w:rFonts w:asciiTheme="minorHAnsi" w:hAnsiTheme="minorHAnsi" w:cstheme="minorHAnsi"/>
          <w:sz w:val="22"/>
          <w:szCs w:val="22"/>
        </w:rPr>
        <w:t>. [online] Acas. Available at: https://www.acas.org.uk/working-time-rules [Accessed 21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ACAS (2023c). </w:t>
      </w:r>
      <w:r w:rsidRPr="00214D41">
        <w:rPr>
          <w:rFonts w:asciiTheme="minorHAnsi" w:hAnsiTheme="minorHAnsi" w:cstheme="minorHAnsi"/>
          <w:i/>
          <w:iCs/>
          <w:sz w:val="22"/>
          <w:szCs w:val="22"/>
        </w:rPr>
        <w:t>Why You Must Inform and Consult in TUPE: Inform and Consult Staff in a TUPE Transfer</w:t>
      </w:r>
      <w:r w:rsidRPr="00214D41">
        <w:rPr>
          <w:rFonts w:asciiTheme="minorHAnsi" w:hAnsiTheme="minorHAnsi" w:cstheme="minorHAnsi"/>
          <w:sz w:val="22"/>
          <w:szCs w:val="22"/>
        </w:rPr>
        <w:t>. [online] Acas. Available at: https://www.acas.org.uk/inform-and-consult-staff-in-a-tupe-transfer [Accessed 21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Acas (2021). </w:t>
      </w:r>
      <w:r w:rsidRPr="00214D41">
        <w:rPr>
          <w:rFonts w:asciiTheme="minorHAnsi" w:hAnsiTheme="minorHAnsi" w:cstheme="minorHAnsi"/>
          <w:i/>
          <w:iCs/>
          <w:sz w:val="22"/>
          <w:szCs w:val="22"/>
        </w:rPr>
        <w:t>Notice when being dismissed or made redundant: Notice periods - Acas</w:t>
      </w:r>
      <w:r w:rsidRPr="00214D41">
        <w:rPr>
          <w:rFonts w:asciiTheme="minorHAnsi" w:hAnsiTheme="minorHAnsi" w:cstheme="minorHAnsi"/>
          <w:sz w:val="22"/>
          <w:szCs w:val="22"/>
        </w:rPr>
        <w:t>. [online] www.acas.org.uk. Available at: https://www.acas.org.uk/notice-periods/notice-when-being-dismissed-or-made-redundant [Accessed 20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Acas (2024a). </w:t>
      </w:r>
      <w:r w:rsidRPr="00214D41">
        <w:rPr>
          <w:rFonts w:asciiTheme="minorHAnsi" w:hAnsiTheme="minorHAnsi" w:cstheme="minorHAnsi"/>
          <w:i/>
          <w:iCs/>
          <w:sz w:val="22"/>
          <w:szCs w:val="22"/>
        </w:rPr>
        <w:t>If an employer does not pay minimum wage: National Minimum Wage entitlement</w:t>
      </w:r>
      <w:r w:rsidRPr="00214D41">
        <w:rPr>
          <w:rFonts w:asciiTheme="minorHAnsi" w:hAnsiTheme="minorHAnsi" w:cstheme="minorHAnsi"/>
          <w:sz w:val="22"/>
          <w:szCs w:val="22"/>
        </w:rPr>
        <w:t>. [online] Acas. Available at: https://www.acas.org.uk/national-minimum-wage-entitlement/if-an-employer-does-not-pay-minimum-wage#:~:text=If%20an%20employee%20or%20worker [Accessed 21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Acas (2024b). </w:t>
      </w:r>
      <w:r w:rsidRPr="00214D41">
        <w:rPr>
          <w:rFonts w:asciiTheme="minorHAnsi" w:hAnsiTheme="minorHAnsi" w:cstheme="minorHAnsi"/>
          <w:i/>
          <w:iCs/>
          <w:sz w:val="22"/>
          <w:szCs w:val="22"/>
        </w:rPr>
        <w:t>Making a request - Statutory flexible working requests</w:t>
      </w:r>
      <w:r w:rsidRPr="00214D41">
        <w:rPr>
          <w:rFonts w:asciiTheme="minorHAnsi" w:hAnsiTheme="minorHAnsi" w:cstheme="minorHAnsi"/>
          <w:sz w:val="22"/>
          <w:szCs w:val="22"/>
        </w:rPr>
        <w:t>. [online] Acas. Available at: https://www.acas.org.uk/statutory-flexible-working-requests/making-a-request [Accessed 22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Acas (2024c). </w:t>
      </w:r>
      <w:r w:rsidRPr="00214D41">
        <w:rPr>
          <w:rFonts w:asciiTheme="minorHAnsi" w:hAnsiTheme="minorHAnsi" w:cstheme="minorHAnsi"/>
          <w:i/>
          <w:iCs/>
          <w:sz w:val="22"/>
          <w:szCs w:val="22"/>
        </w:rPr>
        <w:t>Sickness and holiday: Checking holiday entitlement</w:t>
      </w:r>
      <w:r w:rsidRPr="00214D41">
        <w:rPr>
          <w:rFonts w:asciiTheme="minorHAnsi" w:hAnsiTheme="minorHAnsi" w:cstheme="minorHAnsi"/>
          <w:sz w:val="22"/>
          <w:szCs w:val="22"/>
        </w:rPr>
        <w:t>. [online] Acas. Available at: https://www.acas.org.uk/checking-holiday-entitlement/sickness-and-holiday [Accessed 21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Ali, L. (2022). </w:t>
      </w:r>
      <w:r w:rsidRPr="00214D41">
        <w:rPr>
          <w:rFonts w:asciiTheme="minorHAnsi" w:hAnsiTheme="minorHAnsi" w:cstheme="minorHAnsi"/>
          <w:i/>
          <w:iCs/>
          <w:sz w:val="22"/>
          <w:szCs w:val="22"/>
        </w:rPr>
        <w:t>CIPD | Equality, diversity and inclusion in the Workplace | Factsheets</w:t>
      </w:r>
      <w:r w:rsidRPr="00214D41">
        <w:rPr>
          <w:rFonts w:asciiTheme="minorHAnsi" w:hAnsiTheme="minorHAnsi" w:cstheme="minorHAnsi"/>
          <w:sz w:val="22"/>
          <w:szCs w:val="22"/>
        </w:rPr>
        <w:t>. [online] CIPD. Available at: https://www.cipd.org/en/knowledge/factsheets/diversity-factsheet/#Equality [Accessed 18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Argile, A.-M. (2023). </w:t>
      </w:r>
      <w:r w:rsidRPr="00214D41">
        <w:rPr>
          <w:rFonts w:asciiTheme="minorHAnsi" w:hAnsiTheme="minorHAnsi" w:cstheme="minorHAnsi"/>
          <w:i/>
          <w:iCs/>
          <w:sz w:val="22"/>
          <w:szCs w:val="22"/>
        </w:rPr>
        <w:t>National Living Wage and National Minimum Wage 2017/18 - 2024/25</w:t>
      </w:r>
      <w:r w:rsidRPr="00214D41">
        <w:rPr>
          <w:rFonts w:asciiTheme="minorHAnsi" w:hAnsiTheme="minorHAnsi" w:cstheme="minorHAnsi"/>
          <w:sz w:val="22"/>
          <w:szCs w:val="22"/>
        </w:rPr>
        <w:t>. Available at: https://ndna.org.uk/news/national-living-wage-will-rise-to-11-44-per-hour-from-april-2024/ [Accessed 21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Ayling, L. and Suff, R. (2023). </w:t>
      </w:r>
      <w:r w:rsidRPr="00214D41">
        <w:rPr>
          <w:rFonts w:asciiTheme="minorHAnsi" w:hAnsiTheme="minorHAnsi" w:cstheme="minorHAnsi"/>
          <w:i/>
          <w:iCs/>
          <w:sz w:val="22"/>
          <w:szCs w:val="22"/>
        </w:rPr>
        <w:t>CIPD | Employment Tribunals | Factsheets</w:t>
      </w:r>
      <w:r w:rsidRPr="00214D41">
        <w:rPr>
          <w:rFonts w:asciiTheme="minorHAnsi" w:hAnsiTheme="minorHAnsi" w:cstheme="minorHAnsi"/>
          <w:sz w:val="22"/>
          <w:szCs w:val="22"/>
        </w:rPr>
        <w:t>. [online] CIPD. Available at: https://www.cipd.org/uk/knowledge/factsheets/tribunals-factsheet/#tribunal [Accessed 17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lastRenderedPageBreak/>
        <w:t xml:space="preserve">CIPD (2023a). </w:t>
      </w:r>
      <w:r w:rsidRPr="00214D41">
        <w:rPr>
          <w:rFonts w:asciiTheme="minorHAnsi" w:hAnsiTheme="minorHAnsi" w:cstheme="minorHAnsi"/>
          <w:i/>
          <w:iCs/>
          <w:sz w:val="22"/>
          <w:szCs w:val="22"/>
        </w:rPr>
        <w:t>CIPD | Employment Law</w:t>
      </w:r>
      <w:r w:rsidRPr="00214D41">
        <w:rPr>
          <w:rFonts w:asciiTheme="minorHAnsi" w:hAnsiTheme="minorHAnsi" w:cstheme="minorHAnsi"/>
          <w:sz w:val="22"/>
          <w:szCs w:val="22"/>
        </w:rPr>
        <w:t>. [online] CIPD. Available at: https://www.cipd.org/uk/knowledge/employment-law/#:~:text=Employment%20law%20regulates%20the%20relationship [Accessed 16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CIPD (2023b). </w:t>
      </w:r>
      <w:r w:rsidRPr="00214D41">
        <w:rPr>
          <w:rFonts w:asciiTheme="minorHAnsi" w:hAnsiTheme="minorHAnsi" w:cstheme="minorHAnsi"/>
          <w:i/>
          <w:iCs/>
          <w:sz w:val="22"/>
          <w:szCs w:val="22"/>
        </w:rPr>
        <w:t>CIPD | Flexible Working Practices | Factsheets</w:t>
      </w:r>
      <w:r w:rsidRPr="00214D41">
        <w:rPr>
          <w:rFonts w:asciiTheme="minorHAnsi" w:hAnsiTheme="minorHAnsi" w:cstheme="minorHAnsi"/>
          <w:sz w:val="22"/>
          <w:szCs w:val="22"/>
        </w:rPr>
        <w:t>. [online] CIPD. Available at: https://www.cipd.org/uk/knowledge/factsheets/flexible-working-factsheet/#title2 [Accessed 2 May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CIPD (2024a). </w:t>
      </w:r>
      <w:r w:rsidRPr="00214D41">
        <w:rPr>
          <w:rFonts w:asciiTheme="minorHAnsi" w:hAnsiTheme="minorHAnsi" w:cstheme="minorHAnsi"/>
          <w:i/>
          <w:iCs/>
          <w:sz w:val="22"/>
          <w:szCs w:val="22"/>
        </w:rPr>
        <w:t>CIPD | How to manage an increase in flexible working requests</w:t>
      </w:r>
      <w:r w:rsidRPr="00214D41">
        <w:rPr>
          <w:rFonts w:asciiTheme="minorHAnsi" w:hAnsiTheme="minorHAnsi" w:cstheme="minorHAnsi"/>
          <w:sz w:val="22"/>
          <w:szCs w:val="22"/>
        </w:rPr>
        <w:t>. [online] CIPD. Available at: https://www.cipd.org/uk/knowledge/guides/managing-flexible-working-requests-guide/ [Accessed 22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CIPD (2024b). </w:t>
      </w:r>
      <w:r w:rsidRPr="00214D41">
        <w:rPr>
          <w:rFonts w:asciiTheme="minorHAnsi" w:hAnsiTheme="minorHAnsi" w:cstheme="minorHAnsi"/>
          <w:i/>
          <w:iCs/>
          <w:sz w:val="22"/>
          <w:szCs w:val="22"/>
        </w:rPr>
        <w:t>CIPD | How to request flexible working</w:t>
      </w:r>
      <w:r w:rsidRPr="00214D41">
        <w:rPr>
          <w:rFonts w:asciiTheme="minorHAnsi" w:hAnsiTheme="minorHAnsi" w:cstheme="minorHAnsi"/>
          <w:sz w:val="22"/>
          <w:szCs w:val="22"/>
        </w:rPr>
        <w:t>. [online] CIPD. Available at: https://www.cipd.org/uk/knowledge/guides/requesting-flexible-working-guide/.</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CIPD (2024c). </w:t>
      </w:r>
      <w:r w:rsidRPr="00214D41">
        <w:rPr>
          <w:rFonts w:asciiTheme="minorHAnsi" w:hAnsiTheme="minorHAnsi" w:cstheme="minorHAnsi"/>
          <w:i/>
          <w:iCs/>
          <w:sz w:val="22"/>
          <w:szCs w:val="22"/>
        </w:rPr>
        <w:t>CIPD | Working time: UK employment law</w:t>
      </w:r>
      <w:r w:rsidRPr="00214D41">
        <w:rPr>
          <w:rFonts w:asciiTheme="minorHAnsi" w:hAnsiTheme="minorHAnsi" w:cstheme="minorHAnsi"/>
          <w:sz w:val="22"/>
          <w:szCs w:val="22"/>
        </w:rPr>
        <w:t>. [online] CIPD. Available at: https://www.cipd.org/uk/knowledge/employment-law/working-time/#key-legal-principles [Accessed 17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CIPD and Lewis Silkin (2017). </w:t>
      </w:r>
      <w:r w:rsidRPr="00214D41">
        <w:rPr>
          <w:rFonts w:asciiTheme="minorHAnsi" w:hAnsiTheme="minorHAnsi" w:cstheme="minorHAnsi"/>
          <w:i/>
          <w:iCs/>
          <w:sz w:val="22"/>
          <w:szCs w:val="22"/>
        </w:rPr>
        <w:t>Employment regulation in the UK: burden or benefit?</w:t>
      </w:r>
      <w:r w:rsidRPr="00214D41">
        <w:rPr>
          <w:rFonts w:asciiTheme="minorHAnsi" w:hAnsiTheme="minorHAnsi" w:cstheme="minorHAnsi"/>
          <w:sz w:val="22"/>
          <w:szCs w:val="22"/>
        </w:rPr>
        <w:t xml:space="preserve"> [online] Available at: https://www.cipd.org/globalassets/media/knowledge/knowledge-hub/reports/2017-pdfs/2017-employment-regulation-in-the-uk-burden-or-benefit-report-21622.pdf [Accessed 17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Daniels, K. (2019). </w:t>
      </w:r>
      <w:r w:rsidRPr="00214D41">
        <w:rPr>
          <w:rFonts w:asciiTheme="minorHAnsi" w:hAnsiTheme="minorHAnsi" w:cstheme="minorHAnsi"/>
          <w:i/>
          <w:iCs/>
          <w:sz w:val="22"/>
          <w:szCs w:val="22"/>
        </w:rPr>
        <w:t>INTRODUCTION TO EMPLOYMENT LAW : fundamentals for hr and business students.</w:t>
      </w:r>
      <w:r w:rsidRPr="00214D41">
        <w:rPr>
          <w:rFonts w:asciiTheme="minorHAnsi" w:hAnsiTheme="minorHAnsi" w:cstheme="minorHAnsi"/>
          <w:sz w:val="22"/>
          <w:szCs w:val="22"/>
        </w:rPr>
        <w:t xml:space="preserve"> Kogan Page.</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Department for Business, Energy &amp; Industrial Strategy (2020). </w:t>
      </w:r>
      <w:r w:rsidRPr="00214D41">
        <w:rPr>
          <w:rFonts w:asciiTheme="minorHAnsi" w:hAnsiTheme="minorHAnsi" w:cstheme="minorHAnsi"/>
          <w:i/>
          <w:iCs/>
          <w:sz w:val="22"/>
          <w:szCs w:val="22"/>
        </w:rPr>
        <w:t>Business perceptions survey 2020: research report</w:t>
      </w:r>
      <w:r w:rsidRPr="00214D41">
        <w:rPr>
          <w:rFonts w:asciiTheme="minorHAnsi" w:hAnsiTheme="minorHAnsi" w:cstheme="minorHAnsi"/>
          <w:sz w:val="22"/>
          <w:szCs w:val="22"/>
        </w:rPr>
        <w:t>. [online] Available at: https://assets.publishing.service.gov.uk/media/5fd8be7d8fa8f54d5c52de9e/business-perceptions-survey-2020-report.pdf [Accessed 17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Diaz, D. (2022). </w:t>
      </w:r>
      <w:r w:rsidRPr="00214D41">
        <w:rPr>
          <w:rFonts w:asciiTheme="minorHAnsi" w:hAnsiTheme="minorHAnsi" w:cstheme="minorHAnsi"/>
          <w:i/>
          <w:iCs/>
          <w:sz w:val="22"/>
          <w:szCs w:val="22"/>
        </w:rPr>
        <w:t>Employment law: protecting the UK’s workers</w:t>
      </w:r>
      <w:r w:rsidRPr="00214D41">
        <w:rPr>
          <w:rFonts w:asciiTheme="minorHAnsi" w:hAnsiTheme="minorHAnsi" w:cstheme="minorHAnsi"/>
          <w:sz w:val="22"/>
          <w:szCs w:val="22"/>
        </w:rPr>
        <w:t>. [online] University of Sunderland. Available at: https://online.sunderland.ac.uk/employment-law-protecting-the-uks-workers/ [Accessed 17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Equality and Human Rights Commission (2019). </w:t>
      </w:r>
      <w:r w:rsidRPr="00214D41">
        <w:rPr>
          <w:rFonts w:asciiTheme="minorHAnsi" w:hAnsiTheme="minorHAnsi" w:cstheme="minorHAnsi"/>
          <w:i/>
          <w:iCs/>
          <w:sz w:val="22"/>
          <w:szCs w:val="22"/>
        </w:rPr>
        <w:t>Codes of Practice | EHRC</w:t>
      </w:r>
      <w:r w:rsidRPr="00214D41">
        <w:rPr>
          <w:rFonts w:asciiTheme="minorHAnsi" w:hAnsiTheme="minorHAnsi" w:cstheme="minorHAnsi"/>
          <w:sz w:val="22"/>
          <w:szCs w:val="22"/>
        </w:rPr>
        <w:t xml:space="preserve">. [online] www.equalityhumanrights.com. Available at: </w:t>
      </w:r>
      <w:r w:rsidRPr="00214D41">
        <w:rPr>
          <w:rFonts w:asciiTheme="minorHAnsi" w:hAnsiTheme="minorHAnsi" w:cstheme="minorHAnsi"/>
          <w:sz w:val="22"/>
          <w:szCs w:val="22"/>
        </w:rPr>
        <w:lastRenderedPageBreak/>
        <w:t>https://www.equalityhumanrights.com/equality/equality-act-2010/codes-practice [Accessed 18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Equality and Human Rights Commission (2021). </w:t>
      </w:r>
      <w:r w:rsidRPr="00214D41">
        <w:rPr>
          <w:rFonts w:asciiTheme="minorHAnsi" w:hAnsiTheme="minorHAnsi" w:cstheme="minorHAnsi"/>
          <w:i/>
          <w:iCs/>
          <w:sz w:val="22"/>
          <w:szCs w:val="22"/>
        </w:rPr>
        <w:t>Protected Characteristics | EHRC</w:t>
      </w:r>
      <w:r w:rsidRPr="00214D41">
        <w:rPr>
          <w:rFonts w:asciiTheme="minorHAnsi" w:hAnsiTheme="minorHAnsi" w:cstheme="minorHAnsi"/>
          <w:sz w:val="22"/>
          <w:szCs w:val="22"/>
        </w:rPr>
        <w:t>. [online] www.equalityhumanrights.com. Available at: https://www.equalityhumanrights.com/equality/equality-act-2010/protected-characteristics [Accessed 17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Gov.UK (2022). </w:t>
      </w:r>
      <w:r w:rsidRPr="00214D41">
        <w:rPr>
          <w:rFonts w:asciiTheme="minorHAnsi" w:hAnsiTheme="minorHAnsi" w:cstheme="minorHAnsi"/>
          <w:i/>
          <w:iCs/>
          <w:sz w:val="22"/>
          <w:szCs w:val="22"/>
        </w:rPr>
        <w:t>National Minimum Wage: policy on enforcement, prosecutions and naming employers who break National Minimum Wage law</w:t>
      </w:r>
      <w:r w:rsidRPr="00214D41">
        <w:rPr>
          <w:rFonts w:asciiTheme="minorHAnsi" w:hAnsiTheme="minorHAnsi" w:cstheme="minorHAnsi"/>
          <w:sz w:val="22"/>
          <w:szCs w:val="22"/>
        </w:rPr>
        <w:t>. [online] GOV.UK. Available at: https://www.gov.uk/government/publications/enforcing-national-minimum-wage-law/national-minimum-wage-policy-on-enforcement-prosecutions-and-naming-employers-who-break-national-minimum-wage-law [Accessed 2 May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Gov.uk (2013). </w:t>
      </w:r>
      <w:r w:rsidRPr="00214D41">
        <w:rPr>
          <w:rFonts w:asciiTheme="minorHAnsi" w:hAnsiTheme="minorHAnsi" w:cstheme="minorHAnsi"/>
          <w:i/>
          <w:iCs/>
          <w:sz w:val="22"/>
          <w:szCs w:val="22"/>
        </w:rPr>
        <w:t>Maternity pay and leave</w:t>
      </w:r>
      <w:r w:rsidRPr="00214D41">
        <w:rPr>
          <w:rFonts w:asciiTheme="minorHAnsi" w:hAnsiTheme="minorHAnsi" w:cstheme="minorHAnsi"/>
          <w:sz w:val="22"/>
          <w:szCs w:val="22"/>
        </w:rPr>
        <w:t>. [online] GOV.UK. Available at: https://www.gov.uk/maternity-pay-leave/leave [Accessed 21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Gov.uk (2014). </w:t>
      </w:r>
      <w:r w:rsidRPr="00214D41">
        <w:rPr>
          <w:rFonts w:asciiTheme="minorHAnsi" w:hAnsiTheme="minorHAnsi" w:cstheme="minorHAnsi"/>
          <w:i/>
          <w:iCs/>
          <w:sz w:val="22"/>
          <w:szCs w:val="22"/>
        </w:rPr>
        <w:t>Shared Parental Leave and Pay</w:t>
      </w:r>
      <w:r w:rsidRPr="00214D41">
        <w:rPr>
          <w:rFonts w:asciiTheme="minorHAnsi" w:hAnsiTheme="minorHAnsi" w:cstheme="minorHAnsi"/>
          <w:sz w:val="22"/>
          <w:szCs w:val="22"/>
        </w:rPr>
        <w:t>. [online] GOV.UK. Available at: https://www.gov.uk/shared-parental-leave-and-pay [Accessed 21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Gov.uk (2023). </w:t>
      </w:r>
      <w:r w:rsidRPr="00214D41">
        <w:rPr>
          <w:rFonts w:asciiTheme="minorHAnsi" w:hAnsiTheme="minorHAnsi" w:cstheme="minorHAnsi"/>
          <w:i/>
          <w:iCs/>
          <w:sz w:val="22"/>
          <w:szCs w:val="22"/>
        </w:rPr>
        <w:t>Flexible working</w:t>
      </w:r>
      <w:r w:rsidRPr="00214D41">
        <w:rPr>
          <w:rFonts w:asciiTheme="minorHAnsi" w:hAnsiTheme="minorHAnsi" w:cstheme="minorHAnsi"/>
          <w:sz w:val="22"/>
          <w:szCs w:val="22"/>
        </w:rPr>
        <w:t>. [online] GOV.UK. Available at: https://www.gov.uk/flexible-working/after-the-application [Accessed 22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Health and Safety Executive (1974). </w:t>
      </w:r>
      <w:r w:rsidRPr="00214D41">
        <w:rPr>
          <w:rFonts w:asciiTheme="minorHAnsi" w:hAnsiTheme="minorHAnsi" w:cstheme="minorHAnsi"/>
          <w:i/>
          <w:iCs/>
          <w:sz w:val="22"/>
          <w:szCs w:val="22"/>
        </w:rPr>
        <w:t>Health and Safety at Work Act 1974</w:t>
      </w:r>
      <w:r w:rsidRPr="00214D41">
        <w:rPr>
          <w:rFonts w:asciiTheme="minorHAnsi" w:hAnsiTheme="minorHAnsi" w:cstheme="minorHAnsi"/>
          <w:sz w:val="22"/>
          <w:szCs w:val="22"/>
        </w:rPr>
        <w:t>. [online] Hse.gov.uk. Available at: https://www.hse.gov.uk/legislation/hswa.htm [Accessed 17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HM Revenue &amp; Customs (2014). </w:t>
      </w:r>
      <w:r w:rsidRPr="00214D41">
        <w:rPr>
          <w:rFonts w:asciiTheme="minorHAnsi" w:hAnsiTheme="minorHAnsi" w:cstheme="minorHAnsi"/>
          <w:i/>
          <w:iCs/>
          <w:sz w:val="22"/>
          <w:szCs w:val="22"/>
        </w:rPr>
        <w:t>Statutory pay and leave</w:t>
      </w:r>
      <w:r w:rsidRPr="00214D41">
        <w:rPr>
          <w:rFonts w:asciiTheme="minorHAnsi" w:hAnsiTheme="minorHAnsi" w:cstheme="minorHAnsi"/>
          <w:sz w:val="22"/>
          <w:szCs w:val="22"/>
        </w:rPr>
        <w:t>. [online] GOV.UK. Available at: https://www.gov.uk/government/collections/statutory-pay [Accessed 21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McCartney, C. (2023). </w:t>
      </w:r>
      <w:r w:rsidRPr="00214D41">
        <w:rPr>
          <w:rFonts w:asciiTheme="minorHAnsi" w:hAnsiTheme="minorHAnsi" w:cstheme="minorHAnsi"/>
          <w:i/>
          <w:iCs/>
          <w:sz w:val="22"/>
          <w:szCs w:val="22"/>
        </w:rPr>
        <w:t>CIPD | Flexible Working Practices | Factsheets</w:t>
      </w:r>
      <w:r w:rsidRPr="00214D41">
        <w:rPr>
          <w:rFonts w:asciiTheme="minorHAnsi" w:hAnsiTheme="minorHAnsi" w:cstheme="minorHAnsi"/>
          <w:sz w:val="22"/>
          <w:szCs w:val="22"/>
        </w:rPr>
        <w:t>. [online] CIPD. Available at: https://www.cipd.org/uk/knowledge/factsheets/flexible-working-factsheet/ [Accessed 22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Miller, J. (2023). </w:t>
      </w:r>
      <w:r w:rsidRPr="00214D41">
        <w:rPr>
          <w:rFonts w:asciiTheme="minorHAnsi" w:hAnsiTheme="minorHAnsi" w:cstheme="minorHAnsi"/>
          <w:i/>
          <w:iCs/>
          <w:sz w:val="22"/>
          <w:szCs w:val="22"/>
        </w:rPr>
        <w:t>CIPD | On this page</w:t>
      </w:r>
      <w:r w:rsidRPr="00214D41">
        <w:rPr>
          <w:rFonts w:asciiTheme="minorHAnsi" w:hAnsiTheme="minorHAnsi" w:cstheme="minorHAnsi"/>
          <w:sz w:val="22"/>
          <w:szCs w:val="22"/>
        </w:rPr>
        <w:t>. [online] CIPD. Available at: https://www.cipd.org/en/knowledge/factsheets/sex-discrimination-factsheet/#good-employment-practices [Accessed 18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lastRenderedPageBreak/>
        <w:t xml:space="preserve">Politics.co.uk. (2021). </w:t>
      </w:r>
      <w:r w:rsidRPr="00214D41">
        <w:rPr>
          <w:rFonts w:asciiTheme="minorHAnsi" w:hAnsiTheme="minorHAnsi" w:cstheme="minorHAnsi"/>
          <w:i/>
          <w:iCs/>
          <w:sz w:val="22"/>
          <w:szCs w:val="22"/>
        </w:rPr>
        <w:t>Employment Rights Act 1996 - What does it do?</w:t>
      </w:r>
      <w:r w:rsidRPr="00214D41">
        <w:rPr>
          <w:rFonts w:asciiTheme="minorHAnsi" w:hAnsiTheme="minorHAnsi" w:cstheme="minorHAnsi"/>
          <w:sz w:val="22"/>
          <w:szCs w:val="22"/>
        </w:rPr>
        <w:t xml:space="preserve"> [online] Available at: https://www.politics.co.uk/reference/employment-rights-act-1996/ [Accessed 17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Ross, J. (2010). </w:t>
      </w:r>
      <w:r w:rsidRPr="00214D41">
        <w:rPr>
          <w:rFonts w:asciiTheme="minorHAnsi" w:hAnsiTheme="minorHAnsi" w:cstheme="minorHAnsi"/>
          <w:i/>
          <w:iCs/>
          <w:sz w:val="22"/>
          <w:szCs w:val="22"/>
        </w:rPr>
        <w:t>Employment law</w:t>
      </w:r>
      <w:r w:rsidRPr="00214D41">
        <w:rPr>
          <w:rFonts w:asciiTheme="minorHAnsi" w:hAnsiTheme="minorHAnsi" w:cstheme="minorHAnsi"/>
          <w:sz w:val="22"/>
          <w:szCs w:val="22"/>
        </w:rPr>
        <w:t>. Dundee: Dundee University Press.</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Saundry, R. and Gifford, J. (2021). </w:t>
      </w:r>
      <w:r w:rsidRPr="00214D41">
        <w:rPr>
          <w:rFonts w:asciiTheme="minorHAnsi" w:hAnsiTheme="minorHAnsi" w:cstheme="minorHAnsi"/>
          <w:i/>
          <w:iCs/>
          <w:sz w:val="22"/>
          <w:szCs w:val="22"/>
        </w:rPr>
        <w:t>CIPD | Five things we know about workplace conflict but ignore</w:t>
      </w:r>
      <w:r w:rsidRPr="00214D41">
        <w:rPr>
          <w:rFonts w:asciiTheme="minorHAnsi" w:hAnsiTheme="minorHAnsi" w:cstheme="minorHAnsi"/>
          <w:sz w:val="22"/>
          <w:szCs w:val="22"/>
        </w:rPr>
        <w:t>. [online] CIPD. Available at: https://www.cipd.org/uk/views-and-insights/thought-leadership/the-world-of-work/workplace-conflict/ [Accessed 18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Suff, R. (2023a). </w:t>
      </w:r>
      <w:r w:rsidRPr="00214D41">
        <w:rPr>
          <w:rFonts w:asciiTheme="minorHAnsi" w:hAnsiTheme="minorHAnsi" w:cstheme="minorHAnsi"/>
          <w:i/>
          <w:iCs/>
          <w:sz w:val="22"/>
          <w:szCs w:val="22"/>
        </w:rPr>
        <w:t>CIPD | Data Protection and GDPR in the Workplace | Factsheets</w:t>
      </w:r>
      <w:r w:rsidRPr="00214D41">
        <w:rPr>
          <w:rFonts w:asciiTheme="minorHAnsi" w:hAnsiTheme="minorHAnsi" w:cstheme="minorHAnsi"/>
          <w:sz w:val="22"/>
          <w:szCs w:val="22"/>
        </w:rPr>
        <w:t>. [online] CIPD. Available at: https://www.cipd.org/uk/knowledge/factsheets/data-protection-factsheet/#:~:text=Employees%20must%20consent%20freely%20to [Accessed 17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Suff, R. (2023b). </w:t>
      </w:r>
      <w:r w:rsidRPr="00214D41">
        <w:rPr>
          <w:rFonts w:asciiTheme="minorHAnsi" w:hAnsiTheme="minorHAnsi" w:cstheme="minorHAnsi"/>
          <w:i/>
          <w:iCs/>
          <w:sz w:val="22"/>
          <w:szCs w:val="22"/>
        </w:rPr>
        <w:t>CIPD | TUPE (Transfer of Undertakings) | Factsheets</w:t>
      </w:r>
      <w:r w:rsidRPr="00214D41">
        <w:rPr>
          <w:rFonts w:asciiTheme="minorHAnsi" w:hAnsiTheme="minorHAnsi" w:cstheme="minorHAnsi"/>
          <w:sz w:val="22"/>
          <w:szCs w:val="22"/>
        </w:rPr>
        <w:t>. [online] CIPD. Available at: https://www.cipd.org/uk/knowledge/factsheets/tupe-factsheet/#managing-a-tupe-situation [Accessed 21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Symonds, C. and Curnock, J. (2021). </w:t>
      </w:r>
      <w:r w:rsidRPr="00214D41">
        <w:rPr>
          <w:rFonts w:asciiTheme="minorHAnsi" w:hAnsiTheme="minorHAnsi" w:cstheme="minorHAnsi"/>
          <w:i/>
          <w:iCs/>
          <w:sz w:val="22"/>
          <w:szCs w:val="22"/>
        </w:rPr>
        <w:t>UK Employment Laws - Ultimate Guide | Factorial HR</w:t>
      </w:r>
      <w:r w:rsidRPr="00214D41">
        <w:rPr>
          <w:rFonts w:asciiTheme="minorHAnsi" w:hAnsiTheme="minorHAnsi" w:cstheme="minorHAnsi"/>
          <w:sz w:val="22"/>
          <w:szCs w:val="22"/>
        </w:rPr>
        <w:t>. [online] Factorial HR Blog. Available at: https://factorialhr.co.uk/blog/uk-employment-laws/ [Accessed 17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Taylor, S. (2023). </w:t>
      </w:r>
      <w:r w:rsidRPr="00214D41">
        <w:rPr>
          <w:rFonts w:asciiTheme="minorHAnsi" w:hAnsiTheme="minorHAnsi" w:cstheme="minorHAnsi"/>
          <w:i/>
          <w:iCs/>
          <w:sz w:val="22"/>
          <w:szCs w:val="22"/>
        </w:rPr>
        <w:t>CIPD | How UK Employment Law Is Made</w:t>
      </w:r>
      <w:r w:rsidRPr="00214D41">
        <w:rPr>
          <w:rFonts w:asciiTheme="minorHAnsi" w:hAnsiTheme="minorHAnsi" w:cstheme="minorHAnsi"/>
          <w:sz w:val="22"/>
          <w:szCs w:val="22"/>
        </w:rPr>
        <w:t>. [online] CIPD. Available at: https://www.cipd.org/uk/knowledge/factsheets/uk-emp-law-made-factsheet/ [Accessed 17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Taylor, S. and Woodhams, C. (2022). </w:t>
      </w:r>
      <w:r w:rsidRPr="00214D41">
        <w:rPr>
          <w:rFonts w:asciiTheme="minorHAnsi" w:hAnsiTheme="minorHAnsi" w:cstheme="minorHAnsi"/>
          <w:i/>
          <w:iCs/>
          <w:sz w:val="22"/>
          <w:szCs w:val="22"/>
        </w:rPr>
        <w:t>Human resource management : people and organisations</w:t>
      </w:r>
      <w:r w:rsidRPr="00214D41">
        <w:rPr>
          <w:rFonts w:asciiTheme="minorHAnsi" w:hAnsiTheme="minorHAnsi" w:cstheme="minorHAnsi"/>
          <w:sz w:val="22"/>
          <w:szCs w:val="22"/>
        </w:rPr>
        <w:t>. 3rd ed. New York, Ny: Kogan Page Inc.</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Zaidi, K. and Brione, P. (2023). </w:t>
      </w:r>
      <w:r w:rsidRPr="00214D41">
        <w:rPr>
          <w:rFonts w:asciiTheme="minorHAnsi" w:hAnsiTheme="minorHAnsi" w:cstheme="minorHAnsi"/>
          <w:i/>
          <w:iCs/>
          <w:sz w:val="22"/>
          <w:szCs w:val="22"/>
        </w:rPr>
        <w:t>Making a claim to an employment tribunal</w:t>
      </w:r>
      <w:r w:rsidRPr="00214D41">
        <w:rPr>
          <w:rFonts w:asciiTheme="minorHAnsi" w:hAnsiTheme="minorHAnsi" w:cstheme="minorHAnsi"/>
          <w:sz w:val="22"/>
          <w:szCs w:val="22"/>
        </w:rPr>
        <w:t>. [online] UK Parliament House of Commons Library . Available at: https://commonslibrary.parliament.uk/making-a-claim-to-an-employment-tribunal/ [Accessed 2 May 2024].</w:t>
      </w:r>
    </w:p>
    <w:p w:rsidR="00261A4F" w:rsidRPr="00261A4F" w:rsidRDefault="00261A4F" w:rsidP="00504930">
      <w:pPr>
        <w:pStyle w:val="NormalWeb"/>
        <w:spacing w:before="0" w:beforeAutospacing="0" w:after="240" w:afterAutospacing="0" w:line="360" w:lineRule="auto"/>
        <w:rPr>
          <w:rFonts w:asciiTheme="minorHAnsi" w:hAnsiTheme="minorHAnsi" w:cstheme="minorHAnsi"/>
          <w:sz w:val="22"/>
          <w:szCs w:val="22"/>
          <w:u w:val="single"/>
        </w:rPr>
      </w:pPr>
      <w:r w:rsidRPr="00261A4F">
        <w:rPr>
          <w:rFonts w:asciiTheme="minorHAnsi" w:hAnsiTheme="minorHAnsi" w:cstheme="minorHAnsi"/>
          <w:sz w:val="22"/>
          <w:szCs w:val="22"/>
          <w:u w:val="single"/>
        </w:rPr>
        <w:t>Case Law</w:t>
      </w:r>
    </w:p>
    <w:p w:rsidR="00261A4F" w:rsidRDefault="00337418" w:rsidP="00261A4F">
      <w:pPr>
        <w:pStyle w:val="NormalWeb"/>
        <w:spacing w:before="0" w:beforeAutospacing="0" w:after="240" w:afterAutospacing="0" w:line="360" w:lineRule="auto"/>
        <w:rPr>
          <w:rFonts w:asciiTheme="minorHAnsi" w:hAnsiTheme="minorHAnsi" w:cstheme="minorHAnsi"/>
          <w:sz w:val="22"/>
          <w:szCs w:val="22"/>
        </w:rPr>
      </w:pPr>
      <w:r>
        <w:rPr>
          <w:rFonts w:asciiTheme="minorHAnsi" w:hAnsiTheme="minorHAnsi" w:cstheme="minorHAnsi"/>
          <w:sz w:val="22"/>
          <w:szCs w:val="22"/>
        </w:rPr>
        <w:t>‘</w:t>
      </w:r>
      <w:r w:rsidR="00261A4F" w:rsidRPr="00504930">
        <w:rPr>
          <w:rFonts w:asciiTheme="minorHAnsi" w:hAnsiTheme="minorHAnsi" w:cstheme="minorHAnsi"/>
          <w:sz w:val="22"/>
          <w:szCs w:val="22"/>
        </w:rPr>
        <w:t>Tapere v South London and Maudsley NHS Trust</w:t>
      </w:r>
      <w:r>
        <w:rPr>
          <w:rFonts w:asciiTheme="minorHAnsi" w:hAnsiTheme="minorHAnsi" w:cstheme="minorHAnsi"/>
          <w:sz w:val="22"/>
          <w:szCs w:val="22"/>
        </w:rPr>
        <w:t>’ (2009)</w:t>
      </w:r>
      <w:r w:rsidR="00261A4F" w:rsidRPr="00504930">
        <w:rPr>
          <w:rFonts w:asciiTheme="minorHAnsi" w:hAnsiTheme="minorHAnsi" w:cstheme="minorHAnsi"/>
          <w:sz w:val="22"/>
          <w:szCs w:val="22"/>
        </w:rPr>
        <w:t xml:space="preserve"> UKEAT/0410/08</w:t>
      </w:r>
      <w:r w:rsidR="00261A4F">
        <w:rPr>
          <w:rFonts w:asciiTheme="minorHAnsi" w:hAnsiTheme="minorHAnsi" w:cstheme="minorHAnsi"/>
          <w:sz w:val="22"/>
          <w:szCs w:val="22"/>
        </w:rPr>
        <w:t xml:space="preserve"> </w:t>
      </w:r>
      <w:r w:rsidR="00261A4F">
        <w:rPr>
          <w:rFonts w:asciiTheme="minorHAnsi" w:hAnsiTheme="minorHAnsi" w:cstheme="minorHAnsi"/>
          <w:i/>
          <w:sz w:val="22"/>
          <w:szCs w:val="22"/>
        </w:rPr>
        <w:t xml:space="preserve">Casemine </w:t>
      </w:r>
      <w:r w:rsidR="00261A4F" w:rsidRPr="00673C8F">
        <w:rPr>
          <w:rFonts w:asciiTheme="minorHAnsi" w:hAnsiTheme="minorHAnsi" w:cstheme="minorHAnsi"/>
          <w:sz w:val="22"/>
          <w:szCs w:val="22"/>
        </w:rPr>
        <w:t xml:space="preserve">[online] Available at: https://www.casemine.com/judgement/uk/5a8ff79c60d03e7f57eb01ff </w:t>
      </w:r>
      <w:r w:rsidR="00261A4F">
        <w:rPr>
          <w:rFonts w:asciiTheme="minorHAnsi" w:hAnsiTheme="minorHAnsi" w:cstheme="minorHAnsi"/>
          <w:sz w:val="22"/>
          <w:szCs w:val="22"/>
        </w:rPr>
        <w:t>[Accessed 21 Apr. 2024].</w:t>
      </w:r>
    </w:p>
    <w:p w:rsidR="00261A4F" w:rsidRDefault="00337418" w:rsidP="00261A4F">
      <w:pPr>
        <w:pStyle w:val="NormalWeb"/>
        <w:spacing w:before="0" w:beforeAutospacing="0" w:after="240" w:afterAutospacing="0" w:line="360" w:lineRule="auto"/>
        <w:rPr>
          <w:rFonts w:asciiTheme="minorHAnsi" w:hAnsiTheme="minorHAnsi" w:cstheme="minorHAnsi"/>
          <w:sz w:val="22"/>
          <w:szCs w:val="22"/>
        </w:rPr>
      </w:pPr>
      <w:r>
        <w:rPr>
          <w:rFonts w:asciiTheme="minorHAnsi" w:hAnsiTheme="minorHAnsi" w:cstheme="minorHAnsi"/>
          <w:sz w:val="22"/>
          <w:szCs w:val="22"/>
        </w:rPr>
        <w:lastRenderedPageBreak/>
        <w:t>‘</w:t>
      </w:r>
      <w:r w:rsidR="00261A4F" w:rsidRPr="00261A4F">
        <w:rPr>
          <w:rFonts w:asciiTheme="minorHAnsi" w:hAnsiTheme="minorHAnsi" w:cstheme="minorHAnsi"/>
          <w:sz w:val="22"/>
          <w:szCs w:val="22"/>
        </w:rPr>
        <w:t>Vento v Chief Constable of West Yorkshire Police</w:t>
      </w:r>
      <w:r>
        <w:rPr>
          <w:rFonts w:asciiTheme="minorHAnsi" w:hAnsiTheme="minorHAnsi" w:cstheme="minorHAnsi"/>
          <w:sz w:val="22"/>
          <w:szCs w:val="22"/>
        </w:rPr>
        <w:t>’ (2003)</w:t>
      </w:r>
      <w:r w:rsidR="00261A4F">
        <w:rPr>
          <w:rFonts w:asciiTheme="minorHAnsi" w:hAnsiTheme="minorHAnsi" w:cstheme="minorHAnsi"/>
          <w:sz w:val="22"/>
          <w:szCs w:val="22"/>
        </w:rPr>
        <w:t xml:space="preserve"> IRLR 102 </w:t>
      </w:r>
      <w:r w:rsidR="00261A4F">
        <w:rPr>
          <w:rFonts w:asciiTheme="minorHAnsi" w:hAnsiTheme="minorHAnsi" w:cstheme="minorHAnsi"/>
          <w:i/>
          <w:sz w:val="22"/>
          <w:szCs w:val="22"/>
        </w:rPr>
        <w:t xml:space="preserve">Casemine </w:t>
      </w:r>
      <w:r w:rsidR="00261A4F" w:rsidRPr="00673C8F">
        <w:rPr>
          <w:rFonts w:asciiTheme="minorHAnsi" w:hAnsiTheme="minorHAnsi" w:cstheme="minorHAnsi"/>
          <w:sz w:val="22"/>
          <w:szCs w:val="22"/>
        </w:rPr>
        <w:t>[online]</w:t>
      </w:r>
      <w:r w:rsidR="00214D41">
        <w:rPr>
          <w:rFonts w:asciiTheme="minorHAnsi" w:hAnsiTheme="minorHAnsi" w:cstheme="minorHAnsi"/>
          <w:sz w:val="22"/>
          <w:szCs w:val="22"/>
        </w:rPr>
        <w:t xml:space="preserve"> Available at: </w:t>
      </w:r>
      <w:r w:rsidR="00214D41" w:rsidRPr="00214D41">
        <w:rPr>
          <w:rFonts w:asciiTheme="minorHAnsi" w:hAnsiTheme="minorHAnsi" w:cstheme="minorHAnsi"/>
          <w:sz w:val="22"/>
          <w:szCs w:val="22"/>
        </w:rPr>
        <w:t>https://www.casemine.com/judgement/uk/5b46f1ec2c94e0775e7ee256</w:t>
      </w:r>
      <w:r w:rsidR="00214D41">
        <w:rPr>
          <w:rFonts w:asciiTheme="minorHAnsi" w:hAnsiTheme="minorHAnsi" w:cstheme="minorHAnsi"/>
          <w:sz w:val="22"/>
          <w:szCs w:val="22"/>
        </w:rPr>
        <w:t xml:space="preserve"> [Accessed 21 Apr. 2024].</w:t>
      </w:r>
    </w:p>
    <w:p w:rsidR="00234F34" w:rsidRPr="00337418" w:rsidRDefault="00214D41" w:rsidP="00234F34">
      <w:pPr>
        <w:pStyle w:val="NormalWeb"/>
        <w:spacing w:before="0" w:beforeAutospacing="0" w:after="240" w:afterAutospacing="0" w:line="360" w:lineRule="auto"/>
        <w:rPr>
          <w:rFonts w:asciiTheme="minorHAnsi" w:hAnsiTheme="minorHAnsi" w:cstheme="minorHAnsi"/>
          <w:sz w:val="22"/>
          <w:szCs w:val="22"/>
          <w:u w:val="single"/>
        </w:rPr>
      </w:pPr>
      <w:r w:rsidRPr="00214D41">
        <w:rPr>
          <w:rFonts w:asciiTheme="minorHAnsi" w:hAnsiTheme="minorHAnsi" w:cstheme="minorHAnsi"/>
          <w:sz w:val="22"/>
          <w:szCs w:val="22"/>
          <w:u w:val="single"/>
        </w:rPr>
        <w:t>Legislation</w:t>
      </w:r>
    </w:p>
    <w:p w:rsidR="00234F34" w:rsidRDefault="00234F34" w:rsidP="00234F34">
      <w:pPr>
        <w:pStyle w:val="NormalWeb"/>
        <w:spacing w:before="0" w:beforeAutospacing="0" w:after="240" w:afterAutospacing="0" w:line="360" w:lineRule="auto"/>
        <w:rPr>
          <w:rFonts w:asciiTheme="minorHAnsi" w:hAnsiTheme="minorHAnsi" w:cstheme="minorHAnsi"/>
          <w:i/>
          <w:sz w:val="22"/>
          <w:szCs w:val="22"/>
        </w:rPr>
      </w:pPr>
      <w:r>
        <w:rPr>
          <w:rFonts w:asciiTheme="minorHAnsi" w:hAnsiTheme="minorHAnsi" w:cstheme="minorHAnsi"/>
          <w:i/>
          <w:sz w:val="22"/>
          <w:szCs w:val="22"/>
        </w:rPr>
        <w:t xml:space="preserve">Data Protection Act 1998. </w:t>
      </w:r>
      <w:r w:rsidRPr="00214D41">
        <w:rPr>
          <w:rFonts w:asciiTheme="minorHAnsi" w:hAnsiTheme="minorHAnsi" w:cstheme="minorHAnsi"/>
          <w:sz w:val="22"/>
          <w:szCs w:val="22"/>
        </w:rPr>
        <w:t>[online] legislation.gov.uk. Available at:</w:t>
      </w:r>
      <w:r>
        <w:rPr>
          <w:rFonts w:asciiTheme="minorHAnsi" w:hAnsiTheme="minorHAnsi" w:cstheme="minorHAnsi"/>
          <w:sz w:val="22"/>
          <w:szCs w:val="22"/>
        </w:rPr>
        <w:t xml:space="preserve"> </w:t>
      </w:r>
      <w:r w:rsidRPr="00234F34">
        <w:rPr>
          <w:rFonts w:asciiTheme="minorHAnsi" w:hAnsiTheme="minorHAnsi" w:cstheme="minorHAnsi"/>
          <w:sz w:val="22"/>
          <w:szCs w:val="22"/>
        </w:rPr>
        <w:t>https://www.legislation.gov.uk/ukpga/1998/29/contents</w:t>
      </w:r>
      <w:r>
        <w:rPr>
          <w:rFonts w:asciiTheme="minorHAnsi" w:hAnsiTheme="minorHAnsi" w:cstheme="minorHAnsi"/>
          <w:sz w:val="22"/>
          <w:szCs w:val="22"/>
        </w:rPr>
        <w:t xml:space="preserve"> </w:t>
      </w:r>
      <w:r w:rsidRPr="00214D41">
        <w:rPr>
          <w:rFonts w:asciiTheme="minorHAnsi" w:hAnsiTheme="minorHAnsi" w:cstheme="minorHAnsi"/>
          <w:sz w:val="22"/>
          <w:szCs w:val="22"/>
        </w:rPr>
        <w:t>[Accessed 18 Apr. 2024].</w:t>
      </w:r>
    </w:p>
    <w:p w:rsidR="00234F34" w:rsidRDefault="00234F34" w:rsidP="00234F34">
      <w:pPr>
        <w:pStyle w:val="NormalWeb"/>
        <w:spacing w:before="0" w:beforeAutospacing="0" w:after="240" w:afterAutospacing="0" w:line="360" w:lineRule="auto"/>
        <w:rPr>
          <w:rFonts w:asciiTheme="minorHAnsi" w:hAnsiTheme="minorHAnsi" w:cstheme="minorHAnsi"/>
          <w:sz w:val="22"/>
          <w:szCs w:val="22"/>
        </w:rPr>
      </w:pPr>
      <w:r w:rsidRPr="00234F34">
        <w:rPr>
          <w:rFonts w:asciiTheme="minorHAnsi" w:hAnsiTheme="minorHAnsi" w:cstheme="minorHAnsi"/>
          <w:i/>
          <w:sz w:val="22"/>
          <w:szCs w:val="22"/>
        </w:rPr>
        <w:t>Employee Rights Act 1996.</w:t>
      </w:r>
      <w:r>
        <w:rPr>
          <w:rFonts w:asciiTheme="minorHAnsi" w:hAnsiTheme="minorHAnsi" w:cstheme="minorHAnsi"/>
          <w:sz w:val="22"/>
          <w:szCs w:val="22"/>
        </w:rPr>
        <w:t xml:space="preserve"> </w:t>
      </w:r>
      <w:r w:rsidRPr="00214D41">
        <w:rPr>
          <w:rFonts w:asciiTheme="minorHAnsi" w:hAnsiTheme="minorHAnsi" w:cstheme="minorHAnsi"/>
          <w:sz w:val="22"/>
          <w:szCs w:val="22"/>
        </w:rPr>
        <w:t>[online] legislation.gov.uk. Available at:</w:t>
      </w:r>
      <w:r>
        <w:rPr>
          <w:rFonts w:asciiTheme="minorHAnsi" w:hAnsiTheme="minorHAnsi" w:cstheme="minorHAnsi"/>
          <w:sz w:val="22"/>
          <w:szCs w:val="22"/>
        </w:rPr>
        <w:t xml:space="preserve"> </w:t>
      </w:r>
      <w:r w:rsidRPr="00234F34">
        <w:rPr>
          <w:rFonts w:asciiTheme="minorHAnsi" w:hAnsiTheme="minorHAnsi" w:cstheme="minorHAnsi"/>
          <w:sz w:val="22"/>
          <w:szCs w:val="22"/>
        </w:rPr>
        <w:t>https://www.legislation.gov.uk/ukpga/1996/18/contents</w:t>
      </w:r>
      <w:r>
        <w:rPr>
          <w:rFonts w:asciiTheme="minorHAnsi" w:hAnsiTheme="minorHAnsi" w:cstheme="minorHAnsi"/>
          <w:sz w:val="22"/>
          <w:szCs w:val="22"/>
        </w:rPr>
        <w:t xml:space="preserve"> </w:t>
      </w:r>
      <w:r w:rsidRPr="00214D41">
        <w:rPr>
          <w:rFonts w:asciiTheme="minorHAnsi" w:hAnsiTheme="minorHAnsi" w:cstheme="minorHAnsi"/>
          <w:sz w:val="22"/>
          <w:szCs w:val="22"/>
        </w:rPr>
        <w:t>[Accessed 18 Apr. 2024].</w:t>
      </w:r>
    </w:p>
    <w:p w:rsid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i/>
          <w:iCs/>
          <w:sz w:val="22"/>
          <w:szCs w:val="22"/>
        </w:rPr>
        <w:t>Equality Act 2010</w:t>
      </w:r>
      <w:r w:rsidRPr="00214D41">
        <w:rPr>
          <w:rFonts w:asciiTheme="minorHAnsi" w:hAnsiTheme="minorHAnsi" w:cstheme="minorHAnsi"/>
          <w:sz w:val="22"/>
          <w:szCs w:val="22"/>
        </w:rPr>
        <w:t>. [online] legislation.gov.uk. Available at: https://www.legislation.gov.uk/ukpga/2010/15/contents [Accessed 18 Apr. 2024].</w:t>
      </w:r>
    </w:p>
    <w:p w:rsidR="00504930" w:rsidRDefault="00234F34" w:rsidP="00234F34">
      <w:pPr>
        <w:pStyle w:val="NormalWeb"/>
        <w:spacing w:before="0" w:beforeAutospacing="0" w:after="240" w:afterAutospacing="0" w:line="360" w:lineRule="auto"/>
        <w:rPr>
          <w:rFonts w:asciiTheme="minorHAnsi" w:hAnsiTheme="minorHAnsi" w:cstheme="minorHAnsi"/>
          <w:sz w:val="22"/>
          <w:szCs w:val="22"/>
        </w:rPr>
      </w:pPr>
      <w:r w:rsidRPr="00234F34">
        <w:rPr>
          <w:rFonts w:asciiTheme="minorHAnsi" w:hAnsiTheme="minorHAnsi" w:cstheme="minorHAnsi"/>
          <w:i/>
          <w:sz w:val="22"/>
          <w:szCs w:val="22"/>
        </w:rPr>
        <w:t>Health and Safety at Work etc. Act 1974.</w:t>
      </w:r>
      <w:r>
        <w:rPr>
          <w:rFonts w:asciiTheme="minorHAnsi" w:hAnsiTheme="minorHAnsi" w:cstheme="minorHAnsi"/>
          <w:sz w:val="22"/>
          <w:szCs w:val="22"/>
        </w:rPr>
        <w:t xml:space="preserve"> </w:t>
      </w:r>
      <w:r w:rsidRPr="00214D41">
        <w:rPr>
          <w:rFonts w:asciiTheme="minorHAnsi" w:hAnsiTheme="minorHAnsi" w:cstheme="minorHAnsi"/>
          <w:sz w:val="22"/>
          <w:szCs w:val="22"/>
        </w:rPr>
        <w:t>[online] legislation.gov.uk. Available at:</w:t>
      </w:r>
      <w:r>
        <w:rPr>
          <w:rFonts w:asciiTheme="minorHAnsi" w:hAnsiTheme="minorHAnsi" w:cstheme="minorHAnsi"/>
          <w:sz w:val="22"/>
          <w:szCs w:val="22"/>
        </w:rPr>
        <w:t xml:space="preserve"> </w:t>
      </w:r>
      <w:r w:rsidRPr="00234F34">
        <w:rPr>
          <w:rFonts w:asciiTheme="minorHAnsi" w:hAnsiTheme="minorHAnsi" w:cstheme="minorHAnsi"/>
          <w:sz w:val="22"/>
          <w:szCs w:val="22"/>
        </w:rPr>
        <w:t>https://www.legislation.gov.uk/ukpga/1974/37/contents</w:t>
      </w:r>
      <w:r w:rsidRPr="00214D41">
        <w:rPr>
          <w:rFonts w:asciiTheme="minorHAnsi" w:hAnsiTheme="minorHAnsi" w:cstheme="minorHAnsi"/>
          <w:sz w:val="22"/>
          <w:szCs w:val="22"/>
        </w:rPr>
        <w:t xml:space="preserve"> [Accessed 18 Apr. 2024].</w:t>
      </w:r>
    </w:p>
    <w:p w:rsidR="00337418" w:rsidRDefault="00337418" w:rsidP="00234F34">
      <w:pPr>
        <w:pStyle w:val="NormalWeb"/>
        <w:spacing w:before="0" w:beforeAutospacing="0" w:after="240" w:afterAutospacing="0" w:line="360" w:lineRule="auto"/>
        <w:rPr>
          <w:rFonts w:asciiTheme="minorHAnsi" w:hAnsiTheme="minorHAnsi" w:cstheme="minorHAnsi"/>
          <w:sz w:val="22"/>
          <w:szCs w:val="22"/>
        </w:rPr>
      </w:pPr>
      <w:r w:rsidRPr="00337418">
        <w:rPr>
          <w:rFonts w:asciiTheme="minorHAnsi" w:hAnsiTheme="minorHAnsi" w:cstheme="minorHAnsi"/>
          <w:i/>
          <w:sz w:val="22"/>
          <w:szCs w:val="22"/>
        </w:rPr>
        <w:t>National Minimum Wage Act 1998.</w:t>
      </w:r>
      <w:r>
        <w:rPr>
          <w:rFonts w:asciiTheme="minorHAnsi" w:hAnsiTheme="minorHAnsi" w:cstheme="minorHAnsi"/>
          <w:sz w:val="22"/>
          <w:szCs w:val="22"/>
        </w:rPr>
        <w:t xml:space="preserve"> </w:t>
      </w:r>
      <w:r w:rsidRPr="00214D41">
        <w:rPr>
          <w:rFonts w:asciiTheme="minorHAnsi" w:hAnsiTheme="minorHAnsi" w:cstheme="minorHAnsi"/>
          <w:sz w:val="22"/>
          <w:szCs w:val="22"/>
        </w:rPr>
        <w:t>[online] legislation.gov.uk. Available at:</w:t>
      </w:r>
      <w:r>
        <w:rPr>
          <w:rFonts w:asciiTheme="minorHAnsi" w:hAnsiTheme="minorHAnsi" w:cstheme="minorHAnsi"/>
          <w:sz w:val="22"/>
          <w:szCs w:val="22"/>
        </w:rPr>
        <w:t xml:space="preserve"> </w:t>
      </w:r>
      <w:r w:rsidRPr="00337418">
        <w:rPr>
          <w:rFonts w:asciiTheme="minorHAnsi" w:hAnsiTheme="minorHAnsi" w:cstheme="minorHAnsi"/>
          <w:sz w:val="22"/>
          <w:szCs w:val="22"/>
        </w:rPr>
        <w:t>https://www.legislation.gov.uk/ukpga/1998/39/contents [Accessed 18 Apr. 2024].</w:t>
      </w:r>
    </w:p>
    <w:p w:rsidR="00337418" w:rsidRDefault="00337418" w:rsidP="00234F34">
      <w:pPr>
        <w:pStyle w:val="NormalWeb"/>
        <w:spacing w:before="0" w:beforeAutospacing="0" w:after="240" w:afterAutospacing="0" w:line="360" w:lineRule="auto"/>
        <w:rPr>
          <w:rFonts w:asciiTheme="minorHAnsi" w:hAnsiTheme="minorHAnsi" w:cstheme="minorHAnsi"/>
          <w:sz w:val="22"/>
          <w:szCs w:val="22"/>
        </w:rPr>
      </w:pPr>
      <w:r w:rsidRPr="00337418">
        <w:rPr>
          <w:rFonts w:asciiTheme="minorHAnsi" w:hAnsiTheme="minorHAnsi" w:cstheme="minorHAnsi"/>
          <w:i/>
          <w:sz w:val="22"/>
          <w:szCs w:val="22"/>
        </w:rPr>
        <w:t>The Flexible Working Regulations 2014.</w:t>
      </w:r>
      <w:r>
        <w:rPr>
          <w:rFonts w:asciiTheme="minorHAnsi" w:hAnsiTheme="minorHAnsi" w:cstheme="minorHAnsi"/>
          <w:sz w:val="22"/>
          <w:szCs w:val="22"/>
        </w:rPr>
        <w:t xml:space="preserve"> </w:t>
      </w:r>
      <w:r w:rsidRPr="00214D41">
        <w:rPr>
          <w:rFonts w:asciiTheme="minorHAnsi" w:hAnsiTheme="minorHAnsi" w:cstheme="minorHAnsi"/>
          <w:sz w:val="22"/>
          <w:szCs w:val="22"/>
        </w:rPr>
        <w:t>[online] legislation.gov.uk. Available at:</w:t>
      </w:r>
      <w:r>
        <w:rPr>
          <w:rFonts w:asciiTheme="minorHAnsi" w:hAnsiTheme="minorHAnsi" w:cstheme="minorHAnsi"/>
          <w:sz w:val="22"/>
          <w:szCs w:val="22"/>
        </w:rPr>
        <w:t xml:space="preserve"> </w:t>
      </w:r>
      <w:r w:rsidRPr="00337418">
        <w:rPr>
          <w:rFonts w:asciiTheme="minorHAnsi" w:hAnsiTheme="minorHAnsi" w:cstheme="minorHAnsi"/>
          <w:sz w:val="22"/>
          <w:szCs w:val="22"/>
        </w:rPr>
        <w:t>https://www.legislation.gov.uk/uksi/2014/1398/contents [Accessed 18 Apr. 2024].</w:t>
      </w:r>
    </w:p>
    <w:p w:rsidR="00337418" w:rsidRDefault="00337418" w:rsidP="00337418">
      <w:pPr>
        <w:pStyle w:val="Heading1"/>
        <w:shd w:val="clear" w:color="auto" w:fill="FFFFFF"/>
        <w:spacing w:before="0" w:beforeAutospacing="0" w:after="0" w:afterAutospacing="0" w:line="288" w:lineRule="atLeast"/>
        <w:rPr>
          <w:rFonts w:asciiTheme="minorHAnsi" w:hAnsiTheme="minorHAnsi" w:cstheme="minorHAnsi"/>
          <w:b w:val="0"/>
          <w:sz w:val="22"/>
          <w:szCs w:val="22"/>
        </w:rPr>
      </w:pPr>
      <w:r w:rsidRPr="00337418">
        <w:rPr>
          <w:rFonts w:asciiTheme="minorHAnsi" w:hAnsiTheme="minorHAnsi" w:cstheme="minorHAnsi"/>
          <w:b w:val="0"/>
          <w:bCs w:val="0"/>
          <w:i/>
          <w:color w:val="1E1E1E"/>
          <w:sz w:val="22"/>
          <w:szCs w:val="22"/>
        </w:rPr>
        <w:t xml:space="preserve">The Transfer of Undertakings (Protection of Employment) Regulations 2006. </w:t>
      </w:r>
      <w:r w:rsidRPr="00337418">
        <w:rPr>
          <w:rFonts w:asciiTheme="minorHAnsi" w:hAnsiTheme="minorHAnsi" w:cstheme="minorHAnsi"/>
          <w:b w:val="0"/>
          <w:sz w:val="22"/>
          <w:szCs w:val="22"/>
        </w:rPr>
        <w:t>[online] legislation.gov.uk. Available at:</w:t>
      </w:r>
      <w:r>
        <w:rPr>
          <w:rFonts w:asciiTheme="minorHAnsi" w:hAnsiTheme="minorHAnsi" w:cstheme="minorHAnsi"/>
          <w:b w:val="0"/>
          <w:sz w:val="22"/>
          <w:szCs w:val="22"/>
        </w:rPr>
        <w:t xml:space="preserve"> </w:t>
      </w:r>
      <w:r w:rsidRPr="00337418">
        <w:rPr>
          <w:rFonts w:asciiTheme="minorHAnsi" w:hAnsiTheme="minorHAnsi" w:cstheme="minorHAnsi"/>
          <w:b w:val="0"/>
          <w:sz w:val="22"/>
          <w:szCs w:val="22"/>
        </w:rPr>
        <w:t>https://www.legislation.gov.uk/uksi/2006/246/contents/made</w:t>
      </w:r>
      <w:r w:rsidRPr="00337418">
        <w:rPr>
          <w:rFonts w:asciiTheme="minorHAnsi" w:hAnsiTheme="minorHAnsi" w:cstheme="minorHAnsi"/>
          <w:sz w:val="22"/>
          <w:szCs w:val="22"/>
        </w:rPr>
        <w:t xml:space="preserve"> </w:t>
      </w:r>
      <w:r w:rsidRPr="00337418">
        <w:rPr>
          <w:rFonts w:asciiTheme="minorHAnsi" w:hAnsiTheme="minorHAnsi" w:cstheme="minorHAnsi"/>
          <w:b w:val="0"/>
          <w:sz w:val="22"/>
          <w:szCs w:val="22"/>
        </w:rPr>
        <w:t>[Accessed 18 Apr. 2024].</w:t>
      </w:r>
    </w:p>
    <w:p w:rsidR="00337418" w:rsidRPr="00337418" w:rsidRDefault="00337418" w:rsidP="00337418">
      <w:pPr>
        <w:pStyle w:val="Heading1"/>
        <w:shd w:val="clear" w:color="auto" w:fill="FFFFFF"/>
        <w:spacing w:before="0" w:beforeAutospacing="0" w:after="0" w:afterAutospacing="0" w:line="288" w:lineRule="atLeast"/>
        <w:rPr>
          <w:rFonts w:asciiTheme="minorHAnsi" w:hAnsiTheme="minorHAnsi" w:cstheme="minorHAnsi"/>
          <w:b w:val="0"/>
          <w:bCs w:val="0"/>
          <w:i/>
          <w:color w:val="1E1E1E"/>
          <w:sz w:val="22"/>
          <w:szCs w:val="22"/>
        </w:rPr>
      </w:pPr>
    </w:p>
    <w:p w:rsidR="00234F34" w:rsidRPr="00337418" w:rsidRDefault="00234F34" w:rsidP="00234F34">
      <w:pPr>
        <w:pStyle w:val="NormalWeb"/>
        <w:spacing w:before="0" w:beforeAutospacing="0" w:after="240" w:afterAutospacing="0" w:line="360" w:lineRule="auto"/>
        <w:rPr>
          <w:rFonts w:asciiTheme="minorHAnsi" w:hAnsiTheme="minorHAnsi" w:cstheme="minorHAnsi"/>
          <w:sz w:val="22"/>
          <w:szCs w:val="22"/>
        </w:rPr>
      </w:pPr>
      <w:r w:rsidRPr="00337418">
        <w:rPr>
          <w:rFonts w:asciiTheme="minorHAnsi" w:hAnsiTheme="minorHAnsi" w:cstheme="minorHAnsi"/>
          <w:i/>
          <w:sz w:val="22"/>
          <w:szCs w:val="22"/>
        </w:rPr>
        <w:t>The Working Time (Amendment) Regulations 2007.</w:t>
      </w:r>
      <w:r>
        <w:rPr>
          <w:rFonts w:asciiTheme="minorHAnsi" w:hAnsiTheme="minorHAnsi" w:cstheme="minorHAnsi"/>
          <w:sz w:val="22"/>
          <w:szCs w:val="22"/>
        </w:rPr>
        <w:t xml:space="preserve"> </w:t>
      </w:r>
      <w:r w:rsidR="00337418" w:rsidRPr="00214D41">
        <w:rPr>
          <w:rFonts w:asciiTheme="minorHAnsi" w:hAnsiTheme="minorHAnsi" w:cstheme="minorHAnsi"/>
          <w:sz w:val="22"/>
          <w:szCs w:val="22"/>
        </w:rPr>
        <w:t>[online] legislation.gov.uk. Available at:</w:t>
      </w:r>
      <w:r w:rsidR="00337418">
        <w:rPr>
          <w:rFonts w:asciiTheme="minorHAnsi" w:hAnsiTheme="minorHAnsi" w:cstheme="minorHAnsi"/>
          <w:sz w:val="22"/>
          <w:szCs w:val="22"/>
        </w:rPr>
        <w:t xml:space="preserve"> </w:t>
      </w:r>
      <w:r w:rsidR="00337418" w:rsidRPr="00337418">
        <w:rPr>
          <w:rFonts w:asciiTheme="minorHAnsi" w:hAnsiTheme="minorHAnsi" w:cstheme="minorHAnsi"/>
          <w:sz w:val="22"/>
          <w:szCs w:val="22"/>
        </w:rPr>
        <w:t>https://www.legislation.gov.uk/uksi/2007/2079/contents/made [Accessed 18 Apr. 2024].</w:t>
      </w:r>
    </w:p>
    <w:p w:rsidR="00337418" w:rsidRPr="00234F34" w:rsidRDefault="00337418" w:rsidP="00337418">
      <w:pPr>
        <w:pStyle w:val="NormalWeb"/>
        <w:spacing w:before="0" w:beforeAutospacing="0" w:after="240" w:afterAutospacing="0" w:line="360" w:lineRule="auto"/>
        <w:rPr>
          <w:rFonts w:asciiTheme="minorHAnsi" w:hAnsiTheme="minorHAnsi" w:cstheme="minorHAnsi"/>
          <w:sz w:val="22"/>
          <w:szCs w:val="22"/>
        </w:rPr>
      </w:pPr>
      <w:r w:rsidRPr="00234F34">
        <w:rPr>
          <w:rFonts w:asciiTheme="minorHAnsi" w:hAnsiTheme="minorHAnsi" w:cstheme="minorHAnsi"/>
          <w:i/>
          <w:sz w:val="22"/>
          <w:szCs w:val="22"/>
        </w:rPr>
        <w:t>The Working Time Regulations 1998.</w:t>
      </w:r>
      <w:r>
        <w:rPr>
          <w:rFonts w:asciiTheme="minorHAnsi" w:hAnsiTheme="minorHAnsi" w:cstheme="minorHAnsi"/>
          <w:sz w:val="22"/>
          <w:szCs w:val="22"/>
        </w:rPr>
        <w:t xml:space="preserve"> </w:t>
      </w:r>
      <w:r w:rsidRPr="00214D41">
        <w:rPr>
          <w:rFonts w:asciiTheme="minorHAnsi" w:hAnsiTheme="minorHAnsi" w:cstheme="minorHAnsi"/>
          <w:sz w:val="22"/>
          <w:szCs w:val="22"/>
        </w:rPr>
        <w:t>[online] legislation.gov.uk. Available at:</w:t>
      </w:r>
      <w:r>
        <w:rPr>
          <w:rFonts w:asciiTheme="minorHAnsi" w:hAnsiTheme="minorHAnsi" w:cstheme="minorHAnsi"/>
          <w:sz w:val="22"/>
          <w:szCs w:val="22"/>
        </w:rPr>
        <w:t xml:space="preserve"> </w:t>
      </w:r>
      <w:r w:rsidRPr="00234F34">
        <w:rPr>
          <w:rFonts w:asciiTheme="minorHAnsi" w:hAnsiTheme="minorHAnsi" w:cstheme="minorHAnsi"/>
          <w:sz w:val="22"/>
          <w:szCs w:val="22"/>
        </w:rPr>
        <w:t>https://www.legislation.gov.uk/uksi/1998/1833/contents</w:t>
      </w:r>
      <w:r w:rsidRPr="00214D41">
        <w:rPr>
          <w:rFonts w:asciiTheme="minorHAnsi" w:hAnsiTheme="minorHAnsi" w:cstheme="minorHAnsi"/>
          <w:sz w:val="22"/>
          <w:szCs w:val="22"/>
        </w:rPr>
        <w:t xml:space="preserve"> [Accessed 18 Apr. 2024].</w:t>
      </w:r>
    </w:p>
    <w:p w:rsidR="00337418" w:rsidRPr="00337418" w:rsidRDefault="00337418">
      <w:pPr>
        <w:pStyle w:val="Heading1"/>
        <w:shd w:val="clear" w:color="auto" w:fill="FFFFFF"/>
        <w:spacing w:before="0" w:beforeAutospacing="0" w:after="0" w:afterAutospacing="0" w:line="288" w:lineRule="atLeast"/>
        <w:rPr>
          <w:rFonts w:asciiTheme="minorHAnsi" w:hAnsiTheme="minorHAnsi" w:cstheme="minorHAnsi"/>
          <w:b w:val="0"/>
          <w:bCs w:val="0"/>
          <w:i/>
          <w:color w:val="1E1E1E"/>
          <w:sz w:val="22"/>
          <w:szCs w:val="22"/>
        </w:rPr>
      </w:pPr>
    </w:p>
    <w:sectPr w:rsidR="00337418" w:rsidRPr="00337418">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726E7" w:rsidRDefault="00C726E7" w:rsidP="00083725">
      <w:pPr>
        <w:spacing w:after="0" w:line="240" w:lineRule="auto"/>
      </w:pPr>
      <w:r>
        <w:separator/>
      </w:r>
    </w:p>
  </w:endnote>
  <w:endnote w:type="continuationSeparator" w:id="0">
    <w:p w:rsidR="00C726E7" w:rsidRDefault="00C726E7" w:rsidP="000837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726E7" w:rsidRDefault="00C726E7" w:rsidP="00083725">
      <w:pPr>
        <w:spacing w:after="0" w:line="240" w:lineRule="auto"/>
      </w:pPr>
      <w:r>
        <w:separator/>
      </w:r>
    </w:p>
  </w:footnote>
  <w:footnote w:type="continuationSeparator" w:id="0">
    <w:p w:rsidR="00C726E7" w:rsidRDefault="00C726E7" w:rsidP="000837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556C0" w:rsidRPr="000556C0" w:rsidRDefault="00083725" w:rsidP="000556C0">
    <w:pPr>
      <w:pStyle w:val="Heading1"/>
      <w:shd w:val="clear" w:color="auto" w:fill="FFFFFF"/>
      <w:spacing w:before="0" w:beforeAutospacing="0"/>
      <w:rPr>
        <w:rFonts w:asciiTheme="minorHAnsi" w:hAnsiTheme="minorHAnsi" w:cstheme="minorHAnsi"/>
        <w:color w:val="1D2125"/>
        <w:sz w:val="22"/>
        <w:szCs w:val="22"/>
      </w:rPr>
    </w:pPr>
    <w:r w:rsidRPr="000556C0">
      <w:rPr>
        <w:rFonts w:asciiTheme="minorHAnsi" w:hAnsiTheme="minorHAnsi" w:cstheme="minorHAnsi"/>
        <w:sz w:val="22"/>
        <w:szCs w:val="22"/>
      </w:rPr>
      <w:t>Laura Parry</w:t>
    </w:r>
    <w:r w:rsidRPr="000556C0">
      <w:rPr>
        <w:rFonts w:asciiTheme="minorHAnsi" w:hAnsiTheme="minorHAnsi" w:cstheme="minorHAnsi"/>
        <w:sz w:val="22"/>
        <w:szCs w:val="22"/>
      </w:rPr>
      <w:ptab w:relativeTo="margin" w:alignment="center" w:leader="none"/>
    </w:r>
    <w:r w:rsidRPr="000556C0">
      <w:rPr>
        <w:rFonts w:asciiTheme="minorHAnsi" w:hAnsiTheme="minorHAnsi" w:cstheme="minorHAnsi"/>
        <w:sz w:val="22"/>
        <w:szCs w:val="22"/>
      </w:rPr>
      <w:t xml:space="preserve">CIPD </w:t>
    </w:r>
    <w:r w:rsidR="000556C0" w:rsidRPr="000556C0">
      <w:rPr>
        <w:rFonts w:asciiTheme="minorHAnsi" w:hAnsiTheme="minorHAnsi" w:cstheme="minorHAnsi"/>
        <w:color w:val="1D2125"/>
        <w:sz w:val="22"/>
        <w:szCs w:val="22"/>
      </w:rPr>
      <w:t>Specialist Employment Law (BMPD5022)</w:t>
    </w:r>
  </w:p>
  <w:p w:rsidR="00083725" w:rsidRDefault="0008372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934909"/>
    <w:multiLevelType w:val="hybridMultilevel"/>
    <w:tmpl w:val="BA9A4068"/>
    <w:lvl w:ilvl="0" w:tplc="9612BF06">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0D4F4507"/>
    <w:multiLevelType w:val="hybridMultilevel"/>
    <w:tmpl w:val="C38EA0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AAF5307"/>
    <w:multiLevelType w:val="hybridMultilevel"/>
    <w:tmpl w:val="FE5CB9E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D123ACB"/>
    <w:multiLevelType w:val="hybridMultilevel"/>
    <w:tmpl w:val="909E76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305C7CA8"/>
    <w:multiLevelType w:val="hybridMultilevel"/>
    <w:tmpl w:val="3BD0F54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307953DC"/>
    <w:multiLevelType w:val="hybridMultilevel"/>
    <w:tmpl w:val="DEB675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3A657F62"/>
    <w:multiLevelType w:val="hybridMultilevel"/>
    <w:tmpl w:val="410CDF8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BD33EDB"/>
    <w:multiLevelType w:val="hybridMultilevel"/>
    <w:tmpl w:val="546C223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4DE512AD"/>
    <w:multiLevelType w:val="hybridMultilevel"/>
    <w:tmpl w:val="738EA5E4"/>
    <w:lvl w:ilvl="0" w:tplc="08090001">
      <w:start w:val="1"/>
      <w:numFmt w:val="bullet"/>
      <w:lvlText w:val=""/>
      <w:lvlJc w:val="left"/>
      <w:pPr>
        <w:ind w:left="1488" w:hanging="360"/>
      </w:pPr>
      <w:rPr>
        <w:rFonts w:ascii="Symbol" w:hAnsi="Symbol" w:hint="default"/>
      </w:rPr>
    </w:lvl>
    <w:lvl w:ilvl="1" w:tplc="08090003" w:tentative="1">
      <w:start w:val="1"/>
      <w:numFmt w:val="bullet"/>
      <w:lvlText w:val="o"/>
      <w:lvlJc w:val="left"/>
      <w:pPr>
        <w:ind w:left="2208" w:hanging="360"/>
      </w:pPr>
      <w:rPr>
        <w:rFonts w:ascii="Courier New" w:hAnsi="Courier New" w:cs="Courier New" w:hint="default"/>
      </w:rPr>
    </w:lvl>
    <w:lvl w:ilvl="2" w:tplc="08090005" w:tentative="1">
      <w:start w:val="1"/>
      <w:numFmt w:val="bullet"/>
      <w:lvlText w:val=""/>
      <w:lvlJc w:val="left"/>
      <w:pPr>
        <w:ind w:left="2928" w:hanging="360"/>
      </w:pPr>
      <w:rPr>
        <w:rFonts w:ascii="Wingdings" w:hAnsi="Wingdings" w:hint="default"/>
      </w:rPr>
    </w:lvl>
    <w:lvl w:ilvl="3" w:tplc="08090001" w:tentative="1">
      <w:start w:val="1"/>
      <w:numFmt w:val="bullet"/>
      <w:lvlText w:val=""/>
      <w:lvlJc w:val="left"/>
      <w:pPr>
        <w:ind w:left="3648" w:hanging="360"/>
      </w:pPr>
      <w:rPr>
        <w:rFonts w:ascii="Symbol" w:hAnsi="Symbol" w:hint="default"/>
      </w:rPr>
    </w:lvl>
    <w:lvl w:ilvl="4" w:tplc="08090003" w:tentative="1">
      <w:start w:val="1"/>
      <w:numFmt w:val="bullet"/>
      <w:lvlText w:val="o"/>
      <w:lvlJc w:val="left"/>
      <w:pPr>
        <w:ind w:left="4368" w:hanging="360"/>
      </w:pPr>
      <w:rPr>
        <w:rFonts w:ascii="Courier New" w:hAnsi="Courier New" w:cs="Courier New" w:hint="default"/>
      </w:rPr>
    </w:lvl>
    <w:lvl w:ilvl="5" w:tplc="08090005" w:tentative="1">
      <w:start w:val="1"/>
      <w:numFmt w:val="bullet"/>
      <w:lvlText w:val=""/>
      <w:lvlJc w:val="left"/>
      <w:pPr>
        <w:ind w:left="5088" w:hanging="360"/>
      </w:pPr>
      <w:rPr>
        <w:rFonts w:ascii="Wingdings" w:hAnsi="Wingdings" w:hint="default"/>
      </w:rPr>
    </w:lvl>
    <w:lvl w:ilvl="6" w:tplc="08090001" w:tentative="1">
      <w:start w:val="1"/>
      <w:numFmt w:val="bullet"/>
      <w:lvlText w:val=""/>
      <w:lvlJc w:val="left"/>
      <w:pPr>
        <w:ind w:left="5808" w:hanging="360"/>
      </w:pPr>
      <w:rPr>
        <w:rFonts w:ascii="Symbol" w:hAnsi="Symbol" w:hint="default"/>
      </w:rPr>
    </w:lvl>
    <w:lvl w:ilvl="7" w:tplc="08090003" w:tentative="1">
      <w:start w:val="1"/>
      <w:numFmt w:val="bullet"/>
      <w:lvlText w:val="o"/>
      <w:lvlJc w:val="left"/>
      <w:pPr>
        <w:ind w:left="6528" w:hanging="360"/>
      </w:pPr>
      <w:rPr>
        <w:rFonts w:ascii="Courier New" w:hAnsi="Courier New" w:cs="Courier New" w:hint="default"/>
      </w:rPr>
    </w:lvl>
    <w:lvl w:ilvl="8" w:tplc="08090005" w:tentative="1">
      <w:start w:val="1"/>
      <w:numFmt w:val="bullet"/>
      <w:lvlText w:val=""/>
      <w:lvlJc w:val="left"/>
      <w:pPr>
        <w:ind w:left="7248" w:hanging="360"/>
      </w:pPr>
      <w:rPr>
        <w:rFonts w:ascii="Wingdings" w:hAnsi="Wingdings" w:hint="default"/>
      </w:rPr>
    </w:lvl>
  </w:abstractNum>
  <w:abstractNum w:abstractNumId="10" w15:restartNumberingAfterBreak="0">
    <w:nsid w:val="58197988"/>
    <w:multiLevelType w:val="hybridMultilevel"/>
    <w:tmpl w:val="4B80F99E"/>
    <w:lvl w:ilvl="0" w:tplc="08090001">
      <w:start w:val="1"/>
      <w:numFmt w:val="bullet"/>
      <w:lvlText w:val=""/>
      <w:lvlJc w:val="left"/>
      <w:pPr>
        <w:ind w:left="1536" w:hanging="360"/>
      </w:pPr>
      <w:rPr>
        <w:rFonts w:ascii="Symbol" w:hAnsi="Symbol" w:hint="default"/>
      </w:rPr>
    </w:lvl>
    <w:lvl w:ilvl="1" w:tplc="08090003" w:tentative="1">
      <w:start w:val="1"/>
      <w:numFmt w:val="bullet"/>
      <w:lvlText w:val="o"/>
      <w:lvlJc w:val="left"/>
      <w:pPr>
        <w:ind w:left="2256" w:hanging="360"/>
      </w:pPr>
      <w:rPr>
        <w:rFonts w:ascii="Courier New" w:hAnsi="Courier New" w:cs="Courier New" w:hint="default"/>
      </w:rPr>
    </w:lvl>
    <w:lvl w:ilvl="2" w:tplc="08090005" w:tentative="1">
      <w:start w:val="1"/>
      <w:numFmt w:val="bullet"/>
      <w:lvlText w:val=""/>
      <w:lvlJc w:val="left"/>
      <w:pPr>
        <w:ind w:left="2976" w:hanging="360"/>
      </w:pPr>
      <w:rPr>
        <w:rFonts w:ascii="Wingdings" w:hAnsi="Wingdings" w:hint="default"/>
      </w:rPr>
    </w:lvl>
    <w:lvl w:ilvl="3" w:tplc="08090001" w:tentative="1">
      <w:start w:val="1"/>
      <w:numFmt w:val="bullet"/>
      <w:lvlText w:val=""/>
      <w:lvlJc w:val="left"/>
      <w:pPr>
        <w:ind w:left="3696" w:hanging="360"/>
      </w:pPr>
      <w:rPr>
        <w:rFonts w:ascii="Symbol" w:hAnsi="Symbol" w:hint="default"/>
      </w:rPr>
    </w:lvl>
    <w:lvl w:ilvl="4" w:tplc="08090003" w:tentative="1">
      <w:start w:val="1"/>
      <w:numFmt w:val="bullet"/>
      <w:lvlText w:val="o"/>
      <w:lvlJc w:val="left"/>
      <w:pPr>
        <w:ind w:left="4416" w:hanging="360"/>
      </w:pPr>
      <w:rPr>
        <w:rFonts w:ascii="Courier New" w:hAnsi="Courier New" w:cs="Courier New" w:hint="default"/>
      </w:rPr>
    </w:lvl>
    <w:lvl w:ilvl="5" w:tplc="08090005" w:tentative="1">
      <w:start w:val="1"/>
      <w:numFmt w:val="bullet"/>
      <w:lvlText w:val=""/>
      <w:lvlJc w:val="left"/>
      <w:pPr>
        <w:ind w:left="5136" w:hanging="360"/>
      </w:pPr>
      <w:rPr>
        <w:rFonts w:ascii="Wingdings" w:hAnsi="Wingdings" w:hint="default"/>
      </w:rPr>
    </w:lvl>
    <w:lvl w:ilvl="6" w:tplc="08090001" w:tentative="1">
      <w:start w:val="1"/>
      <w:numFmt w:val="bullet"/>
      <w:lvlText w:val=""/>
      <w:lvlJc w:val="left"/>
      <w:pPr>
        <w:ind w:left="5856" w:hanging="360"/>
      </w:pPr>
      <w:rPr>
        <w:rFonts w:ascii="Symbol" w:hAnsi="Symbol" w:hint="default"/>
      </w:rPr>
    </w:lvl>
    <w:lvl w:ilvl="7" w:tplc="08090003" w:tentative="1">
      <w:start w:val="1"/>
      <w:numFmt w:val="bullet"/>
      <w:lvlText w:val="o"/>
      <w:lvlJc w:val="left"/>
      <w:pPr>
        <w:ind w:left="6576" w:hanging="360"/>
      </w:pPr>
      <w:rPr>
        <w:rFonts w:ascii="Courier New" w:hAnsi="Courier New" w:cs="Courier New" w:hint="default"/>
      </w:rPr>
    </w:lvl>
    <w:lvl w:ilvl="8" w:tplc="08090005" w:tentative="1">
      <w:start w:val="1"/>
      <w:numFmt w:val="bullet"/>
      <w:lvlText w:val=""/>
      <w:lvlJc w:val="left"/>
      <w:pPr>
        <w:ind w:left="7296" w:hanging="360"/>
      </w:pPr>
      <w:rPr>
        <w:rFonts w:ascii="Wingdings" w:hAnsi="Wingdings" w:hint="default"/>
      </w:rPr>
    </w:lvl>
  </w:abstractNum>
  <w:abstractNum w:abstractNumId="11" w15:restartNumberingAfterBreak="0">
    <w:nsid w:val="5F5E50D2"/>
    <w:multiLevelType w:val="hybridMultilevel"/>
    <w:tmpl w:val="BD6C60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611C313C"/>
    <w:multiLevelType w:val="hybridMultilevel"/>
    <w:tmpl w:val="2B6293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C45911"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FF01E7B"/>
    <w:multiLevelType w:val="hybridMultilevel"/>
    <w:tmpl w:val="011032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70234947"/>
    <w:multiLevelType w:val="hybridMultilevel"/>
    <w:tmpl w:val="C0AAD93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71AA6872"/>
    <w:multiLevelType w:val="hybridMultilevel"/>
    <w:tmpl w:val="4F24A9D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73F8361B"/>
    <w:multiLevelType w:val="hybridMultilevel"/>
    <w:tmpl w:val="BEA8CB5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74622A38"/>
    <w:multiLevelType w:val="hybridMultilevel"/>
    <w:tmpl w:val="E75695F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78970726"/>
    <w:multiLevelType w:val="hybridMultilevel"/>
    <w:tmpl w:val="B6A688D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7BE14129"/>
    <w:multiLevelType w:val="hybridMultilevel"/>
    <w:tmpl w:val="14764F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7CA52178"/>
    <w:multiLevelType w:val="hybridMultilevel"/>
    <w:tmpl w:val="7286DC6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13"/>
  </w:num>
  <w:num w:numId="2">
    <w:abstractNumId w:val="0"/>
  </w:num>
  <w:num w:numId="3">
    <w:abstractNumId w:val="19"/>
  </w:num>
  <w:num w:numId="4">
    <w:abstractNumId w:val="16"/>
  </w:num>
  <w:num w:numId="5">
    <w:abstractNumId w:val="21"/>
  </w:num>
  <w:num w:numId="6">
    <w:abstractNumId w:val="20"/>
  </w:num>
  <w:num w:numId="7">
    <w:abstractNumId w:val="9"/>
  </w:num>
  <w:num w:numId="8">
    <w:abstractNumId w:val="3"/>
  </w:num>
  <w:num w:numId="9">
    <w:abstractNumId w:val="12"/>
  </w:num>
  <w:num w:numId="10">
    <w:abstractNumId w:val="5"/>
  </w:num>
  <w:num w:numId="11">
    <w:abstractNumId w:val="8"/>
  </w:num>
  <w:num w:numId="12">
    <w:abstractNumId w:val="17"/>
  </w:num>
  <w:num w:numId="13">
    <w:abstractNumId w:val="14"/>
  </w:num>
  <w:num w:numId="14">
    <w:abstractNumId w:val="18"/>
  </w:num>
  <w:num w:numId="15">
    <w:abstractNumId w:val="10"/>
  </w:num>
  <w:num w:numId="16">
    <w:abstractNumId w:val="11"/>
  </w:num>
  <w:num w:numId="17">
    <w:abstractNumId w:val="2"/>
  </w:num>
  <w:num w:numId="18">
    <w:abstractNumId w:val="6"/>
  </w:num>
  <w:num w:numId="19">
    <w:abstractNumId w:val="1"/>
  </w:num>
  <w:num w:numId="20">
    <w:abstractNumId w:val="4"/>
  </w:num>
  <w:num w:numId="21">
    <w:abstractNumId w:val="7"/>
  </w:num>
  <w:num w:numId="22">
    <w:abstractNumId w:val="15"/>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3725"/>
    <w:rsid w:val="000056F9"/>
    <w:rsid w:val="00006ACE"/>
    <w:rsid w:val="00007CA2"/>
    <w:rsid w:val="000177C6"/>
    <w:rsid w:val="0003236F"/>
    <w:rsid w:val="000408A4"/>
    <w:rsid w:val="000451EE"/>
    <w:rsid w:val="00046F74"/>
    <w:rsid w:val="000476F3"/>
    <w:rsid w:val="00053284"/>
    <w:rsid w:val="000556C0"/>
    <w:rsid w:val="00056581"/>
    <w:rsid w:val="00061A40"/>
    <w:rsid w:val="00065811"/>
    <w:rsid w:val="00074405"/>
    <w:rsid w:val="000767AB"/>
    <w:rsid w:val="00081BF6"/>
    <w:rsid w:val="0008349F"/>
    <w:rsid w:val="00083725"/>
    <w:rsid w:val="000850B3"/>
    <w:rsid w:val="000861E6"/>
    <w:rsid w:val="00090BD9"/>
    <w:rsid w:val="00097610"/>
    <w:rsid w:val="000B4074"/>
    <w:rsid w:val="000B5E3B"/>
    <w:rsid w:val="000B6AFB"/>
    <w:rsid w:val="000C0DB7"/>
    <w:rsid w:val="000C2EFE"/>
    <w:rsid w:val="000D05CB"/>
    <w:rsid w:val="000D5C63"/>
    <w:rsid w:val="000F03CA"/>
    <w:rsid w:val="000F2A7B"/>
    <w:rsid w:val="000F3653"/>
    <w:rsid w:val="0010563E"/>
    <w:rsid w:val="00106531"/>
    <w:rsid w:val="0012328C"/>
    <w:rsid w:val="00131676"/>
    <w:rsid w:val="00133B79"/>
    <w:rsid w:val="00135304"/>
    <w:rsid w:val="00136A43"/>
    <w:rsid w:val="00141AA7"/>
    <w:rsid w:val="00147F04"/>
    <w:rsid w:val="0015606B"/>
    <w:rsid w:val="00156A0A"/>
    <w:rsid w:val="00160AFF"/>
    <w:rsid w:val="00161123"/>
    <w:rsid w:val="00163B0D"/>
    <w:rsid w:val="00163E17"/>
    <w:rsid w:val="00171BC6"/>
    <w:rsid w:val="001753FB"/>
    <w:rsid w:val="0019697B"/>
    <w:rsid w:val="001A54E3"/>
    <w:rsid w:val="001C02D7"/>
    <w:rsid w:val="001C1F91"/>
    <w:rsid w:val="001C38E0"/>
    <w:rsid w:val="001D4316"/>
    <w:rsid w:val="001E417D"/>
    <w:rsid w:val="001E63D1"/>
    <w:rsid w:val="001F1F0F"/>
    <w:rsid w:val="001F2C98"/>
    <w:rsid w:val="001F788F"/>
    <w:rsid w:val="002053B1"/>
    <w:rsid w:val="00214D41"/>
    <w:rsid w:val="00221886"/>
    <w:rsid w:val="00222A17"/>
    <w:rsid w:val="00233751"/>
    <w:rsid w:val="00234F34"/>
    <w:rsid w:val="0024007C"/>
    <w:rsid w:val="00243B00"/>
    <w:rsid w:val="00243DA4"/>
    <w:rsid w:val="002441E6"/>
    <w:rsid w:val="002515FA"/>
    <w:rsid w:val="00251DFB"/>
    <w:rsid w:val="002565D2"/>
    <w:rsid w:val="00261A4F"/>
    <w:rsid w:val="0026250D"/>
    <w:rsid w:val="002627D3"/>
    <w:rsid w:val="00263F6A"/>
    <w:rsid w:val="00266EDD"/>
    <w:rsid w:val="002676CC"/>
    <w:rsid w:val="002717D9"/>
    <w:rsid w:val="00271DEE"/>
    <w:rsid w:val="00273185"/>
    <w:rsid w:val="00280F85"/>
    <w:rsid w:val="00282820"/>
    <w:rsid w:val="00284987"/>
    <w:rsid w:val="0029135E"/>
    <w:rsid w:val="00293DE1"/>
    <w:rsid w:val="002B16A1"/>
    <w:rsid w:val="002B441E"/>
    <w:rsid w:val="002C2465"/>
    <w:rsid w:val="002C6DEC"/>
    <w:rsid w:val="002D222F"/>
    <w:rsid w:val="002D328D"/>
    <w:rsid w:val="002D3AC7"/>
    <w:rsid w:val="002D3CEF"/>
    <w:rsid w:val="002D6455"/>
    <w:rsid w:val="002E128C"/>
    <w:rsid w:val="002E1333"/>
    <w:rsid w:val="002E4F23"/>
    <w:rsid w:val="002F252F"/>
    <w:rsid w:val="002F35F5"/>
    <w:rsid w:val="00302440"/>
    <w:rsid w:val="00305484"/>
    <w:rsid w:val="0031073F"/>
    <w:rsid w:val="00315E2F"/>
    <w:rsid w:val="00316796"/>
    <w:rsid w:val="00337418"/>
    <w:rsid w:val="00337A12"/>
    <w:rsid w:val="003527D0"/>
    <w:rsid w:val="003530B3"/>
    <w:rsid w:val="003648A2"/>
    <w:rsid w:val="00365291"/>
    <w:rsid w:val="00374A8C"/>
    <w:rsid w:val="003759D3"/>
    <w:rsid w:val="00385CB2"/>
    <w:rsid w:val="00393D78"/>
    <w:rsid w:val="003956F5"/>
    <w:rsid w:val="00397912"/>
    <w:rsid w:val="00397A92"/>
    <w:rsid w:val="003A76F3"/>
    <w:rsid w:val="003B1720"/>
    <w:rsid w:val="003B1E3F"/>
    <w:rsid w:val="003B249C"/>
    <w:rsid w:val="003B2641"/>
    <w:rsid w:val="003B3AFA"/>
    <w:rsid w:val="003B4B3D"/>
    <w:rsid w:val="003C2BD1"/>
    <w:rsid w:val="003C7666"/>
    <w:rsid w:val="003D2A4D"/>
    <w:rsid w:val="003D5900"/>
    <w:rsid w:val="003D6349"/>
    <w:rsid w:val="003D6CEB"/>
    <w:rsid w:val="003E09F7"/>
    <w:rsid w:val="003E1E44"/>
    <w:rsid w:val="003E6A93"/>
    <w:rsid w:val="003F019F"/>
    <w:rsid w:val="003F0672"/>
    <w:rsid w:val="003F2C0F"/>
    <w:rsid w:val="003F2E00"/>
    <w:rsid w:val="003F6046"/>
    <w:rsid w:val="0041077F"/>
    <w:rsid w:val="00413E12"/>
    <w:rsid w:val="0042285C"/>
    <w:rsid w:val="00422F44"/>
    <w:rsid w:val="004235E8"/>
    <w:rsid w:val="004336B9"/>
    <w:rsid w:val="00434505"/>
    <w:rsid w:val="0043568F"/>
    <w:rsid w:val="00440619"/>
    <w:rsid w:val="00440A80"/>
    <w:rsid w:val="004449AA"/>
    <w:rsid w:val="00450AF8"/>
    <w:rsid w:val="00452D6C"/>
    <w:rsid w:val="004547D6"/>
    <w:rsid w:val="004556A2"/>
    <w:rsid w:val="00471DCB"/>
    <w:rsid w:val="004723FB"/>
    <w:rsid w:val="00481B0A"/>
    <w:rsid w:val="00481E12"/>
    <w:rsid w:val="00483D24"/>
    <w:rsid w:val="00485FA6"/>
    <w:rsid w:val="004917E4"/>
    <w:rsid w:val="00491D1C"/>
    <w:rsid w:val="004928EB"/>
    <w:rsid w:val="004956FA"/>
    <w:rsid w:val="004A1D36"/>
    <w:rsid w:val="004A1EBC"/>
    <w:rsid w:val="004A59C8"/>
    <w:rsid w:val="004B4E11"/>
    <w:rsid w:val="004B7BF1"/>
    <w:rsid w:val="004C691C"/>
    <w:rsid w:val="004D1BF5"/>
    <w:rsid w:val="004D303C"/>
    <w:rsid w:val="004D307C"/>
    <w:rsid w:val="004D47C6"/>
    <w:rsid w:val="004E19E8"/>
    <w:rsid w:val="004E40D0"/>
    <w:rsid w:val="004E70CF"/>
    <w:rsid w:val="004F02C7"/>
    <w:rsid w:val="004F17BF"/>
    <w:rsid w:val="004F7C14"/>
    <w:rsid w:val="00500A4A"/>
    <w:rsid w:val="00502835"/>
    <w:rsid w:val="00504930"/>
    <w:rsid w:val="00511613"/>
    <w:rsid w:val="00521137"/>
    <w:rsid w:val="005233BA"/>
    <w:rsid w:val="005304E2"/>
    <w:rsid w:val="0053464B"/>
    <w:rsid w:val="00540F66"/>
    <w:rsid w:val="005419EA"/>
    <w:rsid w:val="00541DBF"/>
    <w:rsid w:val="00544ECE"/>
    <w:rsid w:val="005552C8"/>
    <w:rsid w:val="0055706E"/>
    <w:rsid w:val="00560164"/>
    <w:rsid w:val="005644FA"/>
    <w:rsid w:val="005711F8"/>
    <w:rsid w:val="005924A2"/>
    <w:rsid w:val="00596425"/>
    <w:rsid w:val="00596C5E"/>
    <w:rsid w:val="00597837"/>
    <w:rsid w:val="005A0F0D"/>
    <w:rsid w:val="005A260A"/>
    <w:rsid w:val="005A3648"/>
    <w:rsid w:val="005A79C6"/>
    <w:rsid w:val="005B207C"/>
    <w:rsid w:val="005B3227"/>
    <w:rsid w:val="005B4542"/>
    <w:rsid w:val="005B60E5"/>
    <w:rsid w:val="005D0DF1"/>
    <w:rsid w:val="005D2817"/>
    <w:rsid w:val="005F05AA"/>
    <w:rsid w:val="005F455B"/>
    <w:rsid w:val="005F76A8"/>
    <w:rsid w:val="005F7B91"/>
    <w:rsid w:val="00603EBC"/>
    <w:rsid w:val="00634513"/>
    <w:rsid w:val="00637444"/>
    <w:rsid w:val="0064607C"/>
    <w:rsid w:val="00651147"/>
    <w:rsid w:val="00651B4E"/>
    <w:rsid w:val="00661E79"/>
    <w:rsid w:val="006656B8"/>
    <w:rsid w:val="00667861"/>
    <w:rsid w:val="00671E4C"/>
    <w:rsid w:val="0067368C"/>
    <w:rsid w:val="00673C8F"/>
    <w:rsid w:val="0067453D"/>
    <w:rsid w:val="00680D36"/>
    <w:rsid w:val="00683D02"/>
    <w:rsid w:val="00683EE7"/>
    <w:rsid w:val="00684B3B"/>
    <w:rsid w:val="006908BC"/>
    <w:rsid w:val="00692D50"/>
    <w:rsid w:val="006950DB"/>
    <w:rsid w:val="006969D5"/>
    <w:rsid w:val="0069737F"/>
    <w:rsid w:val="006A32FB"/>
    <w:rsid w:val="006A4FAA"/>
    <w:rsid w:val="006B33BB"/>
    <w:rsid w:val="006C389F"/>
    <w:rsid w:val="006C48CA"/>
    <w:rsid w:val="006D490D"/>
    <w:rsid w:val="006E2C3E"/>
    <w:rsid w:val="006E2D75"/>
    <w:rsid w:val="006E6F02"/>
    <w:rsid w:val="006F21C6"/>
    <w:rsid w:val="006F5CF2"/>
    <w:rsid w:val="00705533"/>
    <w:rsid w:val="00712619"/>
    <w:rsid w:val="00712BCE"/>
    <w:rsid w:val="00714375"/>
    <w:rsid w:val="00715C4F"/>
    <w:rsid w:val="00715D83"/>
    <w:rsid w:val="00723526"/>
    <w:rsid w:val="00727BAE"/>
    <w:rsid w:val="00735BEC"/>
    <w:rsid w:val="00745D8E"/>
    <w:rsid w:val="007567E4"/>
    <w:rsid w:val="00770480"/>
    <w:rsid w:val="007716E7"/>
    <w:rsid w:val="0077198C"/>
    <w:rsid w:val="00773814"/>
    <w:rsid w:val="007831FA"/>
    <w:rsid w:val="007918CE"/>
    <w:rsid w:val="00792479"/>
    <w:rsid w:val="007A2813"/>
    <w:rsid w:val="007D23DA"/>
    <w:rsid w:val="007D3DC3"/>
    <w:rsid w:val="007E0EFC"/>
    <w:rsid w:val="007E52A7"/>
    <w:rsid w:val="007E54B1"/>
    <w:rsid w:val="007F19CD"/>
    <w:rsid w:val="007F240C"/>
    <w:rsid w:val="00801E8B"/>
    <w:rsid w:val="00802049"/>
    <w:rsid w:val="0080214C"/>
    <w:rsid w:val="00810896"/>
    <w:rsid w:val="008114AE"/>
    <w:rsid w:val="008134CF"/>
    <w:rsid w:val="008210BF"/>
    <w:rsid w:val="00824082"/>
    <w:rsid w:val="0082450E"/>
    <w:rsid w:val="008264EA"/>
    <w:rsid w:val="00827ABA"/>
    <w:rsid w:val="00835756"/>
    <w:rsid w:val="00835B97"/>
    <w:rsid w:val="00840F3C"/>
    <w:rsid w:val="00846D1F"/>
    <w:rsid w:val="00850E4C"/>
    <w:rsid w:val="00853B68"/>
    <w:rsid w:val="00854ED7"/>
    <w:rsid w:val="00856960"/>
    <w:rsid w:val="008578C0"/>
    <w:rsid w:val="00861CC6"/>
    <w:rsid w:val="00862461"/>
    <w:rsid w:val="008655D8"/>
    <w:rsid w:val="00880849"/>
    <w:rsid w:val="00884414"/>
    <w:rsid w:val="00884673"/>
    <w:rsid w:val="008B3AB5"/>
    <w:rsid w:val="008B5315"/>
    <w:rsid w:val="008B6EB3"/>
    <w:rsid w:val="008C0FFB"/>
    <w:rsid w:val="008D36A8"/>
    <w:rsid w:val="008D6065"/>
    <w:rsid w:val="008E3A1E"/>
    <w:rsid w:val="008E7C04"/>
    <w:rsid w:val="008F68FD"/>
    <w:rsid w:val="00916027"/>
    <w:rsid w:val="009178D5"/>
    <w:rsid w:val="00935D9F"/>
    <w:rsid w:val="009407E8"/>
    <w:rsid w:val="0094110D"/>
    <w:rsid w:val="0094681F"/>
    <w:rsid w:val="00947288"/>
    <w:rsid w:val="009503A8"/>
    <w:rsid w:val="00954984"/>
    <w:rsid w:val="00960EE5"/>
    <w:rsid w:val="009658FD"/>
    <w:rsid w:val="00970BB4"/>
    <w:rsid w:val="00973D05"/>
    <w:rsid w:val="0097655D"/>
    <w:rsid w:val="0098492E"/>
    <w:rsid w:val="00997154"/>
    <w:rsid w:val="009A3946"/>
    <w:rsid w:val="009A3D84"/>
    <w:rsid w:val="009A7ECB"/>
    <w:rsid w:val="009B46F1"/>
    <w:rsid w:val="009C17C5"/>
    <w:rsid w:val="009C46B3"/>
    <w:rsid w:val="009C6773"/>
    <w:rsid w:val="009D4083"/>
    <w:rsid w:val="009D4321"/>
    <w:rsid w:val="009E0597"/>
    <w:rsid w:val="009E5D3D"/>
    <w:rsid w:val="009F4129"/>
    <w:rsid w:val="00A0076E"/>
    <w:rsid w:val="00A02F28"/>
    <w:rsid w:val="00A0593E"/>
    <w:rsid w:val="00A11EB7"/>
    <w:rsid w:val="00A23749"/>
    <w:rsid w:val="00A23EDE"/>
    <w:rsid w:val="00A3059C"/>
    <w:rsid w:val="00A31F3D"/>
    <w:rsid w:val="00A3229C"/>
    <w:rsid w:val="00A44616"/>
    <w:rsid w:val="00A451EC"/>
    <w:rsid w:val="00A4625B"/>
    <w:rsid w:val="00A47A90"/>
    <w:rsid w:val="00A51110"/>
    <w:rsid w:val="00A52BF5"/>
    <w:rsid w:val="00A53493"/>
    <w:rsid w:val="00A61168"/>
    <w:rsid w:val="00A6608A"/>
    <w:rsid w:val="00A6689C"/>
    <w:rsid w:val="00A70464"/>
    <w:rsid w:val="00A75CF0"/>
    <w:rsid w:val="00A84EBE"/>
    <w:rsid w:val="00A86A48"/>
    <w:rsid w:val="00A973A6"/>
    <w:rsid w:val="00AA63E8"/>
    <w:rsid w:val="00AB1369"/>
    <w:rsid w:val="00AB2C1B"/>
    <w:rsid w:val="00AB38E8"/>
    <w:rsid w:val="00AB546E"/>
    <w:rsid w:val="00AB7060"/>
    <w:rsid w:val="00AB7B1A"/>
    <w:rsid w:val="00AC0674"/>
    <w:rsid w:val="00AC1184"/>
    <w:rsid w:val="00AC3D61"/>
    <w:rsid w:val="00AC40CB"/>
    <w:rsid w:val="00AC6796"/>
    <w:rsid w:val="00AD7947"/>
    <w:rsid w:val="00AE08ED"/>
    <w:rsid w:val="00AE68F7"/>
    <w:rsid w:val="00AF32C8"/>
    <w:rsid w:val="00B104A2"/>
    <w:rsid w:val="00B1139D"/>
    <w:rsid w:val="00B146B7"/>
    <w:rsid w:val="00B21FB7"/>
    <w:rsid w:val="00B2442A"/>
    <w:rsid w:val="00B271F9"/>
    <w:rsid w:val="00B3183F"/>
    <w:rsid w:val="00B41025"/>
    <w:rsid w:val="00B43681"/>
    <w:rsid w:val="00B44404"/>
    <w:rsid w:val="00B46E96"/>
    <w:rsid w:val="00B51D70"/>
    <w:rsid w:val="00B57ECD"/>
    <w:rsid w:val="00B67366"/>
    <w:rsid w:val="00B7253F"/>
    <w:rsid w:val="00B76DFA"/>
    <w:rsid w:val="00B8538E"/>
    <w:rsid w:val="00BA26E6"/>
    <w:rsid w:val="00BA3995"/>
    <w:rsid w:val="00BA4FBC"/>
    <w:rsid w:val="00BA7746"/>
    <w:rsid w:val="00BA7EA4"/>
    <w:rsid w:val="00BC6706"/>
    <w:rsid w:val="00BD3253"/>
    <w:rsid w:val="00BD3DD5"/>
    <w:rsid w:val="00BD453D"/>
    <w:rsid w:val="00BE3D66"/>
    <w:rsid w:val="00BE4648"/>
    <w:rsid w:val="00BF1036"/>
    <w:rsid w:val="00BF5DCF"/>
    <w:rsid w:val="00BF6EDA"/>
    <w:rsid w:val="00C00E1D"/>
    <w:rsid w:val="00C0111D"/>
    <w:rsid w:val="00C052DE"/>
    <w:rsid w:val="00C11140"/>
    <w:rsid w:val="00C16E24"/>
    <w:rsid w:val="00C31210"/>
    <w:rsid w:val="00C422B3"/>
    <w:rsid w:val="00C50712"/>
    <w:rsid w:val="00C542C8"/>
    <w:rsid w:val="00C55400"/>
    <w:rsid w:val="00C556BB"/>
    <w:rsid w:val="00C56825"/>
    <w:rsid w:val="00C6088D"/>
    <w:rsid w:val="00C62D10"/>
    <w:rsid w:val="00C650A9"/>
    <w:rsid w:val="00C715FF"/>
    <w:rsid w:val="00C726E7"/>
    <w:rsid w:val="00C73757"/>
    <w:rsid w:val="00C83575"/>
    <w:rsid w:val="00C83E8A"/>
    <w:rsid w:val="00C84933"/>
    <w:rsid w:val="00C93482"/>
    <w:rsid w:val="00C96410"/>
    <w:rsid w:val="00C978A1"/>
    <w:rsid w:val="00CA29D2"/>
    <w:rsid w:val="00CA5C82"/>
    <w:rsid w:val="00CB1265"/>
    <w:rsid w:val="00CB286C"/>
    <w:rsid w:val="00CB29B4"/>
    <w:rsid w:val="00CC31CE"/>
    <w:rsid w:val="00CD1CB5"/>
    <w:rsid w:val="00CD7CCF"/>
    <w:rsid w:val="00CE595F"/>
    <w:rsid w:val="00CF0982"/>
    <w:rsid w:val="00CF558B"/>
    <w:rsid w:val="00D00AAD"/>
    <w:rsid w:val="00D02D72"/>
    <w:rsid w:val="00D04F80"/>
    <w:rsid w:val="00D0577B"/>
    <w:rsid w:val="00D14193"/>
    <w:rsid w:val="00D1443F"/>
    <w:rsid w:val="00D175B2"/>
    <w:rsid w:val="00D20C3F"/>
    <w:rsid w:val="00D25805"/>
    <w:rsid w:val="00D328D3"/>
    <w:rsid w:val="00D3749D"/>
    <w:rsid w:val="00D47529"/>
    <w:rsid w:val="00D52ECF"/>
    <w:rsid w:val="00D628F7"/>
    <w:rsid w:val="00D62E79"/>
    <w:rsid w:val="00D713ED"/>
    <w:rsid w:val="00D744F6"/>
    <w:rsid w:val="00D7758E"/>
    <w:rsid w:val="00D81027"/>
    <w:rsid w:val="00D854C7"/>
    <w:rsid w:val="00D86D7D"/>
    <w:rsid w:val="00D87F59"/>
    <w:rsid w:val="00D959D5"/>
    <w:rsid w:val="00D96FDF"/>
    <w:rsid w:val="00D973A3"/>
    <w:rsid w:val="00D97B41"/>
    <w:rsid w:val="00DA3836"/>
    <w:rsid w:val="00DB1F67"/>
    <w:rsid w:val="00DB32AE"/>
    <w:rsid w:val="00DB3A21"/>
    <w:rsid w:val="00DB5C07"/>
    <w:rsid w:val="00DC0CAE"/>
    <w:rsid w:val="00DC2316"/>
    <w:rsid w:val="00DC7296"/>
    <w:rsid w:val="00DD0D3D"/>
    <w:rsid w:val="00DD62B4"/>
    <w:rsid w:val="00DE28F8"/>
    <w:rsid w:val="00DE57C8"/>
    <w:rsid w:val="00DE7D28"/>
    <w:rsid w:val="00DF4505"/>
    <w:rsid w:val="00DF6A27"/>
    <w:rsid w:val="00E00083"/>
    <w:rsid w:val="00E00A64"/>
    <w:rsid w:val="00E011F4"/>
    <w:rsid w:val="00E01B4F"/>
    <w:rsid w:val="00E10766"/>
    <w:rsid w:val="00E10924"/>
    <w:rsid w:val="00E15B8E"/>
    <w:rsid w:val="00E24B7A"/>
    <w:rsid w:val="00E30998"/>
    <w:rsid w:val="00E30BF1"/>
    <w:rsid w:val="00E4256C"/>
    <w:rsid w:val="00E4635B"/>
    <w:rsid w:val="00E504F4"/>
    <w:rsid w:val="00E52261"/>
    <w:rsid w:val="00E533AD"/>
    <w:rsid w:val="00E60EDA"/>
    <w:rsid w:val="00E648AF"/>
    <w:rsid w:val="00E7415E"/>
    <w:rsid w:val="00E767AD"/>
    <w:rsid w:val="00E76AF1"/>
    <w:rsid w:val="00E81A88"/>
    <w:rsid w:val="00E82005"/>
    <w:rsid w:val="00E8713E"/>
    <w:rsid w:val="00EA43D0"/>
    <w:rsid w:val="00EA4804"/>
    <w:rsid w:val="00EA6353"/>
    <w:rsid w:val="00EB6C34"/>
    <w:rsid w:val="00EC3218"/>
    <w:rsid w:val="00EC3F76"/>
    <w:rsid w:val="00EC4D98"/>
    <w:rsid w:val="00ED0B1E"/>
    <w:rsid w:val="00ED0CE4"/>
    <w:rsid w:val="00ED4040"/>
    <w:rsid w:val="00ED526A"/>
    <w:rsid w:val="00ED5474"/>
    <w:rsid w:val="00EE25A0"/>
    <w:rsid w:val="00EE72EF"/>
    <w:rsid w:val="00EF1157"/>
    <w:rsid w:val="00EF1317"/>
    <w:rsid w:val="00EF47BF"/>
    <w:rsid w:val="00F11963"/>
    <w:rsid w:val="00F15E4B"/>
    <w:rsid w:val="00F16E40"/>
    <w:rsid w:val="00F20323"/>
    <w:rsid w:val="00F2125F"/>
    <w:rsid w:val="00F2318C"/>
    <w:rsid w:val="00F26FA8"/>
    <w:rsid w:val="00F354BE"/>
    <w:rsid w:val="00F361E9"/>
    <w:rsid w:val="00F405D5"/>
    <w:rsid w:val="00F469F2"/>
    <w:rsid w:val="00F472B5"/>
    <w:rsid w:val="00F54845"/>
    <w:rsid w:val="00F54DFF"/>
    <w:rsid w:val="00F61429"/>
    <w:rsid w:val="00F643D3"/>
    <w:rsid w:val="00F64CF8"/>
    <w:rsid w:val="00F6515D"/>
    <w:rsid w:val="00F669AB"/>
    <w:rsid w:val="00F677FA"/>
    <w:rsid w:val="00F706D3"/>
    <w:rsid w:val="00F725C3"/>
    <w:rsid w:val="00F80069"/>
    <w:rsid w:val="00F85C65"/>
    <w:rsid w:val="00F864A5"/>
    <w:rsid w:val="00F91427"/>
    <w:rsid w:val="00FA6562"/>
    <w:rsid w:val="00FB6E91"/>
    <w:rsid w:val="00FC0F80"/>
    <w:rsid w:val="00FC3375"/>
    <w:rsid w:val="00FE1B1A"/>
    <w:rsid w:val="00FE2B8A"/>
    <w:rsid w:val="00FE4A24"/>
    <w:rsid w:val="00FE6AF8"/>
    <w:rsid w:val="00FE7E49"/>
    <w:rsid w:val="00FF290D"/>
    <w:rsid w:val="00FF44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5:chartTrackingRefBased/>
  <w15:docId w15:val="{F86AEC09-6A0E-49B4-B0FB-FF7B2FB18E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23375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393D7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393D78"/>
    <w:pPr>
      <w:keepNext/>
      <w:keepLines/>
      <w:spacing w:before="40" w:after="0" w:line="256" w:lineRule="auto"/>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837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3725"/>
  </w:style>
  <w:style w:type="paragraph" w:styleId="Footer">
    <w:name w:val="footer"/>
    <w:basedOn w:val="Normal"/>
    <w:link w:val="FooterChar"/>
    <w:uiPriority w:val="99"/>
    <w:unhideWhenUsed/>
    <w:rsid w:val="000837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3725"/>
  </w:style>
  <w:style w:type="paragraph" w:customStyle="1" w:styleId="Nornal">
    <w:name w:val="Nornal"/>
    <w:basedOn w:val="Normal"/>
    <w:link w:val="NornalChar"/>
    <w:qFormat/>
    <w:rsid w:val="00083725"/>
    <w:pPr>
      <w:spacing w:line="264" w:lineRule="auto"/>
    </w:pPr>
    <w:rPr>
      <w:rFonts w:ascii="Arial" w:hAnsi="Arial" w:cs="Arial"/>
    </w:rPr>
  </w:style>
  <w:style w:type="character" w:customStyle="1" w:styleId="NornalChar">
    <w:name w:val="Nornal Char"/>
    <w:basedOn w:val="DefaultParagraphFont"/>
    <w:link w:val="Nornal"/>
    <w:rsid w:val="00083725"/>
    <w:rPr>
      <w:rFonts w:ascii="Arial" w:hAnsi="Arial" w:cs="Arial"/>
    </w:rPr>
  </w:style>
  <w:style w:type="paragraph" w:styleId="ListParagraph">
    <w:name w:val="List Paragraph"/>
    <w:basedOn w:val="Normal"/>
    <w:link w:val="ListParagraphChar"/>
    <w:uiPriority w:val="1"/>
    <w:qFormat/>
    <w:rsid w:val="00083725"/>
    <w:pPr>
      <w:ind w:left="720"/>
      <w:contextualSpacing/>
    </w:pPr>
  </w:style>
  <w:style w:type="paragraph" w:customStyle="1" w:styleId="Listparag">
    <w:name w:val="List parag"/>
    <w:basedOn w:val="ListParagraph"/>
    <w:link w:val="ListparagChar"/>
    <w:qFormat/>
    <w:rsid w:val="009D4083"/>
    <w:pPr>
      <w:numPr>
        <w:numId w:val="1"/>
      </w:numPr>
      <w:spacing w:after="120" w:line="264" w:lineRule="auto"/>
      <w:contextualSpacing w:val="0"/>
    </w:pPr>
    <w:rPr>
      <w:rFonts w:eastAsia="Times New Roman" w:cstheme="minorHAnsi"/>
      <w:color w:val="000000"/>
      <w:lang w:eastAsia="en-GB"/>
    </w:rPr>
  </w:style>
  <w:style w:type="character" w:customStyle="1" w:styleId="ListparagChar">
    <w:name w:val="List parag Char"/>
    <w:basedOn w:val="DefaultParagraphFont"/>
    <w:link w:val="Listparag"/>
    <w:rsid w:val="009D4083"/>
    <w:rPr>
      <w:rFonts w:eastAsia="Times New Roman" w:cstheme="minorHAnsi"/>
      <w:color w:val="000000"/>
      <w:lang w:eastAsia="en-GB"/>
    </w:rPr>
  </w:style>
  <w:style w:type="character" w:customStyle="1" w:styleId="ListParagraphChar">
    <w:name w:val="List Paragraph Char"/>
    <w:basedOn w:val="DefaultParagraphFont"/>
    <w:link w:val="ListParagraph"/>
    <w:uiPriority w:val="34"/>
    <w:rsid w:val="00B67366"/>
  </w:style>
  <w:style w:type="paragraph" w:styleId="NormalWeb">
    <w:name w:val="Normal (Web)"/>
    <w:basedOn w:val="Normal"/>
    <w:uiPriority w:val="99"/>
    <w:unhideWhenUsed/>
    <w:rsid w:val="00006AC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06ACE"/>
    <w:rPr>
      <w:color w:val="0563C1" w:themeColor="hyperlink"/>
      <w:u w:val="single"/>
    </w:rPr>
  </w:style>
  <w:style w:type="character" w:styleId="Emphasis">
    <w:name w:val="Emphasis"/>
    <w:basedOn w:val="DefaultParagraphFont"/>
    <w:uiPriority w:val="20"/>
    <w:qFormat/>
    <w:rsid w:val="00305484"/>
    <w:rPr>
      <w:i/>
      <w:iCs/>
    </w:rPr>
  </w:style>
  <w:style w:type="character" w:customStyle="1" w:styleId="Heading1Char">
    <w:name w:val="Heading 1 Char"/>
    <w:basedOn w:val="DefaultParagraphFont"/>
    <w:link w:val="Heading1"/>
    <w:uiPriority w:val="9"/>
    <w:rsid w:val="00233751"/>
    <w:rPr>
      <w:rFonts w:ascii="Times New Roman" w:eastAsia="Times New Roman" w:hAnsi="Times New Roman" w:cs="Times New Roman"/>
      <w:b/>
      <w:bCs/>
      <w:kern w:val="36"/>
      <w:sz w:val="48"/>
      <w:szCs w:val="48"/>
      <w:lang w:eastAsia="en-GB"/>
    </w:rPr>
  </w:style>
  <w:style w:type="character" w:styleId="CommentReference">
    <w:name w:val="annotation reference"/>
    <w:basedOn w:val="DefaultParagraphFont"/>
    <w:uiPriority w:val="99"/>
    <w:semiHidden/>
    <w:unhideWhenUsed/>
    <w:rsid w:val="000D05CB"/>
    <w:rPr>
      <w:sz w:val="16"/>
      <w:szCs w:val="16"/>
    </w:rPr>
  </w:style>
  <w:style w:type="paragraph" w:styleId="CommentText">
    <w:name w:val="annotation text"/>
    <w:basedOn w:val="Normal"/>
    <w:link w:val="CommentTextChar"/>
    <w:uiPriority w:val="99"/>
    <w:semiHidden/>
    <w:unhideWhenUsed/>
    <w:rsid w:val="000D05CB"/>
    <w:pPr>
      <w:spacing w:line="240" w:lineRule="auto"/>
    </w:pPr>
    <w:rPr>
      <w:sz w:val="20"/>
      <w:szCs w:val="20"/>
    </w:rPr>
  </w:style>
  <w:style w:type="character" w:customStyle="1" w:styleId="CommentTextChar">
    <w:name w:val="Comment Text Char"/>
    <w:basedOn w:val="DefaultParagraphFont"/>
    <w:link w:val="CommentText"/>
    <w:uiPriority w:val="99"/>
    <w:semiHidden/>
    <w:rsid w:val="000D05CB"/>
    <w:rPr>
      <w:sz w:val="20"/>
      <w:szCs w:val="20"/>
    </w:rPr>
  </w:style>
  <w:style w:type="paragraph" w:styleId="CommentSubject">
    <w:name w:val="annotation subject"/>
    <w:basedOn w:val="CommentText"/>
    <w:next w:val="CommentText"/>
    <w:link w:val="CommentSubjectChar"/>
    <w:uiPriority w:val="99"/>
    <w:semiHidden/>
    <w:unhideWhenUsed/>
    <w:rsid w:val="000D05CB"/>
    <w:rPr>
      <w:b/>
      <w:bCs/>
    </w:rPr>
  </w:style>
  <w:style w:type="character" w:customStyle="1" w:styleId="CommentSubjectChar">
    <w:name w:val="Comment Subject Char"/>
    <w:basedOn w:val="CommentTextChar"/>
    <w:link w:val="CommentSubject"/>
    <w:uiPriority w:val="99"/>
    <w:semiHidden/>
    <w:rsid w:val="000D05CB"/>
    <w:rPr>
      <w:b/>
      <w:bCs/>
      <w:sz w:val="20"/>
      <w:szCs w:val="20"/>
    </w:rPr>
  </w:style>
  <w:style w:type="paragraph" w:styleId="BalloonText">
    <w:name w:val="Balloon Text"/>
    <w:basedOn w:val="Normal"/>
    <w:link w:val="BalloonTextChar"/>
    <w:uiPriority w:val="99"/>
    <w:semiHidden/>
    <w:unhideWhenUsed/>
    <w:rsid w:val="000D05C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D05CB"/>
    <w:rPr>
      <w:rFonts w:ascii="Segoe UI" w:hAnsi="Segoe UI" w:cs="Segoe UI"/>
      <w:sz w:val="18"/>
      <w:szCs w:val="18"/>
    </w:rPr>
  </w:style>
  <w:style w:type="character" w:customStyle="1" w:styleId="Heading2Char">
    <w:name w:val="Heading 2 Char"/>
    <w:basedOn w:val="DefaultParagraphFont"/>
    <w:link w:val="Heading2"/>
    <w:uiPriority w:val="9"/>
    <w:semiHidden/>
    <w:rsid w:val="00393D78"/>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393D78"/>
    <w:rPr>
      <w:rFonts w:asciiTheme="majorHAnsi" w:eastAsiaTheme="majorEastAsia" w:hAnsiTheme="majorHAnsi" w:cstheme="majorBidi"/>
      <w:color w:val="1F4D78" w:themeColor="accent1" w:themeShade="7F"/>
      <w:sz w:val="24"/>
      <w:szCs w:val="24"/>
    </w:rPr>
  </w:style>
  <w:style w:type="table" w:styleId="TableGrid">
    <w:name w:val="Table Grid"/>
    <w:basedOn w:val="TableNormal"/>
    <w:uiPriority w:val="39"/>
    <w:rsid w:val="00393D78"/>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ED0CE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1445676">
      <w:bodyDiv w:val="1"/>
      <w:marLeft w:val="0"/>
      <w:marRight w:val="0"/>
      <w:marTop w:val="0"/>
      <w:marBottom w:val="0"/>
      <w:divBdr>
        <w:top w:val="none" w:sz="0" w:space="0" w:color="auto"/>
        <w:left w:val="none" w:sz="0" w:space="0" w:color="auto"/>
        <w:bottom w:val="none" w:sz="0" w:space="0" w:color="auto"/>
        <w:right w:val="none" w:sz="0" w:space="0" w:color="auto"/>
      </w:divBdr>
    </w:div>
    <w:div w:id="50035742">
      <w:bodyDiv w:val="1"/>
      <w:marLeft w:val="0"/>
      <w:marRight w:val="0"/>
      <w:marTop w:val="0"/>
      <w:marBottom w:val="0"/>
      <w:divBdr>
        <w:top w:val="none" w:sz="0" w:space="0" w:color="auto"/>
        <w:left w:val="none" w:sz="0" w:space="0" w:color="auto"/>
        <w:bottom w:val="none" w:sz="0" w:space="0" w:color="auto"/>
        <w:right w:val="none" w:sz="0" w:space="0" w:color="auto"/>
      </w:divBdr>
    </w:div>
    <w:div w:id="63645449">
      <w:bodyDiv w:val="1"/>
      <w:marLeft w:val="0"/>
      <w:marRight w:val="0"/>
      <w:marTop w:val="0"/>
      <w:marBottom w:val="0"/>
      <w:divBdr>
        <w:top w:val="none" w:sz="0" w:space="0" w:color="auto"/>
        <w:left w:val="none" w:sz="0" w:space="0" w:color="auto"/>
        <w:bottom w:val="none" w:sz="0" w:space="0" w:color="auto"/>
        <w:right w:val="none" w:sz="0" w:space="0" w:color="auto"/>
      </w:divBdr>
    </w:div>
    <w:div w:id="129443780">
      <w:bodyDiv w:val="1"/>
      <w:marLeft w:val="0"/>
      <w:marRight w:val="0"/>
      <w:marTop w:val="0"/>
      <w:marBottom w:val="0"/>
      <w:divBdr>
        <w:top w:val="none" w:sz="0" w:space="0" w:color="auto"/>
        <w:left w:val="none" w:sz="0" w:space="0" w:color="auto"/>
        <w:bottom w:val="none" w:sz="0" w:space="0" w:color="auto"/>
        <w:right w:val="none" w:sz="0" w:space="0" w:color="auto"/>
      </w:divBdr>
    </w:div>
    <w:div w:id="133724312">
      <w:bodyDiv w:val="1"/>
      <w:marLeft w:val="0"/>
      <w:marRight w:val="0"/>
      <w:marTop w:val="0"/>
      <w:marBottom w:val="0"/>
      <w:divBdr>
        <w:top w:val="none" w:sz="0" w:space="0" w:color="auto"/>
        <w:left w:val="none" w:sz="0" w:space="0" w:color="auto"/>
        <w:bottom w:val="none" w:sz="0" w:space="0" w:color="auto"/>
        <w:right w:val="none" w:sz="0" w:space="0" w:color="auto"/>
      </w:divBdr>
      <w:divsChild>
        <w:div w:id="681123098">
          <w:marLeft w:val="0"/>
          <w:marRight w:val="0"/>
          <w:marTop w:val="0"/>
          <w:marBottom w:val="0"/>
          <w:divBdr>
            <w:top w:val="none" w:sz="0" w:space="0" w:color="auto"/>
            <w:left w:val="none" w:sz="0" w:space="0" w:color="auto"/>
            <w:bottom w:val="none" w:sz="0" w:space="0" w:color="auto"/>
            <w:right w:val="none" w:sz="0" w:space="0" w:color="auto"/>
          </w:divBdr>
        </w:div>
      </w:divsChild>
    </w:div>
    <w:div w:id="144319152">
      <w:bodyDiv w:val="1"/>
      <w:marLeft w:val="0"/>
      <w:marRight w:val="0"/>
      <w:marTop w:val="0"/>
      <w:marBottom w:val="0"/>
      <w:divBdr>
        <w:top w:val="none" w:sz="0" w:space="0" w:color="auto"/>
        <w:left w:val="none" w:sz="0" w:space="0" w:color="auto"/>
        <w:bottom w:val="none" w:sz="0" w:space="0" w:color="auto"/>
        <w:right w:val="none" w:sz="0" w:space="0" w:color="auto"/>
      </w:divBdr>
    </w:div>
    <w:div w:id="144859241">
      <w:bodyDiv w:val="1"/>
      <w:marLeft w:val="0"/>
      <w:marRight w:val="0"/>
      <w:marTop w:val="0"/>
      <w:marBottom w:val="0"/>
      <w:divBdr>
        <w:top w:val="none" w:sz="0" w:space="0" w:color="auto"/>
        <w:left w:val="none" w:sz="0" w:space="0" w:color="auto"/>
        <w:bottom w:val="none" w:sz="0" w:space="0" w:color="auto"/>
        <w:right w:val="none" w:sz="0" w:space="0" w:color="auto"/>
      </w:divBdr>
      <w:divsChild>
        <w:div w:id="1195193494">
          <w:marLeft w:val="0"/>
          <w:marRight w:val="0"/>
          <w:marTop w:val="0"/>
          <w:marBottom w:val="0"/>
          <w:divBdr>
            <w:top w:val="none" w:sz="0" w:space="0" w:color="auto"/>
            <w:left w:val="none" w:sz="0" w:space="0" w:color="auto"/>
            <w:bottom w:val="none" w:sz="0" w:space="0" w:color="auto"/>
            <w:right w:val="none" w:sz="0" w:space="0" w:color="auto"/>
          </w:divBdr>
        </w:div>
      </w:divsChild>
    </w:div>
    <w:div w:id="146627700">
      <w:bodyDiv w:val="1"/>
      <w:marLeft w:val="0"/>
      <w:marRight w:val="0"/>
      <w:marTop w:val="0"/>
      <w:marBottom w:val="0"/>
      <w:divBdr>
        <w:top w:val="none" w:sz="0" w:space="0" w:color="auto"/>
        <w:left w:val="none" w:sz="0" w:space="0" w:color="auto"/>
        <w:bottom w:val="none" w:sz="0" w:space="0" w:color="auto"/>
        <w:right w:val="none" w:sz="0" w:space="0" w:color="auto"/>
      </w:divBdr>
    </w:div>
    <w:div w:id="168912392">
      <w:bodyDiv w:val="1"/>
      <w:marLeft w:val="0"/>
      <w:marRight w:val="0"/>
      <w:marTop w:val="0"/>
      <w:marBottom w:val="0"/>
      <w:divBdr>
        <w:top w:val="none" w:sz="0" w:space="0" w:color="auto"/>
        <w:left w:val="none" w:sz="0" w:space="0" w:color="auto"/>
        <w:bottom w:val="none" w:sz="0" w:space="0" w:color="auto"/>
        <w:right w:val="none" w:sz="0" w:space="0" w:color="auto"/>
      </w:divBdr>
    </w:div>
    <w:div w:id="202134517">
      <w:bodyDiv w:val="1"/>
      <w:marLeft w:val="0"/>
      <w:marRight w:val="0"/>
      <w:marTop w:val="0"/>
      <w:marBottom w:val="0"/>
      <w:divBdr>
        <w:top w:val="none" w:sz="0" w:space="0" w:color="auto"/>
        <w:left w:val="none" w:sz="0" w:space="0" w:color="auto"/>
        <w:bottom w:val="none" w:sz="0" w:space="0" w:color="auto"/>
        <w:right w:val="none" w:sz="0" w:space="0" w:color="auto"/>
      </w:divBdr>
    </w:div>
    <w:div w:id="290673070">
      <w:bodyDiv w:val="1"/>
      <w:marLeft w:val="0"/>
      <w:marRight w:val="0"/>
      <w:marTop w:val="0"/>
      <w:marBottom w:val="0"/>
      <w:divBdr>
        <w:top w:val="none" w:sz="0" w:space="0" w:color="auto"/>
        <w:left w:val="none" w:sz="0" w:space="0" w:color="auto"/>
        <w:bottom w:val="none" w:sz="0" w:space="0" w:color="auto"/>
        <w:right w:val="none" w:sz="0" w:space="0" w:color="auto"/>
      </w:divBdr>
      <w:divsChild>
        <w:div w:id="766733443">
          <w:marLeft w:val="0"/>
          <w:marRight w:val="0"/>
          <w:marTop w:val="0"/>
          <w:marBottom w:val="0"/>
          <w:divBdr>
            <w:top w:val="none" w:sz="0" w:space="0" w:color="auto"/>
            <w:left w:val="none" w:sz="0" w:space="0" w:color="auto"/>
            <w:bottom w:val="none" w:sz="0" w:space="0" w:color="auto"/>
            <w:right w:val="none" w:sz="0" w:space="0" w:color="auto"/>
          </w:divBdr>
        </w:div>
      </w:divsChild>
    </w:div>
    <w:div w:id="316033620">
      <w:bodyDiv w:val="1"/>
      <w:marLeft w:val="0"/>
      <w:marRight w:val="0"/>
      <w:marTop w:val="0"/>
      <w:marBottom w:val="0"/>
      <w:divBdr>
        <w:top w:val="none" w:sz="0" w:space="0" w:color="auto"/>
        <w:left w:val="none" w:sz="0" w:space="0" w:color="auto"/>
        <w:bottom w:val="none" w:sz="0" w:space="0" w:color="auto"/>
        <w:right w:val="none" w:sz="0" w:space="0" w:color="auto"/>
      </w:divBdr>
    </w:div>
    <w:div w:id="362750789">
      <w:bodyDiv w:val="1"/>
      <w:marLeft w:val="0"/>
      <w:marRight w:val="0"/>
      <w:marTop w:val="0"/>
      <w:marBottom w:val="0"/>
      <w:divBdr>
        <w:top w:val="none" w:sz="0" w:space="0" w:color="auto"/>
        <w:left w:val="none" w:sz="0" w:space="0" w:color="auto"/>
        <w:bottom w:val="none" w:sz="0" w:space="0" w:color="auto"/>
        <w:right w:val="none" w:sz="0" w:space="0" w:color="auto"/>
      </w:divBdr>
    </w:div>
    <w:div w:id="391664461">
      <w:bodyDiv w:val="1"/>
      <w:marLeft w:val="0"/>
      <w:marRight w:val="0"/>
      <w:marTop w:val="0"/>
      <w:marBottom w:val="0"/>
      <w:divBdr>
        <w:top w:val="none" w:sz="0" w:space="0" w:color="auto"/>
        <w:left w:val="none" w:sz="0" w:space="0" w:color="auto"/>
        <w:bottom w:val="none" w:sz="0" w:space="0" w:color="auto"/>
        <w:right w:val="none" w:sz="0" w:space="0" w:color="auto"/>
      </w:divBdr>
      <w:divsChild>
        <w:div w:id="1092897277">
          <w:marLeft w:val="0"/>
          <w:marRight w:val="0"/>
          <w:marTop w:val="0"/>
          <w:marBottom w:val="0"/>
          <w:divBdr>
            <w:top w:val="none" w:sz="0" w:space="0" w:color="auto"/>
            <w:left w:val="none" w:sz="0" w:space="0" w:color="auto"/>
            <w:bottom w:val="none" w:sz="0" w:space="0" w:color="auto"/>
            <w:right w:val="none" w:sz="0" w:space="0" w:color="auto"/>
          </w:divBdr>
        </w:div>
      </w:divsChild>
    </w:div>
    <w:div w:id="420220354">
      <w:bodyDiv w:val="1"/>
      <w:marLeft w:val="0"/>
      <w:marRight w:val="0"/>
      <w:marTop w:val="0"/>
      <w:marBottom w:val="0"/>
      <w:divBdr>
        <w:top w:val="none" w:sz="0" w:space="0" w:color="auto"/>
        <w:left w:val="none" w:sz="0" w:space="0" w:color="auto"/>
        <w:bottom w:val="none" w:sz="0" w:space="0" w:color="auto"/>
        <w:right w:val="none" w:sz="0" w:space="0" w:color="auto"/>
      </w:divBdr>
    </w:div>
    <w:div w:id="449325109">
      <w:bodyDiv w:val="1"/>
      <w:marLeft w:val="0"/>
      <w:marRight w:val="0"/>
      <w:marTop w:val="0"/>
      <w:marBottom w:val="0"/>
      <w:divBdr>
        <w:top w:val="none" w:sz="0" w:space="0" w:color="auto"/>
        <w:left w:val="none" w:sz="0" w:space="0" w:color="auto"/>
        <w:bottom w:val="none" w:sz="0" w:space="0" w:color="auto"/>
        <w:right w:val="none" w:sz="0" w:space="0" w:color="auto"/>
      </w:divBdr>
    </w:div>
    <w:div w:id="457334303">
      <w:bodyDiv w:val="1"/>
      <w:marLeft w:val="0"/>
      <w:marRight w:val="0"/>
      <w:marTop w:val="0"/>
      <w:marBottom w:val="0"/>
      <w:divBdr>
        <w:top w:val="none" w:sz="0" w:space="0" w:color="auto"/>
        <w:left w:val="none" w:sz="0" w:space="0" w:color="auto"/>
        <w:bottom w:val="none" w:sz="0" w:space="0" w:color="auto"/>
        <w:right w:val="none" w:sz="0" w:space="0" w:color="auto"/>
      </w:divBdr>
    </w:div>
    <w:div w:id="504588028">
      <w:bodyDiv w:val="1"/>
      <w:marLeft w:val="0"/>
      <w:marRight w:val="0"/>
      <w:marTop w:val="0"/>
      <w:marBottom w:val="0"/>
      <w:divBdr>
        <w:top w:val="none" w:sz="0" w:space="0" w:color="auto"/>
        <w:left w:val="none" w:sz="0" w:space="0" w:color="auto"/>
        <w:bottom w:val="none" w:sz="0" w:space="0" w:color="auto"/>
        <w:right w:val="none" w:sz="0" w:space="0" w:color="auto"/>
      </w:divBdr>
    </w:div>
    <w:div w:id="586891771">
      <w:bodyDiv w:val="1"/>
      <w:marLeft w:val="0"/>
      <w:marRight w:val="0"/>
      <w:marTop w:val="0"/>
      <w:marBottom w:val="0"/>
      <w:divBdr>
        <w:top w:val="none" w:sz="0" w:space="0" w:color="auto"/>
        <w:left w:val="none" w:sz="0" w:space="0" w:color="auto"/>
        <w:bottom w:val="none" w:sz="0" w:space="0" w:color="auto"/>
        <w:right w:val="none" w:sz="0" w:space="0" w:color="auto"/>
      </w:divBdr>
    </w:div>
    <w:div w:id="649870416">
      <w:bodyDiv w:val="1"/>
      <w:marLeft w:val="0"/>
      <w:marRight w:val="0"/>
      <w:marTop w:val="0"/>
      <w:marBottom w:val="0"/>
      <w:divBdr>
        <w:top w:val="none" w:sz="0" w:space="0" w:color="auto"/>
        <w:left w:val="none" w:sz="0" w:space="0" w:color="auto"/>
        <w:bottom w:val="none" w:sz="0" w:space="0" w:color="auto"/>
        <w:right w:val="none" w:sz="0" w:space="0" w:color="auto"/>
      </w:divBdr>
    </w:div>
    <w:div w:id="682978072">
      <w:bodyDiv w:val="1"/>
      <w:marLeft w:val="0"/>
      <w:marRight w:val="0"/>
      <w:marTop w:val="0"/>
      <w:marBottom w:val="0"/>
      <w:divBdr>
        <w:top w:val="none" w:sz="0" w:space="0" w:color="auto"/>
        <w:left w:val="none" w:sz="0" w:space="0" w:color="auto"/>
        <w:bottom w:val="none" w:sz="0" w:space="0" w:color="auto"/>
        <w:right w:val="none" w:sz="0" w:space="0" w:color="auto"/>
      </w:divBdr>
    </w:div>
    <w:div w:id="683746004">
      <w:bodyDiv w:val="1"/>
      <w:marLeft w:val="0"/>
      <w:marRight w:val="0"/>
      <w:marTop w:val="0"/>
      <w:marBottom w:val="0"/>
      <w:divBdr>
        <w:top w:val="none" w:sz="0" w:space="0" w:color="auto"/>
        <w:left w:val="none" w:sz="0" w:space="0" w:color="auto"/>
        <w:bottom w:val="none" w:sz="0" w:space="0" w:color="auto"/>
        <w:right w:val="none" w:sz="0" w:space="0" w:color="auto"/>
      </w:divBdr>
    </w:div>
    <w:div w:id="730079683">
      <w:bodyDiv w:val="1"/>
      <w:marLeft w:val="0"/>
      <w:marRight w:val="0"/>
      <w:marTop w:val="0"/>
      <w:marBottom w:val="0"/>
      <w:divBdr>
        <w:top w:val="none" w:sz="0" w:space="0" w:color="auto"/>
        <w:left w:val="none" w:sz="0" w:space="0" w:color="auto"/>
        <w:bottom w:val="none" w:sz="0" w:space="0" w:color="auto"/>
        <w:right w:val="none" w:sz="0" w:space="0" w:color="auto"/>
      </w:divBdr>
    </w:div>
    <w:div w:id="794640047">
      <w:bodyDiv w:val="1"/>
      <w:marLeft w:val="0"/>
      <w:marRight w:val="0"/>
      <w:marTop w:val="0"/>
      <w:marBottom w:val="0"/>
      <w:divBdr>
        <w:top w:val="none" w:sz="0" w:space="0" w:color="auto"/>
        <w:left w:val="none" w:sz="0" w:space="0" w:color="auto"/>
        <w:bottom w:val="none" w:sz="0" w:space="0" w:color="auto"/>
        <w:right w:val="none" w:sz="0" w:space="0" w:color="auto"/>
      </w:divBdr>
    </w:div>
    <w:div w:id="821313120">
      <w:bodyDiv w:val="1"/>
      <w:marLeft w:val="0"/>
      <w:marRight w:val="0"/>
      <w:marTop w:val="0"/>
      <w:marBottom w:val="0"/>
      <w:divBdr>
        <w:top w:val="none" w:sz="0" w:space="0" w:color="auto"/>
        <w:left w:val="none" w:sz="0" w:space="0" w:color="auto"/>
        <w:bottom w:val="none" w:sz="0" w:space="0" w:color="auto"/>
        <w:right w:val="none" w:sz="0" w:space="0" w:color="auto"/>
      </w:divBdr>
      <w:divsChild>
        <w:div w:id="913123375">
          <w:marLeft w:val="0"/>
          <w:marRight w:val="0"/>
          <w:marTop w:val="0"/>
          <w:marBottom w:val="0"/>
          <w:divBdr>
            <w:top w:val="none" w:sz="0" w:space="0" w:color="auto"/>
            <w:left w:val="none" w:sz="0" w:space="0" w:color="auto"/>
            <w:bottom w:val="none" w:sz="0" w:space="0" w:color="auto"/>
            <w:right w:val="none" w:sz="0" w:space="0" w:color="auto"/>
          </w:divBdr>
        </w:div>
      </w:divsChild>
    </w:div>
    <w:div w:id="865024008">
      <w:bodyDiv w:val="1"/>
      <w:marLeft w:val="0"/>
      <w:marRight w:val="0"/>
      <w:marTop w:val="0"/>
      <w:marBottom w:val="0"/>
      <w:divBdr>
        <w:top w:val="none" w:sz="0" w:space="0" w:color="auto"/>
        <w:left w:val="none" w:sz="0" w:space="0" w:color="auto"/>
        <w:bottom w:val="none" w:sz="0" w:space="0" w:color="auto"/>
        <w:right w:val="none" w:sz="0" w:space="0" w:color="auto"/>
      </w:divBdr>
    </w:div>
    <w:div w:id="1001472832">
      <w:bodyDiv w:val="1"/>
      <w:marLeft w:val="0"/>
      <w:marRight w:val="0"/>
      <w:marTop w:val="0"/>
      <w:marBottom w:val="0"/>
      <w:divBdr>
        <w:top w:val="none" w:sz="0" w:space="0" w:color="auto"/>
        <w:left w:val="none" w:sz="0" w:space="0" w:color="auto"/>
        <w:bottom w:val="none" w:sz="0" w:space="0" w:color="auto"/>
        <w:right w:val="none" w:sz="0" w:space="0" w:color="auto"/>
      </w:divBdr>
    </w:div>
    <w:div w:id="1124277308">
      <w:bodyDiv w:val="1"/>
      <w:marLeft w:val="0"/>
      <w:marRight w:val="0"/>
      <w:marTop w:val="0"/>
      <w:marBottom w:val="0"/>
      <w:divBdr>
        <w:top w:val="none" w:sz="0" w:space="0" w:color="auto"/>
        <w:left w:val="none" w:sz="0" w:space="0" w:color="auto"/>
        <w:bottom w:val="none" w:sz="0" w:space="0" w:color="auto"/>
        <w:right w:val="none" w:sz="0" w:space="0" w:color="auto"/>
      </w:divBdr>
    </w:div>
    <w:div w:id="1188106269">
      <w:bodyDiv w:val="1"/>
      <w:marLeft w:val="0"/>
      <w:marRight w:val="0"/>
      <w:marTop w:val="0"/>
      <w:marBottom w:val="0"/>
      <w:divBdr>
        <w:top w:val="none" w:sz="0" w:space="0" w:color="auto"/>
        <w:left w:val="none" w:sz="0" w:space="0" w:color="auto"/>
        <w:bottom w:val="none" w:sz="0" w:space="0" w:color="auto"/>
        <w:right w:val="none" w:sz="0" w:space="0" w:color="auto"/>
      </w:divBdr>
    </w:div>
    <w:div w:id="1223522018">
      <w:bodyDiv w:val="1"/>
      <w:marLeft w:val="0"/>
      <w:marRight w:val="0"/>
      <w:marTop w:val="0"/>
      <w:marBottom w:val="0"/>
      <w:divBdr>
        <w:top w:val="none" w:sz="0" w:space="0" w:color="auto"/>
        <w:left w:val="none" w:sz="0" w:space="0" w:color="auto"/>
        <w:bottom w:val="none" w:sz="0" w:space="0" w:color="auto"/>
        <w:right w:val="none" w:sz="0" w:space="0" w:color="auto"/>
      </w:divBdr>
    </w:div>
    <w:div w:id="1228539766">
      <w:bodyDiv w:val="1"/>
      <w:marLeft w:val="0"/>
      <w:marRight w:val="0"/>
      <w:marTop w:val="0"/>
      <w:marBottom w:val="0"/>
      <w:divBdr>
        <w:top w:val="none" w:sz="0" w:space="0" w:color="auto"/>
        <w:left w:val="none" w:sz="0" w:space="0" w:color="auto"/>
        <w:bottom w:val="none" w:sz="0" w:space="0" w:color="auto"/>
        <w:right w:val="none" w:sz="0" w:space="0" w:color="auto"/>
      </w:divBdr>
    </w:div>
    <w:div w:id="1330333269">
      <w:bodyDiv w:val="1"/>
      <w:marLeft w:val="0"/>
      <w:marRight w:val="0"/>
      <w:marTop w:val="0"/>
      <w:marBottom w:val="0"/>
      <w:divBdr>
        <w:top w:val="none" w:sz="0" w:space="0" w:color="auto"/>
        <w:left w:val="none" w:sz="0" w:space="0" w:color="auto"/>
        <w:bottom w:val="none" w:sz="0" w:space="0" w:color="auto"/>
        <w:right w:val="none" w:sz="0" w:space="0" w:color="auto"/>
      </w:divBdr>
    </w:div>
    <w:div w:id="1399549195">
      <w:bodyDiv w:val="1"/>
      <w:marLeft w:val="0"/>
      <w:marRight w:val="0"/>
      <w:marTop w:val="0"/>
      <w:marBottom w:val="0"/>
      <w:divBdr>
        <w:top w:val="none" w:sz="0" w:space="0" w:color="auto"/>
        <w:left w:val="none" w:sz="0" w:space="0" w:color="auto"/>
        <w:bottom w:val="none" w:sz="0" w:space="0" w:color="auto"/>
        <w:right w:val="none" w:sz="0" w:space="0" w:color="auto"/>
      </w:divBdr>
    </w:div>
    <w:div w:id="1404646362">
      <w:bodyDiv w:val="1"/>
      <w:marLeft w:val="0"/>
      <w:marRight w:val="0"/>
      <w:marTop w:val="0"/>
      <w:marBottom w:val="0"/>
      <w:divBdr>
        <w:top w:val="none" w:sz="0" w:space="0" w:color="auto"/>
        <w:left w:val="none" w:sz="0" w:space="0" w:color="auto"/>
        <w:bottom w:val="none" w:sz="0" w:space="0" w:color="auto"/>
        <w:right w:val="none" w:sz="0" w:space="0" w:color="auto"/>
      </w:divBdr>
    </w:div>
    <w:div w:id="1413431617">
      <w:bodyDiv w:val="1"/>
      <w:marLeft w:val="0"/>
      <w:marRight w:val="0"/>
      <w:marTop w:val="0"/>
      <w:marBottom w:val="0"/>
      <w:divBdr>
        <w:top w:val="none" w:sz="0" w:space="0" w:color="auto"/>
        <w:left w:val="none" w:sz="0" w:space="0" w:color="auto"/>
        <w:bottom w:val="none" w:sz="0" w:space="0" w:color="auto"/>
        <w:right w:val="none" w:sz="0" w:space="0" w:color="auto"/>
      </w:divBdr>
    </w:div>
    <w:div w:id="1416050417">
      <w:bodyDiv w:val="1"/>
      <w:marLeft w:val="0"/>
      <w:marRight w:val="0"/>
      <w:marTop w:val="0"/>
      <w:marBottom w:val="0"/>
      <w:divBdr>
        <w:top w:val="none" w:sz="0" w:space="0" w:color="auto"/>
        <w:left w:val="none" w:sz="0" w:space="0" w:color="auto"/>
        <w:bottom w:val="none" w:sz="0" w:space="0" w:color="auto"/>
        <w:right w:val="none" w:sz="0" w:space="0" w:color="auto"/>
      </w:divBdr>
    </w:div>
    <w:div w:id="1445418189">
      <w:bodyDiv w:val="1"/>
      <w:marLeft w:val="0"/>
      <w:marRight w:val="0"/>
      <w:marTop w:val="0"/>
      <w:marBottom w:val="0"/>
      <w:divBdr>
        <w:top w:val="none" w:sz="0" w:space="0" w:color="auto"/>
        <w:left w:val="none" w:sz="0" w:space="0" w:color="auto"/>
        <w:bottom w:val="none" w:sz="0" w:space="0" w:color="auto"/>
        <w:right w:val="none" w:sz="0" w:space="0" w:color="auto"/>
      </w:divBdr>
      <w:divsChild>
        <w:div w:id="366881487">
          <w:marLeft w:val="0"/>
          <w:marRight w:val="0"/>
          <w:marTop w:val="0"/>
          <w:marBottom w:val="0"/>
          <w:divBdr>
            <w:top w:val="none" w:sz="0" w:space="0" w:color="auto"/>
            <w:left w:val="none" w:sz="0" w:space="0" w:color="auto"/>
            <w:bottom w:val="none" w:sz="0" w:space="0" w:color="auto"/>
            <w:right w:val="none" w:sz="0" w:space="0" w:color="auto"/>
          </w:divBdr>
        </w:div>
      </w:divsChild>
    </w:div>
    <w:div w:id="1464226704">
      <w:bodyDiv w:val="1"/>
      <w:marLeft w:val="0"/>
      <w:marRight w:val="0"/>
      <w:marTop w:val="0"/>
      <w:marBottom w:val="0"/>
      <w:divBdr>
        <w:top w:val="none" w:sz="0" w:space="0" w:color="auto"/>
        <w:left w:val="none" w:sz="0" w:space="0" w:color="auto"/>
        <w:bottom w:val="none" w:sz="0" w:space="0" w:color="auto"/>
        <w:right w:val="none" w:sz="0" w:space="0" w:color="auto"/>
      </w:divBdr>
    </w:div>
    <w:div w:id="1467089857">
      <w:bodyDiv w:val="1"/>
      <w:marLeft w:val="0"/>
      <w:marRight w:val="0"/>
      <w:marTop w:val="0"/>
      <w:marBottom w:val="0"/>
      <w:divBdr>
        <w:top w:val="none" w:sz="0" w:space="0" w:color="auto"/>
        <w:left w:val="none" w:sz="0" w:space="0" w:color="auto"/>
        <w:bottom w:val="none" w:sz="0" w:space="0" w:color="auto"/>
        <w:right w:val="none" w:sz="0" w:space="0" w:color="auto"/>
      </w:divBdr>
    </w:div>
    <w:div w:id="1479683177">
      <w:bodyDiv w:val="1"/>
      <w:marLeft w:val="0"/>
      <w:marRight w:val="0"/>
      <w:marTop w:val="0"/>
      <w:marBottom w:val="0"/>
      <w:divBdr>
        <w:top w:val="none" w:sz="0" w:space="0" w:color="auto"/>
        <w:left w:val="none" w:sz="0" w:space="0" w:color="auto"/>
        <w:bottom w:val="none" w:sz="0" w:space="0" w:color="auto"/>
        <w:right w:val="none" w:sz="0" w:space="0" w:color="auto"/>
      </w:divBdr>
    </w:div>
    <w:div w:id="1498112574">
      <w:bodyDiv w:val="1"/>
      <w:marLeft w:val="0"/>
      <w:marRight w:val="0"/>
      <w:marTop w:val="0"/>
      <w:marBottom w:val="0"/>
      <w:divBdr>
        <w:top w:val="none" w:sz="0" w:space="0" w:color="auto"/>
        <w:left w:val="none" w:sz="0" w:space="0" w:color="auto"/>
        <w:bottom w:val="none" w:sz="0" w:space="0" w:color="auto"/>
        <w:right w:val="none" w:sz="0" w:space="0" w:color="auto"/>
      </w:divBdr>
    </w:div>
    <w:div w:id="1513832348">
      <w:bodyDiv w:val="1"/>
      <w:marLeft w:val="0"/>
      <w:marRight w:val="0"/>
      <w:marTop w:val="0"/>
      <w:marBottom w:val="0"/>
      <w:divBdr>
        <w:top w:val="none" w:sz="0" w:space="0" w:color="auto"/>
        <w:left w:val="none" w:sz="0" w:space="0" w:color="auto"/>
        <w:bottom w:val="none" w:sz="0" w:space="0" w:color="auto"/>
        <w:right w:val="none" w:sz="0" w:space="0" w:color="auto"/>
      </w:divBdr>
    </w:div>
    <w:div w:id="1581669729">
      <w:bodyDiv w:val="1"/>
      <w:marLeft w:val="0"/>
      <w:marRight w:val="0"/>
      <w:marTop w:val="0"/>
      <w:marBottom w:val="0"/>
      <w:divBdr>
        <w:top w:val="none" w:sz="0" w:space="0" w:color="auto"/>
        <w:left w:val="none" w:sz="0" w:space="0" w:color="auto"/>
        <w:bottom w:val="none" w:sz="0" w:space="0" w:color="auto"/>
        <w:right w:val="none" w:sz="0" w:space="0" w:color="auto"/>
      </w:divBdr>
    </w:div>
    <w:div w:id="1668559893">
      <w:bodyDiv w:val="1"/>
      <w:marLeft w:val="0"/>
      <w:marRight w:val="0"/>
      <w:marTop w:val="0"/>
      <w:marBottom w:val="0"/>
      <w:divBdr>
        <w:top w:val="none" w:sz="0" w:space="0" w:color="auto"/>
        <w:left w:val="none" w:sz="0" w:space="0" w:color="auto"/>
        <w:bottom w:val="none" w:sz="0" w:space="0" w:color="auto"/>
        <w:right w:val="none" w:sz="0" w:space="0" w:color="auto"/>
      </w:divBdr>
    </w:div>
    <w:div w:id="1669820104">
      <w:bodyDiv w:val="1"/>
      <w:marLeft w:val="0"/>
      <w:marRight w:val="0"/>
      <w:marTop w:val="0"/>
      <w:marBottom w:val="0"/>
      <w:divBdr>
        <w:top w:val="none" w:sz="0" w:space="0" w:color="auto"/>
        <w:left w:val="none" w:sz="0" w:space="0" w:color="auto"/>
        <w:bottom w:val="none" w:sz="0" w:space="0" w:color="auto"/>
        <w:right w:val="none" w:sz="0" w:space="0" w:color="auto"/>
      </w:divBdr>
      <w:divsChild>
        <w:div w:id="402291943">
          <w:marLeft w:val="547"/>
          <w:marRight w:val="0"/>
          <w:marTop w:val="140"/>
          <w:marBottom w:val="0"/>
          <w:divBdr>
            <w:top w:val="none" w:sz="0" w:space="0" w:color="auto"/>
            <w:left w:val="none" w:sz="0" w:space="0" w:color="auto"/>
            <w:bottom w:val="none" w:sz="0" w:space="0" w:color="auto"/>
            <w:right w:val="none" w:sz="0" w:space="0" w:color="auto"/>
          </w:divBdr>
        </w:div>
      </w:divsChild>
    </w:div>
    <w:div w:id="1860005274">
      <w:bodyDiv w:val="1"/>
      <w:marLeft w:val="0"/>
      <w:marRight w:val="0"/>
      <w:marTop w:val="0"/>
      <w:marBottom w:val="0"/>
      <w:divBdr>
        <w:top w:val="none" w:sz="0" w:space="0" w:color="auto"/>
        <w:left w:val="none" w:sz="0" w:space="0" w:color="auto"/>
        <w:bottom w:val="none" w:sz="0" w:space="0" w:color="auto"/>
        <w:right w:val="none" w:sz="0" w:space="0" w:color="auto"/>
      </w:divBdr>
      <w:divsChild>
        <w:div w:id="46342219">
          <w:marLeft w:val="0"/>
          <w:marRight w:val="0"/>
          <w:marTop w:val="0"/>
          <w:marBottom w:val="0"/>
          <w:divBdr>
            <w:top w:val="none" w:sz="0" w:space="0" w:color="auto"/>
            <w:left w:val="none" w:sz="0" w:space="0" w:color="auto"/>
            <w:bottom w:val="none" w:sz="0" w:space="0" w:color="auto"/>
            <w:right w:val="none" w:sz="0" w:space="0" w:color="auto"/>
          </w:divBdr>
        </w:div>
      </w:divsChild>
    </w:div>
    <w:div w:id="1883790617">
      <w:bodyDiv w:val="1"/>
      <w:marLeft w:val="0"/>
      <w:marRight w:val="0"/>
      <w:marTop w:val="0"/>
      <w:marBottom w:val="0"/>
      <w:divBdr>
        <w:top w:val="none" w:sz="0" w:space="0" w:color="auto"/>
        <w:left w:val="none" w:sz="0" w:space="0" w:color="auto"/>
        <w:bottom w:val="none" w:sz="0" w:space="0" w:color="auto"/>
        <w:right w:val="none" w:sz="0" w:space="0" w:color="auto"/>
      </w:divBdr>
    </w:div>
    <w:div w:id="1884906017">
      <w:bodyDiv w:val="1"/>
      <w:marLeft w:val="0"/>
      <w:marRight w:val="0"/>
      <w:marTop w:val="0"/>
      <w:marBottom w:val="0"/>
      <w:divBdr>
        <w:top w:val="none" w:sz="0" w:space="0" w:color="auto"/>
        <w:left w:val="none" w:sz="0" w:space="0" w:color="auto"/>
        <w:bottom w:val="none" w:sz="0" w:space="0" w:color="auto"/>
        <w:right w:val="none" w:sz="0" w:space="0" w:color="auto"/>
      </w:divBdr>
      <w:divsChild>
        <w:div w:id="1993634633">
          <w:marLeft w:val="0"/>
          <w:marRight w:val="0"/>
          <w:marTop w:val="0"/>
          <w:marBottom w:val="0"/>
          <w:divBdr>
            <w:top w:val="none" w:sz="0" w:space="0" w:color="auto"/>
            <w:left w:val="none" w:sz="0" w:space="0" w:color="auto"/>
            <w:bottom w:val="none" w:sz="0" w:space="0" w:color="auto"/>
            <w:right w:val="none" w:sz="0" w:space="0" w:color="auto"/>
          </w:divBdr>
        </w:div>
      </w:divsChild>
    </w:div>
    <w:div w:id="1889954220">
      <w:bodyDiv w:val="1"/>
      <w:marLeft w:val="0"/>
      <w:marRight w:val="0"/>
      <w:marTop w:val="0"/>
      <w:marBottom w:val="0"/>
      <w:divBdr>
        <w:top w:val="none" w:sz="0" w:space="0" w:color="auto"/>
        <w:left w:val="none" w:sz="0" w:space="0" w:color="auto"/>
        <w:bottom w:val="none" w:sz="0" w:space="0" w:color="auto"/>
        <w:right w:val="none" w:sz="0" w:space="0" w:color="auto"/>
      </w:divBdr>
      <w:divsChild>
        <w:div w:id="1977636216">
          <w:marLeft w:val="0"/>
          <w:marRight w:val="0"/>
          <w:marTop w:val="0"/>
          <w:marBottom w:val="0"/>
          <w:divBdr>
            <w:top w:val="none" w:sz="0" w:space="0" w:color="auto"/>
            <w:left w:val="none" w:sz="0" w:space="0" w:color="auto"/>
            <w:bottom w:val="none" w:sz="0" w:space="0" w:color="auto"/>
            <w:right w:val="none" w:sz="0" w:space="0" w:color="auto"/>
          </w:divBdr>
        </w:div>
      </w:divsChild>
    </w:div>
    <w:div w:id="1944340999">
      <w:bodyDiv w:val="1"/>
      <w:marLeft w:val="0"/>
      <w:marRight w:val="0"/>
      <w:marTop w:val="0"/>
      <w:marBottom w:val="0"/>
      <w:divBdr>
        <w:top w:val="none" w:sz="0" w:space="0" w:color="auto"/>
        <w:left w:val="none" w:sz="0" w:space="0" w:color="auto"/>
        <w:bottom w:val="none" w:sz="0" w:space="0" w:color="auto"/>
        <w:right w:val="none" w:sz="0" w:space="0" w:color="auto"/>
      </w:divBdr>
    </w:div>
    <w:div w:id="2022586079">
      <w:bodyDiv w:val="1"/>
      <w:marLeft w:val="0"/>
      <w:marRight w:val="0"/>
      <w:marTop w:val="0"/>
      <w:marBottom w:val="0"/>
      <w:divBdr>
        <w:top w:val="none" w:sz="0" w:space="0" w:color="auto"/>
        <w:left w:val="none" w:sz="0" w:space="0" w:color="auto"/>
        <w:bottom w:val="none" w:sz="0" w:space="0" w:color="auto"/>
        <w:right w:val="none" w:sz="0" w:space="0" w:color="auto"/>
      </w:divBdr>
      <w:divsChild>
        <w:div w:id="2061905850">
          <w:marLeft w:val="0"/>
          <w:marRight w:val="0"/>
          <w:marTop w:val="0"/>
          <w:marBottom w:val="0"/>
          <w:divBdr>
            <w:top w:val="none" w:sz="0" w:space="0" w:color="auto"/>
            <w:left w:val="none" w:sz="0" w:space="0" w:color="auto"/>
            <w:bottom w:val="none" w:sz="0" w:space="0" w:color="auto"/>
            <w:right w:val="none" w:sz="0" w:space="0" w:color="auto"/>
          </w:divBdr>
        </w:div>
      </w:divsChild>
    </w:div>
    <w:div w:id="2045129696">
      <w:bodyDiv w:val="1"/>
      <w:marLeft w:val="0"/>
      <w:marRight w:val="0"/>
      <w:marTop w:val="0"/>
      <w:marBottom w:val="0"/>
      <w:divBdr>
        <w:top w:val="none" w:sz="0" w:space="0" w:color="auto"/>
        <w:left w:val="none" w:sz="0" w:space="0" w:color="auto"/>
        <w:bottom w:val="none" w:sz="0" w:space="0" w:color="auto"/>
        <w:right w:val="none" w:sz="0" w:space="0" w:color="auto"/>
      </w:divBdr>
      <w:divsChild>
        <w:div w:id="2129355980">
          <w:marLeft w:val="0"/>
          <w:marRight w:val="0"/>
          <w:marTop w:val="0"/>
          <w:marBottom w:val="0"/>
          <w:divBdr>
            <w:top w:val="none" w:sz="0" w:space="0" w:color="auto"/>
            <w:left w:val="none" w:sz="0" w:space="0" w:color="auto"/>
            <w:bottom w:val="none" w:sz="0" w:space="0" w:color="auto"/>
            <w:right w:val="none" w:sz="0" w:space="0" w:color="auto"/>
          </w:divBdr>
        </w:div>
      </w:divsChild>
    </w:div>
    <w:div w:id="2131782373">
      <w:bodyDiv w:val="1"/>
      <w:marLeft w:val="0"/>
      <w:marRight w:val="0"/>
      <w:marTop w:val="0"/>
      <w:marBottom w:val="0"/>
      <w:divBdr>
        <w:top w:val="none" w:sz="0" w:space="0" w:color="auto"/>
        <w:left w:val="none" w:sz="0" w:space="0" w:color="auto"/>
        <w:bottom w:val="none" w:sz="0" w:space="0" w:color="auto"/>
        <w:right w:val="none" w:sz="0" w:space="0" w:color="auto"/>
      </w:divBdr>
    </w:div>
    <w:div w:id="2140147879">
      <w:bodyDiv w:val="1"/>
      <w:marLeft w:val="0"/>
      <w:marRight w:val="0"/>
      <w:marTop w:val="0"/>
      <w:marBottom w:val="0"/>
      <w:divBdr>
        <w:top w:val="none" w:sz="0" w:space="0" w:color="auto"/>
        <w:left w:val="none" w:sz="0" w:space="0" w:color="auto"/>
        <w:bottom w:val="none" w:sz="0" w:space="0" w:color="auto"/>
        <w:right w:val="none" w:sz="0" w:space="0" w:color="auto"/>
      </w:divBdr>
      <w:divsChild>
        <w:div w:id="12929777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4646</TotalTime>
  <Pages>18</Pages>
  <Words>6484</Words>
  <Characters>36965</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NPTCBC</Company>
  <LinksUpToDate>false</LinksUpToDate>
  <CharactersWithSpaces>43363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Parry</dc:creator>
  <cp:keywords/>
  <dc:description/>
  <cp:lastModifiedBy>Laura Parry</cp:lastModifiedBy>
  <cp:revision>89</cp:revision>
  <dcterms:created xsi:type="dcterms:W3CDTF">2024-03-18T17:36:00Z</dcterms:created>
  <dcterms:modified xsi:type="dcterms:W3CDTF">2024-05-02T19:17:00Z</dcterms:modified>
</cp:coreProperties>
</file>