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5DDFE" w14:textId="08833073" w:rsidR="00261EF2" w:rsidRPr="00261EF2" w:rsidRDefault="00261EF2" w:rsidP="00261EF2">
      <w:pPr>
        <w:jc w:val="center"/>
        <w:rPr>
          <w:rFonts w:ascii="Arial" w:hAnsi="Arial" w:cs="Arial"/>
        </w:rPr>
      </w:pPr>
      <w:r>
        <w:rPr>
          <w:rFonts w:ascii="Arial" w:hAnsi="Arial" w:cs="Arial"/>
        </w:rPr>
        <w:t>Component 2 – Individual Report</w:t>
      </w:r>
    </w:p>
    <w:p w14:paraId="1EC234F8" w14:textId="77777777" w:rsidR="00261EF2" w:rsidRDefault="00261EF2" w:rsidP="00261EF2"/>
    <w:p w14:paraId="6A081526" w14:textId="77777777" w:rsidR="00261EF2" w:rsidRDefault="00261EF2" w:rsidP="00261EF2"/>
    <w:p w14:paraId="42EEEF1C" w14:textId="77777777" w:rsidR="00261EF2" w:rsidRDefault="00261EF2" w:rsidP="00261EF2"/>
    <w:p w14:paraId="3BC01706" w14:textId="2CD3DC33" w:rsidR="00261EF2" w:rsidRDefault="00261EF2" w:rsidP="00261EF2">
      <w:r>
        <w:rPr>
          <w:noProof/>
        </w:rPr>
        <w:drawing>
          <wp:anchor distT="0" distB="0" distL="114300" distR="114300" simplePos="0" relativeHeight="251658240" behindDoc="1" locked="0" layoutInCell="1" allowOverlap="1" wp14:anchorId="07BAA6E0" wp14:editId="7606DA16">
            <wp:simplePos x="0" y="0"/>
            <wp:positionH relativeFrom="column">
              <wp:posOffset>645767</wp:posOffset>
            </wp:positionH>
            <wp:positionV relativeFrom="paragraph">
              <wp:posOffset>12148</wp:posOffset>
            </wp:positionV>
            <wp:extent cx="4188460" cy="1390015"/>
            <wp:effectExtent l="0" t="0" r="2540" b="635"/>
            <wp:wrapNone/>
            <wp:docPr id="16817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8460" cy="1390015"/>
                    </a:xfrm>
                    <a:prstGeom prst="rect">
                      <a:avLst/>
                    </a:prstGeom>
                    <a:noFill/>
                  </pic:spPr>
                </pic:pic>
              </a:graphicData>
            </a:graphic>
          </wp:anchor>
        </w:drawing>
      </w:r>
    </w:p>
    <w:p w14:paraId="5B6AF6BB" w14:textId="19B4169A" w:rsidR="00261EF2" w:rsidRDefault="00261EF2" w:rsidP="00261EF2"/>
    <w:p w14:paraId="5562C7D2" w14:textId="77777777" w:rsidR="00261EF2" w:rsidRDefault="00261EF2" w:rsidP="00261EF2"/>
    <w:p w14:paraId="013DB0BB" w14:textId="77777777" w:rsidR="00261EF2" w:rsidRDefault="00261EF2" w:rsidP="00261EF2"/>
    <w:p w14:paraId="5780C10B" w14:textId="77777777" w:rsidR="00261EF2" w:rsidRDefault="00261EF2" w:rsidP="00261EF2"/>
    <w:p w14:paraId="41F3A950" w14:textId="77777777" w:rsidR="00261EF2" w:rsidRDefault="00261EF2" w:rsidP="00261EF2"/>
    <w:p w14:paraId="3B75B7AB" w14:textId="77777777" w:rsidR="00261EF2" w:rsidRDefault="00261EF2" w:rsidP="00261EF2"/>
    <w:p w14:paraId="045D5CE3" w14:textId="77777777" w:rsidR="00261EF2" w:rsidRPr="00261EF2" w:rsidRDefault="00261EF2" w:rsidP="00261EF2"/>
    <w:p w14:paraId="7EB14273" w14:textId="77777777" w:rsidR="00095A82" w:rsidRPr="00261EF2" w:rsidRDefault="00000000" w:rsidP="00261EF2">
      <w:pPr>
        <w:jc w:val="center"/>
        <w:rPr>
          <w:rFonts w:ascii="Arial" w:hAnsi="Arial" w:cs="Arial"/>
        </w:rPr>
      </w:pPr>
      <w:r w:rsidRPr="00261EF2">
        <w:rPr>
          <w:rFonts w:ascii="Arial" w:hAnsi="Arial" w:cs="Arial"/>
        </w:rPr>
        <w:t>Module: Developing and Managing Individuals and Teams (LCLM5002)</w:t>
      </w:r>
    </w:p>
    <w:p w14:paraId="714F29FD" w14:textId="77777777" w:rsidR="00095A82" w:rsidRPr="00261EF2" w:rsidRDefault="00000000" w:rsidP="00261EF2">
      <w:pPr>
        <w:jc w:val="center"/>
        <w:rPr>
          <w:rFonts w:ascii="Arial" w:hAnsi="Arial" w:cs="Arial"/>
        </w:rPr>
      </w:pPr>
      <w:r w:rsidRPr="00261EF2">
        <w:rPr>
          <w:rFonts w:ascii="Arial" w:hAnsi="Arial" w:cs="Arial"/>
        </w:rPr>
        <w:t>Programme: BA (Hons) Leadership and Management Skills for the Workplace</w:t>
      </w:r>
    </w:p>
    <w:p w14:paraId="050AC4A0" w14:textId="77777777" w:rsidR="00095A82" w:rsidRPr="00261EF2" w:rsidRDefault="00000000" w:rsidP="00261EF2">
      <w:pPr>
        <w:jc w:val="center"/>
        <w:rPr>
          <w:rFonts w:ascii="Arial" w:hAnsi="Arial" w:cs="Arial"/>
        </w:rPr>
      </w:pPr>
      <w:r w:rsidRPr="00261EF2">
        <w:rPr>
          <w:rFonts w:ascii="Arial" w:hAnsi="Arial" w:cs="Arial"/>
        </w:rPr>
        <w:t>Student Name: Nicolas Sanchez Navarrete</w:t>
      </w:r>
    </w:p>
    <w:p w14:paraId="0925EF64" w14:textId="77777777" w:rsidR="00095A82" w:rsidRPr="00261EF2" w:rsidRDefault="00000000" w:rsidP="00261EF2">
      <w:pPr>
        <w:jc w:val="center"/>
        <w:rPr>
          <w:rFonts w:ascii="Arial" w:hAnsi="Arial" w:cs="Arial"/>
        </w:rPr>
      </w:pPr>
      <w:r w:rsidRPr="00261EF2">
        <w:rPr>
          <w:rFonts w:ascii="Arial" w:hAnsi="Arial" w:cs="Arial"/>
        </w:rPr>
        <w:t>Student Number: 2413598</w:t>
      </w:r>
    </w:p>
    <w:p w14:paraId="63FEFD04" w14:textId="7AE8B4CC" w:rsidR="00261EF2" w:rsidRPr="00261EF2" w:rsidRDefault="00000000" w:rsidP="00261EF2">
      <w:pPr>
        <w:jc w:val="center"/>
        <w:rPr>
          <w:rFonts w:ascii="Arial" w:hAnsi="Arial" w:cs="Arial"/>
        </w:rPr>
      </w:pPr>
      <w:r w:rsidRPr="00261EF2">
        <w:rPr>
          <w:rFonts w:ascii="Arial" w:hAnsi="Arial" w:cs="Arial"/>
        </w:rPr>
        <w:t>Lecturer: Toyin Adisa</w:t>
      </w:r>
    </w:p>
    <w:p w14:paraId="12A37CAC" w14:textId="77777777" w:rsidR="00095A82" w:rsidRDefault="00000000" w:rsidP="00261EF2">
      <w:pPr>
        <w:jc w:val="center"/>
        <w:rPr>
          <w:rFonts w:ascii="Arial" w:hAnsi="Arial" w:cs="Arial"/>
        </w:rPr>
      </w:pPr>
      <w:r w:rsidRPr="00261EF2">
        <w:rPr>
          <w:rFonts w:ascii="Arial" w:hAnsi="Arial" w:cs="Arial"/>
        </w:rPr>
        <w:t>Submission Date: 16 December 2025</w:t>
      </w:r>
    </w:p>
    <w:p w14:paraId="07C57455" w14:textId="77777777" w:rsidR="00261EF2" w:rsidRDefault="00261EF2" w:rsidP="00261EF2">
      <w:pPr>
        <w:jc w:val="center"/>
        <w:rPr>
          <w:rFonts w:ascii="Arial" w:hAnsi="Arial" w:cs="Arial"/>
        </w:rPr>
      </w:pPr>
    </w:p>
    <w:p w14:paraId="274DD11A" w14:textId="77777777" w:rsidR="00261EF2" w:rsidRDefault="00261EF2" w:rsidP="00261EF2">
      <w:pPr>
        <w:jc w:val="center"/>
        <w:rPr>
          <w:rFonts w:ascii="Arial" w:hAnsi="Arial" w:cs="Arial"/>
        </w:rPr>
      </w:pPr>
    </w:p>
    <w:p w14:paraId="28EAB558" w14:textId="77777777" w:rsidR="00261EF2" w:rsidRDefault="00261EF2" w:rsidP="00261EF2">
      <w:pPr>
        <w:jc w:val="center"/>
        <w:rPr>
          <w:rFonts w:ascii="Arial" w:hAnsi="Arial" w:cs="Arial"/>
        </w:rPr>
      </w:pPr>
    </w:p>
    <w:p w14:paraId="2F0EC25F" w14:textId="77777777" w:rsidR="00261EF2" w:rsidRPr="00261EF2" w:rsidRDefault="00261EF2" w:rsidP="00261EF2">
      <w:pPr>
        <w:jc w:val="center"/>
        <w:rPr>
          <w:rFonts w:ascii="Arial" w:hAnsi="Arial" w:cs="Arial"/>
          <w:lang w:val="en-GB"/>
        </w:rPr>
      </w:pPr>
      <w:r w:rsidRPr="00261EF2">
        <w:rPr>
          <w:rFonts w:ascii="Arial" w:hAnsi="Arial" w:cs="Arial"/>
          <w:lang w:val="en-GB"/>
        </w:rPr>
        <w:t>Session: October 2025 Term</w:t>
      </w:r>
    </w:p>
    <w:p w14:paraId="079BF267" w14:textId="77777777" w:rsidR="00261EF2" w:rsidRPr="00261EF2" w:rsidRDefault="00261EF2" w:rsidP="00261EF2">
      <w:pPr>
        <w:jc w:val="center"/>
        <w:rPr>
          <w:rFonts w:ascii="Arial" w:hAnsi="Arial" w:cs="Arial"/>
        </w:rPr>
      </w:pPr>
    </w:p>
    <w:p w14:paraId="660040C9" w14:textId="32C23C02" w:rsidR="00261EF2" w:rsidRDefault="00261EF2" w:rsidP="00261EF2">
      <w:pPr>
        <w:tabs>
          <w:tab w:val="left" w:pos="3681"/>
        </w:tabs>
      </w:pPr>
      <w:r>
        <w:tab/>
      </w:r>
    </w:p>
    <w:p w14:paraId="587AEC3E" w14:textId="0954D5EB" w:rsidR="00261EF2" w:rsidRDefault="00000000" w:rsidP="00261EF2">
      <w:pPr>
        <w:tabs>
          <w:tab w:val="left" w:pos="3681"/>
        </w:tabs>
      </w:pPr>
      <w:r w:rsidRPr="00261EF2">
        <w:br w:type="page"/>
      </w:r>
    </w:p>
    <w:p w14:paraId="0AC2E22E" w14:textId="0B929EA8" w:rsidR="00095A82" w:rsidRDefault="00261EF2" w:rsidP="00261EF2">
      <w:pPr>
        <w:jc w:val="center"/>
        <w:rPr>
          <w:rFonts w:ascii="Arial" w:hAnsi="Arial" w:cs="Arial"/>
        </w:rPr>
      </w:pPr>
      <w:r w:rsidRPr="00261EF2">
        <w:rPr>
          <w:rFonts w:ascii="Arial" w:hAnsi="Arial" w:cs="Arial"/>
        </w:rPr>
        <w:lastRenderedPageBreak/>
        <w:t xml:space="preserve">Table of </w:t>
      </w:r>
      <w:r w:rsidR="00E824D3" w:rsidRPr="00261EF2">
        <w:rPr>
          <w:rFonts w:ascii="Arial" w:hAnsi="Arial" w:cs="Arial"/>
        </w:rPr>
        <w:t>Contents</w:t>
      </w:r>
      <w:r w:rsidR="00E824D3" w:rsidRPr="00E824D3">
        <w:rPr>
          <w:rFonts w:ascii="Noto Sans" w:hAnsi="Noto Sans" w:cs="Noto Sans"/>
        </w:rPr>
        <w:t>:</w:t>
      </w:r>
    </w:p>
    <w:p w14:paraId="71C245BF" w14:textId="77777777" w:rsidR="00261EF2" w:rsidRDefault="00261EF2" w:rsidP="00261EF2">
      <w:pPr>
        <w:jc w:val="center"/>
        <w:rPr>
          <w:rFonts w:ascii="Arial" w:hAnsi="Arial" w:cs="Arial"/>
        </w:rPr>
      </w:pPr>
    </w:p>
    <w:p w14:paraId="4FC83D62" w14:textId="77777777" w:rsidR="00E824D3" w:rsidRDefault="00E824D3" w:rsidP="00261EF2">
      <w:pPr>
        <w:jc w:val="center"/>
        <w:rPr>
          <w:rFonts w:ascii="Arial" w:hAnsi="Arial" w:cs="Arial"/>
        </w:rPr>
      </w:pPr>
    </w:p>
    <w:p w14:paraId="05CF7513" w14:textId="77777777" w:rsidR="00E824D3" w:rsidRDefault="00E824D3" w:rsidP="00261EF2">
      <w:pPr>
        <w:jc w:val="center"/>
        <w:rPr>
          <w:rFonts w:ascii="Arial" w:hAnsi="Arial" w:cs="Arial"/>
        </w:rPr>
      </w:pPr>
    </w:p>
    <w:p w14:paraId="1F64B77E" w14:textId="30D1F557" w:rsidR="00E824D3" w:rsidRPr="00E824D3" w:rsidRDefault="00E824D3" w:rsidP="00E824D3">
      <w:pPr>
        <w:pStyle w:val="ListParagraph"/>
        <w:numPr>
          <w:ilvl w:val="0"/>
          <w:numId w:val="10"/>
        </w:numPr>
        <w:jc w:val="center"/>
        <w:rPr>
          <w:rFonts w:ascii="Arial" w:hAnsi="Arial" w:cs="Arial"/>
        </w:rPr>
      </w:pPr>
      <w:r>
        <w:rPr>
          <w:rFonts w:ascii="Arial" w:hAnsi="Arial" w:cs="Arial"/>
        </w:rPr>
        <w:t>Introduction: Page 3</w:t>
      </w:r>
      <w:r>
        <w:rPr>
          <w:rFonts w:ascii="Arial" w:hAnsi="Arial" w:cs="Arial"/>
        </w:rPr>
        <w:br/>
      </w:r>
    </w:p>
    <w:p w14:paraId="02BA6D0B" w14:textId="2E77BA20" w:rsidR="00E824D3" w:rsidRPr="00E824D3" w:rsidRDefault="00E824D3" w:rsidP="00E824D3">
      <w:pPr>
        <w:pStyle w:val="ListParagraph"/>
        <w:numPr>
          <w:ilvl w:val="0"/>
          <w:numId w:val="10"/>
        </w:numPr>
        <w:jc w:val="center"/>
        <w:rPr>
          <w:rFonts w:ascii="Arial" w:hAnsi="Arial" w:cs="Arial"/>
          <w:lang w:val="en-GB"/>
        </w:rPr>
      </w:pPr>
      <w:r w:rsidRPr="00E824D3">
        <w:rPr>
          <w:rFonts w:ascii="Arial" w:hAnsi="Arial" w:cs="Arial"/>
          <w:lang w:val="en-GB"/>
        </w:rPr>
        <w:t>Factors Related to Business Transformation, Digital Technology Trends and Flexible Working</w:t>
      </w:r>
      <w:r>
        <w:rPr>
          <w:rFonts w:ascii="Arial" w:hAnsi="Arial" w:cs="Arial"/>
          <w:lang w:val="en-GB"/>
        </w:rPr>
        <w:t>: Page 3</w:t>
      </w:r>
    </w:p>
    <w:p w14:paraId="1D5016C9" w14:textId="77777777" w:rsidR="00E824D3" w:rsidRPr="00E824D3" w:rsidRDefault="00E824D3" w:rsidP="00E824D3">
      <w:pPr>
        <w:jc w:val="center"/>
        <w:rPr>
          <w:rFonts w:ascii="Arial" w:hAnsi="Arial" w:cs="Arial"/>
        </w:rPr>
      </w:pPr>
      <w:r w:rsidRPr="00E824D3">
        <w:rPr>
          <w:rFonts w:ascii="Arial" w:hAnsi="Arial" w:cs="Arial"/>
        </w:rPr>
        <w:t>- Evaluation of Contemporary HR Practices: Page 4</w:t>
      </w:r>
    </w:p>
    <w:p w14:paraId="2486DA8A" w14:textId="77777777" w:rsidR="00E824D3" w:rsidRPr="00E824D3" w:rsidRDefault="00E824D3" w:rsidP="00E824D3">
      <w:pPr>
        <w:jc w:val="center"/>
        <w:rPr>
          <w:rFonts w:ascii="Arial" w:hAnsi="Arial" w:cs="Arial"/>
        </w:rPr>
      </w:pPr>
      <w:r w:rsidRPr="00E824D3">
        <w:rPr>
          <w:rFonts w:ascii="Arial" w:hAnsi="Arial" w:cs="Arial"/>
        </w:rPr>
        <w:t>- Role of Departmental Managers in Ensuring Effective Implementation: Page 4</w:t>
      </w:r>
    </w:p>
    <w:p w14:paraId="647A987A" w14:textId="6DDA909C" w:rsidR="00E824D3" w:rsidRPr="00E824D3" w:rsidRDefault="00E824D3" w:rsidP="00E824D3">
      <w:pPr>
        <w:jc w:val="center"/>
        <w:rPr>
          <w:rFonts w:ascii="Arial" w:hAnsi="Arial" w:cs="Arial"/>
        </w:rPr>
      </w:pPr>
      <w:r w:rsidRPr="00E824D3">
        <w:rPr>
          <w:rFonts w:ascii="Arial" w:hAnsi="Arial" w:cs="Arial"/>
        </w:rPr>
        <w:t>- Critical Analysis of Change Management and Organizational Culture: Page 5</w:t>
      </w:r>
    </w:p>
    <w:p w14:paraId="4E3870F0" w14:textId="66773954" w:rsidR="00E824D3" w:rsidRPr="00E824D3" w:rsidRDefault="00E824D3" w:rsidP="00E824D3">
      <w:pPr>
        <w:jc w:val="center"/>
        <w:rPr>
          <w:rFonts w:ascii="Arial" w:hAnsi="Arial" w:cs="Arial"/>
        </w:rPr>
      </w:pPr>
      <w:r w:rsidRPr="00E824D3">
        <w:rPr>
          <w:rFonts w:ascii="Arial" w:hAnsi="Arial" w:cs="Arial"/>
        </w:rPr>
        <w:t>- Managing Employee Grievance in a Transforming Organization: Page 5</w:t>
      </w:r>
    </w:p>
    <w:p w14:paraId="66518140" w14:textId="77777777" w:rsidR="00E824D3" w:rsidRPr="00E824D3" w:rsidRDefault="00E824D3" w:rsidP="00E824D3">
      <w:pPr>
        <w:jc w:val="center"/>
        <w:rPr>
          <w:rFonts w:ascii="Arial" w:hAnsi="Arial" w:cs="Arial"/>
        </w:rPr>
      </w:pPr>
      <w:r w:rsidRPr="00E824D3">
        <w:rPr>
          <w:rFonts w:ascii="Arial" w:hAnsi="Arial" w:cs="Arial"/>
        </w:rPr>
        <w:t>- Legal and Ethical Considerations: Page 6</w:t>
      </w:r>
    </w:p>
    <w:p w14:paraId="5FD85AD3" w14:textId="77777777" w:rsidR="00E824D3" w:rsidRPr="00E824D3" w:rsidRDefault="00E824D3" w:rsidP="00E824D3">
      <w:pPr>
        <w:jc w:val="center"/>
        <w:rPr>
          <w:rFonts w:ascii="Arial" w:hAnsi="Arial" w:cs="Arial"/>
        </w:rPr>
      </w:pPr>
      <w:r w:rsidRPr="00E824D3">
        <w:rPr>
          <w:rFonts w:ascii="Arial" w:hAnsi="Arial" w:cs="Arial"/>
        </w:rPr>
        <w:t>- Measuring the Effectiveness of HR Practices: Page 6</w:t>
      </w:r>
    </w:p>
    <w:p w14:paraId="0A21440C" w14:textId="77777777" w:rsidR="00E824D3" w:rsidRPr="00E824D3" w:rsidRDefault="00E824D3" w:rsidP="00E824D3">
      <w:pPr>
        <w:jc w:val="center"/>
        <w:rPr>
          <w:rFonts w:ascii="Arial" w:hAnsi="Arial" w:cs="Arial"/>
        </w:rPr>
      </w:pPr>
      <w:r w:rsidRPr="00E824D3">
        <w:rPr>
          <w:rFonts w:ascii="Arial" w:hAnsi="Arial" w:cs="Arial"/>
        </w:rPr>
        <w:t>- Strengthening Managerial Capability and Urgency: Page 7</w:t>
      </w:r>
    </w:p>
    <w:p w14:paraId="393C2959" w14:textId="77777777" w:rsidR="00E824D3" w:rsidRPr="00E824D3" w:rsidRDefault="00E824D3" w:rsidP="00E824D3">
      <w:pPr>
        <w:jc w:val="center"/>
        <w:rPr>
          <w:rFonts w:ascii="Arial" w:hAnsi="Arial" w:cs="Arial"/>
        </w:rPr>
      </w:pPr>
      <w:r w:rsidRPr="00E824D3">
        <w:rPr>
          <w:rFonts w:ascii="Arial" w:hAnsi="Arial" w:cs="Arial"/>
        </w:rPr>
        <w:t>- Strategic Alignment Between HR and Business Transformation: Page 7</w:t>
      </w:r>
    </w:p>
    <w:p w14:paraId="540AFC85" w14:textId="77777777" w:rsidR="00E824D3" w:rsidRPr="00E824D3" w:rsidRDefault="00E824D3" w:rsidP="00E824D3">
      <w:pPr>
        <w:jc w:val="center"/>
        <w:rPr>
          <w:rFonts w:ascii="Arial" w:hAnsi="Arial" w:cs="Arial"/>
        </w:rPr>
      </w:pPr>
      <w:r w:rsidRPr="00E824D3">
        <w:rPr>
          <w:rFonts w:ascii="Arial" w:hAnsi="Arial" w:cs="Arial"/>
        </w:rPr>
        <w:t>- Employee Engagement and Voice During Transformation: Page 7</w:t>
      </w:r>
    </w:p>
    <w:p w14:paraId="44865534" w14:textId="77777777" w:rsidR="00E824D3" w:rsidRPr="00E824D3" w:rsidRDefault="00E824D3" w:rsidP="00E824D3">
      <w:pPr>
        <w:jc w:val="center"/>
        <w:rPr>
          <w:rFonts w:ascii="Arial" w:hAnsi="Arial" w:cs="Arial"/>
        </w:rPr>
      </w:pPr>
      <w:r w:rsidRPr="00E824D3">
        <w:rPr>
          <w:rFonts w:ascii="Arial" w:hAnsi="Arial" w:cs="Arial"/>
        </w:rPr>
        <w:t>- The Psychological Contract in a Flexible and Digital Workplace: Page 8</w:t>
      </w:r>
    </w:p>
    <w:p w14:paraId="707F9264" w14:textId="77777777" w:rsidR="00E824D3" w:rsidRPr="00E824D3" w:rsidRDefault="00E824D3" w:rsidP="00E824D3">
      <w:pPr>
        <w:jc w:val="center"/>
        <w:rPr>
          <w:rFonts w:ascii="Arial" w:hAnsi="Arial" w:cs="Arial"/>
        </w:rPr>
      </w:pPr>
      <w:r w:rsidRPr="00E824D3">
        <w:rPr>
          <w:rFonts w:ascii="Arial" w:hAnsi="Arial" w:cs="Arial"/>
        </w:rPr>
        <w:t>- Technology-Enabled HR and Digital HR Systems: Page 8</w:t>
      </w:r>
    </w:p>
    <w:p w14:paraId="691FF2BF" w14:textId="3A7D9C29" w:rsidR="00E824D3" w:rsidRPr="00E824D3" w:rsidRDefault="00E824D3" w:rsidP="00E824D3">
      <w:pPr>
        <w:jc w:val="center"/>
        <w:rPr>
          <w:rFonts w:ascii="Arial" w:hAnsi="Arial" w:cs="Arial"/>
        </w:rPr>
      </w:pPr>
      <w:r w:rsidRPr="00E824D3">
        <w:rPr>
          <w:rFonts w:ascii="Arial" w:hAnsi="Arial" w:cs="Arial"/>
        </w:rPr>
        <w:t>- Long-Term Sustainability and Organizational Resilience: Page 8 and 9</w:t>
      </w:r>
    </w:p>
    <w:p w14:paraId="78C0423F" w14:textId="09B0834C" w:rsidR="00E824D3" w:rsidRDefault="00E824D3" w:rsidP="00E824D3">
      <w:pPr>
        <w:jc w:val="center"/>
        <w:rPr>
          <w:rFonts w:ascii="Arial" w:hAnsi="Arial" w:cs="Arial"/>
        </w:rPr>
      </w:pPr>
      <w:r w:rsidRPr="00E824D3">
        <w:rPr>
          <w:rFonts w:ascii="Arial" w:hAnsi="Arial" w:cs="Arial"/>
        </w:rPr>
        <w:t>- Final Integrated Conclusion: Page 9</w:t>
      </w:r>
    </w:p>
    <w:p w14:paraId="0A7411B7" w14:textId="77777777" w:rsidR="00261EF2" w:rsidRDefault="00261EF2" w:rsidP="00261EF2">
      <w:pPr>
        <w:jc w:val="center"/>
        <w:rPr>
          <w:rFonts w:ascii="Arial" w:hAnsi="Arial" w:cs="Arial"/>
        </w:rPr>
      </w:pPr>
    </w:p>
    <w:p w14:paraId="000EEBA3" w14:textId="77777777" w:rsidR="00261EF2" w:rsidRDefault="00261EF2" w:rsidP="00261EF2">
      <w:pPr>
        <w:jc w:val="center"/>
        <w:rPr>
          <w:rFonts w:ascii="Arial" w:hAnsi="Arial" w:cs="Arial"/>
        </w:rPr>
      </w:pPr>
    </w:p>
    <w:p w14:paraId="5C0B8865" w14:textId="77777777" w:rsidR="00261EF2" w:rsidRDefault="00261EF2" w:rsidP="00261EF2">
      <w:pPr>
        <w:jc w:val="center"/>
        <w:rPr>
          <w:rFonts w:ascii="Arial" w:hAnsi="Arial" w:cs="Arial"/>
        </w:rPr>
      </w:pPr>
    </w:p>
    <w:p w14:paraId="5DCA5453" w14:textId="77777777" w:rsidR="00261EF2" w:rsidRDefault="00261EF2" w:rsidP="00261EF2">
      <w:pPr>
        <w:jc w:val="center"/>
        <w:rPr>
          <w:rFonts w:ascii="Arial" w:hAnsi="Arial" w:cs="Arial"/>
        </w:rPr>
      </w:pPr>
    </w:p>
    <w:p w14:paraId="6676DFA8" w14:textId="77777777" w:rsidR="00261EF2" w:rsidRDefault="00261EF2" w:rsidP="00261EF2">
      <w:pPr>
        <w:jc w:val="center"/>
        <w:rPr>
          <w:rFonts w:ascii="Arial" w:hAnsi="Arial" w:cs="Arial"/>
        </w:rPr>
      </w:pPr>
    </w:p>
    <w:p w14:paraId="42E4FEB2" w14:textId="77777777" w:rsidR="00261EF2" w:rsidRDefault="00261EF2" w:rsidP="00261EF2">
      <w:pPr>
        <w:jc w:val="center"/>
        <w:rPr>
          <w:rFonts w:ascii="Arial" w:hAnsi="Arial" w:cs="Arial"/>
        </w:rPr>
      </w:pPr>
    </w:p>
    <w:p w14:paraId="735B480A"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lastRenderedPageBreak/>
        <w:t>Introduction</w:t>
      </w:r>
    </w:p>
    <w:p w14:paraId="0FE7964E" w14:textId="77777777" w:rsidR="00E824D3" w:rsidRPr="00E824D3" w:rsidRDefault="00E824D3" w:rsidP="00E824D3">
      <w:pPr>
        <w:jc w:val="center"/>
        <w:rPr>
          <w:rFonts w:ascii="Arial" w:hAnsi="Arial" w:cs="Arial"/>
          <w:lang w:val="en-GB"/>
        </w:rPr>
      </w:pPr>
      <w:r w:rsidRPr="00E824D3">
        <w:rPr>
          <w:rFonts w:ascii="Arial" w:hAnsi="Arial" w:cs="Arial"/>
          <w:lang w:val="en-GB"/>
        </w:rPr>
        <w:t>In recent years, organizations operating in the United Kingdom have faced increasing pressure to adapt to rapid changes in the business environment. Global competition, technological innovation, economic uncertainty, and changing employee expectations have forced organizations to rethink traditional ways of working. Business transformation has therefore become a strategic necessity rather than an optional activity. Many organizations are now investing heavily in digital technologies and introducing flexible working arrangements to improve productivity, efficiency, agility, and employee engagement.</w:t>
      </w:r>
    </w:p>
    <w:p w14:paraId="73F0675A" w14:textId="17236927" w:rsidR="00E824D3" w:rsidRPr="00E824D3" w:rsidRDefault="00E824D3" w:rsidP="00E824D3">
      <w:pPr>
        <w:jc w:val="center"/>
        <w:rPr>
          <w:rFonts w:ascii="Arial" w:hAnsi="Arial" w:cs="Arial"/>
          <w:lang w:val="en-GB"/>
        </w:rPr>
      </w:pPr>
      <w:r w:rsidRPr="00E824D3">
        <w:rPr>
          <w:rFonts w:ascii="Arial" w:hAnsi="Arial" w:cs="Arial"/>
          <w:lang w:val="en-GB"/>
        </w:rPr>
        <w:t>Despite the potential benefits of these changes, business transformation often creates significant challenges for employees and managers</w:t>
      </w:r>
      <w:r>
        <w:rPr>
          <w:rFonts w:ascii="Arial" w:hAnsi="Arial" w:cs="Arial"/>
          <w:lang w:val="en-GB"/>
        </w:rPr>
        <w:t xml:space="preserve">. </w:t>
      </w:r>
      <w:r w:rsidRPr="00E824D3">
        <w:rPr>
          <w:rFonts w:ascii="Arial" w:hAnsi="Arial" w:cs="Arial"/>
          <w:lang w:val="en-GB"/>
        </w:rPr>
        <w:t>The introduction of new digital systems may lead to skills gaps, resistance to change, while flexible working arrangements</w:t>
      </w:r>
      <w:r>
        <w:rPr>
          <w:rFonts w:ascii="Arial" w:hAnsi="Arial" w:cs="Arial"/>
          <w:lang w:val="en-GB"/>
        </w:rPr>
        <w:t xml:space="preserve">. </w:t>
      </w:r>
      <w:r w:rsidRPr="00E824D3">
        <w:rPr>
          <w:rFonts w:ascii="Arial" w:hAnsi="Arial" w:cs="Arial"/>
          <w:lang w:val="en-GB"/>
        </w:rPr>
        <w:t>As a result, organizations may experience an increase in employee related to workload, communication, performance management, job security, and employee wellbeing.</w:t>
      </w:r>
    </w:p>
    <w:p w14:paraId="3B02E258" w14:textId="1A08E8D4" w:rsidR="00E824D3" w:rsidRPr="00005649" w:rsidRDefault="00E824D3" w:rsidP="00E824D3">
      <w:pPr>
        <w:jc w:val="center"/>
        <w:rPr>
          <w:rFonts w:ascii="Arial" w:hAnsi="Arial" w:cs="Arial"/>
          <w:lang w:val="en-GB"/>
        </w:rPr>
      </w:pPr>
    </w:p>
    <w:p w14:paraId="78B20D40"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Factors Related to Business Transformation, Digital Technology Trends and Flexible Working</w:t>
      </w:r>
    </w:p>
    <w:p w14:paraId="61B354CC" w14:textId="7937FE5E" w:rsidR="00E824D3" w:rsidRPr="00E824D3" w:rsidRDefault="00E824D3" w:rsidP="00E824D3">
      <w:pPr>
        <w:jc w:val="center"/>
        <w:rPr>
          <w:rFonts w:ascii="Arial" w:hAnsi="Arial" w:cs="Arial"/>
          <w:lang w:val="en-GB"/>
        </w:rPr>
      </w:pPr>
      <w:r w:rsidRPr="00E824D3">
        <w:rPr>
          <w:rFonts w:ascii="Arial" w:hAnsi="Arial" w:cs="Arial"/>
          <w:lang w:val="en-GB"/>
        </w:rPr>
        <w:t xml:space="preserve">Business transformation refers to fundamental changes in organizational strategy, processes, structure, culture, and ways of working designed to improve performance and competitiveness. In the UK context, organizations are increasingly required to become customer-focused while maintaining compliance with employment legislation and ethical standards. Transformation initiatives often </w:t>
      </w:r>
      <w:r>
        <w:rPr>
          <w:rFonts w:ascii="Arial" w:hAnsi="Arial" w:cs="Arial"/>
          <w:lang w:val="en-GB"/>
        </w:rPr>
        <w:t>involve</w:t>
      </w:r>
      <w:r w:rsidRPr="00E824D3">
        <w:rPr>
          <w:rFonts w:ascii="Arial" w:hAnsi="Arial" w:cs="Arial"/>
          <w:lang w:val="en-GB"/>
        </w:rPr>
        <w:t xml:space="preserve"> restructuring, redesigning roles, and redefining organizational values.</w:t>
      </w:r>
    </w:p>
    <w:p w14:paraId="37C8FC63" w14:textId="77777777" w:rsidR="00E824D3" w:rsidRPr="00E824D3" w:rsidRDefault="00E824D3" w:rsidP="00E824D3">
      <w:pPr>
        <w:jc w:val="center"/>
        <w:rPr>
          <w:rFonts w:ascii="Arial" w:hAnsi="Arial" w:cs="Arial"/>
          <w:lang w:val="en-GB"/>
        </w:rPr>
      </w:pPr>
      <w:r w:rsidRPr="00E824D3">
        <w:rPr>
          <w:rFonts w:ascii="Arial" w:hAnsi="Arial" w:cs="Arial"/>
          <w:lang w:val="en-GB"/>
        </w:rPr>
        <w:t>One of the most significant drivers of business transformation is the rapid advancement of digital technology. Technologies such as cloud computing, artificial intelligence, automation, big data analytics, and digital collaboration platforms have transformed the way organizations operate. These tools enable faster decision-making, improved communication across geographically dispersed teams, and more efficient use of organizational resources. Digital transformation can also enhance data-driven HR decision-making, for example through workforce analytics and digital HR systems.</w:t>
      </w:r>
    </w:p>
    <w:p w14:paraId="33A64AC0" w14:textId="77777777" w:rsidR="00E824D3" w:rsidRDefault="00E824D3" w:rsidP="00E824D3">
      <w:pPr>
        <w:jc w:val="center"/>
        <w:rPr>
          <w:rFonts w:ascii="Arial" w:hAnsi="Arial" w:cs="Arial"/>
          <w:lang w:val="en-GB"/>
        </w:rPr>
      </w:pPr>
    </w:p>
    <w:p w14:paraId="291B855A" w14:textId="1DDD0C7C" w:rsidR="00E824D3" w:rsidRDefault="00E824D3" w:rsidP="00E824D3">
      <w:pPr>
        <w:jc w:val="center"/>
        <w:rPr>
          <w:rFonts w:ascii="Arial" w:hAnsi="Arial" w:cs="Arial"/>
          <w:lang w:val="en-GB"/>
        </w:rPr>
      </w:pPr>
    </w:p>
    <w:p w14:paraId="366F8E1F" w14:textId="77777777" w:rsidR="00E824D3" w:rsidRDefault="00E824D3" w:rsidP="00E824D3">
      <w:pPr>
        <w:jc w:val="center"/>
        <w:rPr>
          <w:rFonts w:ascii="Arial" w:hAnsi="Arial" w:cs="Arial"/>
          <w:lang w:val="en-GB"/>
        </w:rPr>
      </w:pPr>
    </w:p>
    <w:p w14:paraId="16224791" w14:textId="77777777" w:rsidR="00E824D3" w:rsidRDefault="00E824D3" w:rsidP="00E824D3">
      <w:pPr>
        <w:jc w:val="center"/>
        <w:rPr>
          <w:rFonts w:ascii="Arial" w:hAnsi="Arial" w:cs="Arial"/>
          <w:lang w:val="en-GB"/>
        </w:rPr>
      </w:pPr>
    </w:p>
    <w:p w14:paraId="3CA1CECE" w14:textId="77777777" w:rsidR="00E824D3" w:rsidRPr="00E824D3" w:rsidRDefault="00E824D3" w:rsidP="00E824D3">
      <w:pPr>
        <w:jc w:val="center"/>
        <w:rPr>
          <w:rFonts w:ascii="Arial" w:hAnsi="Arial" w:cs="Arial"/>
          <w:lang w:val="en-GB"/>
        </w:rPr>
      </w:pPr>
    </w:p>
    <w:p w14:paraId="0021FA94"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lastRenderedPageBreak/>
        <w:t>Evaluation of Contemporary HR Practices</w:t>
      </w:r>
    </w:p>
    <w:p w14:paraId="3296B6D7" w14:textId="77777777" w:rsidR="00E824D3" w:rsidRPr="00E824D3" w:rsidRDefault="00E824D3" w:rsidP="00E824D3">
      <w:pPr>
        <w:jc w:val="center"/>
        <w:rPr>
          <w:rFonts w:ascii="Arial" w:hAnsi="Arial" w:cs="Arial"/>
          <w:lang w:val="en-GB"/>
        </w:rPr>
      </w:pPr>
      <w:r w:rsidRPr="00E824D3">
        <w:rPr>
          <w:rFonts w:ascii="Arial" w:hAnsi="Arial" w:cs="Arial"/>
          <w:lang w:val="en-GB"/>
        </w:rPr>
        <w:t>One key contemporary HR practice used to address digital transformation is continuous learning and development. Organizations increasingly provide digital skills training, online learning platforms, coaching, and reskilling programs to help employees adapt to new technologies and evolving job roles. Continuous learning supports employee confidence, reduces resistance to change, and ensures that the organization has the skills required to achieve its strategic objectives in the long term.</w:t>
      </w:r>
    </w:p>
    <w:p w14:paraId="5AF11CFD" w14:textId="77777777" w:rsidR="00E824D3" w:rsidRPr="00E824D3" w:rsidRDefault="00E824D3" w:rsidP="00E824D3">
      <w:pPr>
        <w:jc w:val="center"/>
        <w:rPr>
          <w:rFonts w:ascii="Arial" w:hAnsi="Arial" w:cs="Arial"/>
          <w:lang w:val="en-GB"/>
        </w:rPr>
      </w:pPr>
      <w:r w:rsidRPr="00E824D3">
        <w:rPr>
          <w:rFonts w:ascii="Arial" w:hAnsi="Arial" w:cs="Arial"/>
          <w:lang w:val="en-GB"/>
        </w:rPr>
        <w:t>Despite its benefits, continuous learning initiatives also have limitations. Training programs require significant financial investment and management time, and they may take time to deliver measurable performance outcomes. In addition, employees may experience learning fatigue if training is perceived as excessive, irrelevant, or disconnected from career progression. HR must therefore ensure that learning initiatives are targeted, role-specific, and aligned with both organizational needs and individual development goals.</w:t>
      </w:r>
    </w:p>
    <w:p w14:paraId="21E87790" w14:textId="28220260" w:rsidR="00E824D3" w:rsidRPr="00005649" w:rsidRDefault="00E824D3" w:rsidP="00E824D3">
      <w:pPr>
        <w:rPr>
          <w:rFonts w:ascii="Arial" w:hAnsi="Arial" w:cs="Arial"/>
          <w:lang w:val="en-GB"/>
        </w:rPr>
      </w:pPr>
    </w:p>
    <w:p w14:paraId="6E3F9DE9"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Role of Departmental Managers in Ensuring Effective Implementation</w:t>
      </w:r>
    </w:p>
    <w:p w14:paraId="1999E23E" w14:textId="77777777" w:rsidR="00E824D3" w:rsidRPr="00E824D3" w:rsidRDefault="00E824D3" w:rsidP="00E824D3">
      <w:pPr>
        <w:jc w:val="center"/>
        <w:rPr>
          <w:rFonts w:ascii="Arial" w:hAnsi="Arial" w:cs="Arial"/>
          <w:lang w:val="en-GB"/>
        </w:rPr>
      </w:pPr>
      <w:r w:rsidRPr="00E824D3">
        <w:rPr>
          <w:rFonts w:ascii="Arial" w:hAnsi="Arial" w:cs="Arial"/>
          <w:lang w:val="en-GB"/>
        </w:rPr>
        <w:t>Departmental managers play a critical role in ensuring that contemporary HR practices are implemented effectively and as a matter of urgency. Managers act as the link between senior leadership, HR, and employees, and their day-to-day actions directly influence employee attitudes, motivation, and engagement.</w:t>
      </w:r>
    </w:p>
    <w:p w14:paraId="3F891BE5" w14:textId="77777777" w:rsidR="00E824D3" w:rsidRPr="00E824D3" w:rsidRDefault="00E824D3" w:rsidP="00E824D3">
      <w:pPr>
        <w:jc w:val="center"/>
        <w:rPr>
          <w:rFonts w:ascii="Arial" w:hAnsi="Arial" w:cs="Arial"/>
          <w:lang w:val="en-GB"/>
        </w:rPr>
      </w:pPr>
      <w:r w:rsidRPr="00E824D3">
        <w:rPr>
          <w:rFonts w:ascii="Arial" w:hAnsi="Arial" w:cs="Arial"/>
          <w:lang w:val="en-GB"/>
        </w:rPr>
        <w:t>One key responsibility of managers is communication. Managers must clearly explain the rationale behind business transformation initiatives, including the introduction of digital technologies and flexible working arrangements. Transparent, regular, and two-way communication helps reduce uncertainty, manage expectations, and minimise resistance to change, while encouraging employee buy-in and trust.</w:t>
      </w:r>
    </w:p>
    <w:p w14:paraId="0094A5E4" w14:textId="1553C0CD" w:rsidR="00E824D3" w:rsidRPr="00E824D3" w:rsidRDefault="00E824D3" w:rsidP="00E824D3">
      <w:pPr>
        <w:jc w:val="center"/>
        <w:rPr>
          <w:rFonts w:ascii="Arial" w:hAnsi="Arial" w:cs="Arial"/>
          <w:lang w:val="en-GB"/>
        </w:rPr>
      </w:pPr>
      <w:r w:rsidRPr="00E824D3">
        <w:rPr>
          <w:rFonts w:ascii="Arial" w:hAnsi="Arial" w:cs="Arial"/>
          <w:lang w:val="en-GB"/>
        </w:rPr>
        <w:t>However, managers may require additional training and support to fulfil these responsibilities effectively. Leadership development, change management training, and guidance on managing remote teams are essential to ensure managers are equipped to lead during periods of transformation.</w:t>
      </w:r>
    </w:p>
    <w:p w14:paraId="5309DEAB" w14:textId="57746A61" w:rsidR="00E824D3" w:rsidRPr="00005649" w:rsidRDefault="00E824D3" w:rsidP="00E824D3">
      <w:pPr>
        <w:jc w:val="center"/>
        <w:rPr>
          <w:rFonts w:ascii="Arial" w:hAnsi="Arial" w:cs="Arial"/>
          <w:lang w:val="en-GB"/>
        </w:rPr>
      </w:pPr>
    </w:p>
    <w:p w14:paraId="0B9594B9" w14:textId="77777777" w:rsidR="00E824D3" w:rsidRPr="00005649" w:rsidRDefault="00E824D3" w:rsidP="00E824D3">
      <w:pPr>
        <w:jc w:val="center"/>
        <w:rPr>
          <w:rFonts w:ascii="Arial" w:hAnsi="Arial" w:cs="Arial"/>
          <w:lang w:val="en-GB"/>
        </w:rPr>
      </w:pPr>
    </w:p>
    <w:p w14:paraId="6BE117C0" w14:textId="77777777" w:rsidR="00E824D3" w:rsidRPr="00005649" w:rsidRDefault="00E824D3" w:rsidP="00E824D3">
      <w:pPr>
        <w:jc w:val="center"/>
        <w:rPr>
          <w:rFonts w:ascii="Arial" w:hAnsi="Arial" w:cs="Arial"/>
          <w:lang w:val="en-GB"/>
        </w:rPr>
      </w:pPr>
    </w:p>
    <w:p w14:paraId="4065EF96" w14:textId="77777777" w:rsidR="00E824D3" w:rsidRPr="00005649" w:rsidRDefault="00E824D3" w:rsidP="00E824D3">
      <w:pPr>
        <w:jc w:val="center"/>
        <w:rPr>
          <w:rFonts w:ascii="Arial" w:hAnsi="Arial" w:cs="Arial"/>
          <w:lang w:val="en-GB"/>
        </w:rPr>
      </w:pPr>
    </w:p>
    <w:p w14:paraId="57C0521B" w14:textId="77777777" w:rsidR="00E824D3" w:rsidRPr="00005649" w:rsidRDefault="00E824D3" w:rsidP="00E824D3">
      <w:pPr>
        <w:jc w:val="center"/>
        <w:rPr>
          <w:rFonts w:ascii="Arial" w:hAnsi="Arial" w:cs="Arial"/>
          <w:lang w:val="en-GB"/>
        </w:rPr>
      </w:pPr>
    </w:p>
    <w:p w14:paraId="030DA244" w14:textId="77777777" w:rsidR="00E824D3" w:rsidRPr="00005649" w:rsidRDefault="00E824D3" w:rsidP="00E824D3">
      <w:pPr>
        <w:jc w:val="center"/>
        <w:rPr>
          <w:rFonts w:ascii="Arial" w:hAnsi="Arial" w:cs="Arial"/>
          <w:lang w:val="en-GB"/>
        </w:rPr>
      </w:pPr>
    </w:p>
    <w:p w14:paraId="3CB0262E"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lastRenderedPageBreak/>
        <w:t>Critical Analysis of Change Management and Organisational Culture</w:t>
      </w:r>
    </w:p>
    <w:p w14:paraId="4CB5874E" w14:textId="2E47F843" w:rsidR="00E824D3" w:rsidRPr="00E824D3" w:rsidRDefault="00E824D3" w:rsidP="00E824D3">
      <w:pPr>
        <w:jc w:val="center"/>
        <w:rPr>
          <w:rFonts w:ascii="Arial" w:hAnsi="Arial" w:cs="Arial"/>
          <w:lang w:val="en-GB"/>
        </w:rPr>
      </w:pPr>
      <w:r w:rsidRPr="00E824D3">
        <w:rPr>
          <w:rFonts w:ascii="Arial" w:hAnsi="Arial" w:cs="Arial"/>
          <w:lang w:val="en-GB"/>
        </w:rPr>
        <w:t>Effective business transformation is not solely dependent on the adoption of new technologies or flexible working arrangements; it is also strongly influenced by organisational culture and change management capability. Organisational culture shapes how employees perceive change, respond to uncertainty, and engage with new ways of working. In cultures where trust, learning, and collaboration are encouraged, employees are more likely to view transformation positively.</w:t>
      </w:r>
    </w:p>
    <w:p w14:paraId="6B1497F2" w14:textId="77777777" w:rsidR="00E824D3" w:rsidRPr="00E824D3" w:rsidRDefault="00E824D3" w:rsidP="00E824D3">
      <w:pPr>
        <w:jc w:val="center"/>
        <w:rPr>
          <w:rFonts w:ascii="Arial" w:hAnsi="Arial" w:cs="Arial"/>
          <w:lang w:val="en-GB"/>
        </w:rPr>
      </w:pPr>
      <w:r w:rsidRPr="00E824D3">
        <w:rPr>
          <w:rFonts w:ascii="Arial" w:hAnsi="Arial" w:cs="Arial"/>
          <w:lang w:val="en-GB"/>
        </w:rPr>
        <w:t>From an HR perspective, structured change management frameworks such as Lewin’s Change Model or Kotter’s Eight-Step Model can be valuable in guiding transformation initiatives. These models emphasise the importance of creating a sense of urgency, communicating a clear vision, and reinforcing change through leadership behaviour and organisational systems. HR professionals can support these processes by ensuring that change initiatives are people-centred, ethically managed, and aligned with organisational values.</w:t>
      </w:r>
    </w:p>
    <w:p w14:paraId="10160C3D" w14:textId="77777777" w:rsidR="00E824D3" w:rsidRPr="00E824D3" w:rsidRDefault="00E824D3" w:rsidP="00E824D3">
      <w:pPr>
        <w:jc w:val="center"/>
        <w:rPr>
          <w:rFonts w:ascii="Arial" w:hAnsi="Arial" w:cs="Arial"/>
          <w:lang w:val="en-GB"/>
        </w:rPr>
      </w:pPr>
      <w:r w:rsidRPr="00E824D3">
        <w:rPr>
          <w:rFonts w:ascii="Arial" w:hAnsi="Arial" w:cs="Arial"/>
          <w:lang w:val="en-GB"/>
        </w:rPr>
        <w:t>However, critics argue that formal change models may oversimplify complex human reactions to change. In practice, change is often non-linear and emotionally challenging for employees. HR must therefore adopt a flexible and empathetic approach, recognising that different employee groups may respond differently to transformation initiatives depending on their roles, skills, and personal circumstances.</w:t>
      </w:r>
    </w:p>
    <w:p w14:paraId="38E0343C" w14:textId="2C1908D4" w:rsidR="00E824D3" w:rsidRPr="00005649" w:rsidRDefault="00E824D3" w:rsidP="00E824D3">
      <w:pPr>
        <w:jc w:val="center"/>
        <w:rPr>
          <w:rFonts w:ascii="Arial" w:hAnsi="Arial" w:cs="Arial"/>
          <w:lang w:val="en-GB"/>
        </w:rPr>
      </w:pPr>
    </w:p>
    <w:p w14:paraId="0C40C4DB"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Managing Employee Grievance in a Transforming Organisation</w:t>
      </w:r>
    </w:p>
    <w:p w14:paraId="2BCCBDFB" w14:textId="77777777" w:rsidR="00E824D3" w:rsidRPr="00E824D3" w:rsidRDefault="00E824D3" w:rsidP="00E824D3">
      <w:pPr>
        <w:jc w:val="center"/>
        <w:rPr>
          <w:rFonts w:ascii="Arial" w:hAnsi="Arial" w:cs="Arial"/>
          <w:lang w:val="en-GB"/>
        </w:rPr>
      </w:pPr>
      <w:r w:rsidRPr="00E824D3">
        <w:rPr>
          <w:rFonts w:ascii="Arial" w:hAnsi="Arial" w:cs="Arial"/>
          <w:lang w:val="en-GB"/>
        </w:rPr>
        <w:t>During periods of business transformation, employee grievance is a significant risk that requires careful management. Common sources of grievance include perceived unfairness in workload allocation, lack of clarity around expectations, insufficient support for remote working, and concerns about job security. If grievances are not addressed promptly and fairly, they can lead to reduced morale, increased absenteeism, and higher staff turnover.</w:t>
      </w:r>
    </w:p>
    <w:p w14:paraId="68A11767" w14:textId="77777777" w:rsidR="00E824D3" w:rsidRPr="00E824D3" w:rsidRDefault="00E824D3" w:rsidP="00E824D3">
      <w:pPr>
        <w:jc w:val="center"/>
        <w:rPr>
          <w:rFonts w:ascii="Arial" w:hAnsi="Arial" w:cs="Arial"/>
          <w:lang w:val="en-GB"/>
        </w:rPr>
      </w:pPr>
      <w:r w:rsidRPr="00E824D3">
        <w:rPr>
          <w:rFonts w:ascii="Arial" w:hAnsi="Arial" w:cs="Arial"/>
          <w:lang w:val="en-GB"/>
        </w:rPr>
        <w:t>HR policies and procedures play a vital role in managing grievance effectively. Clear grievance procedures, consistent application of policies, and timely resolution processes help maintain trust and demonstrate organisational commitment to fairness. In a flexible and digitally enabled working environment, HR must also ensure that grievance processes are accessible to remote employees and supported by digital systems where appropriate.</w:t>
      </w:r>
    </w:p>
    <w:p w14:paraId="2AD24CB2" w14:textId="632B3094" w:rsidR="00E824D3" w:rsidRPr="00E824D3" w:rsidRDefault="00E824D3" w:rsidP="00E824D3">
      <w:pPr>
        <w:jc w:val="center"/>
        <w:rPr>
          <w:rFonts w:ascii="Arial" w:hAnsi="Arial" w:cs="Arial"/>
          <w:lang w:val="en-GB"/>
        </w:rPr>
      </w:pPr>
      <w:r w:rsidRPr="00E824D3">
        <w:rPr>
          <w:rFonts w:ascii="Arial" w:hAnsi="Arial" w:cs="Arial"/>
          <w:lang w:val="en-GB"/>
        </w:rPr>
        <w:t>Departmental managers are often the first point of contact for employee concerns and therefore require the skills and confidence to handle issues sensitively. Training in conflict management, employment law awareness, and emotional intelligence can enhance managers’ ability to resolve issues informally before they escalate into formal grievances. This proactive approach supports positive employee relations and organisational stability.</w:t>
      </w:r>
    </w:p>
    <w:p w14:paraId="74018465" w14:textId="6B077309" w:rsidR="00E824D3" w:rsidRPr="00E824D3" w:rsidRDefault="00E824D3" w:rsidP="00E824D3">
      <w:pPr>
        <w:jc w:val="center"/>
        <w:rPr>
          <w:rFonts w:ascii="Arial" w:hAnsi="Arial" w:cs="Arial"/>
          <w:b/>
          <w:bCs/>
          <w:lang w:val="en-GB"/>
        </w:rPr>
      </w:pPr>
      <w:r w:rsidRPr="00E824D3">
        <w:rPr>
          <w:rFonts w:ascii="Arial" w:hAnsi="Arial" w:cs="Arial"/>
          <w:b/>
          <w:bCs/>
          <w:lang w:val="en-GB"/>
        </w:rPr>
        <w:lastRenderedPageBreak/>
        <w:t xml:space="preserve">Legal and Ethical Considerations </w:t>
      </w:r>
    </w:p>
    <w:p w14:paraId="79411E29" w14:textId="77777777" w:rsidR="00E824D3" w:rsidRPr="00E824D3" w:rsidRDefault="00E824D3" w:rsidP="00E824D3">
      <w:pPr>
        <w:jc w:val="center"/>
        <w:rPr>
          <w:rFonts w:ascii="Arial" w:hAnsi="Arial" w:cs="Arial"/>
          <w:lang w:val="en-GB"/>
        </w:rPr>
      </w:pPr>
      <w:r w:rsidRPr="00E824D3">
        <w:rPr>
          <w:rFonts w:ascii="Arial" w:hAnsi="Arial" w:cs="Arial"/>
          <w:lang w:val="en-GB"/>
        </w:rPr>
        <w:t>In the UK, business transformation initiatives must operate within a clear legal and ethical framework. Employment legislation related to flexible working requests, health and safety, equality, and data protection places specific responsibilities on employers. For example, employers have a duty of care to protect employee wellbeing, including mental health, regardless of where employees are working.</w:t>
      </w:r>
    </w:p>
    <w:p w14:paraId="522EF451" w14:textId="77777777" w:rsidR="00E824D3" w:rsidRPr="00E824D3" w:rsidRDefault="00E824D3" w:rsidP="00E824D3">
      <w:pPr>
        <w:jc w:val="center"/>
        <w:rPr>
          <w:rFonts w:ascii="Arial" w:hAnsi="Arial" w:cs="Arial"/>
          <w:lang w:val="en-GB"/>
        </w:rPr>
      </w:pPr>
      <w:r w:rsidRPr="00E824D3">
        <w:rPr>
          <w:rFonts w:ascii="Arial" w:hAnsi="Arial" w:cs="Arial"/>
          <w:lang w:val="en-GB"/>
        </w:rPr>
        <w:t>Digital transformation also raises ethical considerations around employee monitoring, data privacy, and the use of artificial intelligence in decision-making. HR professionals must ensure that digital tools are implemented transparently and in compliance with data protection requirements, while avoiding practices that may undermine trust or employee autonomy.</w:t>
      </w:r>
    </w:p>
    <w:p w14:paraId="6E5FB724" w14:textId="77777777" w:rsidR="00E824D3" w:rsidRPr="00E824D3" w:rsidRDefault="00E824D3" w:rsidP="00E824D3">
      <w:pPr>
        <w:jc w:val="center"/>
        <w:rPr>
          <w:rFonts w:ascii="Arial" w:hAnsi="Arial" w:cs="Arial"/>
          <w:lang w:val="en-GB"/>
        </w:rPr>
      </w:pPr>
      <w:r w:rsidRPr="00E824D3">
        <w:rPr>
          <w:rFonts w:ascii="Arial" w:hAnsi="Arial" w:cs="Arial"/>
          <w:lang w:val="en-GB"/>
        </w:rPr>
        <w:t>Failure to consider legal and ethical obligations may increase the risk of grievance, legal claims, and reputational damage. HR therefore plays a critical governance role in advising senior leaders and managers on responsible and compliant approaches to transformation.</w:t>
      </w:r>
    </w:p>
    <w:p w14:paraId="6901D99C" w14:textId="3BEC3169" w:rsidR="00E824D3" w:rsidRPr="00005649" w:rsidRDefault="00E824D3" w:rsidP="00E824D3">
      <w:pPr>
        <w:jc w:val="center"/>
        <w:rPr>
          <w:rFonts w:ascii="Arial" w:hAnsi="Arial" w:cs="Arial"/>
          <w:lang w:val="en-GB"/>
        </w:rPr>
      </w:pPr>
    </w:p>
    <w:p w14:paraId="0706277E"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Measuring the Effectiveness of HR Practices</w:t>
      </w:r>
    </w:p>
    <w:p w14:paraId="1225BCE1" w14:textId="77777777" w:rsidR="00E824D3" w:rsidRPr="00E824D3" w:rsidRDefault="00E824D3" w:rsidP="00E824D3">
      <w:pPr>
        <w:jc w:val="center"/>
        <w:rPr>
          <w:rFonts w:ascii="Arial" w:hAnsi="Arial" w:cs="Arial"/>
          <w:lang w:val="en-GB"/>
        </w:rPr>
      </w:pPr>
      <w:r w:rsidRPr="00E824D3">
        <w:rPr>
          <w:rFonts w:ascii="Arial" w:hAnsi="Arial" w:cs="Arial"/>
          <w:lang w:val="en-GB"/>
        </w:rPr>
        <w:t>To ensure that contemporary HR practices are delivering their intended outcomes, organizations must adopt appropriate measurement and evaluation mechanisms. Key performance indicators may include employee engagement scores, training participation and completion rates, grievance levels, absence data, and staff turnover. In addition, qualitative feedback from employee surveys and focus groups can provide valuable insight into employee experiences during transformation.</w:t>
      </w:r>
    </w:p>
    <w:p w14:paraId="4CCBCEBE" w14:textId="77777777" w:rsidR="00E824D3" w:rsidRPr="00E824D3" w:rsidRDefault="00E824D3" w:rsidP="00E824D3">
      <w:pPr>
        <w:jc w:val="center"/>
        <w:rPr>
          <w:rFonts w:ascii="Arial" w:hAnsi="Arial" w:cs="Arial"/>
          <w:lang w:val="en-GB"/>
        </w:rPr>
      </w:pPr>
      <w:r w:rsidRPr="00E824D3">
        <w:rPr>
          <w:rFonts w:ascii="Arial" w:hAnsi="Arial" w:cs="Arial"/>
          <w:lang w:val="en-GB"/>
        </w:rPr>
        <w:t>HR analytics can support evidence-based decision-making by identifying trends and areas of concern at an early stage. However, data should be used ethically and interpreted carefully, recognising the human context behind numerical indicators. Effective measurement enables HR and managers to refine practices continuously and respond proactively to emerging challenges.</w:t>
      </w:r>
    </w:p>
    <w:p w14:paraId="41C7220B" w14:textId="581515A5" w:rsidR="00E824D3" w:rsidRPr="00005649" w:rsidRDefault="00E824D3" w:rsidP="00E824D3">
      <w:pPr>
        <w:jc w:val="center"/>
        <w:rPr>
          <w:rFonts w:ascii="Arial" w:hAnsi="Arial" w:cs="Arial"/>
          <w:lang w:val="en-GB"/>
        </w:rPr>
      </w:pPr>
    </w:p>
    <w:p w14:paraId="50A19A2E" w14:textId="77777777" w:rsidR="00E824D3" w:rsidRPr="00005649" w:rsidRDefault="00E824D3" w:rsidP="00E824D3">
      <w:pPr>
        <w:jc w:val="center"/>
        <w:rPr>
          <w:rFonts w:ascii="Arial" w:hAnsi="Arial" w:cs="Arial"/>
          <w:lang w:val="en-GB"/>
        </w:rPr>
      </w:pPr>
    </w:p>
    <w:p w14:paraId="39DB7FFF" w14:textId="77777777" w:rsidR="00E824D3" w:rsidRPr="00005649" w:rsidRDefault="00E824D3" w:rsidP="00E824D3">
      <w:pPr>
        <w:jc w:val="center"/>
        <w:rPr>
          <w:rFonts w:ascii="Arial" w:hAnsi="Arial" w:cs="Arial"/>
          <w:lang w:val="en-GB"/>
        </w:rPr>
      </w:pPr>
    </w:p>
    <w:p w14:paraId="4D399494" w14:textId="77777777" w:rsidR="00E824D3" w:rsidRPr="00005649" w:rsidRDefault="00E824D3" w:rsidP="00E824D3">
      <w:pPr>
        <w:jc w:val="center"/>
        <w:rPr>
          <w:rFonts w:ascii="Arial" w:hAnsi="Arial" w:cs="Arial"/>
          <w:lang w:val="en-GB"/>
        </w:rPr>
      </w:pPr>
    </w:p>
    <w:p w14:paraId="3883A073" w14:textId="77777777" w:rsidR="00E824D3" w:rsidRPr="00005649" w:rsidRDefault="00E824D3" w:rsidP="00E824D3">
      <w:pPr>
        <w:jc w:val="center"/>
        <w:rPr>
          <w:rFonts w:ascii="Arial" w:hAnsi="Arial" w:cs="Arial"/>
          <w:lang w:val="en-GB"/>
        </w:rPr>
      </w:pPr>
    </w:p>
    <w:p w14:paraId="57A04BF8" w14:textId="77777777" w:rsidR="00E824D3" w:rsidRPr="00005649" w:rsidRDefault="00E824D3" w:rsidP="00E824D3">
      <w:pPr>
        <w:jc w:val="center"/>
        <w:rPr>
          <w:rFonts w:ascii="Arial" w:hAnsi="Arial" w:cs="Arial"/>
          <w:lang w:val="en-GB"/>
        </w:rPr>
      </w:pPr>
    </w:p>
    <w:p w14:paraId="0149E509" w14:textId="77777777" w:rsidR="00E824D3" w:rsidRPr="00005649" w:rsidRDefault="00E824D3" w:rsidP="00E824D3">
      <w:pPr>
        <w:jc w:val="center"/>
        <w:rPr>
          <w:rFonts w:ascii="Arial" w:hAnsi="Arial" w:cs="Arial"/>
          <w:lang w:val="en-GB"/>
        </w:rPr>
      </w:pPr>
    </w:p>
    <w:p w14:paraId="0F71E3BB"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lastRenderedPageBreak/>
        <w:t>Strengthening Managerial Capability and Urgency</w:t>
      </w:r>
    </w:p>
    <w:p w14:paraId="1F3A2758" w14:textId="77777777" w:rsidR="00E824D3" w:rsidRDefault="00E824D3" w:rsidP="00E824D3">
      <w:pPr>
        <w:jc w:val="center"/>
        <w:rPr>
          <w:rFonts w:ascii="Arial" w:hAnsi="Arial" w:cs="Arial"/>
          <w:lang w:val="en-GB"/>
        </w:rPr>
      </w:pPr>
      <w:r w:rsidRPr="00E824D3">
        <w:rPr>
          <w:rFonts w:ascii="Arial" w:hAnsi="Arial" w:cs="Arial"/>
          <w:lang w:val="en-GB"/>
        </w:rPr>
        <w:t>The urgency of effective implementation cannot be overstated. Delays in addressing skills gaps, wellbeing concerns, or performance management issues may exacerbate employee dissatisfaction and resistance to change. Organizations must therefore prioritise managerial capability as a strategic investment.</w:t>
      </w:r>
    </w:p>
    <w:p w14:paraId="676C30A4" w14:textId="6EBA24B0" w:rsidR="00E824D3" w:rsidRPr="00E824D3" w:rsidRDefault="00E824D3" w:rsidP="00E824D3">
      <w:pPr>
        <w:jc w:val="center"/>
        <w:rPr>
          <w:rFonts w:ascii="Arial" w:hAnsi="Arial" w:cs="Arial"/>
          <w:lang w:val="en-GB"/>
        </w:rPr>
      </w:pPr>
    </w:p>
    <w:p w14:paraId="15042D78" w14:textId="77777777" w:rsidR="00E824D3" w:rsidRDefault="00E824D3" w:rsidP="00E824D3">
      <w:pPr>
        <w:jc w:val="center"/>
        <w:rPr>
          <w:rFonts w:ascii="Arial" w:hAnsi="Arial" w:cs="Arial"/>
          <w:lang w:val="en-GB"/>
        </w:rPr>
      </w:pPr>
      <w:r w:rsidRPr="00E824D3">
        <w:rPr>
          <w:rFonts w:ascii="Arial" w:hAnsi="Arial" w:cs="Arial"/>
          <w:lang w:val="en-GB"/>
        </w:rPr>
        <w:t>Providing managers with timely training, clear guidance, and ongoing HR support ensures that transformation initiatives are embedded consistently across departments. Regular reviews of progress and accountability mechanisms help maintain momentum and reinforce the importance of people management during periods of change.</w:t>
      </w:r>
    </w:p>
    <w:p w14:paraId="3BB3E643" w14:textId="77777777" w:rsidR="00E824D3" w:rsidRDefault="00E824D3" w:rsidP="00E824D3">
      <w:pPr>
        <w:jc w:val="center"/>
        <w:rPr>
          <w:rFonts w:ascii="Arial" w:hAnsi="Arial" w:cs="Arial"/>
          <w:lang w:val="en-GB"/>
        </w:rPr>
      </w:pPr>
    </w:p>
    <w:p w14:paraId="0060C7CF"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Strategic Alignment Between HR and Business Transformation</w:t>
      </w:r>
    </w:p>
    <w:p w14:paraId="1BDE0626" w14:textId="77777777" w:rsidR="00E824D3" w:rsidRPr="00E824D3" w:rsidRDefault="00E824D3" w:rsidP="00E824D3">
      <w:pPr>
        <w:jc w:val="center"/>
        <w:rPr>
          <w:rFonts w:ascii="Arial" w:hAnsi="Arial" w:cs="Arial"/>
          <w:lang w:val="en-GB"/>
        </w:rPr>
      </w:pPr>
      <w:r w:rsidRPr="00E824D3">
        <w:rPr>
          <w:rFonts w:ascii="Arial" w:hAnsi="Arial" w:cs="Arial"/>
          <w:lang w:val="en-GB"/>
        </w:rPr>
        <w:t>A further critical consideration in successful business transformation is the alignment between HR strategy and overall business strategy. HR can no longer operate as a purely administrative function; instead, it must act as a strategic partner that actively contributes to organizational objectives. In the context of digital transformation and flexible working, this alignment ensures that people management practices support innovation, agility, and long-term competitiveness.</w:t>
      </w:r>
    </w:p>
    <w:p w14:paraId="2F9EB141" w14:textId="77777777" w:rsidR="00E824D3" w:rsidRPr="00E824D3" w:rsidRDefault="00E824D3" w:rsidP="00E824D3">
      <w:pPr>
        <w:jc w:val="center"/>
        <w:rPr>
          <w:rFonts w:ascii="Arial" w:hAnsi="Arial" w:cs="Arial"/>
          <w:lang w:val="en-GB"/>
        </w:rPr>
      </w:pPr>
      <w:r w:rsidRPr="00E824D3">
        <w:rPr>
          <w:rFonts w:ascii="Arial" w:hAnsi="Arial" w:cs="Arial"/>
          <w:lang w:val="en-GB"/>
        </w:rPr>
        <w:t>Strategic HR alignment involves workforce planning, talent management, and succession planning that reflect the organization’s future skills requirements. As digital technologies continue to reshape job roles, HR must anticipate changes in skill demand and proactively address potential gaps. Failure to do so may result in over-reliance on external recruitment, increased costs, and disruption to business continuity.</w:t>
      </w:r>
    </w:p>
    <w:p w14:paraId="7602DD7B" w14:textId="77777777" w:rsidR="00E824D3" w:rsidRPr="00E824D3" w:rsidRDefault="00E824D3" w:rsidP="00E824D3">
      <w:pPr>
        <w:jc w:val="center"/>
        <w:rPr>
          <w:rFonts w:ascii="Arial" w:hAnsi="Arial" w:cs="Arial"/>
          <w:lang w:val="en-GB"/>
        </w:rPr>
      </w:pPr>
    </w:p>
    <w:p w14:paraId="66F7B3D6"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Employee Engagement and Voice During Transformation</w:t>
      </w:r>
    </w:p>
    <w:p w14:paraId="47BB1832" w14:textId="77777777" w:rsidR="00E824D3" w:rsidRPr="00E824D3" w:rsidRDefault="00E824D3" w:rsidP="00E824D3">
      <w:pPr>
        <w:jc w:val="center"/>
        <w:rPr>
          <w:rFonts w:ascii="Arial" w:hAnsi="Arial" w:cs="Arial"/>
          <w:lang w:val="en-GB"/>
        </w:rPr>
      </w:pPr>
      <w:r w:rsidRPr="00E824D3">
        <w:rPr>
          <w:rFonts w:ascii="Arial" w:hAnsi="Arial" w:cs="Arial"/>
          <w:lang w:val="en-GB"/>
        </w:rPr>
        <w:t>Employee engagement is widely recognised as a key determinant of organizational performance, particularly during periods of change. Engaged employees are more likely to embrace new technologies, adapt to flexible working arrangements, and contribute positively to transformation initiatives. Conversely, low engagement can intensify resistance to change and increase the likelihood of grievance.</w:t>
      </w:r>
    </w:p>
    <w:p w14:paraId="2CA791DF" w14:textId="0AE440BF" w:rsidR="00E824D3" w:rsidRPr="00E824D3" w:rsidRDefault="00E824D3" w:rsidP="00E824D3">
      <w:pPr>
        <w:jc w:val="center"/>
        <w:rPr>
          <w:rFonts w:ascii="Arial" w:hAnsi="Arial" w:cs="Arial"/>
          <w:lang w:val="en-GB"/>
        </w:rPr>
      </w:pPr>
      <w:r w:rsidRPr="00E824D3">
        <w:rPr>
          <w:rFonts w:ascii="Arial" w:hAnsi="Arial" w:cs="Arial"/>
          <w:lang w:val="en-GB"/>
        </w:rPr>
        <w:t>Contemporary HR practice places significant emphasis on employee voice as a mechanism for enhancing engagement. Employee voice refers to the opportunities provided to employees to express views, raise concerns, and influence decisions that affect their work. Mechanisms such as employee surveys, focus groups, digital feedback platforms, and consultation meetings allow organizations to capture employee sentiment and respond constructively.</w:t>
      </w:r>
    </w:p>
    <w:p w14:paraId="3393E69D"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lastRenderedPageBreak/>
        <w:t>The Psychological Contract in a Flexible and Digital Workplace</w:t>
      </w:r>
    </w:p>
    <w:p w14:paraId="4C02DD44" w14:textId="77777777" w:rsidR="00E824D3" w:rsidRPr="00E824D3" w:rsidRDefault="00E824D3" w:rsidP="00E824D3">
      <w:pPr>
        <w:jc w:val="center"/>
        <w:rPr>
          <w:rFonts w:ascii="Arial" w:hAnsi="Arial" w:cs="Arial"/>
          <w:lang w:val="en-GB"/>
        </w:rPr>
      </w:pPr>
      <w:r w:rsidRPr="00E824D3">
        <w:rPr>
          <w:rFonts w:ascii="Arial" w:hAnsi="Arial" w:cs="Arial"/>
          <w:lang w:val="en-GB"/>
        </w:rPr>
        <w:t>The concept of the psychological contract is particularly relevant in the context of business transformation. The psychological contract refers to the unwritten expectations and obligations that exist between employees and employers. Digitalization and flexible working arrangements can significantly alter these expectations, for example in relation to availability, autonomy, career progression, and job security.</w:t>
      </w:r>
    </w:p>
    <w:p w14:paraId="24EF5771" w14:textId="77777777" w:rsidR="00E824D3" w:rsidRPr="00E824D3" w:rsidRDefault="00E824D3" w:rsidP="00E824D3">
      <w:pPr>
        <w:jc w:val="center"/>
        <w:rPr>
          <w:rFonts w:ascii="Arial" w:hAnsi="Arial" w:cs="Arial"/>
          <w:lang w:val="en-GB"/>
        </w:rPr>
      </w:pPr>
      <w:r w:rsidRPr="00E824D3">
        <w:rPr>
          <w:rFonts w:ascii="Arial" w:hAnsi="Arial" w:cs="Arial"/>
          <w:lang w:val="en-GB"/>
        </w:rPr>
        <w:t>If employees perceive that the organization has failed to meet these implicit expectations, feelings of dissatisfaction and grievance may arise. For instance, while flexible working may be offered, employees may still feel pressure to be constantly available, undermining work–life balance. HR must therefore manage expectations carefully through clear policies, consistent managerial behaviour, and open communication.</w:t>
      </w:r>
    </w:p>
    <w:p w14:paraId="0CFA4672" w14:textId="77777777" w:rsidR="00E824D3" w:rsidRPr="00E824D3" w:rsidRDefault="00E824D3" w:rsidP="00E824D3">
      <w:pPr>
        <w:jc w:val="center"/>
        <w:rPr>
          <w:rFonts w:ascii="Arial" w:hAnsi="Arial" w:cs="Arial"/>
          <w:lang w:val="en-GB"/>
        </w:rPr>
      </w:pPr>
    </w:p>
    <w:p w14:paraId="786D4652"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Technology-Enabled HR and Digital HR Systems</w:t>
      </w:r>
    </w:p>
    <w:p w14:paraId="132FBFDD" w14:textId="77777777" w:rsidR="00E824D3" w:rsidRPr="00E824D3" w:rsidRDefault="00E824D3" w:rsidP="00E824D3">
      <w:pPr>
        <w:jc w:val="center"/>
        <w:rPr>
          <w:rFonts w:ascii="Arial" w:hAnsi="Arial" w:cs="Arial"/>
          <w:lang w:val="en-GB"/>
        </w:rPr>
      </w:pPr>
      <w:r w:rsidRPr="00E824D3">
        <w:rPr>
          <w:rFonts w:ascii="Arial" w:hAnsi="Arial" w:cs="Arial"/>
          <w:lang w:val="en-GB"/>
        </w:rPr>
        <w:t>Digital transformation also directly affects the HR function through the introduction of technology-enabled HR systems, often referred to as e-HR or digital HR. These systems include online recruitment platforms, digital onboarding, learning management systems, and self-service HR portals. Such technologies can increase efficiency, improve data accuracy, and enhance the employee experience.</w:t>
      </w:r>
    </w:p>
    <w:p w14:paraId="29E02F5E" w14:textId="77777777" w:rsidR="00E824D3" w:rsidRPr="00E824D3" w:rsidRDefault="00E824D3" w:rsidP="00E824D3">
      <w:pPr>
        <w:jc w:val="center"/>
        <w:rPr>
          <w:rFonts w:ascii="Arial" w:hAnsi="Arial" w:cs="Arial"/>
          <w:lang w:val="en-GB"/>
        </w:rPr>
      </w:pPr>
      <w:r w:rsidRPr="00E824D3">
        <w:rPr>
          <w:rFonts w:ascii="Arial" w:hAnsi="Arial" w:cs="Arial"/>
          <w:lang w:val="en-GB"/>
        </w:rPr>
        <w:t>However, the implementation of digital HR systems must be managed carefully. Poorly designed systems or inadequate training can lead to frustration, exclusion, and increased grievance, particularly among employees with lower digital confidence. HR must ensure that systems are user-friendly, inclusive, and supported by appropriate guidance.</w:t>
      </w:r>
    </w:p>
    <w:p w14:paraId="0E07DF40"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Long-Term Sustainability and Organisational Resilience</w:t>
      </w:r>
    </w:p>
    <w:p w14:paraId="5F0C47BB" w14:textId="77777777" w:rsidR="00E824D3" w:rsidRPr="00E824D3" w:rsidRDefault="00E824D3" w:rsidP="00E824D3">
      <w:pPr>
        <w:jc w:val="center"/>
        <w:rPr>
          <w:rFonts w:ascii="Arial" w:hAnsi="Arial" w:cs="Arial"/>
          <w:lang w:val="en-GB"/>
        </w:rPr>
      </w:pPr>
      <w:r w:rsidRPr="00E824D3">
        <w:rPr>
          <w:rFonts w:ascii="Arial" w:hAnsi="Arial" w:cs="Arial"/>
          <w:lang w:val="en-GB"/>
        </w:rPr>
        <w:t>Finally, business transformation should be viewed not as a one-off initiative but as an ongoing process that contributes to long-term organizational sustainability and resilience. The ability to adapt continuously to technological change, evolving employee expectations, and external pressures is a defining feature of successful organizations.</w:t>
      </w:r>
    </w:p>
    <w:p w14:paraId="7528B496" w14:textId="77777777" w:rsidR="00E824D3" w:rsidRDefault="00E824D3" w:rsidP="00E824D3">
      <w:pPr>
        <w:jc w:val="center"/>
        <w:rPr>
          <w:rFonts w:ascii="Arial" w:hAnsi="Arial" w:cs="Arial"/>
          <w:lang w:val="en-GB"/>
        </w:rPr>
      </w:pPr>
      <w:r w:rsidRPr="00E824D3">
        <w:rPr>
          <w:rFonts w:ascii="Arial" w:hAnsi="Arial" w:cs="Arial"/>
          <w:lang w:val="en-GB"/>
        </w:rPr>
        <w:t>HR plays a critical role in building organizational resilience by fostering a learning culture, supporting wellbeing, and developing adaptable leadership capability. Flexible working arrangements, when managed effectively, can contribute to resilience by enabling organizations to respond quickly to disruption while maintaining employee engagement.</w:t>
      </w:r>
    </w:p>
    <w:p w14:paraId="6C20A1F7" w14:textId="77777777" w:rsidR="00E824D3" w:rsidRDefault="00E824D3" w:rsidP="00E824D3">
      <w:pPr>
        <w:jc w:val="center"/>
        <w:rPr>
          <w:rFonts w:ascii="Arial" w:hAnsi="Arial" w:cs="Arial"/>
          <w:lang w:val="en-GB"/>
        </w:rPr>
      </w:pPr>
    </w:p>
    <w:p w14:paraId="0141057E" w14:textId="77777777" w:rsidR="00E824D3" w:rsidRPr="00E824D3" w:rsidRDefault="00E824D3" w:rsidP="00E824D3">
      <w:pPr>
        <w:jc w:val="center"/>
        <w:rPr>
          <w:rFonts w:ascii="Arial" w:hAnsi="Arial" w:cs="Arial"/>
          <w:lang w:val="en-GB"/>
        </w:rPr>
      </w:pPr>
    </w:p>
    <w:p w14:paraId="35A4CEA9" w14:textId="77777777" w:rsidR="00E824D3" w:rsidRPr="00E824D3" w:rsidRDefault="00E824D3" w:rsidP="00E824D3">
      <w:pPr>
        <w:jc w:val="center"/>
        <w:rPr>
          <w:rFonts w:ascii="Arial" w:hAnsi="Arial" w:cs="Arial"/>
          <w:lang w:val="en-GB"/>
        </w:rPr>
      </w:pPr>
      <w:r w:rsidRPr="00E824D3">
        <w:rPr>
          <w:rFonts w:ascii="Arial" w:hAnsi="Arial" w:cs="Arial"/>
          <w:lang w:val="en-GB"/>
        </w:rPr>
        <w:lastRenderedPageBreak/>
        <w:t>Sustainable transformation also requires organizations to evaluate the long-term impact of change on employees and society more broadly. Ethical leadership, responsible use of technology, and commitment to fair employment practices enhance organizational reputation and support sustainable performance.</w:t>
      </w:r>
    </w:p>
    <w:p w14:paraId="0E990017" w14:textId="77777777" w:rsidR="00E824D3" w:rsidRPr="00E824D3" w:rsidRDefault="00E824D3" w:rsidP="00E824D3">
      <w:pPr>
        <w:jc w:val="center"/>
        <w:rPr>
          <w:rFonts w:ascii="Arial" w:hAnsi="Arial" w:cs="Arial"/>
          <w:lang w:val="en-GB"/>
        </w:rPr>
      </w:pPr>
    </w:p>
    <w:p w14:paraId="1EA52BE7" w14:textId="77777777" w:rsidR="00E824D3" w:rsidRPr="00E824D3" w:rsidRDefault="00E824D3" w:rsidP="00E824D3">
      <w:pPr>
        <w:jc w:val="center"/>
        <w:rPr>
          <w:rFonts w:ascii="Arial" w:hAnsi="Arial" w:cs="Arial"/>
          <w:b/>
          <w:bCs/>
          <w:lang w:val="en-GB"/>
        </w:rPr>
      </w:pPr>
      <w:r w:rsidRPr="00E824D3">
        <w:rPr>
          <w:rFonts w:ascii="Arial" w:hAnsi="Arial" w:cs="Arial"/>
          <w:b/>
          <w:bCs/>
          <w:lang w:val="en-GB"/>
        </w:rPr>
        <w:t>Final Integrated Conclusion</w:t>
      </w:r>
    </w:p>
    <w:p w14:paraId="41920393" w14:textId="77777777" w:rsidR="00E824D3" w:rsidRPr="00E824D3" w:rsidRDefault="00E824D3" w:rsidP="00E824D3">
      <w:pPr>
        <w:jc w:val="center"/>
        <w:rPr>
          <w:rFonts w:ascii="Arial" w:hAnsi="Arial" w:cs="Arial"/>
          <w:lang w:val="en-GB"/>
        </w:rPr>
      </w:pPr>
      <w:r w:rsidRPr="00E824D3">
        <w:rPr>
          <w:rFonts w:ascii="Arial" w:hAnsi="Arial" w:cs="Arial"/>
          <w:lang w:val="en-GB"/>
        </w:rPr>
        <w:t>Overall, the analysis demonstrates that business transformation driven by digital technology trends and flexible working arrangements is a complex and multi-dimensional process with significant implications for employees, managers, and HR professionals. While transformation offers opportunities for increased efficiency, innovation, and competitiveness, it also presents risks related to employee grievance, wellbeing, and engagement.</w:t>
      </w:r>
    </w:p>
    <w:p w14:paraId="19A00342" w14:textId="77777777" w:rsidR="00E824D3" w:rsidRPr="00E824D3" w:rsidRDefault="00E824D3" w:rsidP="00E824D3">
      <w:pPr>
        <w:jc w:val="center"/>
        <w:rPr>
          <w:rFonts w:ascii="Arial" w:hAnsi="Arial" w:cs="Arial"/>
          <w:lang w:val="en-GB"/>
        </w:rPr>
      </w:pPr>
      <w:r w:rsidRPr="00E824D3">
        <w:rPr>
          <w:rFonts w:ascii="Arial" w:hAnsi="Arial" w:cs="Arial"/>
          <w:lang w:val="en-GB"/>
        </w:rPr>
        <w:t>Contemporary HR practices provide essential mechanisms for addressing these challenges, including continuous learning and development, outcome-based performance management, employee wellbeing initiatives, employee voice mechanisms, and technology-enabled HR systems. However, the effectiveness of these practices depends on strategic alignment, ethical implementation, and strong managerial capability.</w:t>
      </w:r>
    </w:p>
    <w:p w14:paraId="2AA9C130" w14:textId="77777777" w:rsidR="00E824D3" w:rsidRPr="00E824D3" w:rsidRDefault="00E824D3" w:rsidP="00E824D3">
      <w:pPr>
        <w:jc w:val="center"/>
        <w:rPr>
          <w:rFonts w:ascii="Arial" w:hAnsi="Arial" w:cs="Arial"/>
          <w:lang w:val="en-GB"/>
        </w:rPr>
      </w:pPr>
      <w:r w:rsidRPr="00E824D3">
        <w:rPr>
          <w:rFonts w:ascii="Arial" w:hAnsi="Arial" w:cs="Arial"/>
          <w:lang w:val="en-GB"/>
        </w:rPr>
        <w:t xml:space="preserve">In conclusion, organizations that adopt a strategic, inclusive, and people-centred approach to business transformation are more likely to achieve sustainable performance while minimising employee grievance. </w:t>
      </w:r>
    </w:p>
    <w:p w14:paraId="4D65097B" w14:textId="77777777" w:rsidR="00E824D3" w:rsidRPr="00E824D3" w:rsidRDefault="00E824D3" w:rsidP="00E824D3">
      <w:pPr>
        <w:jc w:val="center"/>
        <w:rPr>
          <w:rFonts w:ascii="Arial" w:hAnsi="Arial" w:cs="Arial"/>
          <w:lang w:val="en-GB"/>
        </w:rPr>
      </w:pPr>
    </w:p>
    <w:p w14:paraId="23DCB9CA" w14:textId="77777777" w:rsidR="00E824D3" w:rsidRDefault="00E824D3" w:rsidP="00E824D3">
      <w:pPr>
        <w:jc w:val="center"/>
        <w:rPr>
          <w:rFonts w:ascii="Arial" w:hAnsi="Arial" w:cs="Arial"/>
          <w:lang w:val="en-GB"/>
        </w:rPr>
      </w:pPr>
    </w:p>
    <w:p w14:paraId="016D40B7" w14:textId="77777777" w:rsidR="00E824D3" w:rsidRDefault="00E824D3" w:rsidP="00E824D3">
      <w:pPr>
        <w:jc w:val="center"/>
        <w:rPr>
          <w:rFonts w:ascii="Arial" w:hAnsi="Arial" w:cs="Arial"/>
          <w:lang w:val="en-GB"/>
        </w:rPr>
      </w:pPr>
    </w:p>
    <w:p w14:paraId="2C0CE7B8" w14:textId="77777777" w:rsidR="00E824D3" w:rsidRDefault="00E824D3" w:rsidP="00E824D3">
      <w:pPr>
        <w:jc w:val="center"/>
        <w:rPr>
          <w:rFonts w:ascii="Arial" w:hAnsi="Arial" w:cs="Arial"/>
          <w:lang w:val="en-GB"/>
        </w:rPr>
      </w:pPr>
    </w:p>
    <w:p w14:paraId="6D0697B4" w14:textId="77777777" w:rsidR="00E824D3" w:rsidRDefault="00E824D3" w:rsidP="00E824D3">
      <w:pPr>
        <w:jc w:val="center"/>
        <w:rPr>
          <w:rFonts w:ascii="Arial" w:hAnsi="Arial" w:cs="Arial"/>
          <w:lang w:val="en-GB"/>
        </w:rPr>
      </w:pPr>
    </w:p>
    <w:p w14:paraId="73801605" w14:textId="77777777" w:rsidR="00E824D3" w:rsidRDefault="00E824D3" w:rsidP="00E824D3">
      <w:pPr>
        <w:jc w:val="center"/>
        <w:rPr>
          <w:rFonts w:ascii="Arial" w:hAnsi="Arial" w:cs="Arial"/>
          <w:lang w:val="en-GB"/>
        </w:rPr>
      </w:pPr>
    </w:p>
    <w:p w14:paraId="22AC3F87" w14:textId="77777777" w:rsidR="00E824D3" w:rsidRDefault="00E824D3" w:rsidP="00E824D3">
      <w:pPr>
        <w:jc w:val="center"/>
        <w:rPr>
          <w:rFonts w:ascii="Arial" w:hAnsi="Arial" w:cs="Arial"/>
          <w:lang w:val="en-GB"/>
        </w:rPr>
      </w:pPr>
    </w:p>
    <w:p w14:paraId="2B00EE1B" w14:textId="77777777" w:rsidR="00E824D3" w:rsidRDefault="00E824D3" w:rsidP="00E824D3">
      <w:pPr>
        <w:jc w:val="center"/>
        <w:rPr>
          <w:rFonts w:ascii="Arial" w:hAnsi="Arial" w:cs="Arial"/>
          <w:lang w:val="en-GB"/>
        </w:rPr>
      </w:pPr>
    </w:p>
    <w:p w14:paraId="73B86F04" w14:textId="77777777" w:rsidR="00E824D3" w:rsidRDefault="00E824D3" w:rsidP="00E824D3">
      <w:pPr>
        <w:jc w:val="center"/>
        <w:rPr>
          <w:rFonts w:ascii="Arial" w:hAnsi="Arial" w:cs="Arial"/>
          <w:lang w:val="en-GB"/>
        </w:rPr>
      </w:pPr>
    </w:p>
    <w:p w14:paraId="46222DBB" w14:textId="77777777" w:rsidR="00E824D3" w:rsidRDefault="00E824D3" w:rsidP="00E824D3">
      <w:pPr>
        <w:jc w:val="center"/>
        <w:rPr>
          <w:rFonts w:ascii="Arial" w:hAnsi="Arial" w:cs="Arial"/>
          <w:lang w:val="en-GB"/>
        </w:rPr>
      </w:pPr>
    </w:p>
    <w:p w14:paraId="69C0B131" w14:textId="699D1954" w:rsidR="00E824D3" w:rsidRDefault="00E824D3" w:rsidP="00E824D3">
      <w:pPr>
        <w:rPr>
          <w:rFonts w:ascii="Arial" w:hAnsi="Arial" w:cs="Arial"/>
          <w:lang w:val="en-GB"/>
        </w:rPr>
      </w:pPr>
    </w:p>
    <w:p w14:paraId="4D85AF06" w14:textId="01863382" w:rsidR="00E824D3" w:rsidRPr="00E824D3" w:rsidRDefault="00E824D3" w:rsidP="00E824D3">
      <w:pPr>
        <w:jc w:val="center"/>
        <w:rPr>
          <w:rFonts w:ascii="Arial" w:hAnsi="Arial" w:cs="Arial"/>
          <w:b/>
          <w:bCs/>
          <w:lang w:val="en-GB"/>
        </w:rPr>
      </w:pPr>
      <w:r w:rsidRPr="00E824D3">
        <w:rPr>
          <w:rFonts w:ascii="Arial" w:hAnsi="Arial" w:cs="Arial"/>
          <w:b/>
          <w:bCs/>
          <w:lang w:val="en-GB"/>
        </w:rPr>
        <w:lastRenderedPageBreak/>
        <w:t>References:</w:t>
      </w:r>
    </w:p>
    <w:p w14:paraId="0A7BB0F5" w14:textId="77777777" w:rsidR="00E824D3" w:rsidRPr="00E824D3" w:rsidRDefault="00E824D3" w:rsidP="00E824D3">
      <w:pPr>
        <w:jc w:val="center"/>
        <w:rPr>
          <w:rFonts w:ascii="Arial" w:hAnsi="Arial" w:cs="Arial"/>
          <w:lang w:val="en-GB"/>
        </w:rPr>
      </w:pPr>
    </w:p>
    <w:p w14:paraId="2E4EED2F" w14:textId="77777777" w:rsidR="00E824D3" w:rsidRPr="00E824D3" w:rsidRDefault="00E824D3" w:rsidP="00E824D3">
      <w:pPr>
        <w:jc w:val="center"/>
        <w:rPr>
          <w:rFonts w:ascii="Arial" w:hAnsi="Arial" w:cs="Arial"/>
          <w:lang w:val="en-GB"/>
        </w:rPr>
      </w:pPr>
    </w:p>
    <w:p w14:paraId="04E4C666" w14:textId="7682EEA7" w:rsidR="00005649" w:rsidRPr="00005649" w:rsidRDefault="00005649" w:rsidP="00005649">
      <w:pPr>
        <w:numPr>
          <w:ilvl w:val="0"/>
          <w:numId w:val="11"/>
        </w:numPr>
        <w:jc w:val="center"/>
        <w:rPr>
          <w:rFonts w:ascii="Arial" w:hAnsi="Arial" w:cs="Arial"/>
          <w:lang w:val="en-GB"/>
        </w:rPr>
      </w:pPr>
      <w:proofErr w:type="spellStart"/>
      <w:r w:rsidRPr="00005649">
        <w:rPr>
          <w:rFonts w:ascii="Arial" w:hAnsi="Arial" w:cs="Arial"/>
          <w:lang w:val="en-GB"/>
        </w:rPr>
        <w:t>Acas</w:t>
      </w:r>
      <w:proofErr w:type="spellEnd"/>
      <w:r w:rsidRPr="00005649">
        <w:rPr>
          <w:rFonts w:ascii="Arial" w:hAnsi="Arial" w:cs="Arial"/>
          <w:lang w:val="en-GB"/>
        </w:rPr>
        <w:t xml:space="preserve"> (2024) Understanding the options – Formal grievance procedure. Available at: </w:t>
      </w:r>
      <w:hyperlink r:id="rId9" w:tgtFrame="_blank" w:tooltip="https://www.acas.org.uk/grievance-procedure-step-by-step" w:history="1">
        <w:r w:rsidRPr="00005649">
          <w:rPr>
            <w:rStyle w:val="Hyperlink"/>
            <w:rFonts w:ascii="Arial" w:hAnsi="Arial" w:cs="Arial"/>
            <w:lang w:val="en-GB"/>
          </w:rPr>
          <w:t>https://www.acas.org.uk/grievance-procedure-step-by-step</w:t>
        </w:r>
      </w:hyperlink>
      <w:r w:rsidRPr="00005649">
        <w:rPr>
          <w:rFonts w:ascii="Arial" w:hAnsi="Arial" w:cs="Arial"/>
          <w:lang w:val="en-GB"/>
        </w:rPr>
        <w:t xml:space="preserve"> (Accessed: 1</w:t>
      </w:r>
      <w:r>
        <w:rPr>
          <w:rFonts w:ascii="Arial" w:hAnsi="Arial" w:cs="Arial"/>
          <w:lang w:val="en-GB"/>
        </w:rPr>
        <w:t>3</w:t>
      </w:r>
      <w:r w:rsidRPr="00005649">
        <w:rPr>
          <w:rFonts w:ascii="Arial" w:hAnsi="Arial" w:cs="Arial"/>
          <w:lang w:val="en-GB"/>
        </w:rPr>
        <w:t xml:space="preserve"> December 2025).</w:t>
      </w:r>
    </w:p>
    <w:p w14:paraId="579BDB52" w14:textId="61D8F1A0" w:rsidR="00005649" w:rsidRDefault="00005649" w:rsidP="00005649">
      <w:pPr>
        <w:numPr>
          <w:ilvl w:val="0"/>
          <w:numId w:val="12"/>
        </w:numPr>
        <w:jc w:val="center"/>
        <w:rPr>
          <w:rFonts w:ascii="Arial" w:hAnsi="Arial" w:cs="Arial"/>
          <w:lang w:val="en-GB"/>
        </w:rPr>
      </w:pPr>
      <w:proofErr w:type="spellStart"/>
      <w:r w:rsidRPr="00005649">
        <w:rPr>
          <w:rFonts w:ascii="Arial" w:hAnsi="Arial" w:cs="Arial"/>
          <w:lang w:val="en-GB"/>
        </w:rPr>
        <w:t>Acas</w:t>
      </w:r>
      <w:proofErr w:type="spellEnd"/>
      <w:r w:rsidRPr="00005649">
        <w:rPr>
          <w:rFonts w:ascii="Arial" w:hAnsi="Arial" w:cs="Arial"/>
          <w:lang w:val="en-GB"/>
        </w:rPr>
        <w:t xml:space="preserve"> (2015) Code of Practice on disciplinary and grievance procedures. Available at: </w:t>
      </w:r>
      <w:hyperlink r:id="rId10" w:tgtFrame="_blank" w:tooltip="https://www.acas.org.uk/acas-code-of-practice-on-disciplinary-and-grievance-procedures/html" w:history="1">
        <w:r w:rsidRPr="00005649">
          <w:rPr>
            <w:rStyle w:val="Hyperlink"/>
            <w:rFonts w:ascii="Arial" w:hAnsi="Arial" w:cs="Arial"/>
            <w:lang w:val="en-GB"/>
          </w:rPr>
          <w:t>https://www.acas.org.uk/acas-code-of-practice-on-disciplinary-and-grievance-procedures/html</w:t>
        </w:r>
      </w:hyperlink>
      <w:r w:rsidRPr="00005649">
        <w:rPr>
          <w:rFonts w:ascii="Arial" w:hAnsi="Arial" w:cs="Arial"/>
          <w:lang w:val="en-GB"/>
        </w:rPr>
        <w:t xml:space="preserve"> (Accessed: 1</w:t>
      </w:r>
      <w:r>
        <w:rPr>
          <w:rFonts w:ascii="Arial" w:hAnsi="Arial" w:cs="Arial"/>
          <w:lang w:val="en-GB"/>
        </w:rPr>
        <w:t>1</w:t>
      </w:r>
      <w:r w:rsidRPr="00005649">
        <w:rPr>
          <w:rFonts w:ascii="Arial" w:hAnsi="Arial" w:cs="Arial"/>
          <w:lang w:val="en-GB"/>
        </w:rPr>
        <w:t xml:space="preserve"> December 2025).</w:t>
      </w:r>
    </w:p>
    <w:p w14:paraId="79BD9462" w14:textId="6384D000" w:rsidR="00005649" w:rsidRPr="00005649" w:rsidRDefault="00005649" w:rsidP="00005649">
      <w:pPr>
        <w:numPr>
          <w:ilvl w:val="0"/>
          <w:numId w:val="12"/>
        </w:numPr>
        <w:spacing w:after="0" w:line="240" w:lineRule="auto"/>
        <w:jc w:val="center"/>
        <w:textAlignment w:val="baseline"/>
        <w:rPr>
          <w:rFonts w:ascii="Arial" w:hAnsi="Arial" w:cs="Arial"/>
        </w:rPr>
      </w:pPr>
      <w:r w:rsidRPr="00005649">
        <w:rPr>
          <w:rFonts w:ascii="Arial" w:hAnsi="Arial" w:cs="Arial"/>
          <w:bdr w:val="none" w:sz="0" w:space="0" w:color="auto" w:frame="1"/>
        </w:rPr>
        <w:t xml:space="preserve">Armstrong, M. (2023) Armstrong’s Handbook of Human Resource Management Practice. 16th </w:t>
      </w:r>
      <w:proofErr w:type="spellStart"/>
      <w:r w:rsidRPr="00005649">
        <w:rPr>
          <w:rFonts w:ascii="Arial" w:hAnsi="Arial" w:cs="Arial"/>
          <w:bdr w:val="none" w:sz="0" w:space="0" w:color="auto" w:frame="1"/>
        </w:rPr>
        <w:t>edn</w:t>
      </w:r>
      <w:proofErr w:type="spellEnd"/>
      <w:r w:rsidRPr="00005649">
        <w:rPr>
          <w:rFonts w:ascii="Arial" w:hAnsi="Arial" w:cs="Arial"/>
          <w:bdr w:val="none" w:sz="0" w:space="0" w:color="auto" w:frame="1"/>
        </w:rPr>
        <w:t xml:space="preserve">. London: Kogan Page. Available at: </w:t>
      </w:r>
      <w:hyperlink r:id="rId11" w:tgtFrame="_blank" w:tooltip="https://www.perlego.com/book/3804727/armstrongs-handbook-of-human-resource-management-practice-a-guide-to-the-theory-and-practice-of-people-management-pdf" w:history="1">
        <w:r w:rsidRPr="00005649">
          <w:rPr>
            <w:rStyle w:val="Hyperlink"/>
            <w:rFonts w:ascii="Arial" w:hAnsi="Arial" w:cs="Arial"/>
            <w:bdr w:val="none" w:sz="0" w:space="0" w:color="auto" w:frame="1"/>
          </w:rPr>
          <w:t>https://www.perlego.com/book/3804727/armstrongs-handbook-of-human-resource-management-practice-a-guide-to-the-theory-and-practice-of-people-management-pdf</w:t>
        </w:r>
      </w:hyperlink>
      <w:r w:rsidRPr="00005649">
        <w:rPr>
          <w:rFonts w:ascii="Arial" w:hAnsi="Arial" w:cs="Arial"/>
          <w:bdr w:val="none" w:sz="0" w:space="0" w:color="auto" w:frame="1"/>
        </w:rPr>
        <w:t xml:space="preserve"> (Accessed: 1</w:t>
      </w:r>
      <w:r>
        <w:rPr>
          <w:rFonts w:ascii="Arial" w:hAnsi="Arial" w:cs="Arial"/>
          <w:bdr w:val="none" w:sz="0" w:space="0" w:color="auto" w:frame="1"/>
        </w:rPr>
        <w:t>2</w:t>
      </w:r>
      <w:r w:rsidRPr="00005649">
        <w:rPr>
          <w:rFonts w:ascii="Arial" w:hAnsi="Arial" w:cs="Arial"/>
          <w:bdr w:val="none" w:sz="0" w:space="0" w:color="auto" w:frame="1"/>
        </w:rPr>
        <w:t xml:space="preserve"> December 2025).</w:t>
      </w:r>
    </w:p>
    <w:p w14:paraId="7895D744" w14:textId="77777777" w:rsidR="00005649" w:rsidRDefault="00005649" w:rsidP="00005649">
      <w:pPr>
        <w:spacing w:after="0" w:line="240" w:lineRule="auto"/>
        <w:ind w:left="720"/>
        <w:textAlignment w:val="baseline"/>
        <w:rPr>
          <w:rFonts w:ascii="Arial" w:hAnsi="Arial" w:cs="Arial"/>
        </w:rPr>
      </w:pPr>
    </w:p>
    <w:p w14:paraId="19EA502D" w14:textId="213A3CE6" w:rsidR="00005649" w:rsidRPr="00005649" w:rsidRDefault="00005649" w:rsidP="00005649">
      <w:pPr>
        <w:numPr>
          <w:ilvl w:val="0"/>
          <w:numId w:val="12"/>
        </w:numPr>
        <w:spacing w:after="0" w:line="240" w:lineRule="auto"/>
        <w:jc w:val="center"/>
        <w:textAlignment w:val="baseline"/>
        <w:rPr>
          <w:rFonts w:ascii="Arial" w:hAnsi="Arial" w:cs="Arial"/>
          <w:lang w:val="en-GB"/>
        </w:rPr>
      </w:pPr>
      <w:r w:rsidRPr="00005649">
        <w:rPr>
          <w:rFonts w:ascii="Arial" w:hAnsi="Arial" w:cs="Arial"/>
          <w:lang w:val="en-GB"/>
        </w:rPr>
        <w:t xml:space="preserve">CIPD (2025) Flexible and hybrid working practices in 2025. Available at: </w:t>
      </w:r>
      <w:hyperlink r:id="rId12" w:tgtFrame="_blank" w:tooltip="https://www.cipd.org/en/knowledge/reports/flexible-hybrid-working" w:history="1">
        <w:r w:rsidRPr="00005649">
          <w:rPr>
            <w:rStyle w:val="Hyperlink"/>
            <w:rFonts w:ascii="Arial" w:hAnsi="Arial" w:cs="Arial"/>
            <w:lang w:val="en-GB"/>
          </w:rPr>
          <w:t>https://www.cipd.org/en/knowledge/reports/flexible-hybrid-working</w:t>
        </w:r>
      </w:hyperlink>
      <w:r w:rsidRPr="00005649">
        <w:rPr>
          <w:rFonts w:ascii="Arial" w:hAnsi="Arial" w:cs="Arial"/>
          <w:lang w:val="en-GB"/>
        </w:rPr>
        <w:t xml:space="preserve"> (Accessed: </w:t>
      </w:r>
      <w:r w:rsidR="00F55E1D">
        <w:rPr>
          <w:rFonts w:ascii="Arial" w:hAnsi="Arial" w:cs="Arial"/>
          <w:lang w:val="en-GB"/>
        </w:rPr>
        <w:t xml:space="preserve">09 </w:t>
      </w:r>
      <w:r w:rsidRPr="00005649">
        <w:rPr>
          <w:rFonts w:ascii="Arial" w:hAnsi="Arial" w:cs="Arial"/>
          <w:lang w:val="en-GB"/>
        </w:rPr>
        <w:t>December 2025).</w:t>
      </w:r>
      <w:r>
        <w:rPr>
          <w:rFonts w:ascii="Arial" w:hAnsi="Arial" w:cs="Arial"/>
          <w:lang w:val="en-GB"/>
        </w:rPr>
        <w:br/>
      </w:r>
    </w:p>
    <w:p w14:paraId="4D1294DB" w14:textId="01E5B87B" w:rsidR="00005649" w:rsidRDefault="00005649" w:rsidP="00005649">
      <w:pPr>
        <w:numPr>
          <w:ilvl w:val="0"/>
          <w:numId w:val="12"/>
        </w:numPr>
        <w:spacing w:after="0" w:line="240" w:lineRule="auto"/>
        <w:jc w:val="center"/>
        <w:textAlignment w:val="baseline"/>
        <w:rPr>
          <w:rFonts w:ascii="Arial" w:hAnsi="Arial" w:cs="Arial"/>
          <w:lang w:val="en-GB"/>
        </w:rPr>
      </w:pPr>
      <w:r w:rsidRPr="00005649">
        <w:rPr>
          <w:rFonts w:ascii="Arial" w:hAnsi="Arial" w:cs="Arial"/>
          <w:lang w:val="en-GB"/>
        </w:rPr>
        <w:t xml:space="preserve">CIPD (2021) How can HR play a lead role in digital transformation in the workplace? Available at: </w:t>
      </w:r>
      <w:hyperlink r:id="rId13" w:tgtFrame="_blank" w:tooltip="https://www.cipd.org/uk/views-and-insights/thought-leadership/people-profession/hr-role-digital-transformation-workplace" w:history="1">
        <w:r w:rsidRPr="00005649">
          <w:rPr>
            <w:rStyle w:val="Hyperlink"/>
            <w:rFonts w:ascii="Arial" w:hAnsi="Arial" w:cs="Arial"/>
            <w:lang w:val="en-GB"/>
          </w:rPr>
          <w:t>https://www.cipd.org/uk/views-and-insights/thought-leadership/people-profession/hr-role-digital-transformation-workplace</w:t>
        </w:r>
      </w:hyperlink>
      <w:r w:rsidRPr="00005649">
        <w:rPr>
          <w:rFonts w:ascii="Arial" w:hAnsi="Arial" w:cs="Arial"/>
          <w:lang w:val="en-GB"/>
        </w:rPr>
        <w:t xml:space="preserve"> (Accessed: 1</w:t>
      </w:r>
      <w:r w:rsidR="00F55E1D">
        <w:rPr>
          <w:rFonts w:ascii="Arial" w:hAnsi="Arial" w:cs="Arial"/>
          <w:lang w:val="en-GB"/>
        </w:rPr>
        <w:t>5</w:t>
      </w:r>
      <w:r w:rsidRPr="00005649">
        <w:rPr>
          <w:rFonts w:ascii="Arial" w:hAnsi="Arial" w:cs="Arial"/>
          <w:lang w:val="en-GB"/>
        </w:rPr>
        <w:t xml:space="preserve"> December 2025).</w:t>
      </w:r>
    </w:p>
    <w:p w14:paraId="07E36E04" w14:textId="77777777" w:rsidR="00005649" w:rsidRDefault="00005649" w:rsidP="00005649">
      <w:pPr>
        <w:spacing w:after="0" w:line="240" w:lineRule="auto"/>
        <w:ind w:left="720"/>
        <w:textAlignment w:val="baseline"/>
        <w:rPr>
          <w:rFonts w:ascii="Arial" w:hAnsi="Arial" w:cs="Arial"/>
          <w:lang w:val="en-GB"/>
        </w:rPr>
      </w:pPr>
    </w:p>
    <w:p w14:paraId="325B2DB9" w14:textId="77777777" w:rsidR="00005649" w:rsidRPr="00005649" w:rsidRDefault="00005649" w:rsidP="00005649">
      <w:pPr>
        <w:numPr>
          <w:ilvl w:val="0"/>
          <w:numId w:val="12"/>
        </w:numPr>
        <w:spacing w:after="0" w:line="240" w:lineRule="auto"/>
        <w:jc w:val="center"/>
        <w:textAlignment w:val="baseline"/>
        <w:rPr>
          <w:rFonts w:ascii="Arial" w:hAnsi="Arial" w:cs="Arial"/>
        </w:rPr>
      </w:pPr>
      <w:r w:rsidRPr="00005649">
        <w:rPr>
          <w:rFonts w:ascii="Arial" w:hAnsi="Arial" w:cs="Arial"/>
          <w:bdr w:val="none" w:sz="0" w:space="0" w:color="auto" w:frame="1"/>
        </w:rPr>
        <w:t xml:space="preserve">Change Management Models: Lewin vs Kotter (2022) A comparison of change management models. Available at: </w:t>
      </w:r>
      <w:hyperlink r:id="rId14" w:tgtFrame="_blank" w:tooltip="https://www.coachhub.com/en/blog/a-comparison-of-change-management-models-lewin-vs-kotter" w:history="1">
        <w:r w:rsidRPr="00005649">
          <w:rPr>
            <w:rStyle w:val="Hyperlink"/>
            <w:rFonts w:ascii="Arial" w:hAnsi="Arial" w:cs="Arial"/>
            <w:bdr w:val="none" w:sz="0" w:space="0" w:color="auto" w:frame="1"/>
          </w:rPr>
          <w:t>https://www.coachhub.com/en/blog/a-comparison-of-change-management-models-lewin-vs-kotter</w:t>
        </w:r>
      </w:hyperlink>
      <w:r w:rsidRPr="00005649">
        <w:rPr>
          <w:rFonts w:ascii="Arial" w:hAnsi="Arial" w:cs="Arial"/>
          <w:bdr w:val="none" w:sz="0" w:space="0" w:color="auto" w:frame="1"/>
        </w:rPr>
        <w:t xml:space="preserve"> (Accessed: 14 December 2025).</w:t>
      </w:r>
    </w:p>
    <w:p w14:paraId="2B777573" w14:textId="77777777" w:rsidR="00005649" w:rsidRDefault="00005649" w:rsidP="00005649">
      <w:pPr>
        <w:spacing w:after="0" w:line="240" w:lineRule="auto"/>
        <w:ind w:left="720"/>
        <w:textAlignment w:val="baseline"/>
        <w:rPr>
          <w:rFonts w:ascii="Arial" w:hAnsi="Arial" w:cs="Arial"/>
          <w:lang w:val="en-GB"/>
        </w:rPr>
      </w:pPr>
    </w:p>
    <w:p w14:paraId="6DDA053A" w14:textId="77777777" w:rsidR="00005649" w:rsidRDefault="00005649" w:rsidP="00005649">
      <w:pPr>
        <w:spacing w:after="0" w:line="240" w:lineRule="auto"/>
        <w:ind w:left="720"/>
        <w:textAlignment w:val="baseline"/>
        <w:rPr>
          <w:rFonts w:ascii="Arial" w:hAnsi="Arial" w:cs="Arial"/>
          <w:lang w:val="en-GB"/>
        </w:rPr>
      </w:pPr>
    </w:p>
    <w:p w14:paraId="0154ADCA" w14:textId="77777777" w:rsidR="00005649" w:rsidRPr="00005649" w:rsidRDefault="00005649" w:rsidP="00005649">
      <w:pPr>
        <w:numPr>
          <w:ilvl w:val="0"/>
          <w:numId w:val="12"/>
        </w:numPr>
        <w:spacing w:after="0" w:line="240" w:lineRule="auto"/>
        <w:jc w:val="center"/>
        <w:textAlignment w:val="baseline"/>
        <w:rPr>
          <w:rFonts w:ascii="Arial" w:hAnsi="Arial" w:cs="Arial"/>
        </w:rPr>
      </w:pPr>
      <w:r w:rsidRPr="00005649">
        <w:rPr>
          <w:rFonts w:ascii="Arial" w:hAnsi="Arial" w:cs="Arial"/>
          <w:bdr w:val="none" w:sz="0" w:space="0" w:color="auto" w:frame="1"/>
        </w:rPr>
        <w:t xml:space="preserve">Kotter’s 8-step change model (2024) Kotter’s model explained. Available at: </w:t>
      </w:r>
      <w:hyperlink r:id="rId15" w:tgtFrame="_blank" w:tooltip="https://www.bitesizelearning.co.uk/resources/kotters-8-step-change-model" w:history="1">
        <w:r w:rsidRPr="00005649">
          <w:rPr>
            <w:rStyle w:val="Hyperlink"/>
            <w:rFonts w:ascii="Arial" w:hAnsi="Arial" w:cs="Arial"/>
            <w:bdr w:val="none" w:sz="0" w:space="0" w:color="auto" w:frame="1"/>
          </w:rPr>
          <w:t>https://www.bitesizelearning.co.uk/resources/kotters-8-step-change-model</w:t>
        </w:r>
      </w:hyperlink>
      <w:r w:rsidRPr="00005649">
        <w:rPr>
          <w:rFonts w:ascii="Arial" w:hAnsi="Arial" w:cs="Arial"/>
          <w:bdr w:val="none" w:sz="0" w:space="0" w:color="auto" w:frame="1"/>
        </w:rPr>
        <w:t xml:space="preserve"> (Accessed: 12 December 2025).</w:t>
      </w:r>
    </w:p>
    <w:p w14:paraId="5458F85F" w14:textId="77777777" w:rsidR="00005649" w:rsidRPr="00005649" w:rsidRDefault="00005649" w:rsidP="00005649">
      <w:pPr>
        <w:spacing w:after="0" w:line="240" w:lineRule="auto"/>
        <w:textAlignment w:val="baseline"/>
        <w:rPr>
          <w:rFonts w:ascii="Arial" w:hAnsi="Arial" w:cs="Arial"/>
        </w:rPr>
      </w:pPr>
    </w:p>
    <w:p w14:paraId="70B3AD7C" w14:textId="77777777" w:rsidR="00005649" w:rsidRPr="00005649" w:rsidRDefault="00005649" w:rsidP="00005649">
      <w:pPr>
        <w:numPr>
          <w:ilvl w:val="0"/>
          <w:numId w:val="12"/>
        </w:numPr>
        <w:spacing w:after="0" w:line="240" w:lineRule="auto"/>
        <w:jc w:val="center"/>
        <w:textAlignment w:val="baseline"/>
        <w:rPr>
          <w:rFonts w:ascii="Arial" w:hAnsi="Arial" w:cs="Arial"/>
        </w:rPr>
      </w:pPr>
      <w:r w:rsidRPr="00005649">
        <w:rPr>
          <w:rFonts w:ascii="Arial" w:hAnsi="Arial" w:cs="Arial"/>
          <w:bdr w:val="none" w:sz="0" w:space="0" w:color="auto" w:frame="1"/>
        </w:rPr>
        <w:t xml:space="preserve">Lewin, K. (1951) Field theory in social science. Washington DC: American Psychological Association. Summary available at: </w:t>
      </w:r>
      <w:hyperlink r:id="rId16" w:tgtFrame="_blank" w:tooltip="https://www.wikipedia.org/wiki/Kurt_Lewin" w:history="1">
        <w:r w:rsidRPr="00005649">
          <w:rPr>
            <w:rStyle w:val="Hyperlink"/>
            <w:rFonts w:ascii="Arial" w:hAnsi="Arial" w:cs="Arial"/>
            <w:bdr w:val="none" w:sz="0" w:space="0" w:color="auto" w:frame="1"/>
          </w:rPr>
          <w:t>https://www.wikipedia.org/wiki/Kurt_Lewin</w:t>
        </w:r>
      </w:hyperlink>
      <w:r w:rsidRPr="00005649">
        <w:rPr>
          <w:rFonts w:ascii="Arial" w:hAnsi="Arial" w:cs="Arial"/>
          <w:bdr w:val="none" w:sz="0" w:space="0" w:color="auto" w:frame="1"/>
        </w:rPr>
        <w:t xml:space="preserve"> (Accessed: 10 December 2025).</w:t>
      </w:r>
    </w:p>
    <w:p w14:paraId="3C79FA03" w14:textId="325DAB63" w:rsidR="00005649" w:rsidRPr="00005649" w:rsidRDefault="00005649" w:rsidP="00005649">
      <w:pPr>
        <w:spacing w:after="0" w:line="240" w:lineRule="auto"/>
        <w:ind w:left="720"/>
        <w:textAlignment w:val="baseline"/>
        <w:rPr>
          <w:rFonts w:ascii="Arial" w:hAnsi="Arial" w:cs="Arial"/>
          <w:lang w:val="en-GB"/>
        </w:rPr>
      </w:pPr>
    </w:p>
    <w:p w14:paraId="3D7CEDDB" w14:textId="77777777" w:rsidR="00005649" w:rsidRPr="00005649" w:rsidRDefault="00005649" w:rsidP="00005649">
      <w:pPr>
        <w:ind w:left="720"/>
        <w:rPr>
          <w:rFonts w:ascii="Arial" w:hAnsi="Arial" w:cs="Arial"/>
          <w:lang w:val="en-GB"/>
        </w:rPr>
      </w:pPr>
    </w:p>
    <w:p w14:paraId="7FAA29EF" w14:textId="6BD70419" w:rsidR="003F2820" w:rsidRPr="00E824D3" w:rsidRDefault="003F2820" w:rsidP="003F2820">
      <w:pPr>
        <w:jc w:val="center"/>
        <w:rPr>
          <w:rFonts w:ascii="Arial" w:hAnsi="Arial" w:cs="Arial"/>
          <w:lang w:val="en-GB"/>
        </w:rPr>
      </w:pPr>
    </w:p>
    <w:sectPr w:rsidR="003F2820" w:rsidRPr="00E824D3" w:rsidSect="00034616">
      <w:footerReference w:type="default" r:id="rId1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6B15A" w14:textId="77777777" w:rsidR="00776435" w:rsidRDefault="00776435" w:rsidP="003F2820">
      <w:pPr>
        <w:spacing w:after="0" w:line="240" w:lineRule="auto"/>
      </w:pPr>
      <w:r>
        <w:separator/>
      </w:r>
    </w:p>
  </w:endnote>
  <w:endnote w:type="continuationSeparator" w:id="0">
    <w:p w14:paraId="71232BDB" w14:textId="77777777" w:rsidR="00776435" w:rsidRDefault="00776435" w:rsidP="003F2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070110"/>
      <w:docPartObj>
        <w:docPartGallery w:val="Page Numbers (Bottom of Page)"/>
        <w:docPartUnique/>
      </w:docPartObj>
    </w:sdtPr>
    <w:sdtContent>
      <w:p w14:paraId="638ECC3A" w14:textId="1909CB6E" w:rsidR="003F2820" w:rsidRDefault="003F2820">
        <w:pPr>
          <w:pStyle w:val="Footer"/>
          <w:jc w:val="center"/>
        </w:pPr>
        <w:r>
          <w:fldChar w:fldCharType="begin"/>
        </w:r>
        <w:r>
          <w:instrText>PAGE   \* MERGEFORMAT</w:instrText>
        </w:r>
        <w:r>
          <w:fldChar w:fldCharType="separate"/>
        </w:r>
        <w:r>
          <w:rPr>
            <w:lang w:val="en-GB"/>
          </w:rPr>
          <w:t>2</w:t>
        </w:r>
        <w:r>
          <w:fldChar w:fldCharType="end"/>
        </w:r>
      </w:p>
    </w:sdtContent>
  </w:sdt>
  <w:p w14:paraId="6EBF8762" w14:textId="77777777" w:rsidR="003F2820" w:rsidRDefault="003F2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28A87" w14:textId="77777777" w:rsidR="00776435" w:rsidRDefault="00776435" w:rsidP="003F2820">
      <w:pPr>
        <w:spacing w:after="0" w:line="240" w:lineRule="auto"/>
      </w:pPr>
      <w:r>
        <w:separator/>
      </w:r>
    </w:p>
  </w:footnote>
  <w:footnote w:type="continuationSeparator" w:id="0">
    <w:p w14:paraId="4749A8E0" w14:textId="77777777" w:rsidR="00776435" w:rsidRDefault="00776435" w:rsidP="003F28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F6615A"/>
    <w:multiLevelType w:val="multilevel"/>
    <w:tmpl w:val="20C68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79306C"/>
    <w:multiLevelType w:val="multilevel"/>
    <w:tmpl w:val="B300B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CD36EA"/>
    <w:multiLevelType w:val="multilevel"/>
    <w:tmpl w:val="C270B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7D62AE"/>
    <w:multiLevelType w:val="multilevel"/>
    <w:tmpl w:val="CD98F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C97190"/>
    <w:multiLevelType w:val="multilevel"/>
    <w:tmpl w:val="CD2E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CE0647D"/>
    <w:multiLevelType w:val="multilevel"/>
    <w:tmpl w:val="BE7AE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8B25DE6"/>
    <w:multiLevelType w:val="multilevel"/>
    <w:tmpl w:val="F4C6E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5F3451"/>
    <w:multiLevelType w:val="multilevel"/>
    <w:tmpl w:val="8D10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6B1269C"/>
    <w:multiLevelType w:val="hybridMultilevel"/>
    <w:tmpl w:val="ABBAB0DC"/>
    <w:lvl w:ilvl="0" w:tplc="1B48FC46">
      <w:numFmt w:val="bullet"/>
      <w:lvlText w:val="-"/>
      <w:lvlJc w:val="left"/>
      <w:pPr>
        <w:ind w:left="720" w:hanging="360"/>
      </w:pPr>
      <w:rPr>
        <w:rFonts w:ascii="Arial" w:eastAsiaTheme="minorEastAsia"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671175818">
    <w:abstractNumId w:val="8"/>
  </w:num>
  <w:num w:numId="2" w16cid:durableId="1296372260">
    <w:abstractNumId w:val="6"/>
  </w:num>
  <w:num w:numId="3" w16cid:durableId="2140611547">
    <w:abstractNumId w:val="5"/>
  </w:num>
  <w:num w:numId="4" w16cid:durableId="1540240421">
    <w:abstractNumId w:val="4"/>
  </w:num>
  <w:num w:numId="5" w16cid:durableId="1554735868">
    <w:abstractNumId w:val="7"/>
  </w:num>
  <w:num w:numId="6" w16cid:durableId="1956868438">
    <w:abstractNumId w:val="3"/>
  </w:num>
  <w:num w:numId="7" w16cid:durableId="1228957179">
    <w:abstractNumId w:val="2"/>
  </w:num>
  <w:num w:numId="8" w16cid:durableId="1493989593">
    <w:abstractNumId w:val="1"/>
  </w:num>
  <w:num w:numId="9" w16cid:durableId="1429086362">
    <w:abstractNumId w:val="0"/>
  </w:num>
  <w:num w:numId="10" w16cid:durableId="306907369">
    <w:abstractNumId w:val="17"/>
  </w:num>
  <w:num w:numId="11" w16cid:durableId="1135175938">
    <w:abstractNumId w:val="16"/>
  </w:num>
  <w:num w:numId="12" w16cid:durableId="1371413090">
    <w:abstractNumId w:val="13"/>
  </w:num>
  <w:num w:numId="13" w16cid:durableId="1294099261">
    <w:abstractNumId w:val="14"/>
  </w:num>
  <w:num w:numId="14" w16cid:durableId="1095908012">
    <w:abstractNumId w:val="9"/>
  </w:num>
  <w:num w:numId="15" w16cid:durableId="806512364">
    <w:abstractNumId w:val="11"/>
  </w:num>
  <w:num w:numId="16" w16cid:durableId="1483235641">
    <w:abstractNumId w:val="10"/>
  </w:num>
  <w:num w:numId="17" w16cid:durableId="1090350219">
    <w:abstractNumId w:val="12"/>
  </w:num>
  <w:num w:numId="18" w16cid:durableId="126943573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649"/>
    <w:rsid w:val="00034616"/>
    <w:rsid w:val="0006063C"/>
    <w:rsid w:val="00095A82"/>
    <w:rsid w:val="000965AA"/>
    <w:rsid w:val="00141040"/>
    <w:rsid w:val="0015074B"/>
    <w:rsid w:val="00167AA1"/>
    <w:rsid w:val="00251496"/>
    <w:rsid w:val="00261EF2"/>
    <w:rsid w:val="0029639D"/>
    <w:rsid w:val="00326F90"/>
    <w:rsid w:val="003F2820"/>
    <w:rsid w:val="004477D8"/>
    <w:rsid w:val="00776435"/>
    <w:rsid w:val="00920509"/>
    <w:rsid w:val="00AA1D8D"/>
    <w:rsid w:val="00B47730"/>
    <w:rsid w:val="00CB0664"/>
    <w:rsid w:val="00D867E9"/>
    <w:rsid w:val="00E824D3"/>
    <w:rsid w:val="00EE08A0"/>
    <w:rsid w:val="00F55E1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DC1C12"/>
  <w14:defaultImageDpi w14:val="300"/>
  <w15:docId w15:val="{89ED20EF-9745-4DA3-A583-EF393E6E8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05649"/>
    <w:rPr>
      <w:color w:val="0000FF" w:themeColor="hyperlink"/>
      <w:u w:val="single"/>
    </w:rPr>
  </w:style>
  <w:style w:type="character" w:styleId="UnresolvedMention">
    <w:name w:val="Unresolved Mention"/>
    <w:basedOn w:val="DefaultParagraphFont"/>
    <w:uiPriority w:val="99"/>
    <w:semiHidden/>
    <w:unhideWhenUsed/>
    <w:rsid w:val="000056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views-and-insights/thought-leadership/people-profession/hr-role-digital-transformation-workpla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en/knowledge/reports/flexible-hybrid-work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ikipedia.org/wiki/Kurt_Lew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rlego.com/book/3804727/armstrongs-handbook-of-human-resource-management-practice-a-guide-to-the-theory-and-practice-of-people-management-pdf" TargetMode="External"/><Relationship Id="rId5" Type="http://schemas.openxmlformats.org/officeDocument/2006/relationships/webSettings" Target="webSettings.xml"/><Relationship Id="rId15" Type="http://schemas.openxmlformats.org/officeDocument/2006/relationships/hyperlink" Target="https://www.bitesizelearning.co.uk/resources/kotters-8-step-change-model" TargetMode="External"/><Relationship Id="rId10" Type="http://schemas.openxmlformats.org/officeDocument/2006/relationships/hyperlink" Target="https://www.acas.org.uk/acas-code-of-practice-on-disciplinary-and-grievance-procedures/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grievance-procedure-step-by-step" TargetMode="External"/><Relationship Id="rId14" Type="http://schemas.openxmlformats.org/officeDocument/2006/relationships/hyperlink" Target="https://www.coachhub.com/en/blog/a-comparison-of-change-management-models-lewin-vs-ko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10</Pages>
  <Words>2522</Words>
  <Characters>17607</Characters>
  <Application>Microsoft Office Word</Application>
  <DocSecurity>0</DocSecurity>
  <Lines>366</Lines>
  <Paragraphs>104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Nicolas Sanchez Navarrete (2413598)</cp:lastModifiedBy>
  <cp:revision>8</cp:revision>
  <dcterms:created xsi:type="dcterms:W3CDTF">2013-12-23T23:15:00Z</dcterms:created>
  <dcterms:modified xsi:type="dcterms:W3CDTF">2025-12-16T12:26:00Z</dcterms:modified>
  <cp:category/>
</cp:coreProperties>
</file>