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4C4C8" w14:textId="6EF0CCD3" w:rsidR="00DE631C" w:rsidRDefault="00CB15A4" w:rsidP="00466E22">
      <w:pPr>
        <w:jc w:val="both"/>
        <w:rPr>
          <w:rFonts w:cs="Segoe UI"/>
          <w:b/>
          <w:bCs/>
          <w:color w:val="1D2125"/>
          <w:shd w:val="clear" w:color="auto" w:fill="FFFFFF"/>
        </w:rPr>
      </w:pPr>
      <w:r w:rsidRPr="00CB15A4">
        <w:rPr>
          <w:rFonts w:cs="Segoe UI"/>
          <w:b/>
          <w:bCs/>
          <w:color w:val="1D2125"/>
          <w:shd w:val="clear" w:color="auto" w:fill="FFFFFF"/>
        </w:rPr>
        <w:t xml:space="preserve">What is reception </w:t>
      </w:r>
      <w:proofErr w:type="gramStart"/>
      <w:r w:rsidRPr="00CB15A4">
        <w:rPr>
          <w:rFonts w:cs="Segoe UI"/>
          <w:b/>
          <w:bCs/>
          <w:color w:val="1D2125"/>
          <w:shd w:val="clear" w:color="auto" w:fill="FFFFFF"/>
        </w:rPr>
        <w:t>history</w:t>
      </w:r>
      <w:proofErr w:type="gramEnd"/>
      <w:r w:rsidRPr="00CB15A4">
        <w:rPr>
          <w:rFonts w:cs="Segoe UI"/>
          <w:b/>
          <w:bCs/>
          <w:color w:val="1D2125"/>
          <w:shd w:val="clear" w:color="auto" w:fill="FFFFFF"/>
        </w:rPr>
        <w:t xml:space="preserve"> and does it have value in Biblical Studies?</w:t>
      </w:r>
    </w:p>
    <w:p w14:paraId="304F4C0D" w14:textId="77777777" w:rsidR="00CB15A4" w:rsidRDefault="00CB15A4" w:rsidP="00466E22">
      <w:pPr>
        <w:jc w:val="both"/>
        <w:rPr>
          <w:rFonts w:cs="Segoe UI"/>
          <w:b/>
          <w:bCs/>
          <w:color w:val="1D2125"/>
          <w:shd w:val="clear" w:color="auto" w:fill="FFFFFF"/>
        </w:rPr>
      </w:pPr>
    </w:p>
    <w:p w14:paraId="4B7D3846" w14:textId="79B2FAF5" w:rsidR="00CB15A4" w:rsidRDefault="00CB15A4" w:rsidP="00466E22">
      <w:pPr>
        <w:jc w:val="both"/>
        <w:rPr>
          <w:rFonts w:cs="Segoe UI"/>
          <w:color w:val="1D2125"/>
          <w:shd w:val="clear" w:color="auto" w:fill="FFFFFF"/>
        </w:rPr>
      </w:pPr>
      <w:r>
        <w:rPr>
          <w:rFonts w:cs="Segoe UI"/>
          <w:color w:val="1D2125"/>
          <w:shd w:val="clear" w:color="auto" w:fill="FFFFFF"/>
        </w:rPr>
        <w:t xml:space="preserve">The 1470 fresco of the Resurrection by Italian artist Piero </w:t>
      </w:r>
      <w:proofErr w:type="spellStart"/>
      <w:r>
        <w:rPr>
          <w:rFonts w:cs="Segoe UI"/>
          <w:color w:val="1D2125"/>
          <w:shd w:val="clear" w:color="auto" w:fill="FFFFFF"/>
        </w:rPr>
        <w:t>della</w:t>
      </w:r>
      <w:proofErr w:type="spellEnd"/>
      <w:r>
        <w:rPr>
          <w:rFonts w:cs="Segoe UI"/>
          <w:color w:val="1D2125"/>
          <w:shd w:val="clear" w:color="auto" w:fill="FFFFFF"/>
        </w:rPr>
        <w:t xml:space="preserve"> Francesca is in the Civic Museum in San </w:t>
      </w:r>
      <w:proofErr w:type="spellStart"/>
      <w:r>
        <w:rPr>
          <w:rFonts w:cs="Segoe UI"/>
          <w:color w:val="1D2125"/>
          <w:shd w:val="clear" w:color="auto" w:fill="FFFFFF"/>
        </w:rPr>
        <w:t>Sepolcro</w:t>
      </w:r>
      <w:proofErr w:type="spellEnd"/>
      <w:r w:rsidR="00FD4CB3">
        <w:rPr>
          <w:rFonts w:cs="Segoe UI"/>
          <w:color w:val="1D2125"/>
          <w:shd w:val="clear" w:color="auto" w:fill="FFFFFF"/>
        </w:rPr>
        <w:t>.</w:t>
      </w:r>
    </w:p>
    <w:p w14:paraId="540CC50E" w14:textId="77777777" w:rsidR="00CB15A4" w:rsidRDefault="00CB15A4" w:rsidP="00466E22">
      <w:pPr>
        <w:jc w:val="both"/>
        <w:rPr>
          <w:rFonts w:cs="Segoe UI"/>
          <w:color w:val="1D2125"/>
          <w:shd w:val="clear" w:color="auto" w:fill="FFFFFF"/>
        </w:rPr>
      </w:pPr>
    </w:p>
    <w:p w14:paraId="10F02B05" w14:textId="63B8FDB5" w:rsidR="00CB15A4" w:rsidRPr="00CB15A4" w:rsidRDefault="00CB15A4" w:rsidP="00466E22">
      <w:pPr>
        <w:jc w:val="center"/>
        <w:rPr>
          <w:rFonts w:cs="Segoe UI"/>
          <w:color w:val="1D2125"/>
          <w:shd w:val="clear" w:color="auto" w:fill="FFFFFF"/>
        </w:rPr>
      </w:pPr>
      <w:r w:rsidRPr="00CB15A4">
        <w:rPr>
          <w:rFonts w:cs="Segoe UI"/>
          <w:noProof/>
          <w:color w:val="1D2125"/>
          <w:shd w:val="clear" w:color="auto" w:fill="FFFFFF"/>
        </w:rPr>
        <w:drawing>
          <wp:inline distT="0" distB="0" distL="0" distR="0" wp14:anchorId="4AE9EF7B" wp14:editId="0A4F164F">
            <wp:extent cx="3484800" cy="3573303"/>
            <wp:effectExtent l="0" t="0" r="0" b="0"/>
            <wp:docPr id="204756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61076" name=""/>
                    <pic:cNvPicPr/>
                  </pic:nvPicPr>
                  <pic:blipFill>
                    <a:blip r:embed="rId8"/>
                    <a:stretch>
                      <a:fillRect/>
                    </a:stretch>
                  </pic:blipFill>
                  <pic:spPr>
                    <a:xfrm>
                      <a:off x="0" y="0"/>
                      <a:ext cx="3489809" cy="3578439"/>
                    </a:xfrm>
                    <a:prstGeom prst="rect">
                      <a:avLst/>
                    </a:prstGeom>
                  </pic:spPr>
                </pic:pic>
              </a:graphicData>
            </a:graphic>
          </wp:inline>
        </w:drawing>
      </w:r>
    </w:p>
    <w:p w14:paraId="45B2D620" w14:textId="55F6D41E" w:rsidR="00CB15A4" w:rsidRPr="00CB15A4" w:rsidRDefault="00CB15A4" w:rsidP="00466E22">
      <w:pPr>
        <w:ind w:left="1757" w:right="1701"/>
        <w:jc w:val="both"/>
        <w:rPr>
          <w:rFonts w:cs="Segoe UI"/>
          <w:color w:val="1D2125"/>
          <w:sz w:val="20"/>
          <w:szCs w:val="20"/>
          <w:shd w:val="clear" w:color="auto" w:fill="FFFFFF"/>
        </w:rPr>
      </w:pPr>
      <w:r>
        <w:rPr>
          <w:rFonts w:cs="Segoe UI"/>
          <w:b/>
          <w:bCs/>
          <w:color w:val="1D2125"/>
          <w:sz w:val="20"/>
          <w:szCs w:val="20"/>
          <w:shd w:val="clear" w:color="auto" w:fill="FFFFFF"/>
        </w:rPr>
        <w:t xml:space="preserve">Figure 1. </w:t>
      </w:r>
      <w:r w:rsidRPr="00CB15A4">
        <w:rPr>
          <w:rFonts w:cs="Segoe UI"/>
          <w:color w:val="1D2125"/>
          <w:sz w:val="20"/>
          <w:szCs w:val="20"/>
          <w:shd w:val="clear" w:color="auto" w:fill="FFFFFF"/>
        </w:rPr>
        <w:t xml:space="preserve">Piero </w:t>
      </w:r>
      <w:proofErr w:type="spellStart"/>
      <w:r w:rsidRPr="00CB15A4">
        <w:rPr>
          <w:rFonts w:cs="Segoe UI"/>
          <w:color w:val="1D2125"/>
          <w:sz w:val="20"/>
          <w:szCs w:val="20"/>
          <w:shd w:val="clear" w:color="auto" w:fill="FFFFFF"/>
        </w:rPr>
        <w:t>della</w:t>
      </w:r>
      <w:proofErr w:type="spellEnd"/>
      <w:r w:rsidRPr="00CB15A4">
        <w:rPr>
          <w:rFonts w:cs="Segoe UI"/>
          <w:color w:val="1D2125"/>
          <w:sz w:val="20"/>
          <w:szCs w:val="20"/>
          <w:shd w:val="clear" w:color="auto" w:fill="FFFFFF"/>
        </w:rPr>
        <w:t xml:space="preserve"> Francesca, The Resurrection, c. 1470 (fresco, 225 x 200 cm: Museo Civico, Sansepolcro, Italy).</w:t>
      </w:r>
    </w:p>
    <w:p w14:paraId="6B1A96EC" w14:textId="77777777" w:rsidR="00DE631C" w:rsidRPr="00837504" w:rsidRDefault="00DE631C" w:rsidP="00466E22">
      <w:pPr>
        <w:jc w:val="both"/>
        <w:rPr>
          <w:rFonts w:cs="Segoe UI"/>
          <w:color w:val="1D2125"/>
          <w:shd w:val="clear" w:color="auto" w:fill="FFFFFF"/>
        </w:rPr>
      </w:pPr>
    </w:p>
    <w:p w14:paraId="1CFEDE40" w14:textId="401C80E5" w:rsidR="00FD4CB3" w:rsidRDefault="00CB15A4" w:rsidP="00466E22">
      <w:pPr>
        <w:jc w:val="both"/>
        <w:rPr>
          <w:rFonts w:cs="Segoe UI"/>
          <w:color w:val="1D2125"/>
          <w:shd w:val="clear" w:color="auto" w:fill="FFFFFF"/>
        </w:rPr>
      </w:pPr>
      <w:r>
        <w:rPr>
          <w:rFonts w:cs="Segoe UI"/>
          <w:color w:val="1D2125"/>
          <w:shd w:val="clear" w:color="auto" w:fill="FFFFFF"/>
        </w:rPr>
        <w:t>The picture is a visual retelling of the resurrection story in the Gospel of Matthew</w:t>
      </w:r>
      <w:r>
        <w:rPr>
          <w:rStyle w:val="FootnoteReference"/>
          <w:rFonts w:cs="Segoe UI"/>
          <w:color w:val="1D2125"/>
          <w:shd w:val="clear" w:color="auto" w:fill="FFFFFF"/>
        </w:rPr>
        <w:footnoteReference w:id="1"/>
      </w:r>
      <w:r>
        <w:rPr>
          <w:rFonts w:cs="Segoe UI"/>
          <w:color w:val="1D2125"/>
          <w:shd w:val="clear" w:color="auto" w:fill="FFFFFF"/>
        </w:rPr>
        <w:t xml:space="preserve">. </w:t>
      </w:r>
      <w:r w:rsidR="00FD4CB3">
        <w:rPr>
          <w:rFonts w:cs="Segoe UI"/>
          <w:color w:val="1D2125"/>
          <w:shd w:val="clear" w:color="auto" w:fill="FFFFFF"/>
        </w:rPr>
        <w:t>The</w:t>
      </w:r>
      <w:r>
        <w:rPr>
          <w:rFonts w:cs="Segoe UI"/>
          <w:color w:val="1D2125"/>
          <w:shd w:val="clear" w:color="auto" w:fill="FFFFFF"/>
        </w:rPr>
        <w:t xml:space="preserve"> artist is not shy of ‘interpreting’ the story, </w:t>
      </w:r>
      <w:r w:rsidR="00FD4CB3">
        <w:rPr>
          <w:rFonts w:cs="Segoe UI"/>
          <w:color w:val="1D2125"/>
          <w:shd w:val="clear" w:color="auto" w:fill="FFFFFF"/>
        </w:rPr>
        <w:t>with</w:t>
      </w:r>
      <w:r>
        <w:rPr>
          <w:rFonts w:cs="Segoe UI"/>
          <w:color w:val="1D2125"/>
          <w:shd w:val="clear" w:color="auto" w:fill="FFFFFF"/>
        </w:rPr>
        <w:t xml:space="preserve"> </w:t>
      </w:r>
      <w:r w:rsidR="004211F6">
        <w:rPr>
          <w:rFonts w:cs="Segoe UI"/>
          <w:color w:val="1D2125"/>
          <w:shd w:val="clear" w:color="auto" w:fill="FFFFFF"/>
        </w:rPr>
        <w:t>a</w:t>
      </w:r>
      <w:r>
        <w:rPr>
          <w:rFonts w:cs="Segoe UI"/>
          <w:color w:val="1D2125"/>
          <w:shd w:val="clear" w:color="auto" w:fill="FFFFFF"/>
        </w:rPr>
        <w:t xml:space="preserve"> discreet reference to contemporary Italian architecture, and the </w:t>
      </w:r>
      <w:r w:rsidR="00FD4CB3">
        <w:rPr>
          <w:rFonts w:cs="Segoe UI"/>
          <w:color w:val="1D2125"/>
          <w:shd w:val="clear" w:color="auto" w:fill="FFFFFF"/>
        </w:rPr>
        <w:t>replacement of the original text’s ‘tomb in the rock’ by</w:t>
      </w:r>
      <w:r>
        <w:rPr>
          <w:rFonts w:cs="Segoe UI"/>
          <w:color w:val="1D2125"/>
          <w:shd w:val="clear" w:color="auto" w:fill="FFFFFF"/>
        </w:rPr>
        <w:t xml:space="preserve"> a </w:t>
      </w:r>
      <w:r w:rsidR="00FD4CB3">
        <w:rPr>
          <w:rFonts w:cs="Segoe UI"/>
          <w:color w:val="1D2125"/>
          <w:shd w:val="clear" w:color="auto" w:fill="FFFFFF"/>
        </w:rPr>
        <w:t>Roman</w:t>
      </w:r>
      <w:r>
        <w:rPr>
          <w:rFonts w:cs="Segoe UI"/>
          <w:color w:val="1D2125"/>
          <w:shd w:val="clear" w:color="auto" w:fill="FFFFFF"/>
        </w:rPr>
        <w:t xml:space="preserve"> sarcophagus. According to the theory of reception history, this work can contribute to our appreciation of the biblical text to which it refers</w:t>
      </w:r>
      <w:r w:rsidR="00FD4CB3">
        <w:rPr>
          <w:rStyle w:val="FootnoteReference"/>
          <w:rFonts w:cs="Segoe UI"/>
          <w:color w:val="1D2125"/>
          <w:shd w:val="clear" w:color="auto" w:fill="FFFFFF"/>
        </w:rPr>
        <w:footnoteReference w:id="2"/>
      </w:r>
      <w:r w:rsidR="00FD4CB3">
        <w:rPr>
          <w:rFonts w:cs="Segoe UI"/>
          <w:color w:val="1D2125"/>
          <w:shd w:val="clear" w:color="auto" w:fill="FFFFFF"/>
        </w:rPr>
        <w:t>, raising the question: ‘What is (or may be) such appreciation?’</w:t>
      </w:r>
    </w:p>
    <w:p w14:paraId="43379DD2" w14:textId="77777777" w:rsidR="00FD4CB3" w:rsidRDefault="00FD4CB3" w:rsidP="00466E22">
      <w:pPr>
        <w:jc w:val="both"/>
        <w:rPr>
          <w:rFonts w:cs="Segoe UI"/>
          <w:color w:val="1D2125"/>
          <w:shd w:val="clear" w:color="auto" w:fill="FFFFFF"/>
        </w:rPr>
      </w:pPr>
    </w:p>
    <w:p w14:paraId="7A1D66E0" w14:textId="336F60BD" w:rsidR="00FD4CB3" w:rsidRDefault="001272F6" w:rsidP="00466E22">
      <w:pPr>
        <w:jc w:val="both"/>
        <w:rPr>
          <w:rFonts w:cs="Segoe UI"/>
          <w:color w:val="1D2125"/>
          <w:shd w:val="clear" w:color="auto" w:fill="FFFFFF"/>
        </w:rPr>
      </w:pPr>
      <w:r>
        <w:rPr>
          <w:rFonts w:cs="Segoe UI"/>
          <w:color w:val="1D2125"/>
          <w:shd w:val="clear" w:color="auto" w:fill="FFFFFF"/>
        </w:rPr>
        <w:t>Th</w:t>
      </w:r>
      <w:r w:rsidR="0028623A">
        <w:rPr>
          <w:rFonts w:cs="Segoe UI"/>
          <w:color w:val="1D2125"/>
          <w:shd w:val="clear" w:color="auto" w:fill="FFFFFF"/>
        </w:rPr>
        <w:t>is, then,</w:t>
      </w:r>
      <w:r>
        <w:rPr>
          <w:rFonts w:cs="Segoe UI"/>
          <w:color w:val="1D2125"/>
          <w:shd w:val="clear" w:color="auto" w:fill="FFFFFF"/>
        </w:rPr>
        <w:t xml:space="preserve"> is a </w:t>
      </w:r>
      <w:r w:rsidR="001B6C92">
        <w:rPr>
          <w:rFonts w:cs="Segoe UI"/>
          <w:color w:val="1D2125"/>
          <w:shd w:val="clear" w:color="auto" w:fill="FFFFFF"/>
        </w:rPr>
        <w:t xml:space="preserve">brief </w:t>
      </w:r>
      <w:r>
        <w:rPr>
          <w:rFonts w:cs="Segoe UI"/>
          <w:color w:val="1D2125"/>
          <w:shd w:val="clear" w:color="auto" w:fill="FFFFFF"/>
        </w:rPr>
        <w:t>reflection</w:t>
      </w:r>
      <w:r w:rsidR="00CB15A4">
        <w:rPr>
          <w:rFonts w:cs="Segoe UI"/>
          <w:color w:val="1D2125"/>
          <w:shd w:val="clear" w:color="auto" w:fill="FFFFFF"/>
        </w:rPr>
        <w:t xml:space="preserve"> on the application of reception history within theological discourse. </w:t>
      </w:r>
    </w:p>
    <w:p w14:paraId="11A0DD6A" w14:textId="77777777" w:rsidR="00FD4CB3" w:rsidRDefault="00FD4CB3" w:rsidP="00466E22">
      <w:pPr>
        <w:jc w:val="both"/>
        <w:rPr>
          <w:rFonts w:cs="Segoe UI"/>
          <w:color w:val="1D2125"/>
          <w:shd w:val="clear" w:color="auto" w:fill="FFFFFF"/>
        </w:rPr>
      </w:pPr>
    </w:p>
    <w:p w14:paraId="12171C2C" w14:textId="77777777" w:rsidR="00CB15A4" w:rsidRDefault="00CB15A4" w:rsidP="00466E22">
      <w:pPr>
        <w:jc w:val="both"/>
        <w:rPr>
          <w:rFonts w:cs="Segoe UI"/>
          <w:color w:val="1D2125"/>
          <w:shd w:val="clear" w:color="auto" w:fill="FFFFFF"/>
        </w:rPr>
      </w:pPr>
    </w:p>
    <w:p w14:paraId="4C1286D4" w14:textId="70141573" w:rsidR="00CB15A4" w:rsidRPr="00CB15A4" w:rsidRDefault="00CB15A4" w:rsidP="00466E22">
      <w:pPr>
        <w:jc w:val="both"/>
        <w:rPr>
          <w:rFonts w:cs="Segoe UI"/>
          <w:color w:val="1D2125"/>
          <w:shd w:val="clear" w:color="auto" w:fill="FFFFFF"/>
        </w:rPr>
      </w:pPr>
      <w:r>
        <w:rPr>
          <w:rFonts w:cs="Segoe UI"/>
          <w:color w:val="1D2125"/>
          <w:shd w:val="clear" w:color="auto" w:fill="FFFFFF"/>
        </w:rPr>
        <w:lastRenderedPageBreak/>
        <w:t xml:space="preserve">The </w:t>
      </w:r>
      <w:r w:rsidR="00FD4CB3">
        <w:rPr>
          <w:rFonts w:cs="Segoe UI"/>
          <w:color w:val="1D2125"/>
          <w:shd w:val="clear" w:color="auto" w:fill="FFFFFF"/>
        </w:rPr>
        <w:t>‘</w:t>
      </w:r>
      <w:r>
        <w:rPr>
          <w:rFonts w:cs="Segoe UI"/>
          <w:color w:val="1D2125"/>
          <w:shd w:val="clear" w:color="auto" w:fill="FFFFFF"/>
        </w:rPr>
        <w:t>grandfather</w:t>
      </w:r>
      <w:r w:rsidR="00FD4CB3">
        <w:rPr>
          <w:rFonts w:cs="Segoe UI"/>
          <w:color w:val="1D2125"/>
          <w:shd w:val="clear" w:color="auto" w:fill="FFFFFF"/>
        </w:rPr>
        <w:t xml:space="preserve">’ </w:t>
      </w:r>
      <w:r>
        <w:rPr>
          <w:rFonts w:cs="Segoe UI"/>
          <w:color w:val="1D2125"/>
          <w:shd w:val="clear" w:color="auto" w:fill="FFFFFF"/>
        </w:rPr>
        <w:t>of Reception History is philosopher Hans-Georg Gadamer, whose ideas in ‘</w:t>
      </w:r>
      <w:proofErr w:type="spellStart"/>
      <w:r>
        <w:rPr>
          <w:rFonts w:cs="Segoe UI"/>
          <w:color w:val="1D2125"/>
          <w:shd w:val="clear" w:color="auto" w:fill="FFFFFF"/>
        </w:rPr>
        <w:t>Wahrheit</w:t>
      </w:r>
      <w:proofErr w:type="spellEnd"/>
      <w:r>
        <w:rPr>
          <w:rFonts w:cs="Segoe UI"/>
          <w:color w:val="1D2125"/>
          <w:shd w:val="clear" w:color="auto" w:fill="FFFFFF"/>
        </w:rPr>
        <w:t xml:space="preserve"> und Methode’</w:t>
      </w:r>
      <w:r>
        <w:rPr>
          <w:rStyle w:val="FootnoteReference"/>
          <w:rFonts w:cs="Segoe UI"/>
          <w:color w:val="1D2125"/>
          <w:shd w:val="clear" w:color="auto" w:fill="FFFFFF"/>
        </w:rPr>
        <w:footnoteReference w:id="3"/>
      </w:r>
      <w:r>
        <w:rPr>
          <w:rFonts w:cs="Segoe UI"/>
          <w:color w:val="1D2125"/>
          <w:shd w:val="clear" w:color="auto" w:fill="FFFFFF"/>
        </w:rPr>
        <w:t xml:space="preserve"> provide a theoretical basis for much Reception History thinking. Gadamer proposes that in the transmission of text</w:t>
      </w:r>
      <w:r w:rsidR="00FD4CB3">
        <w:rPr>
          <w:rFonts w:cs="Segoe UI"/>
          <w:color w:val="1D2125"/>
          <w:shd w:val="clear" w:color="auto" w:fill="FFFFFF"/>
        </w:rPr>
        <w:t xml:space="preserve">, </w:t>
      </w:r>
      <w:r>
        <w:rPr>
          <w:rFonts w:cs="Segoe UI"/>
          <w:color w:val="1D2125"/>
          <w:shd w:val="clear" w:color="auto" w:fill="FFFFFF"/>
        </w:rPr>
        <w:t xml:space="preserve">the ‘reader’ </w:t>
      </w:r>
      <w:proofErr w:type="gramStart"/>
      <w:r>
        <w:rPr>
          <w:rFonts w:cs="Segoe UI"/>
          <w:color w:val="1D2125"/>
          <w:shd w:val="clear" w:color="auto" w:fill="FFFFFF"/>
        </w:rPr>
        <w:t>enters into</w:t>
      </w:r>
      <w:proofErr w:type="gramEnd"/>
      <w:r>
        <w:rPr>
          <w:rFonts w:cs="Segoe UI"/>
          <w:color w:val="1D2125"/>
          <w:shd w:val="clear" w:color="auto" w:fill="FFFFFF"/>
        </w:rPr>
        <w:t xml:space="preserve"> a ‘dialogical’ relationship with the ‘writer’ </w:t>
      </w:r>
      <w:r w:rsidR="00FD4CB3">
        <w:rPr>
          <w:rFonts w:cs="Segoe UI"/>
          <w:color w:val="1D2125"/>
          <w:shd w:val="clear" w:color="auto" w:fill="FFFFFF"/>
        </w:rPr>
        <w:t>and that this</w:t>
      </w:r>
      <w:r>
        <w:rPr>
          <w:rFonts w:cs="Segoe UI"/>
          <w:color w:val="1D2125"/>
          <w:shd w:val="clear" w:color="auto" w:fill="FFFFFF"/>
        </w:rPr>
        <w:t xml:space="preserve"> leads to a ‘fusion of horizons’</w:t>
      </w:r>
      <w:r>
        <w:rPr>
          <w:rStyle w:val="FootnoteReference"/>
          <w:rFonts w:cs="Segoe UI"/>
          <w:color w:val="1D2125"/>
          <w:shd w:val="clear" w:color="auto" w:fill="FFFFFF"/>
        </w:rPr>
        <w:footnoteReference w:id="4"/>
      </w:r>
      <w:r>
        <w:rPr>
          <w:rFonts w:cs="Segoe UI"/>
          <w:color w:val="1D2125"/>
          <w:shd w:val="clear" w:color="auto" w:fill="FFFFFF"/>
        </w:rPr>
        <w:t xml:space="preserve">. This applies as much to aesthetics as to literature: the </w:t>
      </w:r>
      <w:r w:rsidR="00FD4CB3">
        <w:rPr>
          <w:rFonts w:cs="Segoe UI"/>
          <w:color w:val="1D2125"/>
          <w:shd w:val="clear" w:color="auto" w:fill="FFFFFF"/>
        </w:rPr>
        <w:t xml:space="preserve">common </w:t>
      </w:r>
      <w:r>
        <w:rPr>
          <w:rFonts w:cs="Segoe UI"/>
          <w:color w:val="1D2125"/>
          <w:shd w:val="clear" w:color="auto" w:fill="FFFFFF"/>
        </w:rPr>
        <w:t>ambition is to remove the apparent scientific straitjacket of empirical method from our study of the humanities</w:t>
      </w:r>
      <w:r>
        <w:rPr>
          <w:rStyle w:val="FootnoteReference"/>
          <w:rFonts w:cs="Segoe UI"/>
          <w:color w:val="1D2125"/>
          <w:shd w:val="clear" w:color="auto" w:fill="FFFFFF"/>
        </w:rPr>
        <w:footnoteReference w:id="5"/>
      </w:r>
      <w:r w:rsidR="00FD4CB3">
        <w:rPr>
          <w:rFonts w:cs="Segoe UI"/>
          <w:color w:val="1D2125"/>
          <w:shd w:val="clear" w:color="auto" w:fill="FFFFFF"/>
        </w:rPr>
        <w:t xml:space="preserve">, thus allowing for a kind of </w:t>
      </w:r>
      <w:r w:rsidRPr="00CB15A4">
        <w:rPr>
          <w:rFonts w:cs="Segoe UI"/>
          <w:color w:val="1D2125"/>
          <w:shd w:val="clear" w:color="auto" w:fill="FFFFFF"/>
        </w:rPr>
        <w:t>cross-fertilization</w:t>
      </w:r>
      <w:r w:rsidR="00FD4CB3">
        <w:rPr>
          <w:rFonts w:cs="Segoe UI"/>
          <w:color w:val="1D2125"/>
          <w:shd w:val="clear" w:color="auto" w:fill="FFFFFF"/>
        </w:rPr>
        <w:t xml:space="preserve"> within the field</w:t>
      </w:r>
      <w:r w:rsidRPr="00CB15A4">
        <w:rPr>
          <w:rFonts w:cs="Segoe UI"/>
          <w:color w:val="1D2125"/>
          <w:shd w:val="clear" w:color="auto" w:fill="FFFFFF"/>
        </w:rPr>
        <w:t>. Key to Gadamer’s understanding (and those of followers such as theologian Ulrich Luz</w:t>
      </w:r>
      <w:r w:rsidRPr="00CB15A4">
        <w:rPr>
          <w:rStyle w:val="FootnoteReference"/>
          <w:rFonts w:cs="Segoe UI"/>
          <w:color w:val="1D2125"/>
          <w:shd w:val="clear" w:color="auto" w:fill="FFFFFF"/>
        </w:rPr>
        <w:footnoteReference w:id="6"/>
      </w:r>
      <w:r w:rsidRPr="00CB15A4">
        <w:rPr>
          <w:rFonts w:cs="Segoe UI"/>
          <w:color w:val="1D2125"/>
          <w:shd w:val="clear" w:color="auto" w:fill="FFFFFF"/>
        </w:rPr>
        <w:t>) is a departure from what has been dubbed the ‘Hermeneutics of Suspicion’, a sceptical and forensic approach to (biblical) text.</w:t>
      </w:r>
    </w:p>
    <w:p w14:paraId="44700355" w14:textId="77777777" w:rsidR="00CB15A4" w:rsidRPr="00CB15A4" w:rsidRDefault="00CB15A4" w:rsidP="00466E22">
      <w:pPr>
        <w:jc w:val="both"/>
        <w:rPr>
          <w:rFonts w:cs="Segoe UI"/>
          <w:color w:val="1D2125"/>
          <w:shd w:val="clear" w:color="auto" w:fill="FFFFFF"/>
        </w:rPr>
      </w:pPr>
    </w:p>
    <w:p w14:paraId="06602CE1" w14:textId="166321D1" w:rsidR="00CB15A4" w:rsidRDefault="00CB15A4" w:rsidP="00466E22">
      <w:pPr>
        <w:jc w:val="both"/>
        <w:rPr>
          <w:rFonts w:cs="Segoe UI"/>
          <w:color w:val="1D2125"/>
          <w:shd w:val="clear" w:color="auto" w:fill="FFFFFF"/>
        </w:rPr>
      </w:pPr>
      <w:r w:rsidRPr="00CB15A4">
        <w:rPr>
          <w:rFonts w:cs="Segoe UI"/>
          <w:color w:val="1D2125"/>
          <w:shd w:val="clear" w:color="auto" w:fill="FFFFFF"/>
        </w:rPr>
        <w:t xml:space="preserve">Martin O’Kane </w:t>
      </w:r>
      <w:r>
        <w:rPr>
          <w:rFonts w:cs="Segoe UI"/>
          <w:color w:val="1D2125"/>
          <w:shd w:val="clear" w:color="auto" w:fill="FFFFFF"/>
        </w:rPr>
        <w:t xml:space="preserve">follows others in </w:t>
      </w:r>
      <w:r w:rsidRPr="00CB15A4">
        <w:rPr>
          <w:rFonts w:cs="Segoe UI"/>
          <w:color w:val="1D2125"/>
          <w:shd w:val="clear" w:color="auto" w:fill="FFFFFF"/>
        </w:rPr>
        <w:t>extrapolat</w:t>
      </w:r>
      <w:r>
        <w:rPr>
          <w:rFonts w:cs="Segoe UI"/>
          <w:color w:val="1D2125"/>
          <w:shd w:val="clear" w:color="auto" w:fill="FFFFFF"/>
        </w:rPr>
        <w:t>ing</w:t>
      </w:r>
      <w:r w:rsidRPr="00CB15A4">
        <w:rPr>
          <w:rFonts w:cs="Segoe UI"/>
          <w:color w:val="1D2125"/>
          <w:shd w:val="clear" w:color="auto" w:fill="FFFFFF"/>
        </w:rPr>
        <w:t xml:space="preserve"> from this </w:t>
      </w:r>
      <w:r w:rsidR="007F0DFB">
        <w:rPr>
          <w:rFonts w:cs="Segoe UI"/>
          <w:color w:val="1D2125"/>
          <w:shd w:val="clear" w:color="auto" w:fill="FFFFFF"/>
        </w:rPr>
        <w:t>understanding</w:t>
      </w:r>
      <w:r w:rsidRPr="00CB15A4">
        <w:rPr>
          <w:rFonts w:cs="Segoe UI"/>
          <w:color w:val="1D2125"/>
          <w:shd w:val="clear" w:color="auto" w:fill="FFFFFF"/>
        </w:rPr>
        <w:t xml:space="preserve"> to the field of art. Gadamer’s notion of </w:t>
      </w:r>
      <w:proofErr w:type="spellStart"/>
      <w:r w:rsidRPr="00CB15A4">
        <w:rPr>
          <w:rFonts w:cs="Segoe UI"/>
          <w:i/>
          <w:iCs/>
          <w:color w:val="1D2125"/>
          <w:shd w:val="clear" w:color="auto" w:fill="FFFFFF"/>
        </w:rPr>
        <w:t>Wirkunsgeschichte</w:t>
      </w:r>
      <w:proofErr w:type="spellEnd"/>
      <w:r w:rsidRPr="00CB15A4">
        <w:rPr>
          <w:rStyle w:val="FootnoteReference"/>
          <w:rFonts w:cs="Segoe UI"/>
          <w:i/>
          <w:iCs/>
          <w:color w:val="1D2125"/>
          <w:shd w:val="clear" w:color="auto" w:fill="FFFFFF"/>
        </w:rPr>
        <w:footnoteReference w:id="7"/>
      </w:r>
      <w:r w:rsidRPr="00CB15A4">
        <w:rPr>
          <w:rFonts w:cs="Segoe UI"/>
          <w:color w:val="1D2125"/>
          <w:shd w:val="clear" w:color="auto" w:fill="FFFFFF"/>
        </w:rPr>
        <w:t xml:space="preserve"> allows for ‘visual exegesis’, </w:t>
      </w:r>
      <w:r w:rsidR="00034391">
        <w:rPr>
          <w:rFonts w:cs="Segoe UI"/>
          <w:color w:val="1D2125"/>
          <w:shd w:val="clear" w:color="auto" w:fill="FFFFFF"/>
        </w:rPr>
        <w:t xml:space="preserve">or </w:t>
      </w:r>
      <w:r w:rsidRPr="00CB15A4">
        <w:rPr>
          <w:rFonts w:cs="Segoe UI"/>
          <w:color w:val="1D2125"/>
          <w:shd w:val="clear" w:color="auto" w:fill="FFFFFF"/>
        </w:rPr>
        <w:t xml:space="preserve">how </w:t>
      </w:r>
      <w:r w:rsidR="00034391">
        <w:rPr>
          <w:rFonts w:cs="Segoe UI"/>
          <w:color w:val="1D2125"/>
          <w:shd w:val="clear" w:color="auto" w:fill="FFFFFF"/>
        </w:rPr>
        <w:t xml:space="preserve">the </w:t>
      </w:r>
      <w:r w:rsidRPr="00CB15A4">
        <w:rPr>
          <w:rFonts w:cs="Segoe UI"/>
          <w:color w:val="1D2125"/>
          <w:shd w:val="clear" w:color="auto" w:fill="FFFFFF"/>
        </w:rPr>
        <w:t>construal of a biblical ‘scene’ in art affects the viewer</w:t>
      </w:r>
      <w:r w:rsidR="00497EDE" w:rsidRPr="00CB15A4">
        <w:rPr>
          <w:rStyle w:val="FootnoteReference"/>
          <w:rFonts w:cs="Segoe UI"/>
          <w:color w:val="1D2125"/>
          <w:shd w:val="clear" w:color="auto" w:fill="FFFFFF"/>
        </w:rPr>
        <w:footnoteReference w:id="8"/>
      </w:r>
      <w:r w:rsidR="008F7764">
        <w:rPr>
          <w:rFonts w:cs="Segoe UI"/>
          <w:color w:val="1D2125"/>
          <w:shd w:val="clear" w:color="auto" w:fill="FFFFFF"/>
        </w:rPr>
        <w:t xml:space="preserve"> who</w:t>
      </w:r>
      <w:r w:rsidRPr="00CB15A4">
        <w:rPr>
          <w:rFonts w:cs="Segoe UI"/>
          <w:color w:val="1D2125"/>
          <w:shd w:val="clear" w:color="auto" w:fill="FFFFFF"/>
        </w:rPr>
        <w:t xml:space="preserve"> </w:t>
      </w:r>
      <w:r w:rsidR="00FD4CB3">
        <w:rPr>
          <w:rFonts w:cs="Segoe UI"/>
          <w:color w:val="1D2125"/>
          <w:shd w:val="clear" w:color="auto" w:fill="FFFFFF"/>
        </w:rPr>
        <w:t>become</w:t>
      </w:r>
      <w:r w:rsidR="008F7764">
        <w:rPr>
          <w:rFonts w:cs="Segoe UI"/>
          <w:color w:val="1D2125"/>
          <w:shd w:val="clear" w:color="auto" w:fill="FFFFFF"/>
        </w:rPr>
        <w:t>s</w:t>
      </w:r>
      <w:r w:rsidR="00FD4CB3">
        <w:rPr>
          <w:rFonts w:cs="Segoe UI"/>
          <w:color w:val="1D2125"/>
          <w:shd w:val="clear" w:color="auto" w:fill="FFFFFF"/>
        </w:rPr>
        <w:t xml:space="preserve"> </w:t>
      </w:r>
      <w:r w:rsidRPr="00CB15A4">
        <w:rPr>
          <w:rFonts w:cs="Segoe UI"/>
          <w:color w:val="1D2125"/>
          <w:shd w:val="clear" w:color="auto" w:fill="FFFFFF"/>
        </w:rPr>
        <w:t>an ‘active participant’ in how interpretive traditions of biblical stories evolve</w:t>
      </w:r>
      <w:r w:rsidR="00FD4CB3">
        <w:rPr>
          <w:rFonts w:cs="Segoe UI"/>
          <w:color w:val="1D2125"/>
          <w:shd w:val="clear" w:color="auto" w:fill="FFFFFF"/>
        </w:rPr>
        <w:t xml:space="preserve">, </w:t>
      </w:r>
      <w:r w:rsidRPr="00CB15A4">
        <w:rPr>
          <w:rFonts w:cs="Segoe UI"/>
          <w:color w:val="1D2125"/>
          <w:shd w:val="clear" w:color="auto" w:fill="FFFFFF"/>
        </w:rPr>
        <w:t>parallel</w:t>
      </w:r>
      <w:r w:rsidR="00FD4CB3">
        <w:rPr>
          <w:rFonts w:cs="Segoe UI"/>
          <w:color w:val="1D2125"/>
          <w:shd w:val="clear" w:color="auto" w:fill="FFFFFF"/>
        </w:rPr>
        <w:t>ing</w:t>
      </w:r>
      <w:r w:rsidRPr="00CB15A4">
        <w:rPr>
          <w:rFonts w:cs="Segoe UI"/>
          <w:color w:val="1D2125"/>
          <w:shd w:val="clear" w:color="auto" w:fill="FFFFFF"/>
        </w:rPr>
        <w:t xml:space="preserve"> how the written word impacts the reader.</w:t>
      </w:r>
      <w:r w:rsidRPr="00CB15A4">
        <w:rPr>
          <w:rStyle w:val="FootnoteReference"/>
          <w:rFonts w:cs="Segoe UI"/>
          <w:color w:val="1D2125"/>
          <w:shd w:val="clear" w:color="auto" w:fill="FFFFFF"/>
        </w:rPr>
        <w:footnoteReference w:id="9"/>
      </w:r>
      <w:r w:rsidRPr="00CB15A4">
        <w:rPr>
          <w:rFonts w:cs="Segoe UI"/>
          <w:color w:val="1D2125"/>
          <w:shd w:val="clear" w:color="auto" w:fill="FFFFFF"/>
        </w:rPr>
        <w:t xml:space="preserve"> O’Kane takes as examples depictions of the Adoration of the Magi</w:t>
      </w:r>
      <w:r w:rsidRPr="00CB15A4">
        <w:rPr>
          <w:rStyle w:val="FootnoteReference"/>
          <w:rFonts w:cs="Segoe UI"/>
          <w:color w:val="1D2125"/>
          <w:shd w:val="clear" w:color="auto" w:fill="FFFFFF"/>
        </w:rPr>
        <w:footnoteReference w:id="10"/>
      </w:r>
      <w:r w:rsidR="00497EDE">
        <w:rPr>
          <w:rFonts w:cs="Segoe UI"/>
          <w:color w:val="1D2125"/>
          <w:shd w:val="clear" w:color="auto" w:fill="FFFFFF"/>
        </w:rPr>
        <w:t xml:space="preserve">, showing of </w:t>
      </w:r>
      <w:r w:rsidRPr="00CB15A4">
        <w:rPr>
          <w:rFonts w:cs="Segoe UI"/>
          <w:color w:val="1D2125"/>
          <w:shd w:val="clear" w:color="auto" w:fill="FFFFFF"/>
        </w:rPr>
        <w:t xml:space="preserve">the art </w:t>
      </w:r>
      <w:r w:rsidR="00497EDE">
        <w:rPr>
          <w:rFonts w:cs="Segoe UI"/>
          <w:color w:val="1D2125"/>
          <w:shd w:val="clear" w:color="auto" w:fill="FFFFFF"/>
        </w:rPr>
        <w:t xml:space="preserve">that </w:t>
      </w:r>
      <w:r w:rsidRPr="00CB15A4">
        <w:rPr>
          <w:rFonts w:cs="Segoe UI"/>
          <w:color w:val="1D2125"/>
          <w:shd w:val="clear" w:color="auto" w:fill="FFFFFF"/>
        </w:rPr>
        <w:t>‘</w:t>
      </w:r>
      <w:r w:rsidR="00497EDE">
        <w:rPr>
          <w:rFonts w:cs="Segoe UI"/>
          <w:color w:val="1D2125"/>
          <w:shd w:val="clear" w:color="auto" w:fill="FFFFFF"/>
        </w:rPr>
        <w:t>t</w:t>
      </w:r>
      <w:r w:rsidRPr="00CB15A4">
        <w:rPr>
          <w:rFonts w:cs="Segoe UI"/>
          <w:color w:val="1D2125"/>
          <w:shd w:val="clear" w:color="auto" w:fill="FFFFFF"/>
        </w:rPr>
        <w:t xml:space="preserve">he ultimate goal… </w:t>
      </w:r>
      <w:r w:rsidR="008F7764">
        <w:rPr>
          <w:rFonts w:cs="Segoe UI"/>
          <w:color w:val="1D2125"/>
          <w:shd w:val="clear" w:color="auto" w:fill="FFFFFF"/>
        </w:rPr>
        <w:t>[is]</w:t>
      </w:r>
      <w:r w:rsidRPr="00CB15A4">
        <w:rPr>
          <w:rFonts w:cs="Segoe UI"/>
          <w:color w:val="1D2125"/>
          <w:shd w:val="clear" w:color="auto" w:fill="FFFFFF"/>
        </w:rPr>
        <w:t xml:space="preserve"> the emotional identification of the viewer with the action or moral significance of the scene.’ </w:t>
      </w:r>
      <w:r w:rsidR="00FD4CB3">
        <w:rPr>
          <w:rFonts w:cs="Segoe UI"/>
          <w:color w:val="1D2125"/>
          <w:shd w:val="clear" w:color="auto" w:fill="FFFFFF"/>
        </w:rPr>
        <w:t>E</w:t>
      </w:r>
      <w:r>
        <w:rPr>
          <w:rFonts w:cs="Segoe UI"/>
          <w:color w:val="1D2125"/>
          <w:shd w:val="clear" w:color="auto" w:fill="FFFFFF"/>
        </w:rPr>
        <w:t xml:space="preserve">ach artist cannot help but reflect their own time and place in what they create. He suggests that this Gadamerian </w:t>
      </w:r>
      <w:proofErr w:type="spellStart"/>
      <w:r w:rsidRPr="00CB15A4">
        <w:rPr>
          <w:rFonts w:cs="Segoe UI"/>
          <w:i/>
          <w:iCs/>
          <w:color w:val="1D2125"/>
          <w:shd w:val="clear" w:color="auto" w:fill="FFFFFF"/>
        </w:rPr>
        <w:t>Darstellung</w:t>
      </w:r>
      <w:proofErr w:type="spellEnd"/>
      <w:r>
        <w:rPr>
          <w:rStyle w:val="FootnoteReference"/>
          <w:rFonts w:cs="Segoe UI"/>
          <w:i/>
          <w:iCs/>
          <w:color w:val="1D2125"/>
          <w:shd w:val="clear" w:color="auto" w:fill="FFFFFF"/>
        </w:rPr>
        <w:footnoteReference w:id="11"/>
      </w:r>
      <w:r>
        <w:rPr>
          <w:rFonts w:cs="Segoe UI"/>
          <w:color w:val="1D2125"/>
          <w:shd w:val="clear" w:color="auto" w:fill="FFFFFF"/>
        </w:rPr>
        <w:t xml:space="preserve"> goes beyond a b</w:t>
      </w:r>
      <w:r w:rsidR="002F3FE5">
        <w:rPr>
          <w:rFonts w:cs="Segoe UI"/>
          <w:color w:val="1D2125"/>
          <w:shd w:val="clear" w:color="auto" w:fill="FFFFFF"/>
        </w:rPr>
        <w:t>lunt</w:t>
      </w:r>
      <w:r>
        <w:rPr>
          <w:rFonts w:cs="Segoe UI"/>
          <w:color w:val="1D2125"/>
          <w:shd w:val="clear" w:color="auto" w:fill="FFFFFF"/>
        </w:rPr>
        <w:t xml:space="preserve"> retelling of the biblical story</w:t>
      </w:r>
      <w:r w:rsidR="008F7764">
        <w:rPr>
          <w:rFonts w:cs="Segoe UI"/>
          <w:color w:val="1D2125"/>
          <w:shd w:val="clear" w:color="auto" w:fill="FFFFFF"/>
        </w:rPr>
        <w:t>,</w:t>
      </w:r>
      <w:r>
        <w:rPr>
          <w:rFonts w:cs="Segoe UI"/>
          <w:color w:val="1D2125"/>
          <w:shd w:val="clear" w:color="auto" w:fill="FFFFFF"/>
        </w:rPr>
        <w:t xml:space="preserve"> </w:t>
      </w:r>
      <w:r w:rsidR="008F7764">
        <w:rPr>
          <w:rFonts w:cs="Segoe UI"/>
          <w:color w:val="1D2125"/>
          <w:shd w:val="clear" w:color="auto" w:fill="FFFFFF"/>
        </w:rPr>
        <w:t>offering</w:t>
      </w:r>
      <w:r>
        <w:rPr>
          <w:rFonts w:cs="Segoe UI"/>
          <w:color w:val="1D2125"/>
          <w:shd w:val="clear" w:color="auto" w:fill="FFFFFF"/>
        </w:rPr>
        <w:t xml:space="preserve"> </w:t>
      </w:r>
      <w:r w:rsidR="008F7764">
        <w:rPr>
          <w:rFonts w:cs="Segoe UI"/>
          <w:color w:val="1D2125"/>
          <w:shd w:val="clear" w:color="auto" w:fill="FFFFFF"/>
        </w:rPr>
        <w:t>‘</w:t>
      </w:r>
      <w:r>
        <w:rPr>
          <w:rFonts w:cs="Segoe UI"/>
          <w:color w:val="1D2125"/>
          <w:shd w:val="clear" w:color="auto" w:fill="FFFFFF"/>
        </w:rPr>
        <w:t>alternative ‘readings’’ to the original text</w:t>
      </w:r>
      <w:r w:rsidR="00FD4CB3">
        <w:rPr>
          <w:rStyle w:val="FootnoteReference"/>
          <w:rFonts w:cs="Segoe UI"/>
          <w:color w:val="1D2125"/>
          <w:shd w:val="clear" w:color="auto" w:fill="FFFFFF"/>
        </w:rPr>
        <w:footnoteReference w:id="12"/>
      </w:r>
      <w:r>
        <w:rPr>
          <w:rFonts w:cs="Segoe UI"/>
          <w:color w:val="1D2125"/>
          <w:shd w:val="clear" w:color="auto" w:fill="FFFFFF"/>
        </w:rPr>
        <w:t xml:space="preserve">. </w:t>
      </w:r>
    </w:p>
    <w:p w14:paraId="36146C2B" w14:textId="77777777" w:rsidR="00CB15A4" w:rsidRDefault="00CB15A4" w:rsidP="00466E22">
      <w:pPr>
        <w:jc w:val="both"/>
        <w:rPr>
          <w:rFonts w:cs="Segoe UI"/>
          <w:color w:val="1D2125"/>
          <w:shd w:val="clear" w:color="auto" w:fill="FFFFFF"/>
        </w:rPr>
      </w:pPr>
    </w:p>
    <w:p w14:paraId="6747CC75" w14:textId="56F92BCD" w:rsidR="00B93A8E" w:rsidRDefault="00044A31" w:rsidP="00466E22">
      <w:pPr>
        <w:jc w:val="both"/>
        <w:rPr>
          <w:rFonts w:cs="Segoe UI"/>
          <w:color w:val="1D2125"/>
          <w:shd w:val="clear" w:color="auto" w:fill="FFFFFF"/>
        </w:rPr>
      </w:pPr>
      <w:r>
        <w:rPr>
          <w:rFonts w:cs="Segoe UI"/>
          <w:color w:val="1D2125"/>
          <w:shd w:val="clear" w:color="auto" w:fill="FFFFFF"/>
        </w:rPr>
        <w:t>T</w:t>
      </w:r>
      <w:r w:rsidR="00CB15A4">
        <w:rPr>
          <w:rFonts w:cs="Segoe UI"/>
          <w:color w:val="1D2125"/>
          <w:shd w:val="clear" w:color="auto" w:fill="FFFFFF"/>
        </w:rPr>
        <w:t xml:space="preserve">he theory of Reception History has </w:t>
      </w:r>
      <w:r>
        <w:rPr>
          <w:rFonts w:cs="Segoe UI"/>
          <w:color w:val="1D2125"/>
          <w:shd w:val="clear" w:color="auto" w:fill="FFFFFF"/>
        </w:rPr>
        <w:t xml:space="preserve">been </w:t>
      </w:r>
      <w:r w:rsidR="004E0BE1">
        <w:rPr>
          <w:rFonts w:cs="Segoe UI"/>
          <w:color w:val="1D2125"/>
          <w:shd w:val="clear" w:color="auto" w:fill="FFFFFF"/>
        </w:rPr>
        <w:t>extensively</w:t>
      </w:r>
      <w:r w:rsidR="00CB15A4">
        <w:rPr>
          <w:rFonts w:cs="Segoe UI"/>
          <w:color w:val="1D2125"/>
          <w:shd w:val="clear" w:color="auto" w:fill="FFFFFF"/>
        </w:rPr>
        <w:t xml:space="preserve"> enlisted in the world of literature. </w:t>
      </w:r>
      <w:r w:rsidR="00FD4CB3">
        <w:rPr>
          <w:rFonts w:cs="Segoe UI"/>
          <w:color w:val="1D2125"/>
          <w:shd w:val="clear" w:color="auto" w:fill="FFFFFF"/>
        </w:rPr>
        <w:t>T</w:t>
      </w:r>
      <w:r w:rsidR="004E0BE1">
        <w:rPr>
          <w:rFonts w:cs="Segoe UI"/>
          <w:color w:val="1D2125"/>
          <w:shd w:val="clear" w:color="auto" w:fill="FFFFFF"/>
        </w:rPr>
        <w:t xml:space="preserve">wo articles </w:t>
      </w:r>
      <w:r w:rsidR="00FD4CB3">
        <w:rPr>
          <w:rFonts w:cs="Segoe UI"/>
          <w:color w:val="1D2125"/>
          <w:shd w:val="clear" w:color="auto" w:fill="FFFFFF"/>
        </w:rPr>
        <w:t xml:space="preserve">offer </w:t>
      </w:r>
      <w:r w:rsidR="00466E22">
        <w:rPr>
          <w:rFonts w:cs="Segoe UI"/>
          <w:color w:val="1D2125"/>
          <w:shd w:val="clear" w:color="auto" w:fill="FFFFFF"/>
        </w:rPr>
        <w:t>views</w:t>
      </w:r>
      <w:r w:rsidR="00FD4CB3">
        <w:rPr>
          <w:rFonts w:cs="Segoe UI"/>
          <w:color w:val="1D2125"/>
          <w:shd w:val="clear" w:color="auto" w:fill="FFFFFF"/>
        </w:rPr>
        <w:t xml:space="preserve"> </w:t>
      </w:r>
      <w:r w:rsidR="004E0BE1">
        <w:rPr>
          <w:rFonts w:cs="Segoe UI"/>
          <w:color w:val="1D2125"/>
          <w:shd w:val="clear" w:color="auto" w:fill="FFFFFF"/>
        </w:rPr>
        <w:t>on the Isaac story, one by Scott F Crider</w:t>
      </w:r>
      <w:r w:rsidR="004E0BE1">
        <w:rPr>
          <w:rStyle w:val="FootnoteReference"/>
          <w:rFonts w:cs="Segoe UI"/>
          <w:color w:val="1D2125"/>
          <w:shd w:val="clear" w:color="auto" w:fill="FFFFFF"/>
        </w:rPr>
        <w:footnoteReference w:id="13"/>
      </w:r>
      <w:r w:rsidR="004E0BE1">
        <w:rPr>
          <w:rFonts w:cs="Segoe UI"/>
          <w:color w:val="1D2125"/>
          <w:shd w:val="clear" w:color="auto" w:fill="FFFFFF"/>
        </w:rPr>
        <w:t>, the other by Sebastian Selvén</w:t>
      </w:r>
      <w:r w:rsidR="00642343">
        <w:rPr>
          <w:rStyle w:val="FootnoteReference"/>
          <w:rFonts w:cs="Segoe UI"/>
          <w:color w:val="1D2125"/>
          <w:shd w:val="clear" w:color="auto" w:fill="FFFFFF"/>
        </w:rPr>
        <w:footnoteReference w:id="14"/>
      </w:r>
      <w:r w:rsidR="004E0BE1">
        <w:rPr>
          <w:rFonts w:cs="Segoe UI"/>
          <w:color w:val="1D2125"/>
          <w:shd w:val="clear" w:color="auto" w:fill="FFFFFF"/>
        </w:rPr>
        <w:t xml:space="preserve">. Crider </w:t>
      </w:r>
      <w:r w:rsidR="00466E22">
        <w:rPr>
          <w:rFonts w:cs="Segoe UI"/>
          <w:color w:val="1D2125"/>
          <w:shd w:val="clear" w:color="auto" w:fill="FFFFFF"/>
        </w:rPr>
        <w:t>quotes</w:t>
      </w:r>
      <w:r w:rsidR="004E0BE1">
        <w:rPr>
          <w:rFonts w:cs="Segoe UI"/>
          <w:color w:val="1D2125"/>
          <w:shd w:val="clear" w:color="auto" w:fill="FFFFFF"/>
        </w:rPr>
        <w:t xml:space="preserve"> Brueggeman’s view of the limitations of ‘church faith’</w:t>
      </w:r>
      <w:r w:rsidR="004E0BE1">
        <w:rPr>
          <w:rStyle w:val="FootnoteReference"/>
          <w:rFonts w:cs="Segoe UI"/>
          <w:color w:val="1D2125"/>
          <w:shd w:val="clear" w:color="auto" w:fill="FFFFFF"/>
        </w:rPr>
        <w:footnoteReference w:id="15"/>
      </w:r>
      <w:r w:rsidR="004E0BE1">
        <w:rPr>
          <w:rFonts w:cs="Segoe UI"/>
          <w:color w:val="1D2125"/>
          <w:shd w:val="clear" w:color="auto" w:fill="FFFFFF"/>
        </w:rPr>
        <w:t xml:space="preserve">, which </w:t>
      </w:r>
      <w:proofErr w:type="gramStart"/>
      <w:r w:rsidR="004E0BE1">
        <w:rPr>
          <w:rFonts w:cs="Segoe UI"/>
          <w:color w:val="1D2125"/>
          <w:shd w:val="clear" w:color="auto" w:fill="FFFFFF"/>
        </w:rPr>
        <w:t xml:space="preserve">in </w:t>
      </w:r>
      <w:r w:rsidR="004E0BE1">
        <w:rPr>
          <w:rFonts w:cs="Segoe UI"/>
          <w:color w:val="1D2125"/>
          <w:shd w:val="clear" w:color="auto" w:fill="FFFFFF"/>
        </w:rPr>
        <w:lastRenderedPageBreak/>
        <w:t>itself</w:t>
      </w:r>
      <w:r w:rsidR="008F7764">
        <w:rPr>
          <w:rFonts w:cs="Segoe UI"/>
          <w:color w:val="1D2125"/>
          <w:shd w:val="clear" w:color="auto" w:fill="FFFFFF"/>
        </w:rPr>
        <w:t xml:space="preserve"> demands</w:t>
      </w:r>
      <w:proofErr w:type="gramEnd"/>
      <w:r w:rsidR="008F7764">
        <w:rPr>
          <w:rFonts w:cs="Segoe UI"/>
          <w:color w:val="1D2125"/>
          <w:shd w:val="clear" w:color="auto" w:fill="FFFFFF"/>
        </w:rPr>
        <w:t xml:space="preserve"> consideration</w:t>
      </w:r>
      <w:r w:rsidR="00FD4CB3">
        <w:rPr>
          <w:rStyle w:val="FootnoteReference"/>
          <w:rFonts w:cs="Segoe UI"/>
          <w:color w:val="1D2125"/>
          <w:shd w:val="clear" w:color="auto" w:fill="FFFFFF"/>
        </w:rPr>
        <w:footnoteReference w:id="16"/>
      </w:r>
      <w:r w:rsidR="004E0BE1">
        <w:rPr>
          <w:rFonts w:cs="Segoe UI"/>
          <w:color w:val="1D2125"/>
          <w:shd w:val="clear" w:color="auto" w:fill="FFFFFF"/>
        </w:rPr>
        <w:t>. He goes on to argue that the story of the ‘Akedah’</w:t>
      </w:r>
      <w:r w:rsidR="00497EDE">
        <w:rPr>
          <w:rStyle w:val="FootnoteReference"/>
          <w:rFonts w:cs="Segoe UI"/>
          <w:color w:val="1D2125"/>
          <w:shd w:val="clear" w:color="auto" w:fill="FFFFFF"/>
        </w:rPr>
        <w:footnoteReference w:id="17"/>
      </w:r>
      <w:r w:rsidR="004E0BE1">
        <w:rPr>
          <w:rFonts w:cs="Segoe UI"/>
          <w:color w:val="1D2125"/>
          <w:shd w:val="clear" w:color="auto" w:fill="FFFFFF"/>
        </w:rPr>
        <w:t xml:space="preserve"> is as much about the testing of God, as about th</w:t>
      </w:r>
      <w:r w:rsidR="00497EDE">
        <w:rPr>
          <w:rFonts w:cs="Segoe UI"/>
          <w:color w:val="1D2125"/>
          <w:shd w:val="clear" w:color="auto" w:fill="FFFFFF"/>
        </w:rPr>
        <w:t>at</w:t>
      </w:r>
      <w:r w:rsidR="004E0BE1">
        <w:rPr>
          <w:rFonts w:cs="Segoe UI"/>
          <w:color w:val="1D2125"/>
          <w:shd w:val="clear" w:color="auto" w:fill="FFFFFF"/>
        </w:rPr>
        <w:t xml:space="preserve"> of Abraham</w:t>
      </w:r>
      <w:r w:rsidR="001272F6" w:rsidRPr="001272F6">
        <w:rPr>
          <w:rFonts w:cs="Segoe UI"/>
          <w:color w:val="1D2125"/>
          <w:shd w:val="clear" w:color="auto" w:fill="FFFFFF"/>
          <w:vertAlign w:val="superscript"/>
        </w:rPr>
        <w:footnoteReference w:id="18"/>
      </w:r>
      <w:r w:rsidR="004E0BE1">
        <w:rPr>
          <w:rFonts w:cs="Segoe UI"/>
          <w:color w:val="1D2125"/>
          <w:shd w:val="clear" w:color="auto" w:fill="FFFFFF"/>
        </w:rPr>
        <w:t xml:space="preserve">. </w:t>
      </w:r>
      <w:r w:rsidR="008466C8">
        <w:rPr>
          <w:rFonts w:cs="Segoe UI"/>
          <w:color w:val="1D2125"/>
          <w:shd w:val="clear" w:color="auto" w:fill="FFFFFF"/>
        </w:rPr>
        <w:t>He critiques the</w:t>
      </w:r>
      <w:r w:rsidR="004E0BE1">
        <w:rPr>
          <w:rFonts w:cs="Segoe UI"/>
          <w:color w:val="1D2125"/>
          <w:shd w:val="clear" w:color="auto" w:fill="FFFFFF"/>
        </w:rPr>
        <w:t xml:space="preserve"> ‘traditional’ interpretations of the story</w:t>
      </w:r>
      <w:r w:rsidR="004E0BE1">
        <w:rPr>
          <w:rStyle w:val="FootnoteReference"/>
          <w:rFonts w:cs="Segoe UI"/>
          <w:color w:val="1D2125"/>
          <w:shd w:val="clear" w:color="auto" w:fill="FFFFFF"/>
        </w:rPr>
        <w:footnoteReference w:id="19"/>
      </w:r>
      <w:r w:rsidR="004E0BE1">
        <w:rPr>
          <w:rFonts w:cs="Segoe UI"/>
          <w:color w:val="1D2125"/>
          <w:shd w:val="clear" w:color="auto" w:fill="FFFFFF"/>
        </w:rPr>
        <w:t xml:space="preserve"> as lacking in (presumably, his personal) moral sensibility, which he unsparingly forces upon his readers</w:t>
      </w:r>
      <w:r w:rsidR="00497EDE">
        <w:rPr>
          <w:rStyle w:val="FootnoteReference"/>
          <w:rFonts w:cs="Segoe UI"/>
          <w:color w:val="1D2125"/>
          <w:shd w:val="clear" w:color="auto" w:fill="FFFFFF"/>
        </w:rPr>
        <w:footnoteReference w:id="20"/>
      </w:r>
      <w:r w:rsidR="004E0BE1">
        <w:rPr>
          <w:rFonts w:cs="Segoe UI"/>
          <w:color w:val="1D2125"/>
          <w:shd w:val="clear" w:color="auto" w:fill="FFFFFF"/>
        </w:rPr>
        <w:t xml:space="preserve">. </w:t>
      </w:r>
      <w:r>
        <w:rPr>
          <w:rFonts w:cs="Segoe UI"/>
          <w:color w:val="1D2125"/>
          <w:shd w:val="clear" w:color="auto" w:fill="FFFFFF"/>
        </w:rPr>
        <w:t>However, i</w:t>
      </w:r>
      <w:r w:rsidR="004E0BE1">
        <w:rPr>
          <w:rFonts w:cs="Segoe UI"/>
          <w:color w:val="1D2125"/>
          <w:shd w:val="clear" w:color="auto" w:fill="FFFFFF"/>
        </w:rPr>
        <w:t xml:space="preserve">f Reception History removes the </w:t>
      </w:r>
      <w:proofErr w:type="gramStart"/>
      <w:r w:rsidR="004E0BE1">
        <w:rPr>
          <w:rFonts w:cs="Segoe UI"/>
          <w:color w:val="1D2125"/>
          <w:shd w:val="clear" w:color="auto" w:fill="FFFFFF"/>
        </w:rPr>
        <w:t>aforementioned straitjacket</w:t>
      </w:r>
      <w:proofErr w:type="gramEnd"/>
      <w:r w:rsidR="004E0BE1">
        <w:rPr>
          <w:rFonts w:cs="Segoe UI"/>
          <w:color w:val="1D2125"/>
          <w:shd w:val="clear" w:color="auto" w:fill="FFFFFF"/>
        </w:rPr>
        <w:t xml:space="preserve">, </w:t>
      </w:r>
      <w:r w:rsidR="009654DA">
        <w:rPr>
          <w:rFonts w:cs="Segoe UI"/>
          <w:color w:val="1D2125"/>
          <w:shd w:val="clear" w:color="auto" w:fill="FFFFFF"/>
        </w:rPr>
        <w:t>one may ask if</w:t>
      </w:r>
      <w:r w:rsidR="004E0BE1">
        <w:rPr>
          <w:rFonts w:cs="Segoe UI"/>
          <w:color w:val="1D2125"/>
          <w:shd w:val="clear" w:color="auto" w:fill="FFFFFF"/>
        </w:rPr>
        <w:t xml:space="preserve"> writers </w:t>
      </w:r>
      <w:r w:rsidR="00B83EB2">
        <w:rPr>
          <w:rFonts w:cs="Segoe UI"/>
          <w:color w:val="1D2125"/>
          <w:shd w:val="clear" w:color="auto" w:fill="FFFFFF"/>
        </w:rPr>
        <w:t xml:space="preserve">will </w:t>
      </w:r>
      <w:r w:rsidR="004E0BE1">
        <w:rPr>
          <w:rFonts w:cs="Segoe UI"/>
          <w:color w:val="1D2125"/>
          <w:shd w:val="clear" w:color="auto" w:fill="FFFFFF"/>
        </w:rPr>
        <w:t xml:space="preserve">just run amok? Not dissimilarly with </w:t>
      </w:r>
      <w:proofErr w:type="spellStart"/>
      <w:r w:rsidR="004E0BE1">
        <w:rPr>
          <w:rFonts w:cs="Segoe UI"/>
          <w:color w:val="1D2125"/>
          <w:shd w:val="clear" w:color="auto" w:fill="FFFFFF"/>
        </w:rPr>
        <w:t>Selvén</w:t>
      </w:r>
      <w:proofErr w:type="spellEnd"/>
      <w:r w:rsidR="004E0BE1">
        <w:rPr>
          <w:rFonts w:cs="Segoe UI"/>
          <w:color w:val="1D2125"/>
          <w:shd w:val="clear" w:color="auto" w:fill="FFFFFF"/>
        </w:rPr>
        <w:t>, who, by ‘bringing into dialogue’</w:t>
      </w:r>
      <w:r w:rsidR="004E0BE1">
        <w:rPr>
          <w:rStyle w:val="FootnoteReference"/>
          <w:rFonts w:cs="Segoe UI"/>
          <w:color w:val="1D2125"/>
          <w:shd w:val="clear" w:color="auto" w:fill="FFFFFF"/>
        </w:rPr>
        <w:footnoteReference w:id="21"/>
      </w:r>
      <w:r w:rsidR="004E0BE1">
        <w:rPr>
          <w:rFonts w:cs="Segoe UI"/>
          <w:color w:val="1D2125"/>
          <w:shd w:val="clear" w:color="auto" w:fill="FFFFFF"/>
        </w:rPr>
        <w:t xml:space="preserve"> with the </w:t>
      </w:r>
      <w:r w:rsidR="004E0BE1" w:rsidRPr="004E0BE1">
        <w:rPr>
          <w:rFonts w:cs="Segoe UI"/>
          <w:i/>
          <w:iCs/>
          <w:color w:val="1D2125"/>
          <w:shd w:val="clear" w:color="auto" w:fill="FFFFFF"/>
        </w:rPr>
        <w:t>Akedah</w:t>
      </w:r>
      <w:r w:rsidR="004E0BE1">
        <w:rPr>
          <w:rFonts w:cs="Segoe UI"/>
          <w:color w:val="1D2125"/>
          <w:shd w:val="clear" w:color="auto" w:fill="FFFFFF"/>
        </w:rPr>
        <w:t xml:space="preserve"> works by Stephen King and J.R.R. Tolk</w:t>
      </w:r>
      <w:r>
        <w:rPr>
          <w:rFonts w:cs="Segoe UI"/>
          <w:color w:val="1D2125"/>
          <w:shd w:val="clear" w:color="auto" w:fill="FFFFFF"/>
        </w:rPr>
        <w:t>ie</w:t>
      </w:r>
      <w:r w:rsidR="004E0BE1">
        <w:rPr>
          <w:rFonts w:cs="Segoe UI"/>
          <w:color w:val="1D2125"/>
          <w:shd w:val="clear" w:color="auto" w:fill="FFFFFF"/>
        </w:rPr>
        <w:t>n, hopes</w:t>
      </w:r>
      <w:r w:rsidR="00497EDE">
        <w:rPr>
          <w:rFonts w:cs="Segoe UI"/>
          <w:color w:val="1D2125"/>
          <w:shd w:val="clear" w:color="auto" w:fill="FFFFFF"/>
        </w:rPr>
        <w:t xml:space="preserve"> </w:t>
      </w:r>
      <w:r w:rsidR="004E0BE1">
        <w:rPr>
          <w:rFonts w:cs="Segoe UI"/>
          <w:color w:val="1D2125"/>
          <w:shd w:val="clear" w:color="auto" w:fill="FFFFFF"/>
        </w:rPr>
        <w:t xml:space="preserve">to fill the gaps in </w:t>
      </w:r>
      <w:r w:rsidR="009654DA">
        <w:rPr>
          <w:rFonts w:cs="Segoe UI"/>
          <w:color w:val="1D2125"/>
          <w:shd w:val="clear" w:color="auto" w:fill="FFFFFF"/>
        </w:rPr>
        <w:t xml:space="preserve">a seemingly </w:t>
      </w:r>
      <w:r w:rsidR="004E0BE1">
        <w:rPr>
          <w:rFonts w:cs="Segoe UI"/>
          <w:color w:val="1D2125"/>
          <w:shd w:val="clear" w:color="auto" w:fill="FFFFFF"/>
        </w:rPr>
        <w:t xml:space="preserve">bald (but </w:t>
      </w:r>
      <w:r w:rsidR="00497EDE">
        <w:rPr>
          <w:rFonts w:cs="Segoe UI"/>
          <w:color w:val="1D2125"/>
          <w:shd w:val="clear" w:color="auto" w:fill="FFFFFF"/>
        </w:rPr>
        <w:t xml:space="preserve">nonetheless </w:t>
      </w:r>
      <w:r w:rsidR="004E0BE1">
        <w:rPr>
          <w:rFonts w:cs="Segoe UI"/>
          <w:color w:val="1D2125"/>
          <w:shd w:val="clear" w:color="auto" w:fill="FFFFFF"/>
        </w:rPr>
        <w:t xml:space="preserve">compelling) text. He </w:t>
      </w:r>
      <w:r w:rsidR="00497EDE">
        <w:rPr>
          <w:rFonts w:cs="Segoe UI"/>
          <w:color w:val="1D2125"/>
          <w:shd w:val="clear" w:color="auto" w:fill="FFFFFF"/>
        </w:rPr>
        <w:t>seeks</w:t>
      </w:r>
      <w:r w:rsidR="004E0BE1">
        <w:rPr>
          <w:rFonts w:cs="Segoe UI"/>
          <w:color w:val="1D2125"/>
          <w:shd w:val="clear" w:color="auto" w:fill="FFFFFF"/>
        </w:rPr>
        <w:t xml:space="preserve"> to stimulate further consideration of the original text by reference to the 20</w:t>
      </w:r>
      <w:r w:rsidR="004E0BE1" w:rsidRPr="004E0BE1">
        <w:rPr>
          <w:rFonts w:cs="Segoe UI"/>
          <w:color w:val="1D2125"/>
          <w:shd w:val="clear" w:color="auto" w:fill="FFFFFF"/>
          <w:vertAlign w:val="superscript"/>
        </w:rPr>
        <w:t>th</w:t>
      </w:r>
      <w:r w:rsidR="004E0BE1">
        <w:rPr>
          <w:rFonts w:cs="Segoe UI"/>
          <w:color w:val="1D2125"/>
          <w:shd w:val="clear" w:color="auto" w:fill="FFFFFF"/>
        </w:rPr>
        <w:t xml:space="preserve"> century texts.</w:t>
      </w:r>
      <w:r w:rsidR="004E0BE1">
        <w:rPr>
          <w:rStyle w:val="FootnoteReference"/>
          <w:rFonts w:cs="Segoe UI"/>
          <w:color w:val="1D2125"/>
          <w:shd w:val="clear" w:color="auto" w:fill="FFFFFF"/>
        </w:rPr>
        <w:footnoteReference w:id="22"/>
      </w:r>
      <w:r w:rsidR="004E0BE1">
        <w:rPr>
          <w:rFonts w:cs="Segoe UI"/>
          <w:color w:val="1D2125"/>
          <w:shd w:val="clear" w:color="auto" w:fill="FFFFFF"/>
        </w:rPr>
        <w:t xml:space="preserve"> The approach is vulnerable to criticism from many sides</w:t>
      </w:r>
      <w:r w:rsidR="004E0BE1">
        <w:rPr>
          <w:rStyle w:val="FootnoteReference"/>
          <w:rFonts w:cs="Segoe UI"/>
          <w:color w:val="1D2125"/>
          <w:shd w:val="clear" w:color="auto" w:fill="FFFFFF"/>
        </w:rPr>
        <w:footnoteReference w:id="23"/>
      </w:r>
      <w:r w:rsidR="00B83EB2">
        <w:rPr>
          <w:rFonts w:cs="Segoe UI"/>
          <w:color w:val="1D2125"/>
          <w:shd w:val="clear" w:color="auto" w:fill="FFFFFF"/>
        </w:rPr>
        <w:t xml:space="preserve">. For example, </w:t>
      </w:r>
      <w:r w:rsidR="004E0BE1">
        <w:rPr>
          <w:rFonts w:cs="Segoe UI"/>
          <w:color w:val="1D2125"/>
          <w:shd w:val="clear" w:color="auto" w:fill="FFFFFF"/>
        </w:rPr>
        <w:t xml:space="preserve">do </w:t>
      </w:r>
      <w:r w:rsidR="001272F6">
        <w:rPr>
          <w:rFonts w:cs="Segoe UI"/>
          <w:color w:val="1D2125"/>
          <w:shd w:val="clear" w:color="auto" w:fill="FFFFFF"/>
        </w:rPr>
        <w:t xml:space="preserve">not </w:t>
      </w:r>
      <w:r w:rsidR="004E0BE1">
        <w:rPr>
          <w:rFonts w:cs="Segoe UI"/>
          <w:color w:val="1D2125"/>
          <w:shd w:val="clear" w:color="auto" w:fill="FFFFFF"/>
        </w:rPr>
        <w:t>the hermeneutics of Robert Alter</w:t>
      </w:r>
      <w:r w:rsidR="004E0BE1">
        <w:rPr>
          <w:rStyle w:val="FootnoteReference"/>
          <w:rFonts w:cs="Segoe UI"/>
          <w:color w:val="1D2125"/>
          <w:shd w:val="clear" w:color="auto" w:fill="FFFFFF"/>
        </w:rPr>
        <w:footnoteReference w:id="24"/>
      </w:r>
      <w:r w:rsidR="004E0BE1">
        <w:rPr>
          <w:rFonts w:cs="Segoe UI"/>
          <w:color w:val="1D2125"/>
          <w:shd w:val="clear" w:color="auto" w:fill="FFFFFF"/>
        </w:rPr>
        <w:t xml:space="preserve"> offer </w:t>
      </w:r>
      <w:r w:rsidR="001272F6">
        <w:rPr>
          <w:rFonts w:cs="Segoe UI"/>
          <w:color w:val="1D2125"/>
          <w:shd w:val="clear" w:color="auto" w:fill="FFFFFF"/>
        </w:rPr>
        <w:t xml:space="preserve">a reader </w:t>
      </w:r>
      <w:r w:rsidR="004E0BE1">
        <w:rPr>
          <w:rFonts w:cs="Segoe UI"/>
          <w:color w:val="1D2125"/>
          <w:shd w:val="clear" w:color="auto" w:fill="FFFFFF"/>
        </w:rPr>
        <w:t xml:space="preserve">much greater ‘proximity’ to the tales of the Old Testament than introspection </w:t>
      </w:r>
      <w:r w:rsidR="009654DA">
        <w:rPr>
          <w:rFonts w:cs="Segoe UI"/>
          <w:color w:val="1D2125"/>
          <w:shd w:val="clear" w:color="auto" w:fill="FFFFFF"/>
        </w:rPr>
        <w:t>into</w:t>
      </w:r>
      <w:r w:rsidR="004E0BE1">
        <w:rPr>
          <w:rFonts w:cs="Segoe UI"/>
          <w:color w:val="1D2125"/>
          <w:shd w:val="clear" w:color="auto" w:fill="FFFFFF"/>
        </w:rPr>
        <w:t xml:space="preserve"> our own ‘immediate’ culture?</w:t>
      </w:r>
      <w:r w:rsidR="004E0BE1">
        <w:rPr>
          <w:rStyle w:val="FootnoteReference"/>
          <w:rFonts w:cs="Segoe UI"/>
          <w:color w:val="1D2125"/>
          <w:shd w:val="clear" w:color="auto" w:fill="FFFFFF"/>
        </w:rPr>
        <w:footnoteReference w:id="25"/>
      </w:r>
      <w:r w:rsidR="00FD4CB3">
        <w:rPr>
          <w:rFonts w:cs="Segoe UI"/>
          <w:color w:val="1D2125"/>
          <w:shd w:val="clear" w:color="auto" w:fill="FFFFFF"/>
        </w:rPr>
        <w:t xml:space="preserve"> </w:t>
      </w:r>
      <w:r w:rsidR="00B93A8E">
        <w:rPr>
          <w:rFonts w:cs="Segoe UI"/>
          <w:color w:val="1D2125"/>
          <w:shd w:val="clear" w:color="auto" w:fill="FFFFFF"/>
        </w:rPr>
        <w:t xml:space="preserve">One may also contrast </w:t>
      </w:r>
      <w:r w:rsidR="00B93A8E">
        <w:rPr>
          <w:rFonts w:cs="Segoe UI"/>
          <w:color w:val="1D2125"/>
          <w:shd w:val="clear" w:color="auto" w:fill="FFFFFF"/>
        </w:rPr>
        <w:t>a</w:t>
      </w:r>
      <w:r w:rsidR="00B83EB2">
        <w:rPr>
          <w:rFonts w:cs="Segoe UI"/>
          <w:color w:val="1D2125"/>
          <w:shd w:val="clear" w:color="auto" w:fill="FFFFFF"/>
        </w:rPr>
        <w:t xml:space="preserve"> text-attentive and</w:t>
      </w:r>
      <w:r w:rsidR="00B93A8E">
        <w:rPr>
          <w:rFonts w:cs="Segoe UI"/>
          <w:color w:val="1D2125"/>
          <w:shd w:val="clear" w:color="auto" w:fill="FFFFFF"/>
        </w:rPr>
        <w:t xml:space="preserve"> radical re-reading of Genesis 27 (the ‘tricking’ of Isaac by Rebekah and Jacob) from David J. Zucker, which, by the metric of </w:t>
      </w:r>
      <w:r w:rsidR="00E3054A">
        <w:rPr>
          <w:rFonts w:cs="Segoe UI"/>
          <w:color w:val="1D2125"/>
          <w:shd w:val="clear" w:color="auto" w:fill="FFFFFF"/>
        </w:rPr>
        <w:t>‘</w:t>
      </w:r>
      <w:r w:rsidR="00B93A8E">
        <w:rPr>
          <w:rFonts w:cs="Segoe UI"/>
          <w:color w:val="1D2125"/>
          <w:shd w:val="clear" w:color="auto" w:fill="FFFFFF"/>
        </w:rPr>
        <w:t>modern</w:t>
      </w:r>
      <w:r w:rsidR="00E3054A">
        <w:rPr>
          <w:rFonts w:cs="Segoe UI"/>
          <w:color w:val="1D2125"/>
          <w:shd w:val="clear" w:color="auto" w:fill="FFFFFF"/>
        </w:rPr>
        <w:t>’</w:t>
      </w:r>
      <w:r w:rsidR="00B93A8E">
        <w:rPr>
          <w:rFonts w:cs="Segoe UI"/>
          <w:color w:val="1D2125"/>
          <w:shd w:val="clear" w:color="auto" w:fill="FFFFFF"/>
        </w:rPr>
        <w:t xml:space="preserve"> deceptions, drills into the original text to find that the deceived is not Isaac but, in fact, Jacob.</w:t>
      </w:r>
      <w:r w:rsidR="00B93A8E">
        <w:rPr>
          <w:rStyle w:val="FootnoteReference"/>
          <w:rFonts w:cs="Segoe UI"/>
          <w:color w:val="1D2125"/>
          <w:shd w:val="clear" w:color="auto" w:fill="FFFFFF"/>
        </w:rPr>
        <w:footnoteReference w:id="26"/>
      </w:r>
    </w:p>
    <w:p w14:paraId="241FBE1A" w14:textId="77777777" w:rsidR="00FD4CB3" w:rsidRDefault="00FD4CB3" w:rsidP="00466E22">
      <w:pPr>
        <w:jc w:val="both"/>
        <w:rPr>
          <w:rFonts w:cs="Segoe UI"/>
          <w:color w:val="1D2125"/>
          <w:shd w:val="clear" w:color="auto" w:fill="FFFFFF"/>
        </w:rPr>
      </w:pPr>
    </w:p>
    <w:p w14:paraId="794C439D" w14:textId="68B6BC3D" w:rsidR="00FD4CB3" w:rsidRDefault="00132A87" w:rsidP="00466E22">
      <w:pPr>
        <w:jc w:val="both"/>
        <w:rPr>
          <w:rFonts w:cs="Segoe UI"/>
          <w:color w:val="1D2125"/>
          <w:shd w:val="clear" w:color="auto" w:fill="FFFFFF"/>
        </w:rPr>
      </w:pPr>
      <w:r>
        <w:rPr>
          <w:rFonts w:cs="Segoe UI"/>
          <w:color w:val="1D2125"/>
          <w:shd w:val="clear" w:color="auto" w:fill="FFFFFF"/>
        </w:rPr>
        <w:lastRenderedPageBreak/>
        <w:t>There</w:t>
      </w:r>
      <w:r w:rsidR="00FD4CB3">
        <w:rPr>
          <w:rFonts w:cs="Segoe UI"/>
          <w:color w:val="1D2125"/>
          <w:shd w:val="clear" w:color="auto" w:fill="FFFFFF"/>
        </w:rPr>
        <w:t xml:space="preserve"> is </w:t>
      </w:r>
      <w:r>
        <w:rPr>
          <w:rFonts w:cs="Segoe UI"/>
          <w:color w:val="1D2125"/>
          <w:shd w:val="clear" w:color="auto" w:fill="FFFFFF"/>
        </w:rPr>
        <w:t xml:space="preserve">also </w:t>
      </w:r>
      <w:r w:rsidR="00FD4CB3">
        <w:rPr>
          <w:rFonts w:cs="Segoe UI"/>
          <w:color w:val="1D2125"/>
          <w:shd w:val="clear" w:color="auto" w:fill="FFFFFF"/>
        </w:rPr>
        <w:t>the socio-political dimension, demonstrated in Jessica Keady’s study of Genesis 34 (the rape of Dinah)</w:t>
      </w:r>
      <w:r w:rsidR="00FD4CB3">
        <w:rPr>
          <w:rStyle w:val="FootnoteReference"/>
          <w:rFonts w:cs="Segoe UI"/>
          <w:color w:val="1D2125"/>
          <w:shd w:val="clear" w:color="auto" w:fill="FFFFFF"/>
        </w:rPr>
        <w:footnoteReference w:id="27"/>
      </w:r>
      <w:r w:rsidR="00FD4CB3">
        <w:rPr>
          <w:rFonts w:cs="Segoe UI"/>
          <w:color w:val="1D2125"/>
          <w:shd w:val="clear" w:color="auto" w:fill="FFFFFF"/>
        </w:rPr>
        <w:t xml:space="preserve">. Here is a call to action, not in repudiation of the biblical text, but in recognition of gender prejudices that stretch back over millennia. </w:t>
      </w:r>
    </w:p>
    <w:p w14:paraId="73BD452D" w14:textId="77777777" w:rsidR="00596E88" w:rsidRDefault="00596E88" w:rsidP="00466E22">
      <w:pPr>
        <w:jc w:val="both"/>
        <w:rPr>
          <w:rFonts w:cs="Segoe UI"/>
          <w:color w:val="1D2125"/>
          <w:shd w:val="clear" w:color="auto" w:fill="FFFFFF"/>
        </w:rPr>
      </w:pPr>
    </w:p>
    <w:p w14:paraId="4E5E7258" w14:textId="1F5F1F68" w:rsidR="00FD4CB3" w:rsidRDefault="00497EDE" w:rsidP="00466E22">
      <w:pPr>
        <w:jc w:val="both"/>
        <w:rPr>
          <w:rFonts w:cs="Segoe UI"/>
          <w:color w:val="1D2125"/>
          <w:shd w:val="clear" w:color="auto" w:fill="FFFFFF"/>
        </w:rPr>
      </w:pPr>
      <w:r>
        <w:rPr>
          <w:rFonts w:cs="Segoe UI"/>
          <w:color w:val="1D2125"/>
          <w:shd w:val="clear" w:color="auto" w:fill="FFFFFF"/>
        </w:rPr>
        <w:t xml:space="preserve">Philosophical objections to some Reception History practices have been only touched on. Inescapably, however, </w:t>
      </w:r>
      <w:r w:rsidR="00596E88">
        <w:rPr>
          <w:rFonts w:cs="Segoe UI"/>
          <w:color w:val="1D2125"/>
          <w:shd w:val="clear" w:color="auto" w:fill="FFFFFF"/>
        </w:rPr>
        <w:t xml:space="preserve">some authority </w:t>
      </w:r>
      <w:r>
        <w:rPr>
          <w:rFonts w:cs="Segoe UI"/>
          <w:color w:val="1D2125"/>
          <w:shd w:val="clear" w:color="auto" w:fill="FFFFFF"/>
        </w:rPr>
        <w:t xml:space="preserve">will need to </w:t>
      </w:r>
      <w:r w:rsidR="00596E88">
        <w:rPr>
          <w:rFonts w:cs="Segoe UI"/>
          <w:color w:val="1D2125"/>
          <w:shd w:val="clear" w:color="auto" w:fill="FFFFFF"/>
        </w:rPr>
        <w:t>be granted to text</w:t>
      </w:r>
      <w:r w:rsidR="00596E88">
        <w:rPr>
          <w:rStyle w:val="FootnoteReference"/>
          <w:rFonts w:cs="Segoe UI"/>
          <w:color w:val="1D2125"/>
          <w:shd w:val="clear" w:color="auto" w:fill="FFFFFF"/>
        </w:rPr>
        <w:footnoteReference w:id="28"/>
      </w:r>
      <w:r w:rsidR="00596E88">
        <w:rPr>
          <w:rFonts w:cs="Segoe UI"/>
          <w:color w:val="1D2125"/>
          <w:shd w:val="clear" w:color="auto" w:fill="FFFFFF"/>
        </w:rPr>
        <w:t xml:space="preserve">. If you hold to ‘sola scriptura’, Reception History may leave you </w:t>
      </w:r>
      <w:r w:rsidR="00044A31">
        <w:rPr>
          <w:rFonts w:cs="Segoe UI"/>
          <w:color w:val="1D2125"/>
          <w:shd w:val="clear" w:color="auto" w:fill="FFFFFF"/>
        </w:rPr>
        <w:t xml:space="preserve">too </w:t>
      </w:r>
      <w:r w:rsidR="00596E88">
        <w:rPr>
          <w:rFonts w:cs="Segoe UI"/>
          <w:color w:val="1D2125"/>
          <w:shd w:val="clear" w:color="auto" w:fill="FFFFFF"/>
        </w:rPr>
        <w:t xml:space="preserve">running amok without a straitjacket. If not, then you </w:t>
      </w:r>
      <w:r>
        <w:rPr>
          <w:rFonts w:cs="Segoe UI"/>
          <w:color w:val="1D2125"/>
          <w:shd w:val="clear" w:color="auto" w:fill="FFFFFF"/>
        </w:rPr>
        <w:t>may</w:t>
      </w:r>
      <w:r w:rsidR="00596E88">
        <w:rPr>
          <w:rFonts w:cs="Segoe UI"/>
          <w:color w:val="1D2125"/>
          <w:shd w:val="clear" w:color="auto" w:fill="FFFFFF"/>
        </w:rPr>
        <w:t xml:space="preserve"> benefit from </w:t>
      </w:r>
      <w:r>
        <w:rPr>
          <w:rFonts w:cs="Segoe UI"/>
          <w:color w:val="1D2125"/>
          <w:shd w:val="clear" w:color="auto" w:fill="FFFFFF"/>
        </w:rPr>
        <w:t>Reception History’s</w:t>
      </w:r>
      <w:r w:rsidR="00596E88">
        <w:rPr>
          <w:rFonts w:cs="Segoe UI"/>
          <w:color w:val="1D2125"/>
          <w:shd w:val="clear" w:color="auto" w:fill="FFFFFF"/>
        </w:rPr>
        <w:t xml:space="preserve"> freedom</w:t>
      </w:r>
      <w:r w:rsidR="00132A87">
        <w:rPr>
          <w:rFonts w:cs="Segoe UI"/>
          <w:color w:val="1D2125"/>
          <w:shd w:val="clear" w:color="auto" w:fill="FFFFFF"/>
        </w:rPr>
        <w:t xml:space="preserve"> of imagination</w:t>
      </w:r>
      <w:r w:rsidR="00596E88">
        <w:rPr>
          <w:rFonts w:cs="Segoe UI"/>
          <w:color w:val="1D2125"/>
          <w:shd w:val="clear" w:color="auto" w:fill="FFFFFF"/>
        </w:rPr>
        <w:t xml:space="preserve">, </w:t>
      </w:r>
      <w:r w:rsidR="001272F6">
        <w:rPr>
          <w:rFonts w:cs="Segoe UI"/>
          <w:color w:val="1D2125"/>
          <w:shd w:val="clear" w:color="auto" w:fill="FFFFFF"/>
        </w:rPr>
        <w:t>while at the same time having</w:t>
      </w:r>
      <w:r w:rsidR="00596E88">
        <w:rPr>
          <w:rFonts w:cs="Segoe UI"/>
          <w:color w:val="1D2125"/>
          <w:shd w:val="clear" w:color="auto" w:fill="FFFFFF"/>
        </w:rPr>
        <w:t xml:space="preserve"> access to the sanctity</w:t>
      </w:r>
      <w:r w:rsidR="001272F6">
        <w:rPr>
          <w:rFonts w:cs="Segoe UI"/>
          <w:color w:val="1D2125"/>
          <w:shd w:val="clear" w:color="auto" w:fill="FFFFFF"/>
        </w:rPr>
        <w:t xml:space="preserve"> </w:t>
      </w:r>
      <w:r w:rsidR="00034391">
        <w:rPr>
          <w:rFonts w:cs="Segoe UI"/>
          <w:color w:val="1D2125"/>
          <w:shd w:val="clear" w:color="auto" w:fill="FFFFFF"/>
        </w:rPr>
        <w:t xml:space="preserve">(and not just authority) </w:t>
      </w:r>
      <w:r w:rsidR="001272F6">
        <w:rPr>
          <w:rFonts w:cs="Segoe UI"/>
          <w:color w:val="1D2125"/>
          <w:shd w:val="clear" w:color="auto" w:fill="FFFFFF"/>
        </w:rPr>
        <w:t>of text</w:t>
      </w:r>
      <w:r w:rsidR="00596E88">
        <w:rPr>
          <w:rFonts w:cs="Segoe UI"/>
          <w:color w:val="1D2125"/>
          <w:shd w:val="clear" w:color="auto" w:fill="FFFFFF"/>
        </w:rPr>
        <w:t xml:space="preserve"> that a </w:t>
      </w:r>
      <w:r w:rsidR="008A1E3C">
        <w:rPr>
          <w:rFonts w:cs="Segoe UI"/>
          <w:color w:val="1D2125"/>
          <w:shd w:val="clear" w:color="auto" w:fill="FFFFFF"/>
        </w:rPr>
        <w:t>(</w:t>
      </w:r>
      <w:r>
        <w:rPr>
          <w:rFonts w:cs="Segoe UI"/>
          <w:color w:val="1D2125"/>
          <w:shd w:val="clear" w:color="auto" w:fill="FFFFFF"/>
        </w:rPr>
        <w:t>parallel</w:t>
      </w:r>
      <w:r w:rsidR="008A1E3C">
        <w:rPr>
          <w:rFonts w:cs="Segoe UI"/>
          <w:color w:val="1D2125"/>
          <w:shd w:val="clear" w:color="auto" w:fill="FFFFFF"/>
        </w:rPr>
        <w:t>)</w:t>
      </w:r>
      <w:r>
        <w:rPr>
          <w:rFonts w:cs="Segoe UI"/>
          <w:color w:val="1D2125"/>
          <w:shd w:val="clear" w:color="auto" w:fill="FFFFFF"/>
        </w:rPr>
        <w:t xml:space="preserve"> </w:t>
      </w:r>
      <w:r w:rsidR="00596E88">
        <w:rPr>
          <w:rFonts w:cs="Segoe UI"/>
          <w:color w:val="1D2125"/>
          <w:shd w:val="clear" w:color="auto" w:fill="FFFFFF"/>
        </w:rPr>
        <w:t xml:space="preserve">church tradition can offer. </w:t>
      </w:r>
    </w:p>
    <w:p w14:paraId="14633B3E" w14:textId="77777777" w:rsidR="00FD4CB3" w:rsidRDefault="00FD4CB3" w:rsidP="00466E22">
      <w:pPr>
        <w:jc w:val="both"/>
        <w:rPr>
          <w:rFonts w:cs="Segoe UI"/>
          <w:color w:val="1D2125"/>
          <w:shd w:val="clear" w:color="auto" w:fill="FFFFFF"/>
        </w:rPr>
      </w:pPr>
    </w:p>
    <w:p w14:paraId="68DFF5C0" w14:textId="471CC32A" w:rsidR="001272F6" w:rsidRDefault="001272F6" w:rsidP="00466E22">
      <w:pPr>
        <w:jc w:val="right"/>
        <w:rPr>
          <w:rFonts w:cs="Segoe UI"/>
          <w:color w:val="1D2125"/>
          <w:shd w:val="clear" w:color="auto" w:fill="FFFFFF"/>
        </w:rPr>
        <w:sectPr w:rsidR="001272F6">
          <w:pgSz w:w="11906" w:h="16838"/>
          <w:pgMar w:top="1440" w:right="1440" w:bottom="1440" w:left="1440" w:header="708" w:footer="708" w:gutter="0"/>
          <w:cols w:space="708"/>
          <w:docGrid w:linePitch="360"/>
        </w:sectPr>
      </w:pPr>
      <w:r>
        <w:rPr>
          <w:rFonts w:cs="Segoe UI"/>
          <w:color w:val="1D2125"/>
          <w:shd w:val="clear" w:color="auto" w:fill="FFFFFF"/>
        </w:rPr>
        <w:t>16</w:t>
      </w:r>
      <w:r w:rsidR="00B93A8E">
        <w:rPr>
          <w:rFonts w:cs="Segoe UI"/>
          <w:color w:val="1D2125"/>
          <w:shd w:val="clear" w:color="auto" w:fill="FFFFFF"/>
        </w:rPr>
        <w:t>4</w:t>
      </w:r>
      <w:r w:rsidR="00E3054A">
        <w:rPr>
          <w:rFonts w:cs="Segoe UI"/>
          <w:color w:val="1D2125"/>
          <w:shd w:val="clear" w:color="auto" w:fill="FFFFFF"/>
        </w:rPr>
        <w:t>2</w:t>
      </w:r>
      <w:r>
        <w:rPr>
          <w:rFonts w:cs="Segoe UI"/>
          <w:color w:val="1D2125"/>
          <w:shd w:val="clear" w:color="auto" w:fill="FFFFFF"/>
        </w:rPr>
        <w:t xml:space="preserve"> words</w:t>
      </w:r>
    </w:p>
    <w:p w14:paraId="7F954667" w14:textId="0211330C" w:rsidR="00FD4CB3" w:rsidRDefault="00FD4CB3" w:rsidP="00466E22">
      <w:pPr>
        <w:jc w:val="both"/>
        <w:rPr>
          <w:rFonts w:cs="Segoe UI"/>
          <w:color w:val="1D2125"/>
          <w:shd w:val="clear" w:color="auto" w:fill="FFFFFF"/>
        </w:rPr>
      </w:pPr>
    </w:p>
    <w:p w14:paraId="24BF59FC" w14:textId="6423F6A8" w:rsidR="00FD4CB3" w:rsidRDefault="001272F6" w:rsidP="00466E22">
      <w:pPr>
        <w:jc w:val="both"/>
        <w:rPr>
          <w:rFonts w:cs="Segoe UI"/>
          <w:b/>
          <w:bCs/>
          <w:color w:val="1D2125"/>
          <w:shd w:val="clear" w:color="auto" w:fill="FFFFFF"/>
        </w:rPr>
      </w:pPr>
      <w:r w:rsidRPr="001272F6">
        <w:rPr>
          <w:rFonts w:cs="Segoe UI"/>
          <w:b/>
          <w:bCs/>
          <w:color w:val="1D2125"/>
          <w:shd w:val="clear" w:color="auto" w:fill="FFFFFF"/>
        </w:rPr>
        <w:t>Bibliography</w:t>
      </w:r>
    </w:p>
    <w:p w14:paraId="57432813" w14:textId="77777777" w:rsidR="001272F6" w:rsidRDefault="001272F6" w:rsidP="00466E22">
      <w:pPr>
        <w:jc w:val="both"/>
        <w:rPr>
          <w:rFonts w:cs="Segoe UI"/>
          <w:b/>
          <w:bCs/>
          <w:color w:val="1D2125"/>
          <w:shd w:val="clear" w:color="auto" w:fill="FFFFFF"/>
        </w:rPr>
      </w:pPr>
    </w:p>
    <w:p w14:paraId="67690043" w14:textId="77777777" w:rsidR="00642343" w:rsidRDefault="00642343" w:rsidP="00466E22">
      <w:pPr>
        <w:jc w:val="both"/>
        <w:rPr>
          <w:rFonts w:cs="Segoe UI"/>
          <w:i/>
          <w:iCs/>
          <w:color w:val="000000" w:themeColor="text1"/>
          <w:shd w:val="clear" w:color="auto" w:fill="FFFFFF"/>
        </w:rPr>
      </w:pPr>
      <w:proofErr w:type="spellStart"/>
      <w:r>
        <w:rPr>
          <w:rFonts w:cs="Segoe UI"/>
          <w:color w:val="000000" w:themeColor="text1"/>
          <w:shd w:val="clear" w:color="auto" w:fill="FFFFFF"/>
        </w:rPr>
        <w:t>Berdini</w:t>
      </w:r>
      <w:proofErr w:type="spellEnd"/>
      <w:r>
        <w:rPr>
          <w:rFonts w:cs="Segoe UI"/>
          <w:color w:val="000000" w:themeColor="text1"/>
          <w:shd w:val="clear" w:color="auto" w:fill="FFFFFF"/>
        </w:rPr>
        <w:t xml:space="preserve">, Paolo., </w:t>
      </w:r>
      <w:r w:rsidRPr="00CB15A4">
        <w:rPr>
          <w:rFonts w:cs="Segoe UI"/>
          <w:i/>
          <w:iCs/>
          <w:color w:val="000000" w:themeColor="text1"/>
          <w:shd w:val="clear" w:color="auto" w:fill="FFFFFF"/>
        </w:rPr>
        <w:t xml:space="preserve">The Religious Art of Jacopo Bassano: Painting as Visual Exegesis </w:t>
      </w:r>
    </w:p>
    <w:p w14:paraId="01B0421C" w14:textId="7E8DCA3C" w:rsidR="00642343" w:rsidRPr="00642343" w:rsidRDefault="00642343" w:rsidP="00466E22">
      <w:pPr>
        <w:ind w:firstLine="720"/>
        <w:jc w:val="both"/>
        <w:rPr>
          <w:rFonts w:cs="Segoe UI"/>
          <w:color w:val="000000" w:themeColor="text1"/>
          <w:shd w:val="clear" w:color="auto" w:fill="FFFFFF"/>
        </w:rPr>
      </w:pPr>
      <w:r>
        <w:rPr>
          <w:rFonts w:cs="Segoe UI"/>
          <w:color w:val="000000" w:themeColor="text1"/>
          <w:shd w:val="clear" w:color="auto" w:fill="FFFFFF"/>
        </w:rPr>
        <w:t>(Cambridge University Press:</w:t>
      </w:r>
      <w:r w:rsidRPr="00CB15A4">
        <w:rPr>
          <w:rFonts w:cs="Segoe UI"/>
          <w:color w:val="000000" w:themeColor="text1"/>
          <w:shd w:val="clear" w:color="auto" w:fill="FFFFFF"/>
        </w:rPr>
        <w:t>1997</w:t>
      </w:r>
      <w:r>
        <w:rPr>
          <w:rFonts w:cs="Segoe UI"/>
          <w:color w:val="000000" w:themeColor="text1"/>
          <w:shd w:val="clear" w:color="auto" w:fill="FFFFFF"/>
        </w:rPr>
        <w:t>)</w:t>
      </w:r>
    </w:p>
    <w:p w14:paraId="227C0AF7" w14:textId="77777777" w:rsidR="00642343" w:rsidRDefault="00642343" w:rsidP="00466E22">
      <w:pPr>
        <w:jc w:val="both"/>
      </w:pPr>
    </w:p>
    <w:p w14:paraId="0CC948EC" w14:textId="61E4D2E8" w:rsidR="00642343" w:rsidRDefault="00642343" w:rsidP="00466E22">
      <w:pPr>
        <w:jc w:val="both"/>
      </w:pPr>
      <w:r>
        <w:t>Bible, New International Version</w:t>
      </w:r>
    </w:p>
    <w:p w14:paraId="3C09730C" w14:textId="77777777" w:rsidR="00642343" w:rsidRDefault="00642343" w:rsidP="00466E22">
      <w:pPr>
        <w:jc w:val="both"/>
      </w:pPr>
    </w:p>
    <w:p w14:paraId="628C8003" w14:textId="77777777" w:rsidR="00642343" w:rsidRDefault="00642343" w:rsidP="00466E22">
      <w:pPr>
        <w:jc w:val="both"/>
      </w:pPr>
      <w:r>
        <w:t xml:space="preserve">Gadamer, Hans-Georg, </w:t>
      </w:r>
      <w:r>
        <w:rPr>
          <w:i/>
          <w:iCs/>
        </w:rPr>
        <w:t>Truth and Method</w:t>
      </w:r>
      <w:r>
        <w:t xml:space="preserve">, trans. Joel Weinsheimer and Donald G. </w:t>
      </w:r>
    </w:p>
    <w:p w14:paraId="051DFD8F" w14:textId="73FD96BB" w:rsidR="00642343" w:rsidRDefault="00642343" w:rsidP="00466E22">
      <w:pPr>
        <w:ind w:firstLine="720"/>
        <w:jc w:val="both"/>
      </w:pPr>
      <w:r>
        <w:t>Marshall, 2</w:t>
      </w:r>
      <w:r w:rsidRPr="00CB15A4">
        <w:rPr>
          <w:vertAlign w:val="superscript"/>
        </w:rPr>
        <w:t>nd</w:t>
      </w:r>
      <w:r>
        <w:t xml:space="preserve"> </w:t>
      </w:r>
      <w:proofErr w:type="spellStart"/>
      <w:r>
        <w:t>edn</w:t>
      </w:r>
      <w:proofErr w:type="spellEnd"/>
      <w:r>
        <w:t>. (London: Continuum, 2004)</w:t>
      </w:r>
    </w:p>
    <w:p w14:paraId="62ABDFC1" w14:textId="77777777" w:rsidR="00FD4CB3" w:rsidRDefault="00FD4CB3" w:rsidP="00466E22">
      <w:pPr>
        <w:jc w:val="both"/>
        <w:rPr>
          <w:rFonts w:cs="Segoe UI"/>
          <w:color w:val="1D2125"/>
          <w:shd w:val="clear" w:color="auto" w:fill="FFFFFF"/>
        </w:rPr>
      </w:pPr>
    </w:p>
    <w:p w14:paraId="4BE61547" w14:textId="33B05581" w:rsidR="00642343" w:rsidRDefault="00642343" w:rsidP="00466E22">
      <w:pPr>
        <w:jc w:val="both"/>
        <w:rPr>
          <w:rFonts w:cs="Segoe UI"/>
          <w:color w:val="000000" w:themeColor="text1"/>
          <w:shd w:val="clear" w:color="auto" w:fill="FFFFFF"/>
        </w:rPr>
      </w:pPr>
      <w:r w:rsidRPr="00CB15A4">
        <w:rPr>
          <w:rFonts w:cs="Segoe UI"/>
          <w:color w:val="000000" w:themeColor="text1"/>
          <w:shd w:val="clear" w:color="auto" w:fill="FFFFFF"/>
        </w:rPr>
        <w:t>O’Kane, M.</w:t>
      </w:r>
      <w:r>
        <w:rPr>
          <w:rFonts w:cs="Segoe UI"/>
          <w:color w:val="000000" w:themeColor="text1"/>
          <w:shd w:val="clear" w:color="auto" w:fill="FFFFFF"/>
        </w:rPr>
        <w:t>,</w:t>
      </w:r>
      <w:r w:rsidRPr="00CB15A4">
        <w:rPr>
          <w:rFonts w:cs="Segoe UI"/>
          <w:color w:val="000000" w:themeColor="text1"/>
          <w:shd w:val="clear" w:color="auto" w:fill="FFFFFF"/>
        </w:rPr>
        <w:t xml:space="preserve"> </w:t>
      </w:r>
      <w:r>
        <w:rPr>
          <w:rFonts w:cs="Segoe UI"/>
          <w:color w:val="000000" w:themeColor="text1"/>
          <w:shd w:val="clear" w:color="auto" w:fill="FFFFFF"/>
        </w:rPr>
        <w:t>‘</w:t>
      </w:r>
      <w:proofErr w:type="spellStart"/>
      <w:r w:rsidRPr="00CB15A4">
        <w:rPr>
          <w:rFonts w:cs="Segoe UI"/>
          <w:color w:val="000000" w:themeColor="text1"/>
          <w:shd w:val="clear" w:color="auto" w:fill="FFFFFF"/>
        </w:rPr>
        <w:t>Wirkungsgeschichte</w:t>
      </w:r>
      <w:proofErr w:type="spellEnd"/>
      <w:r w:rsidRPr="00CB15A4">
        <w:rPr>
          <w:rFonts w:cs="Segoe UI"/>
          <w:color w:val="000000" w:themeColor="text1"/>
          <w:shd w:val="clear" w:color="auto" w:fill="FFFFFF"/>
        </w:rPr>
        <w:t xml:space="preserve"> and Visual Exegesis: The Contribution of Hans-</w:t>
      </w:r>
    </w:p>
    <w:p w14:paraId="0992E3FD" w14:textId="77777777" w:rsidR="00642343" w:rsidRDefault="00642343" w:rsidP="00466E22">
      <w:pPr>
        <w:ind w:firstLine="720"/>
        <w:jc w:val="both"/>
        <w:rPr>
          <w:rFonts w:cs="Segoe UI"/>
          <w:color w:val="000000" w:themeColor="text1"/>
          <w:shd w:val="clear" w:color="auto" w:fill="FFFFFF"/>
        </w:rPr>
      </w:pPr>
      <w:r w:rsidRPr="00CB15A4">
        <w:rPr>
          <w:rFonts w:cs="Segoe UI"/>
          <w:color w:val="000000" w:themeColor="text1"/>
          <w:shd w:val="clear" w:color="auto" w:fill="FFFFFF"/>
        </w:rPr>
        <w:t>Georg Gadamer</w:t>
      </w:r>
      <w:r>
        <w:rPr>
          <w:rFonts w:cs="Segoe UI"/>
          <w:color w:val="000000" w:themeColor="text1"/>
          <w:shd w:val="clear" w:color="auto" w:fill="FFFFFF"/>
        </w:rPr>
        <w:t>’,</w:t>
      </w:r>
      <w:r w:rsidRPr="00CB15A4">
        <w:rPr>
          <w:rFonts w:cs="Segoe UI"/>
          <w:color w:val="000000" w:themeColor="text1"/>
          <w:shd w:val="clear" w:color="auto" w:fill="FFFFFF"/>
        </w:rPr>
        <w:t> </w:t>
      </w:r>
      <w:r w:rsidRPr="00CB15A4">
        <w:rPr>
          <w:rFonts w:cs="Segoe UI"/>
          <w:i/>
          <w:iCs/>
          <w:color w:val="000000" w:themeColor="text1"/>
          <w:shd w:val="clear" w:color="auto" w:fill="FFFFFF"/>
        </w:rPr>
        <w:t>Journal for the Study of the New Testament</w:t>
      </w:r>
      <w:r w:rsidRPr="00CB15A4">
        <w:rPr>
          <w:rFonts w:cs="Segoe UI"/>
          <w:color w:val="000000" w:themeColor="text1"/>
          <w:shd w:val="clear" w:color="auto" w:fill="FFFFFF"/>
        </w:rPr>
        <w:t>, </w:t>
      </w:r>
      <w:r w:rsidRPr="00CB15A4">
        <w:rPr>
          <w:rFonts w:cs="Segoe UI"/>
          <w:i/>
          <w:iCs/>
          <w:color w:val="000000" w:themeColor="text1"/>
          <w:shd w:val="clear" w:color="auto" w:fill="FFFFFF"/>
        </w:rPr>
        <w:t>33</w:t>
      </w:r>
      <w:r w:rsidRPr="00CB15A4">
        <w:rPr>
          <w:rFonts w:cs="Segoe UI"/>
          <w:color w:val="000000" w:themeColor="text1"/>
          <w:shd w:val="clear" w:color="auto" w:fill="FFFFFF"/>
        </w:rPr>
        <w:t xml:space="preserve">(2), </w:t>
      </w:r>
      <w:r>
        <w:rPr>
          <w:rFonts w:cs="Segoe UI"/>
          <w:color w:val="000000" w:themeColor="text1"/>
          <w:shd w:val="clear" w:color="auto" w:fill="FFFFFF"/>
        </w:rPr>
        <w:t xml:space="preserve">(2010) </w:t>
      </w:r>
      <w:r w:rsidRPr="00CB15A4">
        <w:rPr>
          <w:rFonts w:cs="Segoe UI"/>
          <w:color w:val="000000" w:themeColor="text1"/>
          <w:shd w:val="clear" w:color="auto" w:fill="FFFFFF"/>
        </w:rPr>
        <w:t>147–</w:t>
      </w:r>
    </w:p>
    <w:p w14:paraId="214F6CB2" w14:textId="6BE349CB" w:rsidR="00642343" w:rsidRDefault="00642343" w:rsidP="00466E22">
      <w:pPr>
        <w:ind w:firstLine="720"/>
        <w:jc w:val="both"/>
        <w:rPr>
          <w:rFonts w:cs="Segoe UI"/>
          <w:color w:val="000000" w:themeColor="text1"/>
          <w:shd w:val="clear" w:color="auto" w:fill="FFFFFF"/>
        </w:rPr>
      </w:pPr>
      <w:r w:rsidRPr="00CB15A4">
        <w:rPr>
          <w:rFonts w:cs="Segoe UI"/>
          <w:color w:val="000000" w:themeColor="text1"/>
          <w:shd w:val="clear" w:color="auto" w:fill="FFFFFF"/>
        </w:rPr>
        <w:t>159.</w:t>
      </w:r>
      <w:r>
        <w:rPr>
          <w:rFonts w:cs="Segoe UI"/>
          <w:color w:val="000000" w:themeColor="text1"/>
          <w:shd w:val="clear" w:color="auto" w:fill="FFFFFF"/>
        </w:rPr>
        <w:t xml:space="preserve"> </w:t>
      </w:r>
    </w:p>
    <w:p w14:paraId="3204FCBB" w14:textId="77777777" w:rsidR="00642343" w:rsidRDefault="00642343" w:rsidP="00466E22">
      <w:pPr>
        <w:jc w:val="both"/>
        <w:rPr>
          <w:rFonts w:cs="Segoe UI"/>
          <w:color w:val="000000" w:themeColor="text1"/>
          <w:shd w:val="clear" w:color="auto" w:fill="FFFFFF"/>
        </w:rPr>
      </w:pPr>
    </w:p>
    <w:p w14:paraId="1048F42E" w14:textId="14009545" w:rsidR="00642343" w:rsidRDefault="00642343" w:rsidP="00466E22">
      <w:pPr>
        <w:jc w:val="both"/>
        <w:rPr>
          <w:rFonts w:cs="Segoe UI"/>
          <w:color w:val="1D2125"/>
          <w:shd w:val="clear" w:color="auto" w:fill="FFFFFF"/>
        </w:rPr>
      </w:pPr>
      <w:r w:rsidRPr="007E720F">
        <w:rPr>
          <w:rFonts w:cs="Segoe UI"/>
          <w:color w:val="1D2125"/>
          <w:shd w:val="clear" w:color="auto" w:fill="FFFFFF"/>
        </w:rPr>
        <w:t xml:space="preserve">Crider, </w:t>
      </w:r>
      <w:r>
        <w:rPr>
          <w:rFonts w:cs="Segoe UI"/>
          <w:color w:val="1D2125"/>
          <w:shd w:val="clear" w:color="auto" w:fill="FFFFFF"/>
        </w:rPr>
        <w:t>Scott F., ‘</w:t>
      </w:r>
      <w:r w:rsidRPr="007E720F">
        <w:rPr>
          <w:rFonts w:cs="Segoe UI"/>
          <w:color w:val="1D2125"/>
          <w:shd w:val="clear" w:color="auto" w:fill="FFFFFF"/>
        </w:rPr>
        <w:t>The Test: Narrating God, Abraham and Isaac in Genesis 22:1–</w:t>
      </w:r>
    </w:p>
    <w:p w14:paraId="398E6816" w14:textId="2E0643D4" w:rsidR="00CB15A4" w:rsidRPr="00CB15A4" w:rsidRDefault="00642343" w:rsidP="00466E22">
      <w:pPr>
        <w:ind w:firstLine="720"/>
        <w:jc w:val="both"/>
        <w:rPr>
          <w:rFonts w:cs="Segoe UI"/>
          <w:color w:val="1D2125"/>
          <w:shd w:val="clear" w:color="auto" w:fill="FFFFFF"/>
        </w:rPr>
      </w:pPr>
      <w:r w:rsidRPr="007E720F">
        <w:rPr>
          <w:rFonts w:cs="Segoe UI"/>
          <w:color w:val="1D2125"/>
          <w:shd w:val="clear" w:color="auto" w:fill="FFFFFF"/>
        </w:rPr>
        <w:t>19</w:t>
      </w:r>
      <w:r>
        <w:rPr>
          <w:rFonts w:cs="Segoe UI"/>
          <w:color w:val="1D2125"/>
          <w:shd w:val="clear" w:color="auto" w:fill="FFFFFF"/>
        </w:rPr>
        <w:t>’</w:t>
      </w:r>
      <w:r w:rsidRPr="007E720F">
        <w:rPr>
          <w:rFonts w:cs="Segoe UI"/>
          <w:color w:val="1D2125"/>
          <w:shd w:val="clear" w:color="auto" w:fill="FFFFFF"/>
        </w:rPr>
        <w:t>, </w:t>
      </w:r>
      <w:r w:rsidRPr="007E720F">
        <w:rPr>
          <w:rFonts w:cs="Segoe UI"/>
          <w:i/>
          <w:iCs/>
          <w:color w:val="1D2125"/>
          <w:shd w:val="clear" w:color="auto" w:fill="FFFFFF"/>
        </w:rPr>
        <w:t>Literary Imagination</w:t>
      </w:r>
      <w:r w:rsidRPr="007E720F">
        <w:rPr>
          <w:rFonts w:cs="Segoe UI"/>
          <w:color w:val="1D2125"/>
          <w:shd w:val="clear" w:color="auto" w:fill="FFFFFF"/>
        </w:rPr>
        <w:t>, Volume 19, Issue 2, July 2017, 148–164</w:t>
      </w:r>
    </w:p>
    <w:p w14:paraId="6BE11201" w14:textId="273BE571" w:rsidR="00CB15A4" w:rsidRDefault="00CB15A4" w:rsidP="00466E22">
      <w:pPr>
        <w:jc w:val="both"/>
        <w:rPr>
          <w:rFonts w:cs="Segoe UI"/>
          <w:color w:val="1D2125"/>
          <w:shd w:val="clear" w:color="auto" w:fill="FFFFFF"/>
        </w:rPr>
      </w:pPr>
    </w:p>
    <w:p w14:paraId="7CC6C129" w14:textId="7AE85804" w:rsidR="00642343" w:rsidRDefault="00642343" w:rsidP="00466E22">
      <w:pPr>
        <w:jc w:val="both"/>
        <w:rPr>
          <w:rFonts w:cs="Segoe UI"/>
          <w:color w:val="1D2125"/>
          <w:shd w:val="clear" w:color="auto" w:fill="FFFFFF"/>
        </w:rPr>
      </w:pPr>
      <w:proofErr w:type="spellStart"/>
      <w:r w:rsidRPr="00642343">
        <w:rPr>
          <w:rFonts w:cs="Segoe UI"/>
          <w:color w:val="1D2125"/>
          <w:shd w:val="clear" w:color="auto" w:fill="FFFFFF"/>
        </w:rPr>
        <w:t>Selvén</w:t>
      </w:r>
      <w:proofErr w:type="spellEnd"/>
      <w:r w:rsidRPr="00642343">
        <w:rPr>
          <w:rFonts w:cs="Segoe UI"/>
          <w:color w:val="1D2125"/>
          <w:shd w:val="clear" w:color="auto" w:fill="FFFFFF"/>
        </w:rPr>
        <w:t>, S</w:t>
      </w:r>
      <w:r>
        <w:rPr>
          <w:rFonts w:cs="Segoe UI"/>
          <w:color w:val="1D2125"/>
          <w:shd w:val="clear" w:color="auto" w:fill="FFFFFF"/>
        </w:rPr>
        <w:t>ebastian</w:t>
      </w:r>
      <w:r w:rsidRPr="00642343">
        <w:rPr>
          <w:rFonts w:cs="Segoe UI"/>
          <w:color w:val="1D2125"/>
          <w:shd w:val="clear" w:color="auto" w:fill="FFFFFF"/>
        </w:rPr>
        <w:t xml:space="preserve"> (2020) The Binding of Isaac in J.R.R. Tolkien and Stephen </w:t>
      </w:r>
    </w:p>
    <w:p w14:paraId="288A1F49" w14:textId="55954E22" w:rsidR="00642343" w:rsidRPr="00642343" w:rsidRDefault="00642343" w:rsidP="00466E22">
      <w:pPr>
        <w:ind w:firstLine="720"/>
        <w:jc w:val="both"/>
        <w:rPr>
          <w:rFonts w:cs="Segoe UI"/>
          <w:i/>
          <w:iCs/>
          <w:color w:val="1D2125"/>
          <w:shd w:val="clear" w:color="auto" w:fill="FFFFFF"/>
        </w:rPr>
      </w:pPr>
      <w:r w:rsidRPr="00642343">
        <w:rPr>
          <w:rFonts w:cs="Segoe UI"/>
          <w:color w:val="1D2125"/>
          <w:shd w:val="clear" w:color="auto" w:fill="FFFFFF"/>
        </w:rPr>
        <w:t>King. </w:t>
      </w:r>
      <w:r w:rsidRPr="00642343">
        <w:rPr>
          <w:rFonts w:cs="Segoe UI"/>
          <w:i/>
          <w:iCs/>
          <w:color w:val="1D2125"/>
          <w:shd w:val="clear" w:color="auto" w:fill="FFFFFF"/>
        </w:rPr>
        <w:t>Biblical Interpretation</w:t>
      </w:r>
      <w:r w:rsidRPr="00642343">
        <w:rPr>
          <w:rFonts w:cs="Segoe UI"/>
          <w:color w:val="1D2125"/>
          <w:shd w:val="clear" w:color="auto" w:fill="FFFFFF"/>
        </w:rPr>
        <w:t>, </w:t>
      </w:r>
      <w:r w:rsidRPr="00642343">
        <w:rPr>
          <w:rFonts w:cs="Segoe UI"/>
          <w:i/>
          <w:iCs/>
          <w:color w:val="1D2125"/>
          <w:shd w:val="clear" w:color="auto" w:fill="FFFFFF"/>
        </w:rPr>
        <w:t>28</w:t>
      </w:r>
      <w:r w:rsidRPr="00642343">
        <w:rPr>
          <w:rFonts w:cs="Segoe UI"/>
          <w:color w:val="1D2125"/>
          <w:shd w:val="clear" w:color="auto" w:fill="FFFFFF"/>
        </w:rPr>
        <w:t>(2), 150-174</w:t>
      </w:r>
    </w:p>
    <w:p w14:paraId="15A89C49" w14:textId="77777777" w:rsidR="00642343" w:rsidRDefault="00642343" w:rsidP="00466E22">
      <w:pPr>
        <w:jc w:val="both"/>
        <w:rPr>
          <w:rFonts w:cs="Segoe UI"/>
          <w:color w:val="1D2125"/>
          <w:shd w:val="clear" w:color="auto" w:fill="FFFFFF"/>
        </w:rPr>
      </w:pPr>
    </w:p>
    <w:p w14:paraId="77F180E9" w14:textId="6E291F11" w:rsidR="00642343" w:rsidRDefault="00642343" w:rsidP="00466E22">
      <w:pPr>
        <w:jc w:val="both"/>
      </w:pPr>
      <w:r w:rsidRPr="00FD4CB3">
        <w:t xml:space="preserve">Zucker, </w:t>
      </w:r>
      <w:r>
        <w:t xml:space="preserve">David J., </w:t>
      </w:r>
      <w:r w:rsidRPr="00FD4CB3">
        <w:t>‘The deceiver deceived: rereading Genesis 27’, </w:t>
      </w:r>
      <w:r w:rsidRPr="00FD4CB3">
        <w:rPr>
          <w:i/>
          <w:iCs/>
        </w:rPr>
        <w:t>Jewish Bible Quarterly</w:t>
      </w:r>
      <w:r w:rsidRPr="00FD4CB3">
        <w:t xml:space="preserve">, </w:t>
      </w:r>
    </w:p>
    <w:p w14:paraId="58135E14" w14:textId="5BE3403F" w:rsidR="00642343" w:rsidRDefault="00642343" w:rsidP="00466E22">
      <w:pPr>
        <w:ind w:firstLine="720"/>
        <w:jc w:val="both"/>
      </w:pPr>
      <w:r w:rsidRPr="00FD4CB3">
        <w:t xml:space="preserve">39(1), </w:t>
      </w:r>
      <w:r>
        <w:t xml:space="preserve">(2011) </w:t>
      </w:r>
      <w:r w:rsidRPr="00FD4CB3">
        <w:t>46–58</w:t>
      </w:r>
    </w:p>
    <w:p w14:paraId="0D0ABFA3" w14:textId="77777777" w:rsidR="00642343" w:rsidRDefault="00642343" w:rsidP="00466E22">
      <w:pPr>
        <w:ind w:firstLine="720"/>
        <w:jc w:val="both"/>
      </w:pPr>
    </w:p>
    <w:p w14:paraId="53070407" w14:textId="77777777" w:rsidR="00642343" w:rsidRDefault="00642343" w:rsidP="00466E22">
      <w:pPr>
        <w:jc w:val="both"/>
      </w:pPr>
      <w:r w:rsidRPr="00642343">
        <w:t>Lyons, W</w:t>
      </w:r>
      <w:r>
        <w:t>illiam</w:t>
      </w:r>
      <w:r w:rsidRPr="00642343">
        <w:t xml:space="preserve"> J.</w:t>
      </w:r>
      <w:r>
        <w:t>,</w:t>
      </w:r>
      <w:r w:rsidRPr="00642343">
        <w:t xml:space="preserve"> </w:t>
      </w:r>
      <w:r>
        <w:t>‘</w:t>
      </w:r>
      <w:r w:rsidRPr="00642343">
        <w:t xml:space="preserve">Hope for a Troubled Discipline? Contributions to New Testament </w:t>
      </w:r>
    </w:p>
    <w:p w14:paraId="583E24BB" w14:textId="77777777" w:rsidR="00642343" w:rsidRDefault="00642343" w:rsidP="00466E22">
      <w:pPr>
        <w:ind w:firstLine="720"/>
        <w:jc w:val="both"/>
        <w:rPr>
          <w:i/>
          <w:iCs/>
        </w:rPr>
      </w:pPr>
      <w:r w:rsidRPr="00642343">
        <w:t>Studies from Reception History</w:t>
      </w:r>
      <w:r>
        <w:t>’,</w:t>
      </w:r>
      <w:r w:rsidRPr="00642343">
        <w:t> </w:t>
      </w:r>
      <w:r w:rsidRPr="00642343">
        <w:rPr>
          <w:i/>
          <w:iCs/>
        </w:rPr>
        <w:t xml:space="preserve">Journal for the Study of the New </w:t>
      </w:r>
    </w:p>
    <w:p w14:paraId="2B5AA67F" w14:textId="4F325044" w:rsidR="00642343" w:rsidRDefault="00642343" w:rsidP="00466E22">
      <w:pPr>
        <w:ind w:firstLine="720"/>
        <w:jc w:val="both"/>
      </w:pPr>
      <w:r w:rsidRPr="00642343">
        <w:rPr>
          <w:i/>
          <w:iCs/>
        </w:rPr>
        <w:t>Testament</w:t>
      </w:r>
      <w:r w:rsidRPr="00642343">
        <w:t>, </w:t>
      </w:r>
      <w:r w:rsidRPr="00642343">
        <w:rPr>
          <w:i/>
          <w:iCs/>
        </w:rPr>
        <w:t>33</w:t>
      </w:r>
      <w:r w:rsidRPr="00642343">
        <w:t xml:space="preserve">(2), </w:t>
      </w:r>
      <w:r>
        <w:t xml:space="preserve">(2010) </w:t>
      </w:r>
      <w:r w:rsidRPr="00642343">
        <w:t>207–220</w:t>
      </w:r>
      <w:r>
        <w:t xml:space="preserve"> </w:t>
      </w:r>
    </w:p>
    <w:p w14:paraId="124D4425" w14:textId="77777777" w:rsidR="00642343" w:rsidRDefault="00642343" w:rsidP="00466E22">
      <w:pPr>
        <w:ind w:firstLine="720"/>
        <w:jc w:val="both"/>
      </w:pPr>
    </w:p>
    <w:p w14:paraId="2A1A317E" w14:textId="77777777" w:rsidR="00642343" w:rsidRDefault="00642343" w:rsidP="00466E22">
      <w:pPr>
        <w:jc w:val="both"/>
        <w:rPr>
          <w:i/>
          <w:iCs/>
        </w:rPr>
      </w:pPr>
      <w:r w:rsidRPr="00642343">
        <w:t>Hughes, Aaron W., 'Conclusions', </w:t>
      </w:r>
      <w:r w:rsidRPr="00642343">
        <w:rPr>
          <w:i/>
          <w:iCs/>
        </w:rPr>
        <w:t xml:space="preserve">Abrahamic Religions: On the Uses and Abuses of </w:t>
      </w:r>
    </w:p>
    <w:p w14:paraId="4C08515C" w14:textId="20BA6750" w:rsidR="00642343" w:rsidRDefault="00642343" w:rsidP="00466E22">
      <w:pPr>
        <w:ind w:firstLine="720"/>
        <w:jc w:val="both"/>
      </w:pPr>
      <w:r w:rsidRPr="00642343">
        <w:rPr>
          <w:i/>
          <w:iCs/>
        </w:rPr>
        <w:t>History</w:t>
      </w:r>
      <w:r w:rsidRPr="00642343">
        <w:t xml:space="preserve"> (New York, 2012; online </w:t>
      </w:r>
      <w:proofErr w:type="spellStart"/>
      <w:r w:rsidRPr="00642343">
        <w:t>edn</w:t>
      </w:r>
      <w:proofErr w:type="spellEnd"/>
      <w:r w:rsidRPr="00642343">
        <w:t>, Oxford Academic, 24 Jan. 2013)</w:t>
      </w:r>
    </w:p>
    <w:p w14:paraId="1F364031" w14:textId="77777777" w:rsidR="00642343" w:rsidRDefault="00642343" w:rsidP="00466E22">
      <w:pPr>
        <w:jc w:val="both"/>
      </w:pPr>
    </w:p>
    <w:p w14:paraId="17C5BCBB" w14:textId="77777777" w:rsidR="002F3FE5" w:rsidRDefault="00642343" w:rsidP="00466E22">
      <w:pPr>
        <w:jc w:val="both"/>
      </w:pPr>
      <w:r>
        <w:t>Keady</w:t>
      </w:r>
      <w:r w:rsidR="002F3FE5">
        <w:t>, Jessica, ‘</w:t>
      </w:r>
      <w:r w:rsidR="002F3FE5" w:rsidRPr="002F3FE5">
        <w:t xml:space="preserve">Rape Culture Discourse and Female Impurity: Genesis 34 as a Case </w:t>
      </w:r>
    </w:p>
    <w:p w14:paraId="3D0FCF7A" w14:textId="6BAE4624" w:rsidR="00642343" w:rsidRDefault="002F3FE5" w:rsidP="00466E22">
      <w:pPr>
        <w:ind w:firstLine="720"/>
        <w:jc w:val="both"/>
      </w:pPr>
      <w:r w:rsidRPr="002F3FE5">
        <w:t>Study</w:t>
      </w:r>
      <w:r>
        <w:t xml:space="preserve">’, </w:t>
      </w:r>
      <w:r w:rsidRPr="00FD4CB3">
        <w:rPr>
          <w:i/>
          <w:iCs/>
        </w:rPr>
        <w:t>The Reader</w:t>
      </w:r>
      <w:r w:rsidRPr="00FD4CB3">
        <w:t>, 115 (5)</w:t>
      </w:r>
      <w:r>
        <w:t xml:space="preserve"> (2016)</w:t>
      </w:r>
      <w:r w:rsidRPr="00FD4CB3">
        <w:t>, 18-20</w:t>
      </w:r>
    </w:p>
    <w:p w14:paraId="547A2996" w14:textId="77777777" w:rsidR="002F3FE5" w:rsidRDefault="002F3FE5" w:rsidP="00466E22">
      <w:pPr>
        <w:jc w:val="both"/>
      </w:pPr>
    </w:p>
    <w:p w14:paraId="0AEC0CCD" w14:textId="0CBBBAF8" w:rsidR="002F3FE5" w:rsidRDefault="002F3FE5" w:rsidP="00466E22">
      <w:pPr>
        <w:jc w:val="both"/>
        <w:rPr>
          <w:rFonts w:cs="Open Sans"/>
          <w:i/>
          <w:iCs/>
          <w:color w:val="333333"/>
          <w:shd w:val="clear" w:color="auto" w:fill="FFFFFF"/>
        </w:rPr>
      </w:pPr>
      <w:r w:rsidRPr="002F3FE5">
        <w:rPr>
          <w:rFonts w:cs="Open Sans"/>
          <w:color w:val="333333"/>
          <w:shd w:val="clear" w:color="auto" w:fill="FFFFFF"/>
        </w:rPr>
        <w:t>Anderson, B. A.</w:t>
      </w:r>
      <w:r>
        <w:rPr>
          <w:rFonts w:cs="Open Sans"/>
          <w:color w:val="333333"/>
          <w:shd w:val="clear" w:color="auto" w:fill="FFFFFF"/>
        </w:rPr>
        <w:t>,</w:t>
      </w:r>
      <w:r w:rsidRPr="002F3FE5">
        <w:rPr>
          <w:rFonts w:cs="Open Sans"/>
          <w:color w:val="333333"/>
          <w:shd w:val="clear" w:color="auto" w:fill="FFFFFF"/>
        </w:rPr>
        <w:t xml:space="preserve"> ‘Jacob, Esau, and the Constructive Possibilities of the Other’</w:t>
      </w:r>
      <w:r>
        <w:rPr>
          <w:rFonts w:cs="Open Sans"/>
          <w:color w:val="333333"/>
          <w:shd w:val="clear" w:color="auto" w:fill="FFFFFF"/>
        </w:rPr>
        <w:t>,</w:t>
      </w:r>
      <w:r w:rsidRPr="002F3FE5">
        <w:rPr>
          <w:rFonts w:cs="Open Sans"/>
          <w:color w:val="333333"/>
          <w:shd w:val="clear" w:color="auto" w:fill="FFFFFF"/>
        </w:rPr>
        <w:t> </w:t>
      </w:r>
      <w:r w:rsidRPr="002F3FE5">
        <w:rPr>
          <w:rFonts w:cs="Open Sans"/>
          <w:i/>
          <w:iCs/>
          <w:color w:val="333333"/>
          <w:shd w:val="clear" w:color="auto" w:fill="FFFFFF"/>
        </w:rPr>
        <w:t xml:space="preserve">Biblical </w:t>
      </w:r>
    </w:p>
    <w:p w14:paraId="5402FC1B" w14:textId="58D5535D" w:rsidR="002F3FE5" w:rsidRDefault="002F3FE5" w:rsidP="00466E22">
      <w:pPr>
        <w:ind w:firstLine="720"/>
        <w:jc w:val="both"/>
        <w:rPr>
          <w:rFonts w:cs="Open Sans"/>
          <w:color w:val="333333"/>
          <w:shd w:val="clear" w:color="auto" w:fill="FFFFFF"/>
        </w:rPr>
      </w:pPr>
      <w:r w:rsidRPr="002F3FE5">
        <w:rPr>
          <w:rFonts w:cs="Open Sans"/>
          <w:i/>
          <w:iCs/>
          <w:color w:val="333333"/>
          <w:shd w:val="clear" w:color="auto" w:fill="FFFFFF"/>
        </w:rPr>
        <w:t>Theology Bulletin: Journal of Bible and Culture</w:t>
      </w:r>
      <w:r w:rsidRPr="002F3FE5">
        <w:rPr>
          <w:rFonts w:cs="Open Sans"/>
          <w:color w:val="333333"/>
          <w:shd w:val="clear" w:color="auto" w:fill="FFFFFF"/>
        </w:rPr>
        <w:t>, </w:t>
      </w:r>
      <w:r w:rsidRPr="002F3FE5">
        <w:rPr>
          <w:rFonts w:cs="Open Sans"/>
          <w:i/>
          <w:iCs/>
          <w:color w:val="333333"/>
          <w:shd w:val="clear" w:color="auto" w:fill="FFFFFF"/>
        </w:rPr>
        <w:t>49</w:t>
      </w:r>
      <w:r w:rsidRPr="002F3FE5">
        <w:rPr>
          <w:rFonts w:cs="Open Sans"/>
          <w:color w:val="333333"/>
          <w:shd w:val="clear" w:color="auto" w:fill="FFFFFF"/>
        </w:rPr>
        <w:t>(1), (2019) 15-21</w:t>
      </w:r>
    </w:p>
    <w:p w14:paraId="41717DF4" w14:textId="77777777" w:rsidR="002F3FE5" w:rsidRDefault="002F3FE5" w:rsidP="00466E22">
      <w:pPr>
        <w:ind w:firstLine="720"/>
        <w:jc w:val="both"/>
        <w:rPr>
          <w:rFonts w:cs="Open Sans"/>
          <w:color w:val="333333"/>
          <w:shd w:val="clear" w:color="auto" w:fill="FFFFFF"/>
        </w:rPr>
      </w:pPr>
    </w:p>
    <w:p w14:paraId="253BCD9E" w14:textId="77777777" w:rsidR="002F3FE5" w:rsidRDefault="002F3FE5" w:rsidP="00466E22">
      <w:pPr>
        <w:jc w:val="both"/>
        <w:rPr>
          <w:i/>
          <w:iCs/>
        </w:rPr>
      </w:pPr>
      <w:r w:rsidRPr="002F3FE5">
        <w:t>Elliott, M. W</w:t>
      </w:r>
      <w:r>
        <w:t>.,</w:t>
      </w:r>
      <w:r w:rsidRPr="002F3FE5">
        <w:t xml:space="preserve"> </w:t>
      </w:r>
      <w:r>
        <w:t>‘</w:t>
      </w:r>
      <w:r w:rsidRPr="002F3FE5">
        <w:t>Effective-History and the Hermeneutics of Ulrich Luz</w:t>
      </w:r>
      <w:r>
        <w:t>’,</w:t>
      </w:r>
      <w:r w:rsidRPr="002F3FE5">
        <w:t> </w:t>
      </w:r>
      <w:r w:rsidRPr="002F3FE5">
        <w:rPr>
          <w:i/>
          <w:iCs/>
        </w:rPr>
        <w:t xml:space="preserve">Journal for the </w:t>
      </w:r>
    </w:p>
    <w:p w14:paraId="3D92459E" w14:textId="0E607381" w:rsidR="002F3FE5" w:rsidRDefault="002F3FE5" w:rsidP="00466E22">
      <w:pPr>
        <w:ind w:firstLine="720"/>
        <w:jc w:val="both"/>
      </w:pPr>
      <w:r w:rsidRPr="002F3FE5">
        <w:rPr>
          <w:i/>
          <w:iCs/>
        </w:rPr>
        <w:t>Study of the New Testament</w:t>
      </w:r>
      <w:r w:rsidRPr="002F3FE5">
        <w:t>, </w:t>
      </w:r>
      <w:r w:rsidRPr="002F3FE5">
        <w:rPr>
          <w:i/>
          <w:iCs/>
        </w:rPr>
        <w:t>33</w:t>
      </w:r>
      <w:r w:rsidRPr="002F3FE5">
        <w:t>(2),</w:t>
      </w:r>
      <w:r>
        <w:t xml:space="preserve"> (2010)</w:t>
      </w:r>
      <w:r w:rsidRPr="002F3FE5">
        <w:t xml:space="preserve"> 161–173</w:t>
      </w:r>
    </w:p>
    <w:p w14:paraId="36730FB3" w14:textId="77777777" w:rsidR="002F3FE5" w:rsidRDefault="002F3FE5" w:rsidP="00466E22">
      <w:pPr>
        <w:ind w:firstLine="720"/>
        <w:jc w:val="both"/>
      </w:pPr>
    </w:p>
    <w:p w14:paraId="0EB53582" w14:textId="77777777" w:rsidR="002F3FE5" w:rsidRDefault="002F3FE5" w:rsidP="00466E22">
      <w:pPr>
        <w:jc w:val="both"/>
        <w:rPr>
          <w:i/>
          <w:iCs/>
        </w:rPr>
      </w:pPr>
      <w:r>
        <w:t xml:space="preserve">Knight, </w:t>
      </w:r>
      <w:proofErr w:type="gramStart"/>
      <w:r>
        <w:t>M.,</w:t>
      </w:r>
      <w:r>
        <w:rPr>
          <w:i/>
          <w:iCs/>
        </w:rPr>
        <w:t>‘</w:t>
      </w:r>
      <w:proofErr w:type="spellStart"/>
      <w:proofErr w:type="gramEnd"/>
      <w:r w:rsidRPr="002F3FE5">
        <w:rPr>
          <w:i/>
          <w:iCs/>
        </w:rPr>
        <w:t>Wirkungsgeschichte</w:t>
      </w:r>
      <w:proofErr w:type="spellEnd"/>
      <w:r w:rsidRPr="002F3FE5">
        <w:rPr>
          <w:i/>
          <w:iCs/>
        </w:rPr>
        <w:t xml:space="preserve">, </w:t>
      </w:r>
      <w:r w:rsidRPr="002F3FE5">
        <w:t>Reception History, Reception Theory</w:t>
      </w:r>
      <w:r>
        <w:t xml:space="preserve">’, </w:t>
      </w:r>
      <w:r w:rsidRPr="002F3FE5">
        <w:rPr>
          <w:i/>
          <w:iCs/>
        </w:rPr>
        <w:t xml:space="preserve">Journal for the </w:t>
      </w:r>
    </w:p>
    <w:p w14:paraId="58D27E89" w14:textId="03BA7931" w:rsidR="002F3FE5" w:rsidRDefault="002F3FE5" w:rsidP="00466E22">
      <w:pPr>
        <w:ind w:firstLine="720"/>
        <w:jc w:val="both"/>
      </w:pPr>
      <w:r w:rsidRPr="002F3FE5">
        <w:rPr>
          <w:i/>
          <w:iCs/>
        </w:rPr>
        <w:t>Study of the New Testament</w:t>
      </w:r>
      <w:r w:rsidRPr="002F3FE5">
        <w:t>, </w:t>
      </w:r>
      <w:r w:rsidRPr="002F3FE5">
        <w:rPr>
          <w:i/>
          <w:iCs/>
        </w:rPr>
        <w:t>33</w:t>
      </w:r>
      <w:r w:rsidRPr="002F3FE5">
        <w:t>(2),</w:t>
      </w:r>
      <w:r>
        <w:t xml:space="preserve"> (2010)</w:t>
      </w:r>
      <w:r w:rsidRPr="002F3FE5">
        <w:t xml:space="preserve"> </w:t>
      </w:r>
      <w:r>
        <w:t>137-146</w:t>
      </w:r>
    </w:p>
    <w:p w14:paraId="073D20E6" w14:textId="1E4D4475" w:rsidR="002F3FE5" w:rsidRPr="002F3FE5" w:rsidRDefault="002F3FE5" w:rsidP="00466E22">
      <w:pPr>
        <w:jc w:val="both"/>
      </w:pPr>
    </w:p>
    <w:p w14:paraId="018C34F3" w14:textId="77777777" w:rsidR="002F3FE5" w:rsidRPr="002F3FE5" w:rsidRDefault="002F3FE5" w:rsidP="00466E22">
      <w:pPr>
        <w:jc w:val="both"/>
        <w:rPr>
          <w:i/>
          <w:iCs/>
        </w:rPr>
      </w:pPr>
      <w:r>
        <w:t xml:space="preserve">Roberts, J., Rowland, C., ‘Introduction’, </w:t>
      </w:r>
      <w:r w:rsidRPr="002F3FE5">
        <w:rPr>
          <w:i/>
          <w:iCs/>
        </w:rPr>
        <w:t xml:space="preserve">Journal for the </w:t>
      </w:r>
    </w:p>
    <w:p w14:paraId="7AD7F29D" w14:textId="2D6D435F" w:rsidR="002F3FE5" w:rsidRPr="002F3FE5" w:rsidRDefault="002F3FE5" w:rsidP="00466E22">
      <w:pPr>
        <w:ind w:firstLine="720"/>
        <w:jc w:val="both"/>
      </w:pPr>
      <w:r w:rsidRPr="002F3FE5">
        <w:rPr>
          <w:i/>
          <w:iCs/>
        </w:rPr>
        <w:t>Study of the New Testament</w:t>
      </w:r>
      <w:r w:rsidRPr="002F3FE5">
        <w:t>, </w:t>
      </w:r>
      <w:r w:rsidRPr="002F3FE5">
        <w:rPr>
          <w:i/>
          <w:iCs/>
        </w:rPr>
        <w:t>33</w:t>
      </w:r>
      <w:r w:rsidRPr="002F3FE5">
        <w:t>(2), (2010) 13</w:t>
      </w:r>
      <w:r>
        <w:t>1</w:t>
      </w:r>
      <w:r w:rsidRPr="002F3FE5">
        <w:t>-1</w:t>
      </w:r>
      <w:r>
        <w:t>3</w:t>
      </w:r>
      <w:r w:rsidRPr="002F3FE5">
        <w:t>6</w:t>
      </w:r>
    </w:p>
    <w:p w14:paraId="3C81533E" w14:textId="498374E9" w:rsidR="002F3FE5" w:rsidRPr="002F3FE5" w:rsidRDefault="002F3FE5" w:rsidP="00466E22">
      <w:pPr>
        <w:jc w:val="both"/>
      </w:pPr>
    </w:p>
    <w:p w14:paraId="63BEC245" w14:textId="21545A51" w:rsidR="00FD4CB3" w:rsidRPr="00CB15A4" w:rsidRDefault="00FD4CB3" w:rsidP="00466E22">
      <w:pPr>
        <w:jc w:val="both"/>
      </w:pPr>
    </w:p>
    <w:sectPr w:rsidR="00FD4CB3" w:rsidRPr="00CB15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31C2B" w14:textId="77777777" w:rsidR="00AC747B" w:rsidRDefault="00AC747B" w:rsidP="00CB15A4">
      <w:r>
        <w:separator/>
      </w:r>
    </w:p>
  </w:endnote>
  <w:endnote w:type="continuationSeparator" w:id="0">
    <w:p w14:paraId="7A8D4BBE" w14:textId="77777777" w:rsidR="00AC747B" w:rsidRDefault="00AC747B" w:rsidP="00CB1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85D43" w14:textId="77777777" w:rsidR="00AC747B" w:rsidRDefault="00AC747B" w:rsidP="00CB15A4">
      <w:r>
        <w:separator/>
      </w:r>
    </w:p>
  </w:footnote>
  <w:footnote w:type="continuationSeparator" w:id="0">
    <w:p w14:paraId="6F058612" w14:textId="77777777" w:rsidR="00AC747B" w:rsidRDefault="00AC747B" w:rsidP="00CB15A4">
      <w:r>
        <w:continuationSeparator/>
      </w:r>
    </w:p>
  </w:footnote>
  <w:footnote w:id="1">
    <w:p w14:paraId="517700AC" w14:textId="10152DB5" w:rsidR="00CB15A4" w:rsidRDefault="00CB15A4">
      <w:pPr>
        <w:pStyle w:val="FootnoteText"/>
      </w:pPr>
      <w:r>
        <w:rPr>
          <w:rStyle w:val="FootnoteReference"/>
        </w:rPr>
        <w:footnoteRef/>
      </w:r>
      <w:r>
        <w:t xml:space="preserve"> Matthew 27:62 - 66</w:t>
      </w:r>
    </w:p>
  </w:footnote>
  <w:footnote w:id="2">
    <w:p w14:paraId="7B484070" w14:textId="4AF077EB" w:rsidR="00FD4CB3" w:rsidRPr="00FD4CB3" w:rsidRDefault="00FD4CB3" w:rsidP="00FD4CB3">
      <w:pPr>
        <w:pStyle w:val="FootnoteText"/>
      </w:pPr>
      <w:r>
        <w:rPr>
          <w:rStyle w:val="FootnoteReference"/>
        </w:rPr>
        <w:footnoteRef/>
      </w:r>
      <w:r>
        <w:t xml:space="preserve"> </w:t>
      </w:r>
      <w:r w:rsidRPr="00FD4CB3">
        <w:t>On the illustrated fresco, it should be noted that its location creates a striking effect on the viewer, as with the vividness of Christ’s appearance, newly risen from the dead: for contemporary viewers (and perhaps more so for the citizens of the town of ‘Holy Sepulchre’ in Italy – the literal translation of ‘Sansepolc</w:t>
      </w:r>
      <w:r>
        <w:t>r</w:t>
      </w:r>
      <w:r w:rsidRPr="00FD4CB3">
        <w:t xml:space="preserve">o) </w:t>
      </w:r>
      <w:r>
        <w:t xml:space="preserve">the </w:t>
      </w:r>
      <w:r w:rsidRPr="00FD4CB3">
        <w:t>work’s effect may indeed be as confronting as the news that reached the disciples on that first Easter morning. As typical of the topic of this study, the relational aspect (viewer to artwork, and vice versa) is fraught with challenge: confronting the ‘scandal’ of coming back from the dead, P</w:t>
      </w:r>
      <w:r>
        <w:t>ie</w:t>
      </w:r>
      <w:r w:rsidRPr="00FD4CB3">
        <w:t xml:space="preserve">ro </w:t>
      </w:r>
      <w:proofErr w:type="spellStart"/>
      <w:r w:rsidRPr="00FD4CB3">
        <w:t>della</w:t>
      </w:r>
      <w:proofErr w:type="spellEnd"/>
      <w:r w:rsidRPr="00FD4CB3">
        <w:t xml:space="preserve"> Francesca cannot but be asking us if we too are the ones, like the soldiers, caught napping.</w:t>
      </w:r>
    </w:p>
    <w:p w14:paraId="1DDD0179" w14:textId="77777777" w:rsidR="00FD4CB3" w:rsidRDefault="00FD4CB3" w:rsidP="00FD4CB3">
      <w:pPr>
        <w:pStyle w:val="FootnoteText"/>
      </w:pPr>
    </w:p>
  </w:footnote>
  <w:footnote w:id="3">
    <w:p w14:paraId="4A9736BA" w14:textId="273EF294" w:rsidR="00CB15A4" w:rsidRPr="00CB15A4" w:rsidRDefault="00CB15A4">
      <w:pPr>
        <w:pStyle w:val="FootnoteText"/>
      </w:pPr>
      <w:r>
        <w:rPr>
          <w:rStyle w:val="FootnoteReference"/>
        </w:rPr>
        <w:footnoteRef/>
      </w:r>
      <w:r>
        <w:t xml:space="preserve"> Hans-Georg Gadamer, </w:t>
      </w:r>
      <w:r>
        <w:rPr>
          <w:i/>
          <w:iCs/>
        </w:rPr>
        <w:t>Truth and Method</w:t>
      </w:r>
      <w:r>
        <w:t>, trans. Joel Weinsheimer and Donald G. Marshall, 2</w:t>
      </w:r>
      <w:r w:rsidRPr="00CB15A4">
        <w:rPr>
          <w:vertAlign w:val="superscript"/>
        </w:rPr>
        <w:t>nd</w:t>
      </w:r>
      <w:r>
        <w:t xml:space="preserve"> </w:t>
      </w:r>
      <w:proofErr w:type="spellStart"/>
      <w:r>
        <w:t>edn</w:t>
      </w:r>
      <w:proofErr w:type="spellEnd"/>
      <w:r>
        <w:t>. (London: Continuum, 2004)</w:t>
      </w:r>
    </w:p>
  </w:footnote>
  <w:footnote w:id="4">
    <w:p w14:paraId="14178EFF" w14:textId="461E3C17" w:rsidR="00CB15A4" w:rsidRDefault="00CB15A4">
      <w:pPr>
        <w:pStyle w:val="FootnoteText"/>
      </w:pPr>
      <w:r>
        <w:rPr>
          <w:rStyle w:val="FootnoteReference"/>
        </w:rPr>
        <w:footnoteRef/>
      </w:r>
      <w:r>
        <w:t xml:space="preserve"> The German word is ‘</w:t>
      </w:r>
      <w:proofErr w:type="spellStart"/>
      <w:r>
        <w:t>Horizontsverschmelzung</w:t>
      </w:r>
      <w:proofErr w:type="spellEnd"/>
      <w:r>
        <w:t>’</w:t>
      </w:r>
    </w:p>
  </w:footnote>
  <w:footnote w:id="5">
    <w:p w14:paraId="4B8F32EF" w14:textId="1B110AC5" w:rsidR="00CB15A4" w:rsidRDefault="00CB15A4">
      <w:pPr>
        <w:pStyle w:val="FootnoteText"/>
      </w:pPr>
      <w:r>
        <w:rPr>
          <w:rStyle w:val="FootnoteReference"/>
        </w:rPr>
        <w:footnoteRef/>
      </w:r>
      <w:r>
        <w:t xml:space="preserve"> In Gadamer’s words, ‘</w:t>
      </w:r>
      <w:r w:rsidRPr="00CB15A4">
        <w:t>What is fixed in writing has detached itself from the contingency of its origin and made itself free for new relationships.</w:t>
      </w:r>
      <w:r>
        <w:t>’</w:t>
      </w:r>
    </w:p>
  </w:footnote>
  <w:footnote w:id="6">
    <w:p w14:paraId="1643AAF7" w14:textId="75FD5E9E" w:rsidR="00CB15A4" w:rsidRDefault="00CB15A4">
      <w:pPr>
        <w:pStyle w:val="FootnoteText"/>
      </w:pPr>
      <w:r>
        <w:rPr>
          <w:rStyle w:val="FootnoteReference"/>
        </w:rPr>
        <w:footnoteRef/>
      </w:r>
      <w:r>
        <w:t xml:space="preserve"> Best known for his (Reception History based) commentaries on the Gospel of Matthew</w:t>
      </w:r>
    </w:p>
  </w:footnote>
  <w:footnote w:id="7">
    <w:p w14:paraId="3AAB2904" w14:textId="5B5BFB28" w:rsidR="00CB15A4" w:rsidRDefault="00CB15A4">
      <w:pPr>
        <w:pStyle w:val="FootnoteText"/>
      </w:pPr>
      <w:r>
        <w:rPr>
          <w:rStyle w:val="FootnoteReference"/>
        </w:rPr>
        <w:footnoteRef/>
      </w:r>
      <w:r>
        <w:t xml:space="preserve"> The German term for ‘Reception History’.</w:t>
      </w:r>
    </w:p>
  </w:footnote>
  <w:footnote w:id="8">
    <w:p w14:paraId="25377EBE" w14:textId="3460CC47" w:rsidR="00497EDE" w:rsidRPr="00CB15A4" w:rsidRDefault="00497EDE" w:rsidP="00497EDE">
      <w:pPr>
        <w:pStyle w:val="FootnoteText"/>
        <w:rPr>
          <w:rFonts w:cs="Segoe UI"/>
          <w:color w:val="000000" w:themeColor="text1"/>
          <w:shd w:val="clear" w:color="auto" w:fill="FFFFFF"/>
        </w:rPr>
      </w:pPr>
      <w:r>
        <w:rPr>
          <w:rStyle w:val="FootnoteReference"/>
        </w:rPr>
        <w:footnoteRef/>
      </w:r>
      <w:r>
        <w:t xml:space="preserve"> </w:t>
      </w:r>
      <w:r w:rsidR="00642343">
        <w:t xml:space="preserve">Martin </w:t>
      </w:r>
      <w:r w:rsidRPr="00CB15A4">
        <w:rPr>
          <w:rFonts w:cs="Segoe UI"/>
          <w:color w:val="000000" w:themeColor="text1"/>
          <w:shd w:val="clear" w:color="auto" w:fill="FFFFFF"/>
        </w:rPr>
        <w:t xml:space="preserve">O’Kane, </w:t>
      </w:r>
      <w:r w:rsidR="00642343">
        <w:rPr>
          <w:rFonts w:cs="Segoe UI"/>
          <w:color w:val="000000" w:themeColor="text1"/>
          <w:shd w:val="clear" w:color="auto" w:fill="FFFFFF"/>
        </w:rPr>
        <w:t>‘</w:t>
      </w:r>
      <w:proofErr w:type="spellStart"/>
      <w:r w:rsidRPr="00CB15A4">
        <w:rPr>
          <w:rFonts w:cs="Segoe UI"/>
          <w:color w:val="000000" w:themeColor="text1"/>
          <w:shd w:val="clear" w:color="auto" w:fill="FFFFFF"/>
        </w:rPr>
        <w:t>Wirkungsgeschichte</w:t>
      </w:r>
      <w:proofErr w:type="spellEnd"/>
      <w:r w:rsidRPr="00CB15A4">
        <w:rPr>
          <w:rFonts w:cs="Segoe UI"/>
          <w:color w:val="000000" w:themeColor="text1"/>
          <w:shd w:val="clear" w:color="auto" w:fill="FFFFFF"/>
        </w:rPr>
        <w:t xml:space="preserve"> and Visual Exegesis: The Contribution of Hans-Georg Gadamer</w:t>
      </w:r>
      <w:r w:rsidR="00642343">
        <w:rPr>
          <w:rFonts w:cs="Segoe UI"/>
          <w:color w:val="000000" w:themeColor="text1"/>
          <w:shd w:val="clear" w:color="auto" w:fill="FFFFFF"/>
        </w:rPr>
        <w:t>’,</w:t>
      </w:r>
      <w:r w:rsidRPr="00CB15A4">
        <w:rPr>
          <w:rFonts w:cs="Segoe UI"/>
          <w:color w:val="000000" w:themeColor="text1"/>
          <w:shd w:val="clear" w:color="auto" w:fill="FFFFFF"/>
        </w:rPr>
        <w:t> </w:t>
      </w:r>
      <w:r w:rsidRPr="00CB15A4">
        <w:rPr>
          <w:rFonts w:cs="Segoe UI"/>
          <w:i/>
          <w:iCs/>
          <w:color w:val="000000" w:themeColor="text1"/>
          <w:shd w:val="clear" w:color="auto" w:fill="FFFFFF"/>
        </w:rPr>
        <w:t>Journal for the Study of the New Testament</w:t>
      </w:r>
      <w:r w:rsidRPr="00CB15A4">
        <w:rPr>
          <w:rFonts w:cs="Segoe UI"/>
          <w:color w:val="000000" w:themeColor="text1"/>
          <w:shd w:val="clear" w:color="auto" w:fill="FFFFFF"/>
        </w:rPr>
        <w:t>, </w:t>
      </w:r>
      <w:r w:rsidRPr="00CB15A4">
        <w:rPr>
          <w:rFonts w:cs="Segoe UI"/>
          <w:i/>
          <w:iCs/>
          <w:color w:val="000000" w:themeColor="text1"/>
          <w:shd w:val="clear" w:color="auto" w:fill="FFFFFF"/>
        </w:rPr>
        <w:t>33</w:t>
      </w:r>
      <w:r w:rsidRPr="00CB15A4">
        <w:rPr>
          <w:rFonts w:cs="Segoe UI"/>
          <w:color w:val="000000" w:themeColor="text1"/>
          <w:shd w:val="clear" w:color="auto" w:fill="FFFFFF"/>
        </w:rPr>
        <w:t>(2),</w:t>
      </w:r>
      <w:r w:rsidR="00642343">
        <w:rPr>
          <w:rFonts w:cs="Segoe UI"/>
          <w:color w:val="000000" w:themeColor="text1"/>
          <w:shd w:val="clear" w:color="auto" w:fill="FFFFFF"/>
        </w:rPr>
        <w:t xml:space="preserve"> (2010)</w:t>
      </w:r>
      <w:r w:rsidRPr="00CB15A4">
        <w:rPr>
          <w:rFonts w:cs="Segoe UI"/>
          <w:color w:val="000000" w:themeColor="text1"/>
          <w:shd w:val="clear" w:color="auto" w:fill="FFFFFF"/>
        </w:rPr>
        <w:t xml:space="preserve"> 147–159.</w:t>
      </w:r>
      <w:r>
        <w:rPr>
          <w:rFonts w:cs="Segoe UI"/>
          <w:color w:val="000000" w:themeColor="text1"/>
          <w:shd w:val="clear" w:color="auto" w:fill="FFFFFF"/>
        </w:rPr>
        <w:t xml:space="preserve"> The expression ‘visual exegesis’ is attributed to art historian Paolo Berdini, in </w:t>
      </w:r>
      <w:r w:rsidRPr="00CB15A4">
        <w:rPr>
          <w:rFonts w:cs="Segoe UI"/>
          <w:i/>
          <w:iCs/>
          <w:color w:val="000000" w:themeColor="text1"/>
          <w:shd w:val="clear" w:color="auto" w:fill="FFFFFF"/>
        </w:rPr>
        <w:t xml:space="preserve">The Religious Art of Jacopo Bassano: Painting as Visual Exegesis </w:t>
      </w:r>
      <w:r w:rsidRPr="00CB15A4">
        <w:rPr>
          <w:rFonts w:cs="Segoe UI"/>
          <w:color w:val="000000" w:themeColor="text1"/>
          <w:shd w:val="clear" w:color="auto" w:fill="FFFFFF"/>
        </w:rPr>
        <w:t>(1997</w:t>
      </w:r>
      <w:r>
        <w:rPr>
          <w:rFonts w:cs="Segoe UI"/>
          <w:color w:val="000000" w:themeColor="text1"/>
          <w:shd w:val="clear" w:color="auto" w:fill="FFFFFF"/>
        </w:rPr>
        <w:t>)</w:t>
      </w:r>
    </w:p>
  </w:footnote>
  <w:footnote w:id="9">
    <w:p w14:paraId="07B8424C" w14:textId="00F3E2AE" w:rsidR="00CB15A4" w:rsidRDefault="00CB15A4">
      <w:pPr>
        <w:pStyle w:val="FootnoteText"/>
      </w:pPr>
      <w:r>
        <w:rPr>
          <w:rStyle w:val="FootnoteReference"/>
        </w:rPr>
        <w:footnoteRef/>
      </w:r>
      <w:r>
        <w:t xml:space="preserve"> Ibid., p.150, referring to philosopher Nicholas Davey: ‘</w:t>
      </w:r>
      <w:r w:rsidRPr="00CB15A4">
        <w:t>There is no fundamental difference, he argues, between experiencing the disclosive powers of language and experiencing what art discloses to us.</w:t>
      </w:r>
      <w:r>
        <w:t>’</w:t>
      </w:r>
      <w:r w:rsidRPr="00CB15A4">
        <w:t xml:space="preserve"> </w:t>
      </w:r>
    </w:p>
  </w:footnote>
  <w:footnote w:id="10">
    <w:p w14:paraId="7A8C3492" w14:textId="16091332" w:rsidR="00CB15A4" w:rsidRDefault="00CB15A4">
      <w:pPr>
        <w:pStyle w:val="FootnoteText"/>
      </w:pPr>
      <w:r>
        <w:rPr>
          <w:rStyle w:val="FootnoteReference"/>
        </w:rPr>
        <w:footnoteRef/>
      </w:r>
      <w:r>
        <w:t xml:space="preserve"> By Andrea Mantegna, Sandro Botticelli, and Jacopo Bassano</w:t>
      </w:r>
    </w:p>
  </w:footnote>
  <w:footnote w:id="11">
    <w:p w14:paraId="78FC6A11" w14:textId="56221CD9" w:rsidR="00CB15A4" w:rsidRPr="00CB15A4" w:rsidRDefault="00CB15A4">
      <w:pPr>
        <w:pStyle w:val="FootnoteText"/>
      </w:pPr>
      <w:r>
        <w:rPr>
          <w:rStyle w:val="FootnoteReference"/>
        </w:rPr>
        <w:footnoteRef/>
      </w:r>
      <w:r>
        <w:t xml:space="preserve"> A ‘revealing’ </w:t>
      </w:r>
      <w:r w:rsidR="001272F6">
        <w:t xml:space="preserve">or (from the Greek) ‘epiphany’, </w:t>
      </w:r>
      <w:r>
        <w:t xml:space="preserve">as opposed to </w:t>
      </w:r>
      <w:proofErr w:type="spellStart"/>
      <w:r>
        <w:rPr>
          <w:i/>
          <w:iCs/>
        </w:rPr>
        <w:t>Vorstellung</w:t>
      </w:r>
      <w:proofErr w:type="spellEnd"/>
      <w:r>
        <w:t>, which is mere ‘depiction’.</w:t>
      </w:r>
    </w:p>
  </w:footnote>
  <w:footnote w:id="12">
    <w:p w14:paraId="1F5A2785" w14:textId="699F5EF0" w:rsidR="00FD4CB3" w:rsidRDefault="00FD4CB3">
      <w:pPr>
        <w:pStyle w:val="FootnoteText"/>
      </w:pPr>
      <w:r>
        <w:rPr>
          <w:rStyle w:val="FootnoteReference"/>
        </w:rPr>
        <w:footnoteRef/>
      </w:r>
      <w:r>
        <w:t xml:space="preserve"> </w:t>
      </w:r>
      <w:r w:rsidRPr="00FD4CB3">
        <w:t>Not without wit, he has chosen pictures which are all, of course, versions of the ‘Epiphany’</w:t>
      </w:r>
      <w:r w:rsidR="001272F6">
        <w:t>.</w:t>
      </w:r>
    </w:p>
  </w:footnote>
  <w:footnote w:id="13">
    <w:p w14:paraId="18EB1250" w14:textId="5725F44D" w:rsidR="004E0BE1" w:rsidRDefault="004E0BE1">
      <w:pPr>
        <w:pStyle w:val="FootnoteText"/>
      </w:pPr>
      <w:r>
        <w:rPr>
          <w:rStyle w:val="FootnoteReference"/>
        </w:rPr>
        <w:footnoteRef/>
      </w:r>
      <w:r>
        <w:t xml:space="preserve"> </w:t>
      </w:r>
      <w:r w:rsidR="00642343">
        <w:t xml:space="preserve">Scott </w:t>
      </w:r>
      <w:proofErr w:type="spellStart"/>
      <w:proofErr w:type="gramStart"/>
      <w:r w:rsidR="00642343">
        <w:t>F.</w:t>
      </w:r>
      <w:r w:rsidRPr="007E720F">
        <w:rPr>
          <w:rFonts w:cs="Segoe UI"/>
          <w:color w:val="1D2125"/>
          <w:shd w:val="clear" w:color="auto" w:fill="FFFFFF"/>
        </w:rPr>
        <w:t>Crider</w:t>
      </w:r>
      <w:proofErr w:type="spellEnd"/>
      <w:proofErr w:type="gramEnd"/>
      <w:r>
        <w:rPr>
          <w:rFonts w:cs="Segoe UI"/>
          <w:color w:val="1D2125"/>
          <w:shd w:val="clear" w:color="auto" w:fill="FFFFFF"/>
        </w:rPr>
        <w:t xml:space="preserve">, </w:t>
      </w:r>
      <w:r w:rsidR="00642343">
        <w:rPr>
          <w:rFonts w:cs="Segoe UI"/>
          <w:color w:val="1D2125"/>
          <w:shd w:val="clear" w:color="auto" w:fill="FFFFFF"/>
        </w:rPr>
        <w:t>‘</w:t>
      </w:r>
      <w:r w:rsidRPr="007E720F">
        <w:rPr>
          <w:rFonts w:cs="Segoe UI"/>
          <w:color w:val="1D2125"/>
          <w:shd w:val="clear" w:color="auto" w:fill="FFFFFF"/>
        </w:rPr>
        <w:t>The Test: Narrating God, Abraham and Isaac in Genesis 22:1–19</w:t>
      </w:r>
      <w:r w:rsidR="00642343">
        <w:rPr>
          <w:rFonts w:cs="Segoe UI"/>
          <w:color w:val="1D2125"/>
          <w:shd w:val="clear" w:color="auto" w:fill="FFFFFF"/>
        </w:rPr>
        <w:t>’</w:t>
      </w:r>
      <w:r w:rsidRPr="007E720F">
        <w:rPr>
          <w:rFonts w:cs="Segoe UI"/>
          <w:color w:val="1D2125"/>
          <w:shd w:val="clear" w:color="auto" w:fill="FFFFFF"/>
        </w:rPr>
        <w:t>, </w:t>
      </w:r>
      <w:r w:rsidRPr="007E720F">
        <w:rPr>
          <w:rFonts w:cs="Segoe UI"/>
          <w:i/>
          <w:iCs/>
          <w:color w:val="1D2125"/>
          <w:shd w:val="clear" w:color="auto" w:fill="FFFFFF"/>
        </w:rPr>
        <w:t>Literary Imagination</w:t>
      </w:r>
      <w:r w:rsidRPr="007E720F">
        <w:rPr>
          <w:rFonts w:cs="Segoe UI"/>
          <w:color w:val="1D2125"/>
          <w:shd w:val="clear" w:color="auto" w:fill="FFFFFF"/>
        </w:rPr>
        <w:t xml:space="preserve">, Volume 19, Issue 2, </w:t>
      </w:r>
      <w:r w:rsidR="00642343">
        <w:rPr>
          <w:rFonts w:cs="Segoe UI"/>
          <w:color w:val="1D2125"/>
          <w:shd w:val="clear" w:color="auto" w:fill="FFFFFF"/>
        </w:rPr>
        <w:t>(</w:t>
      </w:r>
      <w:r w:rsidRPr="007E720F">
        <w:rPr>
          <w:rFonts w:cs="Segoe UI"/>
          <w:color w:val="1D2125"/>
          <w:shd w:val="clear" w:color="auto" w:fill="FFFFFF"/>
        </w:rPr>
        <w:t>2017</w:t>
      </w:r>
      <w:r w:rsidR="00642343">
        <w:rPr>
          <w:rFonts w:cs="Segoe UI"/>
          <w:color w:val="1D2125"/>
          <w:shd w:val="clear" w:color="auto" w:fill="FFFFFF"/>
        </w:rPr>
        <w:t>)</w:t>
      </w:r>
      <w:r w:rsidRPr="007E720F">
        <w:rPr>
          <w:rFonts w:cs="Segoe UI"/>
          <w:color w:val="1D2125"/>
          <w:shd w:val="clear" w:color="auto" w:fill="FFFFFF"/>
        </w:rPr>
        <w:t>, 148–164</w:t>
      </w:r>
    </w:p>
  </w:footnote>
  <w:footnote w:id="14">
    <w:p w14:paraId="0468C4F5" w14:textId="44306800" w:rsidR="00642343" w:rsidRDefault="00642343">
      <w:pPr>
        <w:pStyle w:val="FootnoteText"/>
      </w:pPr>
      <w:r>
        <w:rPr>
          <w:rStyle w:val="FootnoteReference"/>
        </w:rPr>
        <w:footnoteRef/>
      </w:r>
      <w:r>
        <w:t xml:space="preserve"> Sebastian </w:t>
      </w:r>
      <w:r w:rsidRPr="00642343">
        <w:t xml:space="preserve">Selvén, </w:t>
      </w:r>
      <w:r>
        <w:t>‘</w:t>
      </w:r>
      <w:r w:rsidRPr="00642343">
        <w:t>The Binding of Isaac in J.R.R. Tolkien and Stephen King</w:t>
      </w:r>
      <w:r>
        <w:t>’,</w:t>
      </w:r>
      <w:r w:rsidRPr="00642343">
        <w:t> </w:t>
      </w:r>
      <w:r w:rsidRPr="00642343">
        <w:rPr>
          <w:i/>
          <w:iCs/>
        </w:rPr>
        <w:t>Biblical Interpretation</w:t>
      </w:r>
      <w:r w:rsidRPr="00642343">
        <w:t>, </w:t>
      </w:r>
      <w:r w:rsidRPr="00642343">
        <w:rPr>
          <w:i/>
          <w:iCs/>
        </w:rPr>
        <w:t>28</w:t>
      </w:r>
      <w:r w:rsidRPr="00642343">
        <w:t xml:space="preserve">(2), </w:t>
      </w:r>
      <w:r>
        <w:t>(2020),</w:t>
      </w:r>
      <w:r w:rsidRPr="00642343">
        <w:t>150-174.</w:t>
      </w:r>
      <w:r w:rsidRPr="00642343">
        <w:rPr>
          <w:b/>
          <w:bCs/>
        </w:rPr>
        <w:t> </w:t>
      </w:r>
    </w:p>
  </w:footnote>
  <w:footnote w:id="15">
    <w:p w14:paraId="1EC07C10" w14:textId="1240FD83" w:rsidR="004E0BE1" w:rsidRDefault="004E0BE1">
      <w:pPr>
        <w:pStyle w:val="FootnoteText"/>
      </w:pPr>
      <w:r>
        <w:rPr>
          <w:rStyle w:val="FootnoteReference"/>
        </w:rPr>
        <w:footnoteRef/>
      </w:r>
      <w:r>
        <w:t xml:space="preserve"> ‘</w:t>
      </w:r>
      <w:r w:rsidRPr="004E0BE1">
        <w:t>[The Biblical] text both embodies and insists on ongoing work of imaginative interpretation that does not and will not conform to the structures, limits, and demands of church faith.</w:t>
      </w:r>
      <w:r>
        <w:t>’ (Brueggemann quoted at the start of the piece.)</w:t>
      </w:r>
      <w:r w:rsidRPr="004E0BE1">
        <w:t xml:space="preserve"> </w:t>
      </w:r>
    </w:p>
  </w:footnote>
  <w:footnote w:id="16">
    <w:p w14:paraId="448D9960" w14:textId="7253995C" w:rsidR="00FD4CB3" w:rsidRDefault="00FD4CB3">
      <w:pPr>
        <w:pStyle w:val="FootnoteText"/>
      </w:pPr>
      <w:r>
        <w:rPr>
          <w:rStyle w:val="FootnoteReference"/>
        </w:rPr>
        <w:footnoteRef/>
      </w:r>
      <w:r>
        <w:t xml:space="preserve"> This anti-Church position is indicative of much of the theological world’s intellectual</w:t>
      </w:r>
      <w:r w:rsidR="001272F6">
        <w:t xml:space="preserve"> </w:t>
      </w:r>
      <w:r>
        <w:t>difficulties: in the Reformation (with reason) theology broke with the (Roman) Catholic Church, only</w:t>
      </w:r>
      <w:r w:rsidR="001272F6">
        <w:t xml:space="preserve"> </w:t>
      </w:r>
      <w:r w:rsidR="001272F6" w:rsidRPr="00497EDE">
        <w:t>to end up, as of now, worrying about academic posts, and the future of the whole disciplin</w:t>
      </w:r>
      <w:r w:rsidR="001272F6">
        <w:t xml:space="preserve">e, </w:t>
      </w:r>
      <w:r>
        <w:t xml:space="preserve">as </w:t>
      </w:r>
      <w:r w:rsidRPr="00497EDE">
        <w:t>demonstrated by Rowlands (</w:t>
      </w:r>
      <w:r w:rsidR="00642343">
        <w:t xml:space="preserve">Jonathan </w:t>
      </w:r>
      <w:r w:rsidRPr="00497EDE">
        <w:t xml:space="preserve">Rowlands, J. (2019). ‘Reception History, Theological Interpretation, and the Future of New Testament Studies’, </w:t>
      </w:r>
      <w:r w:rsidRPr="00497EDE">
        <w:rPr>
          <w:i/>
          <w:iCs/>
        </w:rPr>
        <w:t>Journal of Theological Interpretation, 13(2), 147-167</w:t>
      </w:r>
      <w:r w:rsidR="00044A31">
        <w:rPr>
          <w:i/>
          <w:iCs/>
        </w:rPr>
        <w:t>)</w:t>
      </w:r>
    </w:p>
  </w:footnote>
  <w:footnote w:id="17">
    <w:p w14:paraId="640AED0C" w14:textId="068FB7E5" w:rsidR="00497EDE" w:rsidRDefault="00497EDE">
      <w:pPr>
        <w:pStyle w:val="FootnoteText"/>
      </w:pPr>
      <w:r>
        <w:rPr>
          <w:rStyle w:val="FootnoteReference"/>
        </w:rPr>
        <w:footnoteRef/>
      </w:r>
      <w:r>
        <w:t xml:space="preserve"> </w:t>
      </w:r>
      <w:r w:rsidRPr="00497EDE">
        <w:t>‘The Binding of Isaac’</w:t>
      </w:r>
    </w:p>
  </w:footnote>
  <w:footnote w:id="18">
    <w:p w14:paraId="4927599C" w14:textId="4BE5998B" w:rsidR="001272F6" w:rsidRDefault="001272F6" w:rsidP="001272F6">
      <w:pPr>
        <w:pStyle w:val="FootnoteText"/>
      </w:pPr>
      <w:r>
        <w:rPr>
          <w:rStyle w:val="FootnoteReference"/>
        </w:rPr>
        <w:footnoteRef/>
      </w:r>
      <w:r>
        <w:t xml:space="preserve"> </w:t>
      </w:r>
      <w:r w:rsidR="00642343" w:rsidRPr="007E720F">
        <w:rPr>
          <w:rFonts w:cs="Segoe UI"/>
          <w:color w:val="1D2125"/>
          <w:shd w:val="clear" w:color="auto" w:fill="FFFFFF"/>
        </w:rPr>
        <w:t>Crider</w:t>
      </w:r>
      <w:r w:rsidR="00642343">
        <w:rPr>
          <w:rFonts w:cs="Segoe UI"/>
          <w:color w:val="1D2125"/>
          <w:shd w:val="clear" w:color="auto" w:fill="FFFFFF"/>
        </w:rPr>
        <w:t>, ‘</w:t>
      </w:r>
      <w:r w:rsidR="00642343" w:rsidRPr="007E720F">
        <w:rPr>
          <w:rFonts w:cs="Segoe UI"/>
          <w:color w:val="1D2125"/>
          <w:shd w:val="clear" w:color="auto" w:fill="FFFFFF"/>
        </w:rPr>
        <w:t>The Test: Narrating God, Abraham and Isaac in Genesis 22:1–19</w:t>
      </w:r>
      <w:r w:rsidR="00642343">
        <w:rPr>
          <w:rFonts w:cs="Segoe UI"/>
          <w:color w:val="1D2125"/>
          <w:shd w:val="clear" w:color="auto" w:fill="FFFFFF"/>
        </w:rPr>
        <w:t>’</w:t>
      </w:r>
      <w:r w:rsidR="00642343" w:rsidRPr="007E720F">
        <w:rPr>
          <w:rFonts w:cs="Segoe UI"/>
          <w:color w:val="1D2125"/>
          <w:shd w:val="clear" w:color="auto" w:fill="FFFFFF"/>
        </w:rPr>
        <w:t>,</w:t>
      </w:r>
      <w:r>
        <w:t xml:space="preserve"> p. 158: ‘</w:t>
      </w:r>
      <w:r w:rsidRPr="004E0BE1">
        <w:t>The test is gratuitous and indicates a deity nervous about his own relationship with patriarchs.</w:t>
      </w:r>
      <w:r>
        <w:t>’</w:t>
      </w:r>
      <w:r w:rsidRPr="004E0BE1">
        <w:t xml:space="preserve"> </w:t>
      </w:r>
    </w:p>
  </w:footnote>
  <w:footnote w:id="19">
    <w:p w14:paraId="0CC601A2" w14:textId="7CD26CDE" w:rsidR="004E0BE1" w:rsidRDefault="004E0BE1">
      <w:pPr>
        <w:pStyle w:val="FootnoteText"/>
      </w:pPr>
      <w:r>
        <w:rPr>
          <w:rStyle w:val="FootnoteReference"/>
        </w:rPr>
        <w:footnoteRef/>
      </w:r>
      <w:r>
        <w:t xml:space="preserve"> Ibid., p. 163 ‘… </w:t>
      </w:r>
      <w:r w:rsidRPr="004E0BE1">
        <w:t xml:space="preserve">interpretation simply fails the most basic ethics of reading, in my opinion, and indicates just how strongly Christian ideology silences moral response where the character of God is concerned. </w:t>
      </w:r>
    </w:p>
  </w:footnote>
  <w:footnote w:id="20">
    <w:p w14:paraId="1D2A4427" w14:textId="361F0F05" w:rsidR="00497EDE" w:rsidRDefault="00497EDE" w:rsidP="00497EDE">
      <w:pPr>
        <w:pStyle w:val="FootnoteText"/>
      </w:pPr>
      <w:r>
        <w:rPr>
          <w:rStyle w:val="FootnoteReference"/>
        </w:rPr>
        <w:footnoteRef/>
      </w:r>
      <w:r>
        <w:t xml:space="preserve"> As instances, it is worth noting his stubborn description of the deed that God imposes upon Abraham as ‘murder’: ‘</w:t>
      </w:r>
      <w:r w:rsidRPr="004E0BE1">
        <w:t>materials for the murder</w:t>
      </w:r>
      <w:r>
        <w:t>’ (p. 152)</w:t>
      </w:r>
      <w:r w:rsidRPr="004E0BE1">
        <w:t xml:space="preserve">; </w:t>
      </w:r>
      <w:r>
        <w:t>‘God asks Abraham to murder Isaac’ (</w:t>
      </w:r>
      <w:r w:rsidR="00642343">
        <w:t>p</w:t>
      </w:r>
      <w:r>
        <w:t>. 153); ‘God who asks someone to murder his innocent child’ (p. 154); ‘Abraham intends to murder Isaac’ (p. 154); and so on. This is particularly telling because early on Crider gives us God’s wording of the original text which so demonstrably contradicts his use of the word ‘murder’: ‘And He said, “</w:t>
      </w:r>
      <w:r w:rsidRPr="004E0BE1">
        <w:t xml:space="preserve">Take, pray, your son, your only one, whom you love, Isaac, and go forth to the land of Moriah and offer him up as a burnt offering on one of the mountains which I will show you.” </w:t>
      </w:r>
      <w:r>
        <w:t>(Genesis 22: 2)</w:t>
      </w:r>
    </w:p>
  </w:footnote>
  <w:footnote w:id="21">
    <w:p w14:paraId="2D60654D" w14:textId="53730659" w:rsidR="004E0BE1" w:rsidRDefault="004E0BE1">
      <w:pPr>
        <w:pStyle w:val="FootnoteText"/>
      </w:pPr>
      <w:r>
        <w:rPr>
          <w:rStyle w:val="FootnoteReference"/>
        </w:rPr>
        <w:footnoteRef/>
      </w:r>
      <w:r>
        <w:t xml:space="preserve"> The expression is one of the writer’s but may be common in Reception History.</w:t>
      </w:r>
    </w:p>
  </w:footnote>
  <w:footnote w:id="22">
    <w:p w14:paraId="6FC777A9" w14:textId="6BEEB755" w:rsidR="004E0BE1" w:rsidRDefault="004E0BE1">
      <w:pPr>
        <w:pStyle w:val="FootnoteText"/>
      </w:pPr>
      <w:r>
        <w:rPr>
          <w:rStyle w:val="FootnoteReference"/>
        </w:rPr>
        <w:footnoteRef/>
      </w:r>
      <w:r>
        <w:t xml:space="preserve"> </w:t>
      </w:r>
      <w:proofErr w:type="spellStart"/>
      <w:proofErr w:type="gramStart"/>
      <w:r w:rsidR="00642343" w:rsidRPr="00642343">
        <w:t>Selvén</w:t>
      </w:r>
      <w:proofErr w:type="spellEnd"/>
      <w:r w:rsidR="00642343" w:rsidRPr="00642343">
        <w:t xml:space="preserve">,  </w:t>
      </w:r>
      <w:r w:rsidR="00642343">
        <w:t>‘</w:t>
      </w:r>
      <w:proofErr w:type="gramEnd"/>
      <w:r w:rsidR="00642343" w:rsidRPr="00642343">
        <w:t>The Binding of Isaac in J.R.R. Tolkien and Stephen King</w:t>
      </w:r>
      <w:r w:rsidR="00642343">
        <w:t>’,</w:t>
      </w:r>
      <w:r>
        <w:t xml:space="preserve"> p. 171. The questions include: ‘</w:t>
      </w:r>
      <w:r w:rsidRPr="004E0BE1">
        <w:t>Did Abraham, who had (perhaps just, depending on how you read the “after these things” in Gen. 22:1) driven off Ishmael, have any personal motives or traumas contributing to his peculiar response to the Divine command?</w:t>
      </w:r>
      <w:r>
        <w:t>’; and, referring to King’s and Tolk</w:t>
      </w:r>
      <w:r w:rsidR="00044A31">
        <w:t>ie</w:t>
      </w:r>
      <w:r>
        <w:t>n’s presumed moral values, ‘</w:t>
      </w:r>
      <w:r w:rsidRPr="004E0BE1">
        <w:t>what are the implications of those value judgements on Genesis 22?</w:t>
      </w:r>
      <w:r>
        <w:t>’</w:t>
      </w:r>
      <w:r w:rsidRPr="004E0BE1">
        <w:t xml:space="preserve"> </w:t>
      </w:r>
    </w:p>
  </w:footnote>
  <w:footnote w:id="23">
    <w:p w14:paraId="6418F3E6" w14:textId="0CCA2FD4" w:rsidR="004E0BE1" w:rsidRPr="004E0BE1" w:rsidRDefault="004E0BE1">
      <w:pPr>
        <w:pStyle w:val="FootnoteText"/>
      </w:pPr>
      <w:r>
        <w:rPr>
          <w:rStyle w:val="FootnoteReference"/>
        </w:rPr>
        <w:footnoteRef/>
      </w:r>
      <w:r>
        <w:t xml:space="preserve"> For example, is it appropriate to try to impose contemporary moral values on a different era or culture? Is the (perhaps unwitting) ‘reworking’ of the </w:t>
      </w:r>
      <w:proofErr w:type="spellStart"/>
      <w:r>
        <w:rPr>
          <w:i/>
          <w:iCs/>
        </w:rPr>
        <w:t>Adekah</w:t>
      </w:r>
      <w:proofErr w:type="spellEnd"/>
      <w:r>
        <w:rPr>
          <w:i/>
          <w:iCs/>
        </w:rPr>
        <w:t xml:space="preserve"> </w:t>
      </w:r>
      <w:r>
        <w:t>by King and Tolk</w:t>
      </w:r>
      <w:r w:rsidR="00044A31">
        <w:t>ie</w:t>
      </w:r>
      <w:r>
        <w:t xml:space="preserve">n the ‘thing’ itself, i.e. the ‘act’ of </w:t>
      </w:r>
      <w:r w:rsidRPr="004E0BE1">
        <w:rPr>
          <w:i/>
          <w:iCs/>
        </w:rPr>
        <w:t>horizon-joining</w:t>
      </w:r>
      <w:r>
        <w:t xml:space="preserve"> that Gadamer adjures for the humanities?</w:t>
      </w:r>
    </w:p>
  </w:footnote>
  <w:footnote w:id="24">
    <w:p w14:paraId="6BCF57C7" w14:textId="3F64686E" w:rsidR="004E0BE1" w:rsidRPr="004E0BE1" w:rsidRDefault="004E0BE1">
      <w:pPr>
        <w:pStyle w:val="FootnoteText"/>
      </w:pPr>
      <w:r>
        <w:rPr>
          <w:rStyle w:val="FootnoteReference"/>
        </w:rPr>
        <w:footnoteRef/>
      </w:r>
      <w:r>
        <w:t xml:space="preserve"> </w:t>
      </w:r>
      <w:r w:rsidR="00642343">
        <w:t xml:space="preserve">Robert </w:t>
      </w:r>
      <w:r>
        <w:t xml:space="preserve">Alter, </w:t>
      </w:r>
      <w:r>
        <w:rPr>
          <w:i/>
          <w:iCs/>
        </w:rPr>
        <w:t>The Art of Biblical Narrative</w:t>
      </w:r>
      <w:r>
        <w:t xml:space="preserve"> (New York City: Perseus Books,1981)</w:t>
      </w:r>
    </w:p>
  </w:footnote>
  <w:footnote w:id="25">
    <w:p w14:paraId="3B92D30D" w14:textId="16A000AF" w:rsidR="004E0BE1" w:rsidRDefault="004E0BE1">
      <w:pPr>
        <w:pStyle w:val="FootnoteText"/>
      </w:pPr>
      <w:r>
        <w:rPr>
          <w:rStyle w:val="FootnoteReference"/>
        </w:rPr>
        <w:footnoteRef/>
      </w:r>
      <w:r>
        <w:t xml:space="preserve"> It is Carroll (</w:t>
      </w:r>
      <w:r w:rsidRPr="004E0BE1">
        <w:t>Carroll, R. P., 'The Reader and the Text', in A. D. H. Mayes (ed.), </w:t>
      </w:r>
      <w:r w:rsidRPr="004E0BE1">
        <w:rPr>
          <w:i/>
          <w:iCs/>
        </w:rPr>
        <w:t>Text in Context: Essays by Members of the Society for Old Testament Study</w:t>
      </w:r>
      <w:r w:rsidRPr="004E0BE1">
        <w:t> (Oxford, 2000</w:t>
      </w:r>
      <w:r w:rsidR="00B93A8E">
        <w:t>)</w:t>
      </w:r>
      <w:r w:rsidRPr="004E0BE1">
        <w:t xml:space="preserve">; online </w:t>
      </w:r>
      <w:proofErr w:type="spellStart"/>
      <w:r w:rsidRPr="004E0BE1">
        <w:t>edn</w:t>
      </w:r>
      <w:proofErr w:type="spellEnd"/>
      <w:r w:rsidRPr="004E0BE1">
        <w:t>, Oxford Academic, 7 Apr. 2004)</w:t>
      </w:r>
      <w:r>
        <w:t xml:space="preserve"> who says, amongst other things, ‘There must be space for the text to contribute something to the hermeneutic process.’ (p. 24)</w:t>
      </w:r>
    </w:p>
  </w:footnote>
  <w:footnote w:id="26">
    <w:p w14:paraId="16A8AD6A" w14:textId="77777777" w:rsidR="00B93A8E" w:rsidRDefault="00B93A8E" w:rsidP="00B93A8E">
      <w:pPr>
        <w:pStyle w:val="FootnoteText"/>
      </w:pPr>
      <w:r>
        <w:rPr>
          <w:rStyle w:val="FootnoteReference"/>
        </w:rPr>
        <w:footnoteRef/>
      </w:r>
      <w:r>
        <w:t xml:space="preserve">David J. </w:t>
      </w:r>
      <w:r w:rsidRPr="00FD4CB3">
        <w:t>Zucker, ‘The deceiver deceived: rereading Genesis 27’, </w:t>
      </w:r>
      <w:r w:rsidRPr="00FD4CB3">
        <w:rPr>
          <w:i/>
          <w:iCs/>
        </w:rPr>
        <w:t>Jewish Bible Quarterly</w:t>
      </w:r>
      <w:r w:rsidRPr="00FD4CB3">
        <w:t xml:space="preserve">, 39(1), </w:t>
      </w:r>
      <w:r>
        <w:t xml:space="preserve">(2011) </w:t>
      </w:r>
      <w:r w:rsidRPr="00FD4CB3">
        <w:t>46–58.</w:t>
      </w:r>
    </w:p>
  </w:footnote>
  <w:footnote w:id="27">
    <w:p w14:paraId="5A3D1533" w14:textId="12C14BCB" w:rsidR="00FD4CB3" w:rsidRDefault="00FD4CB3">
      <w:pPr>
        <w:pStyle w:val="FootnoteText"/>
      </w:pPr>
      <w:r>
        <w:rPr>
          <w:rStyle w:val="FootnoteReference"/>
        </w:rPr>
        <w:footnoteRef/>
      </w:r>
      <w:r>
        <w:t xml:space="preserve"> </w:t>
      </w:r>
      <w:r w:rsidR="00B93A8E" w:rsidRPr="00B93A8E">
        <w:t>‘Rape Culture Discourse and Female Impurity: Genesis 34 as a Case Study’</w:t>
      </w:r>
      <w:r w:rsidR="00B93A8E">
        <w:t xml:space="preserve">: </w:t>
      </w:r>
      <w:r>
        <w:t>An expanded version of the article</w:t>
      </w:r>
      <w:r w:rsidR="00B93A8E">
        <w:t xml:space="preserve"> </w:t>
      </w:r>
      <w:r>
        <w:t xml:space="preserve">in </w:t>
      </w:r>
      <w:r w:rsidRPr="00FD4CB3">
        <w:rPr>
          <w:i/>
          <w:iCs/>
        </w:rPr>
        <w:t>The Reader</w:t>
      </w:r>
      <w:r w:rsidRPr="00FD4CB3">
        <w:t>, Winter 2016, 115 (5), pp. 18-20</w:t>
      </w:r>
      <w:r>
        <w:t>.</w:t>
      </w:r>
      <w:r w:rsidRPr="00FD4CB3">
        <w:t xml:space="preserve"> </w:t>
      </w:r>
    </w:p>
  </w:footnote>
  <w:footnote w:id="28">
    <w:p w14:paraId="68DCB6E9" w14:textId="5060053F" w:rsidR="00596E88" w:rsidRDefault="00596E88">
      <w:pPr>
        <w:pStyle w:val="FootnoteText"/>
      </w:pPr>
      <w:r>
        <w:rPr>
          <w:rStyle w:val="FootnoteReference"/>
        </w:rPr>
        <w:footnoteRef/>
      </w:r>
      <w:r>
        <w:t xml:space="preserve"> Even if the text itself is uncertain.</w:t>
      </w:r>
      <w:r w:rsidR="008A1E3C">
        <w:t xml:space="preserve"> See note 25 on ‘creating space for the text to contribute’.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423D63"/>
    <w:multiLevelType w:val="multilevel"/>
    <w:tmpl w:val="79D0B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4D69B5"/>
    <w:multiLevelType w:val="multilevel"/>
    <w:tmpl w:val="0114D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9161043">
    <w:abstractNumId w:val="0"/>
  </w:num>
  <w:num w:numId="2" w16cid:durableId="1510295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31C"/>
    <w:rsid w:val="000262AB"/>
    <w:rsid w:val="00034391"/>
    <w:rsid w:val="00044A31"/>
    <w:rsid w:val="001272F6"/>
    <w:rsid w:val="00132A87"/>
    <w:rsid w:val="00150B2B"/>
    <w:rsid w:val="001B6C92"/>
    <w:rsid w:val="001D62EC"/>
    <w:rsid w:val="0028623A"/>
    <w:rsid w:val="002F3FE5"/>
    <w:rsid w:val="003255C5"/>
    <w:rsid w:val="0036489E"/>
    <w:rsid w:val="003732E1"/>
    <w:rsid w:val="004211F6"/>
    <w:rsid w:val="00466E22"/>
    <w:rsid w:val="00477A1D"/>
    <w:rsid w:val="00497EDE"/>
    <w:rsid w:val="004E0BE1"/>
    <w:rsid w:val="00596E88"/>
    <w:rsid w:val="005A5C59"/>
    <w:rsid w:val="00642343"/>
    <w:rsid w:val="006B7FBB"/>
    <w:rsid w:val="007D6FC5"/>
    <w:rsid w:val="007E720F"/>
    <w:rsid w:val="007F0DFB"/>
    <w:rsid w:val="00837504"/>
    <w:rsid w:val="008466C8"/>
    <w:rsid w:val="00866C38"/>
    <w:rsid w:val="00872873"/>
    <w:rsid w:val="008A1E3C"/>
    <w:rsid w:val="008F7764"/>
    <w:rsid w:val="009654DA"/>
    <w:rsid w:val="009C7DE3"/>
    <w:rsid w:val="00AC747B"/>
    <w:rsid w:val="00B83EB2"/>
    <w:rsid w:val="00B93A8E"/>
    <w:rsid w:val="00CB15A4"/>
    <w:rsid w:val="00DE631C"/>
    <w:rsid w:val="00E104ED"/>
    <w:rsid w:val="00E3054A"/>
    <w:rsid w:val="00FC56A7"/>
    <w:rsid w:val="00FD4CB3"/>
    <w:rsid w:val="00FE6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15CDBF"/>
  <w15:chartTrackingRefBased/>
  <w15:docId w15:val="{52CE47D9-748B-A24A-B7E6-8715D9816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3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3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3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3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3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3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3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3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3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3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3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3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3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3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3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3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3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31C"/>
    <w:rPr>
      <w:rFonts w:eastAsiaTheme="majorEastAsia" w:cstheme="majorBidi"/>
      <w:color w:val="272727" w:themeColor="text1" w:themeTint="D8"/>
    </w:rPr>
  </w:style>
  <w:style w:type="paragraph" w:styleId="Title">
    <w:name w:val="Title"/>
    <w:basedOn w:val="Normal"/>
    <w:next w:val="Normal"/>
    <w:link w:val="TitleChar"/>
    <w:uiPriority w:val="10"/>
    <w:qFormat/>
    <w:rsid w:val="00DE63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3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3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3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631C"/>
    <w:rPr>
      <w:i/>
      <w:iCs/>
      <w:color w:val="404040" w:themeColor="text1" w:themeTint="BF"/>
    </w:rPr>
  </w:style>
  <w:style w:type="paragraph" w:styleId="ListParagraph">
    <w:name w:val="List Paragraph"/>
    <w:basedOn w:val="Normal"/>
    <w:uiPriority w:val="34"/>
    <w:qFormat/>
    <w:rsid w:val="00DE631C"/>
    <w:pPr>
      <w:ind w:left="720"/>
      <w:contextualSpacing/>
    </w:pPr>
  </w:style>
  <w:style w:type="character" w:styleId="IntenseEmphasis">
    <w:name w:val="Intense Emphasis"/>
    <w:basedOn w:val="DefaultParagraphFont"/>
    <w:uiPriority w:val="21"/>
    <w:qFormat/>
    <w:rsid w:val="00DE631C"/>
    <w:rPr>
      <w:i/>
      <w:iCs/>
      <w:color w:val="0F4761" w:themeColor="accent1" w:themeShade="BF"/>
    </w:rPr>
  </w:style>
  <w:style w:type="paragraph" w:styleId="IntenseQuote">
    <w:name w:val="Intense Quote"/>
    <w:basedOn w:val="Normal"/>
    <w:next w:val="Normal"/>
    <w:link w:val="IntenseQuoteChar"/>
    <w:uiPriority w:val="30"/>
    <w:qFormat/>
    <w:rsid w:val="00DE63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31C"/>
    <w:rPr>
      <w:i/>
      <w:iCs/>
      <w:color w:val="0F4761" w:themeColor="accent1" w:themeShade="BF"/>
    </w:rPr>
  </w:style>
  <w:style w:type="character" w:styleId="IntenseReference">
    <w:name w:val="Intense Reference"/>
    <w:basedOn w:val="DefaultParagraphFont"/>
    <w:uiPriority w:val="32"/>
    <w:qFormat/>
    <w:rsid w:val="00DE631C"/>
    <w:rPr>
      <w:b/>
      <w:bCs/>
      <w:smallCaps/>
      <w:color w:val="0F4761" w:themeColor="accent1" w:themeShade="BF"/>
      <w:spacing w:val="5"/>
    </w:rPr>
  </w:style>
  <w:style w:type="character" w:styleId="Hyperlink">
    <w:name w:val="Hyperlink"/>
    <w:basedOn w:val="DefaultParagraphFont"/>
    <w:uiPriority w:val="99"/>
    <w:unhideWhenUsed/>
    <w:rsid w:val="00837504"/>
    <w:rPr>
      <w:color w:val="467886" w:themeColor="hyperlink"/>
      <w:u w:val="single"/>
    </w:rPr>
  </w:style>
  <w:style w:type="character" w:styleId="UnresolvedMention">
    <w:name w:val="Unresolved Mention"/>
    <w:basedOn w:val="DefaultParagraphFont"/>
    <w:uiPriority w:val="99"/>
    <w:semiHidden/>
    <w:unhideWhenUsed/>
    <w:rsid w:val="00837504"/>
    <w:rPr>
      <w:color w:val="605E5C"/>
      <w:shd w:val="clear" w:color="auto" w:fill="E1DFDD"/>
    </w:rPr>
  </w:style>
  <w:style w:type="character" w:styleId="FollowedHyperlink">
    <w:name w:val="FollowedHyperlink"/>
    <w:basedOn w:val="DefaultParagraphFont"/>
    <w:uiPriority w:val="99"/>
    <w:semiHidden/>
    <w:unhideWhenUsed/>
    <w:rsid w:val="00150B2B"/>
    <w:rPr>
      <w:color w:val="96607D" w:themeColor="followedHyperlink"/>
      <w:u w:val="single"/>
    </w:rPr>
  </w:style>
  <w:style w:type="paragraph" w:styleId="FootnoteText">
    <w:name w:val="footnote text"/>
    <w:basedOn w:val="Normal"/>
    <w:link w:val="FootnoteTextChar"/>
    <w:uiPriority w:val="99"/>
    <w:semiHidden/>
    <w:unhideWhenUsed/>
    <w:rsid w:val="00CB15A4"/>
    <w:rPr>
      <w:sz w:val="20"/>
      <w:szCs w:val="20"/>
    </w:rPr>
  </w:style>
  <w:style w:type="character" w:customStyle="1" w:styleId="FootnoteTextChar">
    <w:name w:val="Footnote Text Char"/>
    <w:basedOn w:val="DefaultParagraphFont"/>
    <w:link w:val="FootnoteText"/>
    <w:uiPriority w:val="99"/>
    <w:semiHidden/>
    <w:rsid w:val="00CB15A4"/>
    <w:rPr>
      <w:sz w:val="20"/>
      <w:szCs w:val="20"/>
    </w:rPr>
  </w:style>
  <w:style w:type="character" w:styleId="FootnoteReference">
    <w:name w:val="footnote reference"/>
    <w:basedOn w:val="DefaultParagraphFont"/>
    <w:uiPriority w:val="99"/>
    <w:semiHidden/>
    <w:unhideWhenUsed/>
    <w:rsid w:val="00CB15A4"/>
    <w:rPr>
      <w:vertAlign w:val="superscript"/>
    </w:rPr>
  </w:style>
  <w:style w:type="paragraph" w:styleId="NormalWeb">
    <w:name w:val="Normal (Web)"/>
    <w:basedOn w:val="Normal"/>
    <w:uiPriority w:val="99"/>
    <w:unhideWhenUsed/>
    <w:rsid w:val="00CB15A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E6ECC5-40DB-F842-9885-9D9703259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5</Pages>
  <Words>1220</Words>
  <Characters>5446</Characters>
  <Application>Microsoft Office Word</Application>
  <DocSecurity>0</DocSecurity>
  <Lines>320</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15</cp:revision>
  <dcterms:created xsi:type="dcterms:W3CDTF">2026-04-10T19:36:00Z</dcterms:created>
  <dcterms:modified xsi:type="dcterms:W3CDTF">2026-04-10T20:01:00Z</dcterms:modified>
</cp:coreProperties>
</file>