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32B" w:rsidRDefault="005D032B" w:rsidP="005D032B">
      <w:pPr>
        <w:rPr>
          <w:sz w:val="36"/>
        </w:rPr>
      </w:pPr>
      <w:r>
        <w:rPr>
          <w:noProof/>
          <w:lang w:val="en-US"/>
        </w:rPr>
        <w:drawing>
          <wp:inline distT="0" distB="0" distL="0" distR="0">
            <wp:extent cx="3486150" cy="1746250"/>
            <wp:effectExtent l="19050" t="0" r="0" b="0"/>
            <wp:docPr id="1" name="rectole0000000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ole0000000000"/>
                    <pic:cNvPicPr>
                      <a:picLocks noChangeArrowheads="1"/>
                    </pic:cNvPicPr>
                  </pic:nvPicPr>
                  <pic:blipFill>
                    <a:blip r:embed="rId6" cstate="print"/>
                    <a:srcRect/>
                    <a:stretch>
                      <a:fillRect/>
                    </a:stretch>
                  </pic:blipFill>
                  <pic:spPr bwMode="auto">
                    <a:xfrm>
                      <a:off x="0" y="0"/>
                      <a:ext cx="3486150" cy="1746250"/>
                    </a:xfrm>
                    <a:prstGeom prst="rect">
                      <a:avLst/>
                    </a:prstGeom>
                    <a:solidFill>
                      <a:srgbClr val="FFFFFF"/>
                    </a:solidFill>
                    <a:ln w="9525">
                      <a:noFill/>
                      <a:miter lim="800000"/>
                      <a:headEnd/>
                      <a:tailEnd/>
                    </a:ln>
                  </pic:spPr>
                </pic:pic>
              </a:graphicData>
            </a:graphic>
          </wp:inline>
        </w:drawing>
      </w:r>
    </w:p>
    <w:p w:rsidR="005D032B" w:rsidRDefault="005D032B" w:rsidP="005D032B">
      <w:pPr>
        <w:rPr>
          <w:sz w:val="36"/>
        </w:rPr>
      </w:pPr>
    </w:p>
    <w:p w:rsidR="000F2008" w:rsidRPr="005D032B" w:rsidRDefault="005D032B" w:rsidP="005D032B">
      <w:pPr>
        <w:rPr>
          <w:i/>
          <w:sz w:val="36"/>
          <w:u w:val="single"/>
        </w:rPr>
      </w:pPr>
      <w:r w:rsidRPr="005D032B">
        <w:rPr>
          <w:i/>
          <w:sz w:val="36"/>
          <w:u w:val="single"/>
        </w:rPr>
        <w:t>M</w:t>
      </w:r>
      <w:r w:rsidR="000F2008" w:rsidRPr="005D032B">
        <w:rPr>
          <w:i/>
          <w:sz w:val="36"/>
          <w:u w:val="single"/>
        </w:rPr>
        <w:t>odule: Accounting Fundamentals</w:t>
      </w:r>
    </w:p>
    <w:p w:rsidR="00B8356B" w:rsidRPr="005D032B" w:rsidRDefault="000F2008" w:rsidP="005D032B">
      <w:pPr>
        <w:rPr>
          <w:i/>
          <w:sz w:val="36"/>
          <w:u w:val="single"/>
        </w:rPr>
      </w:pPr>
      <w:r w:rsidRPr="005D032B">
        <w:rPr>
          <w:i/>
          <w:sz w:val="36"/>
          <w:u w:val="single"/>
        </w:rPr>
        <w:t>Module code: LCBB4001</w:t>
      </w:r>
    </w:p>
    <w:p w:rsidR="00816F83" w:rsidRPr="005D032B" w:rsidRDefault="005D032B" w:rsidP="005D032B">
      <w:pPr>
        <w:rPr>
          <w:i/>
          <w:sz w:val="36"/>
          <w:u w:val="single"/>
        </w:rPr>
      </w:pPr>
      <w:proofErr w:type="spellStart"/>
      <w:r w:rsidRPr="005D032B">
        <w:rPr>
          <w:i/>
          <w:sz w:val="36"/>
          <w:u w:val="single"/>
        </w:rPr>
        <w:t>Name</w:t>
      </w:r>
      <w:proofErr w:type="gramStart"/>
      <w:r w:rsidRPr="005D032B">
        <w:rPr>
          <w:i/>
          <w:sz w:val="36"/>
          <w:u w:val="single"/>
        </w:rPr>
        <w:t>:AnaMaria</w:t>
      </w:r>
      <w:proofErr w:type="spellEnd"/>
      <w:proofErr w:type="gramEnd"/>
      <w:r w:rsidRPr="005D032B">
        <w:rPr>
          <w:i/>
          <w:sz w:val="36"/>
          <w:u w:val="single"/>
        </w:rPr>
        <w:t xml:space="preserve"> Doris </w:t>
      </w:r>
      <w:proofErr w:type="spellStart"/>
      <w:r w:rsidRPr="005D032B">
        <w:rPr>
          <w:i/>
          <w:sz w:val="36"/>
          <w:u w:val="single"/>
        </w:rPr>
        <w:t>Andrita</w:t>
      </w:r>
      <w:proofErr w:type="spellEnd"/>
    </w:p>
    <w:p w:rsidR="00816F83" w:rsidRDefault="00816F83" w:rsidP="00816F83">
      <w:pPr>
        <w:jc w:val="center"/>
        <w:rPr>
          <w:sz w:val="36"/>
        </w:rPr>
      </w:pPr>
    </w:p>
    <w:p w:rsidR="00816F83" w:rsidRDefault="00816F83"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5D032B" w:rsidRDefault="005D032B" w:rsidP="00816F83">
      <w:pPr>
        <w:jc w:val="center"/>
        <w:rPr>
          <w:sz w:val="36"/>
        </w:rPr>
      </w:pPr>
    </w:p>
    <w:p w:rsidR="00816F83" w:rsidRPr="00816F83" w:rsidRDefault="00816F83" w:rsidP="00816F83">
      <w:pPr>
        <w:jc w:val="center"/>
        <w:rPr>
          <w:sz w:val="36"/>
        </w:rPr>
      </w:pPr>
      <w:r w:rsidRPr="00816F83">
        <w:rPr>
          <w:sz w:val="36"/>
        </w:rPr>
        <w:lastRenderedPageBreak/>
        <w:t>Component 1:</w:t>
      </w:r>
    </w:p>
    <w:p w:rsidR="0087697D" w:rsidRDefault="0087697D" w:rsidP="005D032B"/>
    <w:p w:rsidR="0087697D" w:rsidRPr="0087697D" w:rsidRDefault="0087697D" w:rsidP="0087697D">
      <w:pPr>
        <w:rPr>
          <w:lang w:eastAsia="en-GB"/>
        </w:rPr>
      </w:pPr>
      <w:r w:rsidRPr="0087697D">
        <w:rPr>
          <w:lang w:eastAsia="en-GB"/>
        </w:rPr>
        <w:t>Implying that the scientific space of corporate finance is dynamic, it is vital for stakeholders to closely examine the financial statements of a company. This report provides an elaborative discussion of the financial position of Sweets plc using the key ratios and firm performance indicators. The performance indicators such as Return on Capital Employed Return on Equity</w:t>
      </w:r>
      <w:r w:rsidR="00C34187">
        <w:rPr>
          <w:lang w:eastAsia="en-GB"/>
        </w:rPr>
        <w:t>,</w:t>
      </w:r>
      <w:r w:rsidRPr="0087697D">
        <w:rPr>
          <w:lang w:eastAsia="en-GB"/>
        </w:rPr>
        <w:t xml:space="preserve"> and Net Profit Margin and the liquidity and solvency ratios indicate the various strength and weaknesses of the company. </w:t>
      </w:r>
    </w:p>
    <w:p w:rsidR="00B8356B" w:rsidRDefault="00B8356B">
      <w:pPr>
        <w:spacing w:line="259" w:lineRule="auto"/>
        <w:jc w:val="left"/>
        <w:rPr>
          <w:rFonts w:asciiTheme="majorHAnsi" w:eastAsiaTheme="majorEastAsia" w:hAnsiTheme="majorHAnsi" w:cstheme="majorBidi"/>
          <w:color w:val="2F5496" w:themeColor="accent1" w:themeShade="BF"/>
          <w:sz w:val="32"/>
          <w:szCs w:val="32"/>
        </w:rPr>
      </w:pPr>
      <w:r>
        <w:br w:type="page"/>
      </w:r>
    </w:p>
    <w:p w:rsidR="00452086" w:rsidRDefault="00452086" w:rsidP="00452086">
      <w:pPr>
        <w:pStyle w:val="Heading1"/>
      </w:pPr>
      <w:r w:rsidRPr="00452086">
        <w:lastRenderedPageBreak/>
        <w:t>QUESTION 1</w:t>
      </w:r>
    </w:p>
    <w:p w:rsidR="006F4CBF" w:rsidRDefault="00B144DE" w:rsidP="006F4CBF">
      <w:pPr>
        <w:rPr>
          <w:lang w:eastAsia="en-GB"/>
        </w:rPr>
      </w:pPr>
      <w:r w:rsidRPr="00B144DE">
        <w:rPr>
          <w:lang w:eastAsia="en-GB"/>
        </w:rPr>
        <w:t>Statement of financial position, also known as the balance sheet, is a financial statement that shows an enterprise financial status at a specific date</w:t>
      </w:r>
      <w:r w:rsidR="006F4CBF">
        <w:rPr>
          <w:lang w:eastAsia="en-GB"/>
        </w:rPr>
        <w:t>.</w:t>
      </w:r>
      <w:r w:rsidRPr="00B144DE">
        <w:rPr>
          <w:lang w:eastAsia="en-GB"/>
        </w:rPr>
        <w:t xml:space="preserve"> It shows a company’s assets, liabilities, and equity, which combined presents the company’s financial health. As the term position in the financial statement means that does not present how the company relates its cash inflows and outflows during the accounting period</w:t>
      </w:r>
      <w:r w:rsidR="004D0CDE">
        <w:rPr>
          <w:lang w:eastAsia="en-GB"/>
        </w:rPr>
        <w:t xml:space="preserve"> (</w:t>
      </w:r>
      <w:r w:rsidR="00B60FEE">
        <w:t xml:space="preserve">Anthony et al., </w:t>
      </w:r>
      <w:r w:rsidR="004D0CDE">
        <w:t>2021</w:t>
      </w:r>
      <w:r w:rsidR="00B83455">
        <w:t>)</w:t>
      </w:r>
      <w:r w:rsidRPr="00B144DE">
        <w:rPr>
          <w:lang w:eastAsia="en-GB"/>
        </w:rPr>
        <w:t>. Rather it gives the final balances in the various financial accounts as of the end of the reporting period. The statement of cash flows usual shows the company’s cash sources and uses through the accounting period considering the operating, investment, and financial activities</w:t>
      </w:r>
      <w:r w:rsidR="006F4CBF">
        <w:rPr>
          <w:lang w:eastAsia="en-GB"/>
        </w:rPr>
        <w:t>.</w:t>
      </w:r>
    </w:p>
    <w:p w:rsidR="00B144DE" w:rsidRPr="00B144DE" w:rsidRDefault="00B144DE" w:rsidP="006F4CBF">
      <w:pPr>
        <w:rPr>
          <w:lang w:eastAsia="en-GB"/>
        </w:rPr>
      </w:pPr>
      <w:r w:rsidRPr="00B144DE">
        <w:rPr>
          <w:lang w:eastAsia="en-GB"/>
        </w:rPr>
        <w:t>Among the assets recorded in the statement of financial position, non-current assets, also described as long-term assets, refer to movable and immovable features used for a period exceeding one year. Although the article claim that the assets do not move, most of the non-current assets are movable such as property, patents and trademarks</w:t>
      </w:r>
      <w:r w:rsidR="006F4CBF">
        <w:rPr>
          <w:lang w:eastAsia="en-GB"/>
        </w:rPr>
        <w:t>.</w:t>
      </w:r>
      <w:r w:rsidRPr="00B144DE">
        <w:rPr>
          <w:lang w:eastAsia="en-GB"/>
        </w:rPr>
        <w:t xml:space="preserve"> Non-current assets are fixed in the sense that they cannot be liquidated into cash within a year</w:t>
      </w:r>
      <w:r w:rsidR="002C5940">
        <w:rPr>
          <w:lang w:eastAsia="en-GB"/>
        </w:rPr>
        <w:t xml:space="preserve"> (</w:t>
      </w:r>
      <w:r w:rsidR="00846305">
        <w:t xml:space="preserve">Kemp et al., </w:t>
      </w:r>
      <w:r w:rsidR="002C5940">
        <w:t>2019</w:t>
      </w:r>
      <w:r w:rsidR="00D0269C">
        <w:t>)</w:t>
      </w:r>
      <w:r w:rsidRPr="00B144DE">
        <w:rPr>
          <w:lang w:eastAsia="en-GB"/>
        </w:rPr>
        <w:t>. Even assets classified as immovable, such as land and buildings, part of non-current assets, carry value irrespective of their immovability. It is essential to have an understanding of the non-current assets and the classification needed for financial recording and analysis because it is an investment with the company’s profitability. To present a true and fair view of the two, proper valuation, deprecation, and impairment accounting is required to ascertain their true value in the balance sheet and how it impacts the company’s financial position.</w:t>
      </w:r>
    </w:p>
    <w:p w:rsidR="006F4CBF" w:rsidRDefault="00B144DE" w:rsidP="006F4CBF">
      <w:pPr>
        <w:rPr>
          <w:lang w:eastAsia="en-GB"/>
        </w:rPr>
      </w:pPr>
      <w:r w:rsidRPr="00B144DE">
        <w:rPr>
          <w:lang w:eastAsia="en-GB"/>
        </w:rPr>
        <w:t xml:space="preserve">Managers’ responsibility to report to current shareholders “the following assertion” above is too narrow. Managers have a wider responsibility to report clearly to all stakeholders. While shareholders may be the most significant source of investments in a company, they are not the only ones with a stake in the company’s financial performance and operations. Other stakeholders who depend on financial information to determine a similarity that a company is </w:t>
      </w:r>
      <w:r w:rsidR="00DE42EF" w:rsidRPr="00B144DE">
        <w:rPr>
          <w:lang w:eastAsia="en-GB"/>
        </w:rPr>
        <w:t>Viable</w:t>
      </w:r>
      <w:r w:rsidRPr="00B144DE">
        <w:rPr>
          <w:lang w:eastAsia="en-GB"/>
        </w:rPr>
        <w:t xml:space="preserve"> and sustainable include creditors, potential investors, regulators</w:t>
      </w:r>
      <w:r w:rsidR="00C34187">
        <w:rPr>
          <w:lang w:eastAsia="en-GB"/>
        </w:rPr>
        <w:t>,</w:t>
      </w:r>
      <w:r w:rsidRPr="00B144DE">
        <w:rPr>
          <w:lang w:eastAsia="en-GB"/>
        </w:rPr>
        <w:t xml:space="preserve"> employees</w:t>
      </w:r>
      <w:r w:rsidR="00C34187">
        <w:rPr>
          <w:lang w:eastAsia="en-GB"/>
        </w:rPr>
        <w:t>,</w:t>
      </w:r>
      <w:r w:rsidRPr="00B144DE">
        <w:rPr>
          <w:lang w:eastAsia="en-GB"/>
        </w:rPr>
        <w:t xml:space="preserve"> and the soc</w:t>
      </w:r>
      <w:r w:rsidR="00DE42EF">
        <w:rPr>
          <w:lang w:eastAsia="en-GB"/>
        </w:rPr>
        <w:t>iety hence the society at large (</w:t>
      </w:r>
      <w:r w:rsidR="00012533">
        <w:t xml:space="preserve">Harrison et al., </w:t>
      </w:r>
      <w:r w:rsidR="00DE42EF" w:rsidRPr="005328D8">
        <w:t>2019</w:t>
      </w:r>
      <w:r w:rsidR="008E3425">
        <w:t>)</w:t>
      </w:r>
      <w:r w:rsidR="00DE42EF">
        <w:rPr>
          <w:lang w:eastAsia="en-GB"/>
        </w:rPr>
        <w:t xml:space="preserve">. </w:t>
      </w:r>
      <w:r w:rsidRPr="00B144DE">
        <w:rPr>
          <w:lang w:eastAsia="en-GB"/>
        </w:rPr>
        <w:t xml:space="preserve">Reporting accurately and quickly to all stakeholders will lead to trust, accountability, and reliability in the financial disorder in modern time’ system. This ultimately has the effect of building investors’ confidence in the company </w:t>
      </w:r>
      <w:r w:rsidRPr="00B144DE">
        <w:rPr>
          <w:lang w:eastAsia="en-GB"/>
        </w:rPr>
        <w:lastRenderedPageBreak/>
        <w:t xml:space="preserve">upon a firm. The firm will obtain funds and maintain credible business relationships with its stakeholders in the process. </w:t>
      </w:r>
    </w:p>
    <w:p w:rsidR="00B144DE" w:rsidRPr="00B144DE" w:rsidRDefault="00B144DE" w:rsidP="006F4CBF">
      <w:pPr>
        <w:rPr>
          <w:lang w:eastAsia="en-GB"/>
        </w:rPr>
      </w:pPr>
      <w:r w:rsidRPr="00B144DE">
        <w:rPr>
          <w:lang w:eastAsia="en-GB"/>
        </w:rPr>
        <w:t>In contrast, failing to report the relevant financial information to all stakeholders may shake the investors’ belief in the company. This portent its reputation to the filth while it’s financial soundness and credibility lay on the folks finally public image since the firm access the financial market</w:t>
      </w:r>
      <w:r w:rsidR="006F4CBF">
        <w:rPr>
          <w:lang w:eastAsia="en-GB"/>
        </w:rPr>
        <w:t>.</w:t>
      </w:r>
      <w:r w:rsidRPr="00B144DE">
        <w:rPr>
          <w:lang w:eastAsia="en-GB"/>
        </w:rPr>
        <w:t xml:space="preserve"> Prepayments and accruals are important accounting terminologies that affect the correctness of a company’s financial statements. For example, a prepayment is an expense or revenue paid or received in advance of actual payment or economic occurrence while accrual is recorded when expenses or revenues are recognized before cash changes hands. Hence, companies should include in their statements of financial position the need to have Prepayments and Accrual accounting to ensure that their financial information represents the real economic position of its </w:t>
      </w:r>
      <w:r w:rsidR="00012533" w:rsidRPr="00B144DE">
        <w:rPr>
          <w:lang w:eastAsia="en-GB"/>
        </w:rPr>
        <w:t>resources. Cash financiers</w:t>
      </w:r>
      <w:r w:rsidRPr="00B144DE">
        <w:rPr>
          <w:lang w:eastAsia="en-GB"/>
        </w:rPr>
        <w:t xml:space="preserve">, potential investors and other stakeholders depend heavily on this information to make critical decisions. Prepayments and accruals need to </w:t>
      </w:r>
      <w:r w:rsidR="00012533" w:rsidRPr="00B144DE">
        <w:rPr>
          <w:lang w:eastAsia="en-GB"/>
        </w:rPr>
        <w:t>account</w:t>
      </w:r>
      <w:r w:rsidRPr="00B144DE">
        <w:rPr>
          <w:lang w:eastAsia="en-GB"/>
        </w:rPr>
        <w:t xml:space="preserve"> for to have reliable financial reporting</w:t>
      </w:r>
      <w:r w:rsidR="00012533">
        <w:rPr>
          <w:lang w:eastAsia="en-GB"/>
        </w:rPr>
        <w:t xml:space="preserve"> (</w:t>
      </w:r>
      <w:r w:rsidR="00C81FA3">
        <w:t xml:space="preserve">Nobes </w:t>
      </w:r>
      <w:r w:rsidR="007B4F84">
        <w:t>a</w:t>
      </w:r>
      <w:r w:rsidR="00012533">
        <w:t>nd</w:t>
      </w:r>
      <w:r w:rsidR="00012533" w:rsidRPr="005328D8">
        <w:t xml:space="preserve"> Parker, </w:t>
      </w:r>
      <w:r w:rsidR="00012533">
        <w:t>2018</w:t>
      </w:r>
      <w:r w:rsidR="00F927DD">
        <w:t>)</w:t>
      </w:r>
      <w:r w:rsidRPr="00B144DE">
        <w:rPr>
          <w:lang w:eastAsia="en-GB"/>
        </w:rPr>
        <w:t>.</w:t>
      </w:r>
    </w:p>
    <w:p w:rsidR="00B144DE" w:rsidRPr="00B144DE" w:rsidRDefault="00B144DE" w:rsidP="006F4CBF">
      <w:pPr>
        <w:rPr>
          <w:lang w:eastAsia="en-GB"/>
        </w:rPr>
      </w:pPr>
      <w:r w:rsidRPr="00B144DE">
        <w:rPr>
          <w:lang w:eastAsia="en-GB"/>
        </w:rPr>
        <w:t xml:space="preserve">One of the top roles is to ensure proper financial statements, </w:t>
      </w:r>
      <w:r w:rsidR="00697217">
        <w:rPr>
          <w:lang w:eastAsia="en-GB"/>
        </w:rPr>
        <w:t>honest</w:t>
      </w:r>
      <w:r w:rsidRPr="00B144DE">
        <w:rPr>
          <w:lang w:eastAsia="en-GB"/>
        </w:rPr>
        <w:t>, and transparent reporting. Financial statements play a crucial role in ensuring the need to have accurate financial information to make informed decisions, and all the stakeholders will most likely be involved in information disclosure. The proponent’s proposition ignores how risks and negativities can be imposed on businesses, investors, the economy, etc. as a result of unregulated financial accountancy. The financial regulations bundle up as standards, accountability and transparency requirements, and securities and exchange commissions</w:t>
      </w:r>
      <w:r w:rsidR="00225421">
        <w:rPr>
          <w:lang w:eastAsia="en-GB"/>
        </w:rPr>
        <w:t xml:space="preserve"> (</w:t>
      </w:r>
      <w:r w:rsidR="00361F87">
        <w:t>Horngren et al., 2</w:t>
      </w:r>
      <w:r w:rsidR="00225421">
        <w:t>022</w:t>
      </w:r>
      <w:r w:rsidR="002A4C65">
        <w:t>)</w:t>
      </w:r>
      <w:r w:rsidRPr="00B144DE">
        <w:rPr>
          <w:lang w:eastAsia="en-GB"/>
        </w:rPr>
        <w:t xml:space="preserve">. Financial regulations are designed to maintain the market’s integrity, protect investors, promoting fair competition among marketers, fraud, </w:t>
      </w:r>
      <w:r w:rsidR="006F4CBF" w:rsidRPr="00B144DE">
        <w:rPr>
          <w:lang w:eastAsia="en-GB"/>
        </w:rPr>
        <w:t>and the</w:t>
      </w:r>
      <w:r w:rsidRPr="00B144DE">
        <w:rPr>
          <w:lang w:eastAsia="en-GB"/>
        </w:rPr>
        <w:t xml:space="preserve"> deviation in accounting policies, thousands of scandals, such as frauds, distortive </w:t>
      </w:r>
      <w:proofErr w:type="spellStart"/>
      <w:r w:rsidRPr="00B144DE">
        <w:rPr>
          <w:lang w:eastAsia="en-GB"/>
        </w:rPr>
        <w:t>behavior</w:t>
      </w:r>
      <w:proofErr w:type="spellEnd"/>
      <w:r w:rsidRPr="00B144DE">
        <w:rPr>
          <w:lang w:eastAsia="en-GB"/>
        </w:rPr>
        <w:t>, and misleading disclosures. Financial regulation also ensures market stability, investor safety, and investor confidence leading to more economic growth, in addition to market integrity and compelling investor confidence in financial institutions. Therefore, financial regulations secure and guarantee the confidence level in publicly traded corporations.</w:t>
      </w:r>
    </w:p>
    <w:p w:rsidR="00930C99" w:rsidRPr="00B144DE" w:rsidRDefault="00B144DE" w:rsidP="00B144DE">
      <w:pPr>
        <w:rPr>
          <w:lang w:eastAsia="en-GB"/>
        </w:rPr>
      </w:pPr>
      <w:r w:rsidRPr="00B144DE">
        <w:rPr>
          <w:lang w:eastAsia="en-GB"/>
        </w:rPr>
        <w:t xml:space="preserve">The balance of ledger accounts and the preparation of the trial balance are grossly critical procedure in accounting. However, they alone do not guarantee the integrity of the financial </w:t>
      </w:r>
      <w:r w:rsidRPr="00B144DE">
        <w:rPr>
          <w:lang w:eastAsia="en-GB"/>
        </w:rPr>
        <w:lastRenderedPageBreak/>
        <w:t>records. This means that the statement of this claim is false. Balancing of ledger accounts represents the analysis of the extent to which debit transactions have been recorded in comparison with credit transactions. Balancing ledger accounts verified that the total debits are equal to the total credits in the account</w:t>
      </w:r>
      <w:r w:rsidR="00970953">
        <w:rPr>
          <w:lang w:eastAsia="en-GB"/>
        </w:rPr>
        <w:t xml:space="preserve"> (</w:t>
      </w:r>
      <w:r w:rsidR="00965FA5">
        <w:t xml:space="preserve">Weil et al., </w:t>
      </w:r>
      <w:r w:rsidR="00970953">
        <w:t>2022</w:t>
      </w:r>
      <w:r w:rsidR="004172C1">
        <w:t>)</w:t>
      </w:r>
      <w:r w:rsidRPr="00B144DE">
        <w:rPr>
          <w:lang w:eastAsia="en-GB"/>
        </w:rPr>
        <w:t xml:space="preserve">. This ensures that the transactions were accurately and validly made in relation to the accounting concepts. Similarly, the trial balance is a </w:t>
      </w:r>
      <w:proofErr w:type="spellStart"/>
      <w:r w:rsidRPr="00B144DE">
        <w:rPr>
          <w:lang w:eastAsia="en-GB"/>
        </w:rPr>
        <w:t>summery</w:t>
      </w:r>
      <w:proofErr w:type="spellEnd"/>
      <w:r w:rsidRPr="00B144DE">
        <w:rPr>
          <w:lang w:eastAsia="en-GB"/>
        </w:rPr>
        <w:t xml:space="preserve"> of the balances of all ledger accounts and is used to test the accuracy of the accounting records</w:t>
      </w:r>
      <w:r w:rsidR="006F4CBF">
        <w:rPr>
          <w:lang w:eastAsia="en-GB"/>
        </w:rPr>
        <w:t>.</w:t>
      </w:r>
      <w:r w:rsidRPr="00B144DE">
        <w:rPr>
          <w:lang w:eastAsia="en-GB"/>
        </w:rPr>
        <w:t xml:space="preserve"> However, balancing ledger accounts and preparing a trial do no eliminate errors. They do not ensure that there was no omission and that each entry was posted to its correct entry. Therefore other methods such as a detailed analysis of the financial records, reconciliations and analysis of the entries remain necessary to eliminate errors. Proper internal financial controls, regular reviews and audits remain essential among such measures.</w:t>
      </w:r>
    </w:p>
    <w:p w:rsidR="007A2DAD" w:rsidRDefault="00452086" w:rsidP="00452086">
      <w:pPr>
        <w:pStyle w:val="Heading1"/>
      </w:pPr>
      <w:r w:rsidRPr="00452086">
        <w:t>QUESTION 2</w:t>
      </w:r>
    </w:p>
    <w:p w:rsidR="00452086" w:rsidRDefault="00452086" w:rsidP="00452086"/>
    <w:p w:rsidR="00452086" w:rsidRDefault="00452086" w:rsidP="00452086">
      <w:pPr>
        <w:jc w:val="center"/>
      </w:pPr>
      <w:r w:rsidRPr="00452086">
        <w:t>Wales plc</w:t>
      </w:r>
    </w:p>
    <w:p w:rsidR="00452086" w:rsidRDefault="00452086" w:rsidP="00452086">
      <w:pPr>
        <w:jc w:val="center"/>
      </w:pPr>
      <w:r>
        <w:t>Income statement</w:t>
      </w:r>
    </w:p>
    <w:tbl>
      <w:tblPr>
        <w:tblStyle w:val="GridTableLight"/>
        <w:tblW w:w="8318" w:type="dxa"/>
        <w:jc w:val="center"/>
        <w:tblLook w:val="04A0"/>
      </w:tblPr>
      <w:tblGrid>
        <w:gridCol w:w="5540"/>
        <w:gridCol w:w="2778"/>
      </w:tblGrid>
      <w:tr w:rsidR="00452086" w:rsidRPr="00452086" w:rsidTr="00452086">
        <w:trPr>
          <w:trHeight w:val="549"/>
          <w:jc w:val="center"/>
        </w:trPr>
        <w:tc>
          <w:tcPr>
            <w:tcW w:w="0" w:type="auto"/>
            <w:hideMark/>
          </w:tcPr>
          <w:p w:rsidR="00452086" w:rsidRPr="00452086" w:rsidRDefault="00452086" w:rsidP="00452086">
            <w:pPr>
              <w:jc w:val="center"/>
              <w:rPr>
                <w:b/>
                <w:lang w:eastAsia="en-GB"/>
              </w:rPr>
            </w:pPr>
            <w:r w:rsidRPr="00452086">
              <w:rPr>
                <w:b/>
                <w:lang w:eastAsia="en-GB"/>
              </w:rPr>
              <w:t>Item</w:t>
            </w:r>
          </w:p>
        </w:tc>
        <w:tc>
          <w:tcPr>
            <w:tcW w:w="0" w:type="auto"/>
            <w:hideMark/>
          </w:tcPr>
          <w:p w:rsidR="00452086" w:rsidRPr="00452086" w:rsidRDefault="00452086" w:rsidP="00452086">
            <w:pPr>
              <w:jc w:val="center"/>
              <w:rPr>
                <w:b/>
                <w:lang w:eastAsia="en-GB"/>
              </w:rPr>
            </w:pPr>
            <w:r w:rsidRPr="00452086">
              <w:rPr>
                <w:b/>
                <w:lang w:eastAsia="en-GB"/>
              </w:rPr>
              <w:t>Amount (£)</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Sales (Revenue)</w:t>
            </w:r>
          </w:p>
        </w:tc>
        <w:tc>
          <w:tcPr>
            <w:tcW w:w="0" w:type="auto"/>
            <w:hideMark/>
          </w:tcPr>
          <w:p w:rsidR="00452086" w:rsidRPr="00452086" w:rsidRDefault="00452086" w:rsidP="00452086">
            <w:pPr>
              <w:rPr>
                <w:lang w:eastAsia="en-GB"/>
              </w:rPr>
            </w:pPr>
            <w:r w:rsidRPr="00452086">
              <w:rPr>
                <w:lang w:eastAsia="en-GB"/>
              </w:rPr>
              <w:t>£900,000</w:t>
            </w:r>
          </w:p>
        </w:tc>
      </w:tr>
      <w:tr w:rsidR="00452086" w:rsidRPr="00452086" w:rsidTr="00452086">
        <w:trPr>
          <w:trHeight w:val="558"/>
          <w:jc w:val="center"/>
        </w:trPr>
        <w:tc>
          <w:tcPr>
            <w:tcW w:w="0" w:type="auto"/>
            <w:hideMark/>
          </w:tcPr>
          <w:p w:rsidR="00452086" w:rsidRPr="00452086" w:rsidRDefault="00452086" w:rsidP="00452086">
            <w:pPr>
              <w:rPr>
                <w:lang w:eastAsia="en-GB"/>
              </w:rPr>
            </w:pPr>
            <w:r w:rsidRPr="00452086">
              <w:rPr>
                <w:lang w:eastAsia="en-GB"/>
              </w:rPr>
              <w:t>Cost of Sales</w:t>
            </w:r>
          </w:p>
        </w:tc>
        <w:tc>
          <w:tcPr>
            <w:tcW w:w="0" w:type="auto"/>
            <w:hideMark/>
          </w:tcPr>
          <w:p w:rsidR="00452086" w:rsidRPr="00452086" w:rsidRDefault="00452086" w:rsidP="00452086">
            <w:pPr>
              <w:rPr>
                <w:lang w:eastAsia="en-GB"/>
              </w:rPr>
            </w:pPr>
            <w:r w:rsidRPr="00452086">
              <w:rPr>
                <w:lang w:eastAsia="en-GB"/>
              </w:rPr>
              <w:t>£578,650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 Depreciation Expense</w:t>
            </w:r>
          </w:p>
        </w:tc>
        <w:tc>
          <w:tcPr>
            <w:tcW w:w="0" w:type="auto"/>
            <w:hideMark/>
          </w:tcPr>
          <w:p w:rsidR="00452086" w:rsidRPr="00452086" w:rsidRDefault="00452086" w:rsidP="00452086">
            <w:pPr>
              <w:rPr>
                <w:lang w:eastAsia="en-GB"/>
              </w:rPr>
            </w:pPr>
            <w:r w:rsidRPr="00452086">
              <w:rPr>
                <w:lang w:eastAsia="en-GB"/>
              </w:rPr>
              <w:t>£52,000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 Goods Sent to Customers</w:t>
            </w:r>
          </w:p>
        </w:tc>
        <w:tc>
          <w:tcPr>
            <w:tcW w:w="0" w:type="auto"/>
            <w:hideMark/>
          </w:tcPr>
          <w:p w:rsidR="00452086" w:rsidRPr="00452086" w:rsidRDefault="00452086" w:rsidP="00452086">
            <w:pPr>
              <w:rPr>
                <w:lang w:eastAsia="en-GB"/>
              </w:rPr>
            </w:pPr>
            <w:r w:rsidRPr="00452086">
              <w:rPr>
                <w:lang w:eastAsia="en-GB"/>
              </w:rPr>
              <w:t>£1,000</w:t>
            </w:r>
          </w:p>
        </w:tc>
      </w:tr>
      <w:tr w:rsidR="00452086" w:rsidRPr="00452086" w:rsidTr="00452086">
        <w:trPr>
          <w:trHeight w:val="558"/>
          <w:jc w:val="center"/>
        </w:trPr>
        <w:tc>
          <w:tcPr>
            <w:tcW w:w="0" w:type="auto"/>
            <w:hideMark/>
          </w:tcPr>
          <w:p w:rsidR="00452086" w:rsidRPr="00452086" w:rsidRDefault="00452086" w:rsidP="00452086">
            <w:pPr>
              <w:rPr>
                <w:lang w:eastAsia="en-GB"/>
              </w:rPr>
            </w:pPr>
            <w:r w:rsidRPr="00452086">
              <w:rPr>
                <w:lang w:eastAsia="en-GB"/>
              </w:rPr>
              <w:t>Gross Profit</w:t>
            </w:r>
          </w:p>
        </w:tc>
        <w:tc>
          <w:tcPr>
            <w:tcW w:w="0" w:type="auto"/>
            <w:hideMark/>
          </w:tcPr>
          <w:p w:rsidR="00452086" w:rsidRPr="00452086" w:rsidRDefault="00452086" w:rsidP="00452086">
            <w:pPr>
              <w:rPr>
                <w:lang w:eastAsia="en-GB"/>
              </w:rPr>
            </w:pPr>
            <w:r w:rsidRPr="00452086">
              <w:rPr>
                <w:lang w:eastAsia="en-GB"/>
              </w:rPr>
              <w:t>£321,350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Administrative Expenses</w:t>
            </w:r>
          </w:p>
        </w:tc>
        <w:tc>
          <w:tcPr>
            <w:tcW w:w="0" w:type="auto"/>
            <w:hideMark/>
          </w:tcPr>
          <w:p w:rsidR="00452086" w:rsidRPr="00452086" w:rsidRDefault="00452086" w:rsidP="00452086">
            <w:pPr>
              <w:rPr>
                <w:lang w:eastAsia="en-GB"/>
              </w:rPr>
            </w:pPr>
            <w:r w:rsidRPr="00452086">
              <w:rPr>
                <w:lang w:eastAsia="en-GB"/>
              </w:rPr>
              <w:t>£160,000</w:t>
            </w:r>
          </w:p>
        </w:tc>
      </w:tr>
      <w:tr w:rsidR="00452086" w:rsidRPr="00452086" w:rsidTr="00452086">
        <w:trPr>
          <w:trHeight w:val="558"/>
          <w:jc w:val="center"/>
        </w:trPr>
        <w:tc>
          <w:tcPr>
            <w:tcW w:w="0" w:type="auto"/>
            <w:hideMark/>
          </w:tcPr>
          <w:p w:rsidR="00452086" w:rsidRPr="00452086" w:rsidRDefault="00452086" w:rsidP="00452086">
            <w:pPr>
              <w:rPr>
                <w:lang w:eastAsia="en-GB"/>
              </w:rPr>
            </w:pPr>
            <w:r w:rsidRPr="00452086">
              <w:rPr>
                <w:lang w:eastAsia="en-GB"/>
              </w:rPr>
              <w:t>Interest Paid</w:t>
            </w:r>
          </w:p>
        </w:tc>
        <w:tc>
          <w:tcPr>
            <w:tcW w:w="0" w:type="auto"/>
            <w:hideMark/>
          </w:tcPr>
          <w:p w:rsidR="00452086" w:rsidRPr="00452086" w:rsidRDefault="00452086" w:rsidP="00452086">
            <w:pPr>
              <w:rPr>
                <w:lang w:eastAsia="en-GB"/>
              </w:rPr>
            </w:pPr>
            <w:r w:rsidRPr="00452086">
              <w:rPr>
                <w:lang w:eastAsia="en-GB"/>
              </w:rPr>
              <w:t>£2,000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Directors’ Remuneration</w:t>
            </w:r>
          </w:p>
        </w:tc>
        <w:tc>
          <w:tcPr>
            <w:tcW w:w="0" w:type="auto"/>
            <w:hideMark/>
          </w:tcPr>
          <w:p w:rsidR="00452086" w:rsidRPr="00452086" w:rsidRDefault="00452086" w:rsidP="00452086">
            <w:pPr>
              <w:rPr>
                <w:lang w:eastAsia="en-GB"/>
              </w:rPr>
            </w:pPr>
            <w:r w:rsidRPr="00452086">
              <w:rPr>
                <w:lang w:eastAsia="en-GB"/>
              </w:rPr>
              <w:t>£5,000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Distribution Costs</w:t>
            </w:r>
          </w:p>
        </w:tc>
        <w:tc>
          <w:tcPr>
            <w:tcW w:w="0" w:type="auto"/>
            <w:hideMark/>
          </w:tcPr>
          <w:p w:rsidR="00452086" w:rsidRPr="00452086" w:rsidRDefault="00452086" w:rsidP="00452086">
            <w:pPr>
              <w:rPr>
                <w:lang w:eastAsia="en-GB"/>
              </w:rPr>
            </w:pPr>
            <w:r w:rsidRPr="00452086">
              <w:rPr>
                <w:lang w:eastAsia="en-GB"/>
              </w:rPr>
              <w:t>£28,000</w:t>
            </w:r>
          </w:p>
        </w:tc>
      </w:tr>
      <w:tr w:rsidR="00452086" w:rsidRPr="00452086" w:rsidTr="00452086">
        <w:trPr>
          <w:trHeight w:val="558"/>
          <w:jc w:val="center"/>
        </w:trPr>
        <w:tc>
          <w:tcPr>
            <w:tcW w:w="0" w:type="auto"/>
            <w:hideMark/>
          </w:tcPr>
          <w:p w:rsidR="00452086" w:rsidRPr="00452086" w:rsidRDefault="00452086" w:rsidP="00452086">
            <w:pPr>
              <w:rPr>
                <w:lang w:eastAsia="en-GB"/>
              </w:rPr>
            </w:pPr>
            <w:r w:rsidRPr="00452086">
              <w:rPr>
                <w:lang w:eastAsia="en-GB"/>
              </w:rPr>
              <w:lastRenderedPageBreak/>
              <w:t>Corporation Tax Expense</w:t>
            </w:r>
          </w:p>
        </w:tc>
        <w:tc>
          <w:tcPr>
            <w:tcW w:w="0" w:type="auto"/>
            <w:hideMark/>
          </w:tcPr>
          <w:p w:rsidR="00452086" w:rsidRPr="00452086" w:rsidRDefault="00452086" w:rsidP="00452086">
            <w:pPr>
              <w:rPr>
                <w:lang w:eastAsia="en-GB"/>
              </w:rPr>
            </w:pPr>
            <w:r w:rsidRPr="00452086">
              <w:rPr>
                <w:lang w:eastAsia="en-GB"/>
              </w:rPr>
              <w:t>£15,000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Salesmen Commission</w:t>
            </w:r>
          </w:p>
        </w:tc>
        <w:tc>
          <w:tcPr>
            <w:tcW w:w="0" w:type="auto"/>
            <w:hideMark/>
          </w:tcPr>
          <w:p w:rsidR="00452086" w:rsidRPr="00452086" w:rsidRDefault="00452086" w:rsidP="00452086">
            <w:pPr>
              <w:rPr>
                <w:lang w:eastAsia="en-GB"/>
              </w:rPr>
            </w:pPr>
            <w:r w:rsidRPr="00452086">
              <w:rPr>
                <w:lang w:eastAsia="en-GB"/>
              </w:rPr>
              <w:t>£2,000</w:t>
            </w:r>
          </w:p>
        </w:tc>
      </w:tr>
      <w:tr w:rsidR="00452086" w:rsidRPr="00452086" w:rsidTr="00452086">
        <w:trPr>
          <w:trHeight w:val="549"/>
          <w:jc w:val="center"/>
        </w:trPr>
        <w:tc>
          <w:tcPr>
            <w:tcW w:w="0" w:type="auto"/>
            <w:hideMark/>
          </w:tcPr>
          <w:p w:rsidR="00452086" w:rsidRPr="00452086" w:rsidRDefault="00452086" w:rsidP="00452086">
            <w:pPr>
              <w:rPr>
                <w:lang w:eastAsia="en-GB"/>
              </w:rPr>
            </w:pPr>
            <w:r w:rsidRPr="00452086">
              <w:rPr>
                <w:lang w:eastAsia="en-GB"/>
              </w:rPr>
              <w:t>Net Profit</w:t>
            </w:r>
          </w:p>
        </w:tc>
        <w:tc>
          <w:tcPr>
            <w:tcW w:w="0" w:type="auto"/>
            <w:hideMark/>
          </w:tcPr>
          <w:p w:rsidR="00452086" w:rsidRPr="00452086" w:rsidRDefault="00452086" w:rsidP="00452086">
            <w:pPr>
              <w:rPr>
                <w:lang w:eastAsia="en-GB"/>
              </w:rPr>
            </w:pPr>
            <w:r w:rsidRPr="00452086">
              <w:rPr>
                <w:lang w:eastAsia="en-GB"/>
              </w:rPr>
              <w:t>£109,350</w:t>
            </w:r>
          </w:p>
        </w:tc>
      </w:tr>
    </w:tbl>
    <w:p w:rsidR="00452086" w:rsidRDefault="00452086" w:rsidP="00452086"/>
    <w:p w:rsidR="009837D5" w:rsidRDefault="00776918" w:rsidP="009837D5">
      <w:pPr>
        <w:pStyle w:val="Heading1"/>
      </w:pPr>
      <w:r>
        <w:t>QUESTION 3</w:t>
      </w:r>
    </w:p>
    <w:p w:rsidR="009837D5" w:rsidRPr="00275216" w:rsidRDefault="009837D5" w:rsidP="00275216">
      <w:pPr>
        <w:pStyle w:val="Heading2"/>
      </w:pPr>
      <w:r w:rsidRPr="00275216">
        <w:t>a) Ratio</w:t>
      </w:r>
      <w:r w:rsidR="00275216" w:rsidRPr="00275216">
        <w:t xml:space="preserve"> calculation</w:t>
      </w:r>
    </w:p>
    <w:p w:rsidR="00776918" w:rsidRDefault="00776918" w:rsidP="00776918">
      <w:r>
        <w:t xml:space="preserve">Return on Capital Employed (ROCE): </w:t>
      </w:r>
    </w:p>
    <w:p w:rsidR="00776918" w:rsidRDefault="00776918" w:rsidP="00776918">
      <w:r>
        <w:t xml:space="preserve">Formula: Operating Profit / (Non-Current Assets - Current Liabilities) </w:t>
      </w:r>
    </w:p>
    <w:p w:rsidR="00776918" w:rsidRDefault="00776918" w:rsidP="00776918">
      <w:r>
        <w:t xml:space="preserve">Workings: </w:t>
      </w:r>
    </w:p>
    <w:p w:rsidR="00776918" w:rsidRDefault="00776918" w:rsidP="00776918">
      <w:r>
        <w:t xml:space="preserve">2022: £805m / (£7,433m - £2,511m) = £805m / £4,922m = 16.35% </w:t>
      </w:r>
    </w:p>
    <w:p w:rsidR="00776918" w:rsidRDefault="00776918" w:rsidP="00776918">
      <w:r>
        <w:t>2021: £699m / (£7,732m - £3,046m) = £699m / £4,686m = 14.93%</w:t>
      </w:r>
    </w:p>
    <w:p w:rsidR="00776918" w:rsidRDefault="00776918" w:rsidP="00776918">
      <w:r>
        <w:t xml:space="preserve">Return on Equity (ROE): </w:t>
      </w:r>
    </w:p>
    <w:p w:rsidR="00776918" w:rsidRDefault="00776918" w:rsidP="00776918">
      <w:r>
        <w:t xml:space="preserve">Formula: Profit for the Year / Equity </w:t>
      </w:r>
    </w:p>
    <w:p w:rsidR="00776918" w:rsidRDefault="00776918" w:rsidP="00776918">
      <w:r>
        <w:t xml:space="preserve">Workings: </w:t>
      </w:r>
    </w:p>
    <w:p w:rsidR="00776918" w:rsidRDefault="00776918" w:rsidP="00776918">
      <w:r>
        <w:t xml:space="preserve">2022: £431m / £3,088m = 13.96% </w:t>
      </w:r>
    </w:p>
    <w:p w:rsidR="00776918" w:rsidRDefault="00776918" w:rsidP="00776918">
      <w:r>
        <w:t>2021: £366m / £2,912m = 12.56%</w:t>
      </w:r>
    </w:p>
    <w:p w:rsidR="00776918" w:rsidRDefault="00776918" w:rsidP="00776918">
      <w:r>
        <w:t xml:space="preserve">Earnings per Share (EPS): </w:t>
      </w:r>
    </w:p>
    <w:p w:rsidR="00776918" w:rsidRDefault="00776918" w:rsidP="00776918">
      <w:r>
        <w:t xml:space="preserve">Formula: Profit for the Year / Number of Ordinary Shares </w:t>
      </w:r>
    </w:p>
    <w:p w:rsidR="00776918" w:rsidRDefault="00776918" w:rsidP="00776918">
      <w:r>
        <w:t xml:space="preserve">Workings: </w:t>
      </w:r>
    </w:p>
    <w:p w:rsidR="00776918" w:rsidRDefault="00776918" w:rsidP="00776918">
      <w:r>
        <w:t xml:space="preserve">2022: £431m / (£1,071m / £0.50) = £431m / 2,142m shares = £0.20 </w:t>
      </w:r>
    </w:p>
    <w:p w:rsidR="00776918" w:rsidRDefault="00776918" w:rsidP="00776918">
      <w:r>
        <w:t>2021: £366m / (£1,071m / £0.50) = £366m / 2,142m shares = £0.17</w:t>
      </w:r>
    </w:p>
    <w:p w:rsidR="00776918" w:rsidRDefault="00776918" w:rsidP="00776918">
      <w:r>
        <w:t xml:space="preserve">Net Profit Margin: </w:t>
      </w:r>
    </w:p>
    <w:p w:rsidR="00776918" w:rsidRDefault="00776918" w:rsidP="00776918">
      <w:r>
        <w:t xml:space="preserve">Formula: (Profit for the Year / Revenue) x 100 </w:t>
      </w:r>
    </w:p>
    <w:p w:rsidR="00776918" w:rsidRDefault="00776918" w:rsidP="00776918">
      <w:r>
        <w:lastRenderedPageBreak/>
        <w:t xml:space="preserve">Workings: </w:t>
      </w:r>
    </w:p>
    <w:p w:rsidR="00776918" w:rsidRDefault="00776918" w:rsidP="00776918">
      <w:r>
        <w:t xml:space="preserve">2022: (£431m / £6,738m) x 100 = 6.40% </w:t>
      </w:r>
    </w:p>
    <w:p w:rsidR="00776918" w:rsidRDefault="00776918" w:rsidP="00776918">
      <w:r>
        <w:t>2021: (£366m / £6,441m) x 100 = 5.68%</w:t>
      </w:r>
    </w:p>
    <w:p w:rsidR="00776918" w:rsidRDefault="00776918" w:rsidP="00776918"/>
    <w:p w:rsidR="00776918" w:rsidRDefault="00776918" w:rsidP="00776918">
      <w:r>
        <w:t xml:space="preserve">Asset Turnover: </w:t>
      </w:r>
    </w:p>
    <w:p w:rsidR="00776918" w:rsidRDefault="00776918" w:rsidP="00776918">
      <w:r>
        <w:t xml:space="preserve">Formula: Revenue / Total Assets </w:t>
      </w:r>
    </w:p>
    <w:p w:rsidR="00776918" w:rsidRDefault="00776918" w:rsidP="00776918">
      <w:r>
        <w:t xml:space="preserve">Workings: </w:t>
      </w:r>
    </w:p>
    <w:p w:rsidR="00776918" w:rsidRDefault="00776918" w:rsidP="00776918">
      <w:r>
        <w:t xml:space="preserve">2022: £6,738m / £9,736m = 0.69 times </w:t>
      </w:r>
    </w:p>
    <w:p w:rsidR="00776918" w:rsidRDefault="00776918" w:rsidP="00776918">
      <w:r>
        <w:t>2021: £6,441m / £10,087m = 0.64 times</w:t>
      </w:r>
    </w:p>
    <w:p w:rsidR="00776918" w:rsidRDefault="00776918" w:rsidP="00776918"/>
    <w:p w:rsidR="00776918" w:rsidRDefault="00776918" w:rsidP="00776918">
      <w:r>
        <w:t xml:space="preserve">Stock Holding Days: </w:t>
      </w:r>
    </w:p>
    <w:p w:rsidR="00776918" w:rsidRDefault="00776918" w:rsidP="00776918">
      <w:r>
        <w:t xml:space="preserve">Formula: (Inventory / Cost of Sales) x 365 </w:t>
      </w:r>
    </w:p>
    <w:p w:rsidR="00776918" w:rsidRDefault="00776918" w:rsidP="00776918">
      <w:r>
        <w:t xml:space="preserve">Workings: </w:t>
      </w:r>
    </w:p>
    <w:p w:rsidR="00776918" w:rsidRDefault="00776918" w:rsidP="00776918">
      <w:r>
        <w:t xml:space="preserve">2022: (£708m / £3,235m) x 365 = 79.93 days </w:t>
      </w:r>
    </w:p>
    <w:p w:rsidR="00776918" w:rsidRDefault="00776918" w:rsidP="00776918">
      <w:r>
        <w:t>2021: (£659m / £3,096m) x 365 = 77.91 days</w:t>
      </w:r>
    </w:p>
    <w:p w:rsidR="00776918" w:rsidRDefault="00776918" w:rsidP="00776918"/>
    <w:p w:rsidR="00776918" w:rsidRDefault="00776918" w:rsidP="00776918">
      <w:r>
        <w:t xml:space="preserve">Debtors Collection Period: </w:t>
      </w:r>
    </w:p>
    <w:p w:rsidR="00F70C89" w:rsidRDefault="00776918" w:rsidP="00776918">
      <w:r>
        <w:t xml:space="preserve">Formula: (Trade Receivables / Revenue) x 365 </w:t>
      </w:r>
    </w:p>
    <w:p w:rsidR="005D59A0" w:rsidRDefault="00776918" w:rsidP="00776918">
      <w:r>
        <w:t xml:space="preserve">Workings: </w:t>
      </w:r>
    </w:p>
    <w:p w:rsidR="00914F6C" w:rsidRDefault="00776918" w:rsidP="00776918">
      <w:r>
        <w:t xml:space="preserve">2022: (£1,249m / £6,738m) x 365 = 67.73 days </w:t>
      </w:r>
    </w:p>
    <w:p w:rsidR="00776918" w:rsidRDefault="00776918" w:rsidP="00776918">
      <w:r>
        <w:t>2021: (£1,287m / £6,441m) x 365 = 72.75 days</w:t>
      </w:r>
    </w:p>
    <w:p w:rsidR="0031076B" w:rsidRDefault="0031076B" w:rsidP="00776918"/>
    <w:p w:rsidR="00232EC5" w:rsidRDefault="00776918" w:rsidP="00776918">
      <w:r>
        <w:t xml:space="preserve">Current Ratio: </w:t>
      </w:r>
    </w:p>
    <w:p w:rsidR="007D461E" w:rsidRDefault="00776918" w:rsidP="00776918">
      <w:r>
        <w:lastRenderedPageBreak/>
        <w:t xml:space="preserve">Formula: Current Assets / Current Liabilities </w:t>
      </w:r>
    </w:p>
    <w:p w:rsidR="0068731F" w:rsidRDefault="00776918" w:rsidP="00776918">
      <w:r>
        <w:t xml:space="preserve">Workings: </w:t>
      </w:r>
    </w:p>
    <w:p w:rsidR="007D461E" w:rsidRDefault="00776918" w:rsidP="00776918">
      <w:r>
        <w:t xml:space="preserve">2022: £2,303m / £2,511m = 0.92 times </w:t>
      </w:r>
    </w:p>
    <w:p w:rsidR="00776918" w:rsidRDefault="00776918" w:rsidP="00776918">
      <w:r>
        <w:t>2021: £2,355m / £3,046m = 0.77 times</w:t>
      </w:r>
    </w:p>
    <w:p w:rsidR="00DE3A9B" w:rsidRDefault="00DE3A9B" w:rsidP="00776918"/>
    <w:p w:rsidR="00E46E01" w:rsidRDefault="00776918" w:rsidP="00776918">
      <w:r>
        <w:t xml:space="preserve">Gearing Ratio: </w:t>
      </w:r>
    </w:p>
    <w:p w:rsidR="00E261E1" w:rsidRDefault="00776918" w:rsidP="00776918">
      <w:r>
        <w:t xml:space="preserve">Formula: (Loans and Other Borrowings / Equity + Loans and Other Borrowings) x 100 </w:t>
      </w:r>
    </w:p>
    <w:p w:rsidR="00A83B12" w:rsidRDefault="00776918" w:rsidP="00776918">
      <w:r>
        <w:t xml:space="preserve">Workings: </w:t>
      </w:r>
    </w:p>
    <w:p w:rsidR="00E954AD" w:rsidRDefault="00776918" w:rsidP="00776918">
      <w:r>
        <w:t xml:space="preserve">2022: (£4,137m / (£3,088m + £4,137m)) x 100 = (£4,137m / £7,225m) x 100 = 57.24% </w:t>
      </w:r>
    </w:p>
    <w:p w:rsidR="00776918" w:rsidRDefault="00776918" w:rsidP="00776918">
      <w:r>
        <w:t>2021: (£4,129m / (£2,912m + £4,129m)) x 100 = (£4,129m / £7,041m) x 100 = 58.62%</w:t>
      </w:r>
    </w:p>
    <w:p w:rsidR="0029776B" w:rsidRDefault="0029776B" w:rsidP="00776918"/>
    <w:p w:rsidR="00791E87" w:rsidRDefault="00776918" w:rsidP="00776918">
      <w:r>
        <w:t xml:space="preserve">Interest Cover: </w:t>
      </w:r>
    </w:p>
    <w:p w:rsidR="00363865" w:rsidRDefault="00776918" w:rsidP="00776918">
      <w:r>
        <w:t xml:space="preserve">Formula: Operating Profit / Interest Payable Workings: </w:t>
      </w:r>
    </w:p>
    <w:p w:rsidR="00414DB6" w:rsidRDefault="00776918" w:rsidP="00776918">
      <w:r>
        <w:t xml:space="preserve">2022: £805m / £226m = 3.56 times </w:t>
      </w:r>
    </w:p>
    <w:p w:rsidR="00776918" w:rsidRDefault="00776918" w:rsidP="00776918">
      <w:r>
        <w:t>2021: £699m / £181m = 3.86 times</w:t>
      </w:r>
    </w:p>
    <w:p w:rsidR="00275216" w:rsidRPr="00275216" w:rsidRDefault="00275216" w:rsidP="00275216">
      <w:pPr>
        <w:pStyle w:val="Heading2"/>
      </w:pPr>
      <w:r w:rsidRPr="00275216">
        <w:t>b) Report on performance</w:t>
      </w:r>
    </w:p>
    <w:p w:rsidR="001231ED" w:rsidRPr="001231ED" w:rsidRDefault="001231ED" w:rsidP="008D6FE6">
      <w:pPr>
        <w:rPr>
          <w:lang w:eastAsia="en-GB"/>
        </w:rPr>
      </w:pPr>
      <w:r w:rsidRPr="001231ED">
        <w:rPr>
          <w:lang w:eastAsia="en-GB"/>
        </w:rPr>
        <w:t>A higher ROCE from 14.93% in 2021to 16.35% in 2022 suggests that Sweets plc is now better utilizing its capital to generate profit. The better usage could be from reduced costs, more amenities, or more profitable investments. The rising ratio means that the company is making operating profits off of less capital and assets, which is great for the investor because it means more profit and more value addition. A higher ROE from 14.93% to 16.35% also means that Sweets plc is now more profitable for every unit of shareholders’ equity. The business is now providing more available profits for the owners who are satisfied and more wealth creation. A higher ROE means that investors are making more profits on one currency of total assets, which is a good sign because it shows profitable assets utilization and business</w:t>
      </w:r>
      <w:r w:rsidR="009A27E1">
        <w:rPr>
          <w:lang w:eastAsia="en-GB"/>
        </w:rPr>
        <w:t xml:space="preserve"> (</w:t>
      </w:r>
      <w:r w:rsidR="005F7A97">
        <w:t xml:space="preserve">Warren et al., </w:t>
      </w:r>
      <w:r w:rsidR="009A27E1">
        <w:t>2022</w:t>
      </w:r>
      <w:r w:rsidR="009F768C">
        <w:t>)</w:t>
      </w:r>
      <w:r w:rsidRPr="001231ED">
        <w:rPr>
          <w:lang w:eastAsia="en-GB"/>
        </w:rPr>
        <w:t xml:space="preserve">. A </w:t>
      </w:r>
      <w:r w:rsidRPr="001231ED">
        <w:rPr>
          <w:lang w:eastAsia="en-GB"/>
        </w:rPr>
        <w:lastRenderedPageBreak/>
        <w:t>higher EPS from 0.17p in 2021 to 0.20p means that Sweets plc is more profitable in 2022 for one share. Shareholders have been given more money to show that the business is worth confidence. EPS is conceptually similar to dividends paid to shareholders.</w:t>
      </w:r>
    </w:p>
    <w:p w:rsidR="001231ED" w:rsidRDefault="001231ED" w:rsidP="008D6FE6">
      <w:r w:rsidRPr="001231ED">
        <w:t xml:space="preserve">The improvement in net profit margin from 5.68% in 2021 to 6.40% in 2022 indicates that Sweets plc has been more profitable relative to its revenue. This may explain better pricing strategies, lower costs, or improved operational efficiency, all of which equate to a more profitable bottom line. </w:t>
      </w:r>
      <w:r w:rsidR="00CC19F2" w:rsidRPr="00CC19F2">
        <w:t>A higher net profit margin reflects more revenue into profits, and consequently, the operational efficiency and overall financial performance. The 0.64 times in 2021 and the 0.69 times in 2022 shows that Sweets plc buys goods and services and sells them at a higher rate. The company has acquired effectiveness in the use of its assets, suggesting that it has increased the product volume, sales volume, perfect itself in inventory management, or that it has effectively used its fixed assets. A higher turnover causes the firm to generate sales using each asset, which generally leads to profitability and better financial performance. More stock holding days than advancing from 77.91 days in 2021 to 79.93 days shows that Sweets plc is taking time to sell to customers. This means that the company is experiencing additional holding costs or extra working capital, or else it is selling some of its assets at a loss.</w:t>
      </w:r>
      <w:r w:rsidR="00432394">
        <w:t xml:space="preserve"> </w:t>
      </w:r>
      <w:r w:rsidRPr="001231ED">
        <w:rPr>
          <w:lang w:eastAsia="en-GB"/>
        </w:rPr>
        <w:t>Therefore, an ideal inventory would ensure minimal holding costs, effective working capital, and a better sales trend</w:t>
      </w:r>
      <w:r w:rsidR="009C432D">
        <w:rPr>
          <w:lang w:eastAsia="en-GB"/>
        </w:rPr>
        <w:t xml:space="preserve"> (</w:t>
      </w:r>
      <w:r w:rsidR="00241228">
        <w:t xml:space="preserve">Weygandt et al., </w:t>
      </w:r>
      <w:r w:rsidR="00DD775F">
        <w:t>2019)</w:t>
      </w:r>
      <w:r w:rsidRPr="001231ED">
        <w:rPr>
          <w:lang w:eastAsia="en-GB"/>
        </w:rPr>
        <w:t>.</w:t>
      </w:r>
    </w:p>
    <w:p w:rsidR="001231ED" w:rsidRPr="001231ED" w:rsidRDefault="001231ED" w:rsidP="008D6FE6">
      <w:pPr>
        <w:rPr>
          <w:lang w:eastAsia="en-GB"/>
        </w:rPr>
      </w:pPr>
      <w:r w:rsidRPr="001231ED">
        <w:rPr>
          <w:lang w:eastAsia="en-GB"/>
        </w:rPr>
        <w:t xml:space="preserve">The reduction in the </w:t>
      </w:r>
      <w:proofErr w:type="gramStart"/>
      <w:r w:rsidRPr="001231ED">
        <w:rPr>
          <w:lang w:eastAsia="en-GB"/>
        </w:rPr>
        <w:t>debtors</w:t>
      </w:r>
      <w:proofErr w:type="gramEnd"/>
      <w:r w:rsidRPr="001231ED">
        <w:rPr>
          <w:lang w:eastAsia="en-GB"/>
        </w:rPr>
        <w:t xml:space="preserve"> collection period from 72.75 days in 2021 to 67.73 says in 2022 means that Sweets plc collected payments from customers more quickly. It indicates an effective credit policy or better terms to get customers to pay early, and both are advantageous to Sweets plc’s cash flow or liquidity. A decline in the </w:t>
      </w:r>
      <w:r w:rsidR="004C03B3" w:rsidRPr="001231ED">
        <w:rPr>
          <w:lang w:eastAsia="en-GB"/>
        </w:rPr>
        <w:t>debtor’s</w:t>
      </w:r>
      <w:r w:rsidRPr="001231ED">
        <w:rPr>
          <w:lang w:eastAsia="en-GB"/>
        </w:rPr>
        <w:t xml:space="preserve"> collection period shows the business progressively converting accounts receivable to cash, suggesting a </w:t>
      </w:r>
      <w:proofErr w:type="spellStart"/>
      <w:r w:rsidRPr="001231ED">
        <w:rPr>
          <w:lang w:eastAsia="en-GB"/>
        </w:rPr>
        <w:t>favorable</w:t>
      </w:r>
      <w:proofErr w:type="spellEnd"/>
      <w:r w:rsidRPr="001231ED">
        <w:rPr>
          <w:lang w:eastAsia="en-GB"/>
        </w:rPr>
        <w:t xml:space="preserve"> pattern in working capital. The current ratio increased from 0.77 times in 2021 to 0.92 times in 2022, indicating a climb in Sweets plc’s liquidity during the year. However, the current ratio is less than 1, which suggests there may be liquidity troubles. Still, the fact that Sweets plc was able to meet more short-term liabilities with present assets is a concern. The firm should keep a close eye on the liquidity position and working capital patterns to protect financial solvency</w:t>
      </w:r>
      <w:r w:rsidR="000F0753">
        <w:rPr>
          <w:lang w:eastAsia="en-GB"/>
        </w:rPr>
        <w:t xml:space="preserve"> (</w:t>
      </w:r>
      <w:r w:rsidR="005F2D61">
        <w:t xml:space="preserve">Harrison et al., </w:t>
      </w:r>
      <w:r w:rsidR="000F0753">
        <w:t>2020</w:t>
      </w:r>
      <w:r w:rsidR="00FE6A75">
        <w:t>)</w:t>
      </w:r>
      <w:r w:rsidRPr="001231ED">
        <w:rPr>
          <w:lang w:eastAsia="en-GB"/>
        </w:rPr>
        <w:t xml:space="preserve">. The gearing ratio dropped from 58.62% in 2021 to 57.24% in 2022, implying Sweets plc became less reliant on debt in the year. That means that the company was able to reduce debt </w:t>
      </w:r>
      <w:r w:rsidRPr="001231ED">
        <w:rPr>
          <w:lang w:eastAsia="en-GB"/>
        </w:rPr>
        <w:lastRenderedPageBreak/>
        <w:t>when it comes to debt or reduced borrowings. A lower gearing ratio indicates less financial risk and greater stability, beneficial to creditors or investors.</w:t>
      </w:r>
    </w:p>
    <w:p w:rsidR="00B44044" w:rsidRDefault="001231ED" w:rsidP="008D6FE6">
      <w:pPr>
        <w:rPr>
          <w:lang w:eastAsia="en-GB"/>
        </w:rPr>
      </w:pPr>
      <w:r w:rsidRPr="001231ED">
        <w:rPr>
          <w:lang w:eastAsia="en-GB"/>
        </w:rPr>
        <w:t xml:space="preserve">Therefore, the decrease of the interest cover ratio from 3.86 times in 2021 to 3.56 times in 2022 indicates that operating profits of Sweets plc are sufficient to cover their interest expenses but slightly less than before. As it means that the company’s financial leverage, or interest expenses, increased, this might be dangerous if the situation leads to genuinely high levels of company risk, which are impossible to manage. Hence, the interest cover ratio and debt ratios of Sweets plc should constantly be monitored to indicate enough room for financial flexibility and soundness. </w:t>
      </w:r>
    </w:p>
    <w:p w:rsidR="005B1248" w:rsidRDefault="00D76923" w:rsidP="00D76923">
      <w:pPr>
        <w:rPr>
          <w:lang w:eastAsia="en-GB"/>
        </w:rPr>
      </w:pPr>
      <w:r w:rsidRPr="00D76923">
        <w:rPr>
          <w:lang w:eastAsia="en-GB"/>
        </w:rPr>
        <w:t xml:space="preserve">Thus, the analysis of Sweets plc’s financial performance presents a mixed standpoint with respect to the strengths and improvement opportunities. Firstly, an increase in Return on Capital Employed from 14.93% to 16.35% indicates the company’s enhanced capital utilization efficiency. That may be driven by an increased level of cost reduction, operational processes optimization, or strategic investment. Thus, it could be considered a positive trend as Sweets plc utilizes fewer capitals to earn more profit which is beneficial for value creation among investors. Next, an increase in Return on Equity from 14.93% to 16.35% is also indicative of the company’s improved profitability taking into consideration investor’s equity. It says that the corporation delivers more valuer to its investors, so suggests and effective asset utilization and overall positive business performance. </w:t>
      </w:r>
    </w:p>
    <w:p w:rsidR="005B1248" w:rsidRDefault="00D76923" w:rsidP="00D76923">
      <w:pPr>
        <w:rPr>
          <w:lang w:eastAsia="en-GB"/>
        </w:rPr>
      </w:pPr>
      <w:r w:rsidRPr="00D76923">
        <w:rPr>
          <w:lang w:eastAsia="en-GB"/>
        </w:rPr>
        <w:t>Finally, the increase in Earnings per Share from 0.17p to 0.20p stands for the profitability increase in one share, which is profitable for the shareholder and guarantees that company can deliver more profits. Similarly, cost-efficiency, pricing strategy or inventory flow management helped to increase net profit margin from 5.68% to 6.40%. It is a definite indicator of a more profitable business considering revenue. An increase in asset turnover from 0.64 times to 0.69 times is suggestive of the company’s improvements in its ability to get higher revenue from the unit of the asset. However, there are some areas of concern</w:t>
      </w:r>
      <w:r w:rsidR="00947D62">
        <w:rPr>
          <w:lang w:eastAsia="en-GB"/>
        </w:rPr>
        <w:t xml:space="preserve"> (</w:t>
      </w:r>
      <w:r w:rsidR="00FF4B71">
        <w:t xml:space="preserve">Needles et al., </w:t>
      </w:r>
      <w:r w:rsidR="00947D62">
        <w:t>2021</w:t>
      </w:r>
      <w:r w:rsidR="008943E7">
        <w:t>)</w:t>
      </w:r>
      <w:r w:rsidRPr="00D76923">
        <w:rPr>
          <w:lang w:eastAsia="en-GB"/>
        </w:rPr>
        <w:t xml:space="preserve">. Firstly, an increase in stock holding days 77.91 days to 79.93 days reflects an increase in days taken to sell inventory, which may mutually increase holding costs or working capital. Thus, inventory management should be further considered. Also, the debtor collection period has decreased, </w:t>
      </w:r>
      <w:r w:rsidRPr="00D76923">
        <w:rPr>
          <w:lang w:eastAsia="en-GB"/>
        </w:rPr>
        <w:lastRenderedPageBreak/>
        <w:t xml:space="preserve">which is beneficial as it shows higher cash flow efficiency and effective credit management while the current ratio remains less than 1. </w:t>
      </w:r>
    </w:p>
    <w:p w:rsidR="00B44044" w:rsidRDefault="00D76923" w:rsidP="00D76923">
      <w:pPr>
        <w:rPr>
          <w:lang w:eastAsia="en-GB"/>
        </w:rPr>
      </w:pPr>
      <w:r w:rsidRPr="00D76923">
        <w:rPr>
          <w:lang w:eastAsia="en-GB"/>
        </w:rPr>
        <w:t>Moreover, keeping increase 0.77 times to 0.92 times the issue of liquidity ratio should be monitored closely. A decrease in the gearing ratio from 58.62% to 57.24% reflects lower dependence on debt, but the interest cover ratio decrease from 3.86 times to 3.56 times signifies that company may not cover interest expense eventually. Thus, more responsible organizational leverage should be carefully maintained. In conclusion, Sweets plc shows enhanced capital use, profitability and operational efficiency</w:t>
      </w:r>
      <w:r w:rsidR="007C6E2F">
        <w:rPr>
          <w:lang w:eastAsia="en-GB"/>
        </w:rPr>
        <w:t xml:space="preserve"> (</w:t>
      </w:r>
      <w:r w:rsidR="00D46E94">
        <w:t xml:space="preserve">Meigs </w:t>
      </w:r>
      <w:r w:rsidR="007C6E2F">
        <w:t>and</w:t>
      </w:r>
      <w:r w:rsidR="007C6E2F" w:rsidRPr="005328D8">
        <w:t xml:space="preserve"> Meigs, </w:t>
      </w:r>
      <w:r w:rsidR="007C6E2F">
        <w:t>2019</w:t>
      </w:r>
      <w:r w:rsidR="00DA6E11">
        <w:t>)</w:t>
      </w:r>
      <w:r w:rsidRPr="00D76923">
        <w:rPr>
          <w:lang w:eastAsia="en-GB"/>
        </w:rPr>
        <w:t>. Nonetheless, inventory control and liquidity issues arise. Thus, continuous monitoring and adjustment of relevant strategies will be required in the future.</w:t>
      </w:r>
      <w:r w:rsidR="00B44044">
        <w:rPr>
          <w:lang w:eastAsia="en-GB"/>
        </w:rPr>
        <w:br w:type="page"/>
      </w:r>
    </w:p>
    <w:p w:rsidR="00B44044" w:rsidRDefault="00B44044" w:rsidP="00B144DE">
      <w:pPr>
        <w:pStyle w:val="Heading1"/>
        <w:rPr>
          <w:lang w:eastAsia="en-GB"/>
        </w:rPr>
      </w:pPr>
      <w:r>
        <w:rPr>
          <w:lang w:eastAsia="en-GB"/>
        </w:rPr>
        <w:lastRenderedPageBreak/>
        <w:t>Conclusion</w:t>
      </w:r>
    </w:p>
    <w:p w:rsidR="001231ED" w:rsidRPr="001231ED" w:rsidRDefault="001231ED" w:rsidP="008D6FE6">
      <w:pPr>
        <w:rPr>
          <w:lang w:eastAsia="en-GB"/>
        </w:rPr>
      </w:pPr>
      <w:r w:rsidRPr="001231ED">
        <w:rPr>
          <w:lang w:eastAsia="en-GB"/>
        </w:rPr>
        <w:t>In summary, it is possible to see that as a whole, Sweets plc has improved its total financial performance and results; at the same time, the company needs to control a number of areas that were mentioned simultaneously, such as inventory, liquidity, and debts. Therefore, this means that Sweets plc should monitor the key metrics and answer with the relevant strategy to secure long-term growth, profitability, and shareholder value.</w:t>
      </w:r>
    </w:p>
    <w:p w:rsidR="00275216" w:rsidRDefault="00275216" w:rsidP="001231ED"/>
    <w:p w:rsidR="005B1248" w:rsidRDefault="005B1248">
      <w:pPr>
        <w:spacing w:line="259" w:lineRule="auto"/>
        <w:jc w:val="left"/>
      </w:pPr>
      <w:r>
        <w:br w:type="page"/>
      </w:r>
    </w:p>
    <w:p w:rsidR="005B1248" w:rsidRDefault="005B1248" w:rsidP="00A55350">
      <w:pPr>
        <w:pStyle w:val="Heading1"/>
      </w:pPr>
      <w:r>
        <w:lastRenderedPageBreak/>
        <w:t>References</w:t>
      </w:r>
    </w:p>
    <w:p w:rsidR="005328D8" w:rsidRPr="005328D8" w:rsidRDefault="005328D8" w:rsidP="005328D8">
      <w:r w:rsidRPr="005328D8">
        <w:t xml:space="preserve">Anthony, R. N., Hawkins, D. F., </w:t>
      </w:r>
      <w:r>
        <w:t>and</w:t>
      </w:r>
      <w:r w:rsidRPr="005328D8">
        <w:t xml:space="preserve"> Merchant, K. A. (</w:t>
      </w:r>
      <w:r>
        <w:t>2021</w:t>
      </w:r>
      <w:r w:rsidRPr="005328D8">
        <w:t>). Accounting: Text and Cases. McGraw-Hill.</w:t>
      </w:r>
    </w:p>
    <w:p w:rsidR="005328D8" w:rsidRPr="005328D8" w:rsidRDefault="005328D8" w:rsidP="005328D8">
      <w:r w:rsidRPr="005328D8">
        <w:t>Deegan, C. (</w:t>
      </w:r>
      <w:r>
        <w:t>2023</w:t>
      </w:r>
      <w:r w:rsidRPr="005328D8">
        <w:t>). Financial Accounting Theory. McGraw-Hill Education.</w:t>
      </w:r>
    </w:p>
    <w:p w:rsidR="005328D8" w:rsidRPr="005328D8" w:rsidRDefault="005328D8" w:rsidP="005328D8">
      <w:r w:rsidRPr="005328D8">
        <w:t>Dyson, J. R. (</w:t>
      </w:r>
      <w:r>
        <w:t>2017</w:t>
      </w:r>
      <w:r w:rsidRPr="005328D8">
        <w:t>). Accounting for Non-Accounting Students. Prentice Hall.</w:t>
      </w:r>
    </w:p>
    <w:p w:rsidR="005328D8" w:rsidRPr="005328D8" w:rsidRDefault="005328D8" w:rsidP="005328D8">
      <w:r w:rsidRPr="005328D8">
        <w:t xml:space="preserve">Harrison, W. T., Horngren, C. T., </w:t>
      </w:r>
      <w:r>
        <w:t>and</w:t>
      </w:r>
      <w:r w:rsidRPr="005328D8">
        <w:t xml:space="preserve"> Thomas, C. W. (2019). Financial Accounting (12th ed.). Pearson.</w:t>
      </w:r>
    </w:p>
    <w:p w:rsidR="005328D8" w:rsidRPr="005328D8" w:rsidRDefault="005328D8" w:rsidP="005328D8">
      <w:r w:rsidRPr="005328D8">
        <w:t xml:space="preserve">Harrison, W. T., Horngren, C. T., </w:t>
      </w:r>
      <w:r>
        <w:t>and</w:t>
      </w:r>
      <w:r w:rsidRPr="005328D8">
        <w:t xml:space="preserve"> Thomas, C. W. (</w:t>
      </w:r>
      <w:r>
        <w:t>2020</w:t>
      </w:r>
      <w:r w:rsidRPr="005328D8">
        <w:t>). Financial Accounting (9th ed.). Pearson Prentice Hall.</w:t>
      </w:r>
    </w:p>
    <w:p w:rsidR="005328D8" w:rsidRPr="005328D8" w:rsidRDefault="005328D8" w:rsidP="005328D8">
      <w:r w:rsidRPr="005328D8">
        <w:t xml:space="preserve">Horngren, C. T., Sundem, G. L., </w:t>
      </w:r>
      <w:r>
        <w:t>and</w:t>
      </w:r>
      <w:r w:rsidRPr="005328D8">
        <w:t xml:space="preserve"> Stratton, W. O. (</w:t>
      </w:r>
      <w:r>
        <w:t>2022</w:t>
      </w:r>
      <w:r w:rsidRPr="005328D8">
        <w:t>). Introduction to Management Accounting. Prentice Hall.</w:t>
      </w:r>
    </w:p>
    <w:p w:rsidR="005328D8" w:rsidRPr="005328D8" w:rsidRDefault="005328D8" w:rsidP="005328D8">
      <w:r w:rsidRPr="005328D8">
        <w:t xml:space="preserve">Kemp, S., Waybright, J., </w:t>
      </w:r>
      <w:r>
        <w:t>and</w:t>
      </w:r>
      <w:r w:rsidRPr="005328D8">
        <w:t xml:space="preserve"> Burton, S. (</w:t>
      </w:r>
      <w:r>
        <w:t>2019</w:t>
      </w:r>
      <w:r w:rsidRPr="005328D8">
        <w:t>). Financial Accounting Fundamentals (6th ed.). McGraw-Hill Education.</w:t>
      </w:r>
    </w:p>
    <w:p w:rsidR="005328D8" w:rsidRPr="005328D8" w:rsidRDefault="005328D8" w:rsidP="005328D8">
      <w:r w:rsidRPr="005328D8">
        <w:t xml:space="preserve">Meigs, R. F., </w:t>
      </w:r>
      <w:r>
        <w:t>and</w:t>
      </w:r>
      <w:r w:rsidRPr="005328D8">
        <w:t xml:space="preserve"> Meigs, W. B. (</w:t>
      </w:r>
      <w:r>
        <w:t>2019</w:t>
      </w:r>
      <w:r w:rsidRPr="005328D8">
        <w:t>). Financial Accounting. McGraw-Hill.</w:t>
      </w:r>
    </w:p>
    <w:p w:rsidR="005328D8" w:rsidRPr="005328D8" w:rsidRDefault="005328D8" w:rsidP="005328D8">
      <w:r w:rsidRPr="005328D8">
        <w:t>Melville, A. (</w:t>
      </w:r>
      <w:r>
        <w:t>2019</w:t>
      </w:r>
      <w:r w:rsidRPr="005328D8">
        <w:t>). International Financial Reporting: A Practical Guide. Pearson Education.</w:t>
      </w:r>
    </w:p>
    <w:p w:rsidR="005328D8" w:rsidRPr="005328D8" w:rsidRDefault="005328D8" w:rsidP="005328D8">
      <w:r w:rsidRPr="005328D8">
        <w:t xml:space="preserve">Needles, B. E., Powers, M., </w:t>
      </w:r>
      <w:r>
        <w:t>and</w:t>
      </w:r>
      <w:r w:rsidRPr="005328D8">
        <w:t xml:space="preserve"> Crosson, S. V. (</w:t>
      </w:r>
      <w:r>
        <w:t>2021</w:t>
      </w:r>
      <w:r w:rsidRPr="005328D8">
        <w:t>). Principles of Accounting (12th ed.). Cengage Learning.</w:t>
      </w:r>
    </w:p>
    <w:p w:rsidR="005328D8" w:rsidRPr="005328D8" w:rsidRDefault="005328D8" w:rsidP="005328D8">
      <w:r w:rsidRPr="005328D8">
        <w:t xml:space="preserve">Nobes, C., </w:t>
      </w:r>
      <w:r>
        <w:t>and</w:t>
      </w:r>
      <w:r w:rsidRPr="005328D8">
        <w:t xml:space="preserve"> Parker, R. H. (</w:t>
      </w:r>
      <w:r>
        <w:t>2018</w:t>
      </w:r>
      <w:r w:rsidRPr="005328D8">
        <w:t>). Comparative International Accounting. Pearson Education.</w:t>
      </w:r>
    </w:p>
    <w:p w:rsidR="005328D8" w:rsidRPr="005328D8" w:rsidRDefault="005328D8" w:rsidP="005328D8">
      <w:r w:rsidRPr="005328D8">
        <w:t>Scott, W. R. (</w:t>
      </w:r>
      <w:r>
        <w:t>2021</w:t>
      </w:r>
      <w:r w:rsidRPr="005328D8">
        <w:t>). Financial Accounting Theory (7th ed.). Pearson.</w:t>
      </w:r>
    </w:p>
    <w:p w:rsidR="005328D8" w:rsidRPr="005328D8" w:rsidRDefault="005328D8" w:rsidP="005328D8">
      <w:r w:rsidRPr="005328D8">
        <w:t xml:space="preserve">Warren, C. S., Reeve, J. M., </w:t>
      </w:r>
      <w:r>
        <w:t>and</w:t>
      </w:r>
      <w:r w:rsidRPr="005328D8">
        <w:t xml:space="preserve"> Duchac, J. (</w:t>
      </w:r>
      <w:r>
        <w:t>2022</w:t>
      </w:r>
      <w:r w:rsidRPr="005328D8">
        <w:t>). Accounting (26th ed.). Cengage Learning.</w:t>
      </w:r>
    </w:p>
    <w:p w:rsidR="005328D8" w:rsidRPr="005328D8" w:rsidRDefault="005328D8" w:rsidP="005328D8">
      <w:r w:rsidRPr="005328D8">
        <w:t xml:space="preserve">Weil, R. L., Schipper, K., </w:t>
      </w:r>
      <w:r>
        <w:t>and</w:t>
      </w:r>
      <w:r w:rsidRPr="005328D8">
        <w:t xml:space="preserve"> Francis, J. (</w:t>
      </w:r>
      <w:r>
        <w:t>2022</w:t>
      </w:r>
      <w:r w:rsidRPr="005328D8">
        <w:t>). Financial Accounting: An Introduction to Concepts, Methods, and Uses (14th ed.). Cengage Learning.</w:t>
      </w:r>
    </w:p>
    <w:p w:rsidR="005328D8" w:rsidRPr="005328D8" w:rsidRDefault="005328D8" w:rsidP="005328D8">
      <w:r w:rsidRPr="005328D8">
        <w:t xml:space="preserve">Weygandt, J. J., Kimmel, P. D., </w:t>
      </w:r>
      <w:r>
        <w:t>and</w:t>
      </w:r>
      <w:r w:rsidRPr="005328D8">
        <w:t xml:space="preserve"> </w:t>
      </w:r>
      <w:proofErr w:type="spellStart"/>
      <w:r w:rsidRPr="005328D8">
        <w:t>Kieso</w:t>
      </w:r>
      <w:proofErr w:type="spellEnd"/>
      <w:r w:rsidRPr="005328D8">
        <w:t xml:space="preserve">, D. E. (2019). Accounting Principles (13th ed.). John Wiley </w:t>
      </w:r>
      <w:r>
        <w:t>and</w:t>
      </w:r>
      <w:r w:rsidRPr="005328D8">
        <w:t xml:space="preserve"> Sons.</w:t>
      </w:r>
    </w:p>
    <w:p w:rsidR="005B1248" w:rsidRDefault="005B1248" w:rsidP="001231ED"/>
    <w:sectPr w:rsidR="005B1248" w:rsidSect="00E663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940E9"/>
    <w:multiLevelType w:val="multilevel"/>
    <w:tmpl w:val="C804E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9C54E5"/>
    <w:multiLevelType w:val="multilevel"/>
    <w:tmpl w:val="2A568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291A20"/>
    <w:multiLevelType w:val="multilevel"/>
    <w:tmpl w:val="F59E7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BC0F37"/>
    <w:multiLevelType w:val="multilevel"/>
    <w:tmpl w:val="ECA4E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52086"/>
    <w:rsid w:val="00012533"/>
    <w:rsid w:val="000E7E2D"/>
    <w:rsid w:val="000F0753"/>
    <w:rsid w:val="000F2008"/>
    <w:rsid w:val="001061AD"/>
    <w:rsid w:val="001219DD"/>
    <w:rsid w:val="001231ED"/>
    <w:rsid w:val="00203052"/>
    <w:rsid w:val="00217641"/>
    <w:rsid w:val="00225421"/>
    <w:rsid w:val="00232EC5"/>
    <w:rsid w:val="00237E9E"/>
    <w:rsid w:val="00240061"/>
    <w:rsid w:val="00241228"/>
    <w:rsid w:val="002416AC"/>
    <w:rsid w:val="0026306C"/>
    <w:rsid w:val="00275216"/>
    <w:rsid w:val="0029776B"/>
    <w:rsid w:val="002A4C65"/>
    <w:rsid w:val="002A4D30"/>
    <w:rsid w:val="002C5940"/>
    <w:rsid w:val="0031076B"/>
    <w:rsid w:val="00323C6D"/>
    <w:rsid w:val="00361F87"/>
    <w:rsid w:val="00363865"/>
    <w:rsid w:val="00363DE4"/>
    <w:rsid w:val="003802DB"/>
    <w:rsid w:val="0039333E"/>
    <w:rsid w:val="00414DB6"/>
    <w:rsid w:val="004172C1"/>
    <w:rsid w:val="00432394"/>
    <w:rsid w:val="00452086"/>
    <w:rsid w:val="004924B0"/>
    <w:rsid w:val="004C03B3"/>
    <w:rsid w:val="004C1541"/>
    <w:rsid w:val="004D0CDE"/>
    <w:rsid w:val="004F3E17"/>
    <w:rsid w:val="005328D8"/>
    <w:rsid w:val="005861EA"/>
    <w:rsid w:val="005B1248"/>
    <w:rsid w:val="005D032B"/>
    <w:rsid w:val="005D59A0"/>
    <w:rsid w:val="005F2D61"/>
    <w:rsid w:val="005F7A97"/>
    <w:rsid w:val="00600B4F"/>
    <w:rsid w:val="006160B0"/>
    <w:rsid w:val="0068731F"/>
    <w:rsid w:val="00691C8D"/>
    <w:rsid w:val="00697217"/>
    <w:rsid w:val="006B0936"/>
    <w:rsid w:val="006F4CBF"/>
    <w:rsid w:val="007231AA"/>
    <w:rsid w:val="007514A8"/>
    <w:rsid w:val="00776918"/>
    <w:rsid w:val="00791E87"/>
    <w:rsid w:val="00793E9D"/>
    <w:rsid w:val="007A2DAD"/>
    <w:rsid w:val="007A2F91"/>
    <w:rsid w:val="007B4F84"/>
    <w:rsid w:val="007C6E2F"/>
    <w:rsid w:val="007D461E"/>
    <w:rsid w:val="00816F83"/>
    <w:rsid w:val="00846305"/>
    <w:rsid w:val="0087697D"/>
    <w:rsid w:val="0088643A"/>
    <w:rsid w:val="008943E7"/>
    <w:rsid w:val="008D6FE6"/>
    <w:rsid w:val="008E3425"/>
    <w:rsid w:val="00914F6C"/>
    <w:rsid w:val="00921D0C"/>
    <w:rsid w:val="00930C99"/>
    <w:rsid w:val="00947D62"/>
    <w:rsid w:val="00965FA5"/>
    <w:rsid w:val="00970953"/>
    <w:rsid w:val="009837D5"/>
    <w:rsid w:val="009A27E1"/>
    <w:rsid w:val="009C432D"/>
    <w:rsid w:val="009E576D"/>
    <w:rsid w:val="009F768C"/>
    <w:rsid w:val="00A22E82"/>
    <w:rsid w:val="00A53CD0"/>
    <w:rsid w:val="00A55350"/>
    <w:rsid w:val="00A83B12"/>
    <w:rsid w:val="00B13C3F"/>
    <w:rsid w:val="00B144DE"/>
    <w:rsid w:val="00B318B1"/>
    <w:rsid w:val="00B44044"/>
    <w:rsid w:val="00B60FEE"/>
    <w:rsid w:val="00B83455"/>
    <w:rsid w:val="00B8356B"/>
    <w:rsid w:val="00C15625"/>
    <w:rsid w:val="00C34187"/>
    <w:rsid w:val="00C81FA3"/>
    <w:rsid w:val="00C822A8"/>
    <w:rsid w:val="00CC19F2"/>
    <w:rsid w:val="00CC4898"/>
    <w:rsid w:val="00D0269C"/>
    <w:rsid w:val="00D30D2F"/>
    <w:rsid w:val="00D46E94"/>
    <w:rsid w:val="00D76923"/>
    <w:rsid w:val="00DA6E11"/>
    <w:rsid w:val="00DB4E18"/>
    <w:rsid w:val="00DD775F"/>
    <w:rsid w:val="00DE3A9B"/>
    <w:rsid w:val="00DE42EF"/>
    <w:rsid w:val="00DF66FD"/>
    <w:rsid w:val="00E261E1"/>
    <w:rsid w:val="00E334C4"/>
    <w:rsid w:val="00E46E01"/>
    <w:rsid w:val="00E61D65"/>
    <w:rsid w:val="00E63A2C"/>
    <w:rsid w:val="00E663BE"/>
    <w:rsid w:val="00E954AD"/>
    <w:rsid w:val="00F03AAD"/>
    <w:rsid w:val="00F57158"/>
    <w:rsid w:val="00F60F2C"/>
    <w:rsid w:val="00F70C89"/>
    <w:rsid w:val="00F927DD"/>
    <w:rsid w:val="00FE6A75"/>
    <w:rsid w:val="00FF4B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D2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520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5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2086"/>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45208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52086"/>
    <w:rPr>
      <w:b/>
      <w:bCs/>
    </w:rPr>
  </w:style>
  <w:style w:type="table" w:customStyle="1" w:styleId="GridTableLight">
    <w:name w:val="Grid Table Light"/>
    <w:basedOn w:val="TableNormal"/>
    <w:uiPriority w:val="40"/>
    <w:rsid w:val="0045208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75216"/>
    <w:rPr>
      <w:rFonts w:asciiTheme="majorHAnsi" w:eastAsiaTheme="majorEastAsia" w:hAnsiTheme="majorHAnsi" w:cstheme="majorBidi"/>
      <w:color w:val="2F5496" w:themeColor="accent1" w:themeShade="BF"/>
      <w:sz w:val="26"/>
      <w:szCs w:val="26"/>
      <w:lang w:val="en-GB"/>
    </w:rPr>
  </w:style>
  <w:style w:type="paragraph" w:styleId="BalloonText">
    <w:name w:val="Balloon Text"/>
    <w:basedOn w:val="Normal"/>
    <w:link w:val="BalloonTextChar"/>
    <w:uiPriority w:val="99"/>
    <w:semiHidden/>
    <w:unhideWhenUsed/>
    <w:rsid w:val="005D0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32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75309708">
      <w:bodyDiv w:val="1"/>
      <w:marLeft w:val="0"/>
      <w:marRight w:val="0"/>
      <w:marTop w:val="0"/>
      <w:marBottom w:val="0"/>
      <w:divBdr>
        <w:top w:val="none" w:sz="0" w:space="0" w:color="auto"/>
        <w:left w:val="none" w:sz="0" w:space="0" w:color="auto"/>
        <w:bottom w:val="none" w:sz="0" w:space="0" w:color="auto"/>
        <w:right w:val="none" w:sz="0" w:space="0" w:color="auto"/>
      </w:divBdr>
    </w:div>
    <w:div w:id="318660490">
      <w:bodyDiv w:val="1"/>
      <w:marLeft w:val="0"/>
      <w:marRight w:val="0"/>
      <w:marTop w:val="0"/>
      <w:marBottom w:val="0"/>
      <w:divBdr>
        <w:top w:val="none" w:sz="0" w:space="0" w:color="auto"/>
        <w:left w:val="none" w:sz="0" w:space="0" w:color="auto"/>
        <w:bottom w:val="none" w:sz="0" w:space="0" w:color="auto"/>
        <w:right w:val="none" w:sz="0" w:space="0" w:color="auto"/>
      </w:divBdr>
    </w:div>
    <w:div w:id="418018235">
      <w:bodyDiv w:val="1"/>
      <w:marLeft w:val="0"/>
      <w:marRight w:val="0"/>
      <w:marTop w:val="0"/>
      <w:marBottom w:val="0"/>
      <w:divBdr>
        <w:top w:val="none" w:sz="0" w:space="0" w:color="auto"/>
        <w:left w:val="none" w:sz="0" w:space="0" w:color="auto"/>
        <w:bottom w:val="none" w:sz="0" w:space="0" w:color="auto"/>
        <w:right w:val="none" w:sz="0" w:space="0" w:color="auto"/>
      </w:divBdr>
    </w:div>
    <w:div w:id="938415079">
      <w:bodyDiv w:val="1"/>
      <w:marLeft w:val="0"/>
      <w:marRight w:val="0"/>
      <w:marTop w:val="0"/>
      <w:marBottom w:val="0"/>
      <w:divBdr>
        <w:top w:val="none" w:sz="0" w:space="0" w:color="auto"/>
        <w:left w:val="none" w:sz="0" w:space="0" w:color="auto"/>
        <w:bottom w:val="none" w:sz="0" w:space="0" w:color="auto"/>
        <w:right w:val="none" w:sz="0" w:space="0" w:color="auto"/>
      </w:divBdr>
      <w:divsChild>
        <w:div w:id="2126535127">
          <w:marLeft w:val="0"/>
          <w:marRight w:val="0"/>
          <w:marTop w:val="0"/>
          <w:marBottom w:val="0"/>
          <w:divBdr>
            <w:top w:val="none" w:sz="0" w:space="0" w:color="auto"/>
            <w:left w:val="none" w:sz="0" w:space="0" w:color="auto"/>
            <w:bottom w:val="none" w:sz="0" w:space="0" w:color="auto"/>
            <w:right w:val="none" w:sz="0" w:space="0" w:color="auto"/>
          </w:divBdr>
          <w:divsChild>
            <w:div w:id="2135051119">
              <w:marLeft w:val="0"/>
              <w:marRight w:val="0"/>
              <w:marTop w:val="0"/>
              <w:marBottom w:val="0"/>
              <w:divBdr>
                <w:top w:val="none" w:sz="0" w:space="0" w:color="auto"/>
                <w:left w:val="none" w:sz="0" w:space="0" w:color="auto"/>
                <w:bottom w:val="none" w:sz="0" w:space="0" w:color="auto"/>
                <w:right w:val="none" w:sz="0" w:space="0" w:color="auto"/>
              </w:divBdr>
              <w:divsChild>
                <w:div w:id="24465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30023">
      <w:bodyDiv w:val="1"/>
      <w:marLeft w:val="0"/>
      <w:marRight w:val="0"/>
      <w:marTop w:val="0"/>
      <w:marBottom w:val="0"/>
      <w:divBdr>
        <w:top w:val="none" w:sz="0" w:space="0" w:color="auto"/>
        <w:left w:val="none" w:sz="0" w:space="0" w:color="auto"/>
        <w:bottom w:val="none" w:sz="0" w:space="0" w:color="auto"/>
        <w:right w:val="none" w:sz="0" w:space="0" w:color="auto"/>
      </w:divBdr>
      <w:divsChild>
        <w:div w:id="463158071">
          <w:marLeft w:val="0"/>
          <w:marRight w:val="0"/>
          <w:marTop w:val="0"/>
          <w:marBottom w:val="0"/>
          <w:divBdr>
            <w:top w:val="none" w:sz="0" w:space="0" w:color="auto"/>
            <w:left w:val="none" w:sz="0" w:space="0" w:color="auto"/>
            <w:bottom w:val="none" w:sz="0" w:space="0" w:color="auto"/>
            <w:right w:val="none" w:sz="0" w:space="0" w:color="auto"/>
          </w:divBdr>
          <w:divsChild>
            <w:div w:id="2109543209">
              <w:marLeft w:val="0"/>
              <w:marRight w:val="0"/>
              <w:marTop w:val="0"/>
              <w:marBottom w:val="0"/>
              <w:divBdr>
                <w:top w:val="none" w:sz="0" w:space="0" w:color="auto"/>
                <w:left w:val="none" w:sz="0" w:space="0" w:color="auto"/>
                <w:bottom w:val="none" w:sz="0" w:space="0" w:color="auto"/>
                <w:right w:val="none" w:sz="0" w:space="0" w:color="auto"/>
              </w:divBdr>
              <w:divsChild>
                <w:div w:id="79208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080327">
      <w:bodyDiv w:val="1"/>
      <w:marLeft w:val="0"/>
      <w:marRight w:val="0"/>
      <w:marTop w:val="0"/>
      <w:marBottom w:val="0"/>
      <w:divBdr>
        <w:top w:val="none" w:sz="0" w:space="0" w:color="auto"/>
        <w:left w:val="none" w:sz="0" w:space="0" w:color="auto"/>
        <w:bottom w:val="none" w:sz="0" w:space="0" w:color="auto"/>
        <w:right w:val="none" w:sz="0" w:space="0" w:color="auto"/>
      </w:divBdr>
    </w:div>
    <w:div w:id="1667593791">
      <w:bodyDiv w:val="1"/>
      <w:marLeft w:val="0"/>
      <w:marRight w:val="0"/>
      <w:marTop w:val="0"/>
      <w:marBottom w:val="0"/>
      <w:divBdr>
        <w:top w:val="none" w:sz="0" w:space="0" w:color="auto"/>
        <w:left w:val="none" w:sz="0" w:space="0" w:color="auto"/>
        <w:bottom w:val="none" w:sz="0" w:space="0" w:color="auto"/>
        <w:right w:val="none" w:sz="0" w:space="0" w:color="auto"/>
      </w:divBdr>
    </w:div>
    <w:div w:id="1731925197">
      <w:bodyDiv w:val="1"/>
      <w:marLeft w:val="0"/>
      <w:marRight w:val="0"/>
      <w:marTop w:val="0"/>
      <w:marBottom w:val="0"/>
      <w:divBdr>
        <w:top w:val="none" w:sz="0" w:space="0" w:color="auto"/>
        <w:left w:val="none" w:sz="0" w:space="0" w:color="auto"/>
        <w:bottom w:val="none" w:sz="0" w:space="0" w:color="auto"/>
        <w:right w:val="none" w:sz="0" w:space="0" w:color="auto"/>
      </w:divBdr>
    </w:div>
    <w:div w:id="2037583316">
      <w:bodyDiv w:val="1"/>
      <w:marLeft w:val="0"/>
      <w:marRight w:val="0"/>
      <w:marTop w:val="0"/>
      <w:marBottom w:val="0"/>
      <w:divBdr>
        <w:top w:val="none" w:sz="0" w:space="0" w:color="auto"/>
        <w:left w:val="none" w:sz="0" w:space="0" w:color="auto"/>
        <w:bottom w:val="none" w:sz="0" w:space="0" w:color="auto"/>
        <w:right w:val="none" w:sz="0" w:space="0" w:color="auto"/>
      </w:divBdr>
      <w:divsChild>
        <w:div w:id="1804931630">
          <w:marLeft w:val="0"/>
          <w:marRight w:val="0"/>
          <w:marTop w:val="0"/>
          <w:marBottom w:val="0"/>
          <w:divBdr>
            <w:top w:val="none" w:sz="0" w:space="0" w:color="auto"/>
            <w:left w:val="none" w:sz="0" w:space="0" w:color="auto"/>
            <w:bottom w:val="none" w:sz="0" w:space="0" w:color="auto"/>
            <w:right w:val="none" w:sz="0" w:space="0" w:color="auto"/>
          </w:divBdr>
          <w:divsChild>
            <w:div w:id="1610892262">
              <w:marLeft w:val="0"/>
              <w:marRight w:val="0"/>
              <w:marTop w:val="0"/>
              <w:marBottom w:val="0"/>
              <w:divBdr>
                <w:top w:val="none" w:sz="0" w:space="0" w:color="auto"/>
                <w:left w:val="none" w:sz="0" w:space="0" w:color="auto"/>
                <w:bottom w:val="none" w:sz="0" w:space="0" w:color="auto"/>
                <w:right w:val="none" w:sz="0" w:space="0" w:color="auto"/>
              </w:divBdr>
              <w:divsChild>
                <w:div w:id="25185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0956C-1135-4F44-8764-95D24CEA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2701</Words>
  <Characters>15402</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QUESTION 1</vt:lpstr>
      <vt:lpstr>QUESTION 2</vt:lpstr>
      <vt:lpstr>QUESTION 3</vt:lpstr>
      <vt:lpstr>    a) Ratio calculation</vt:lpstr>
      <vt:lpstr>    b) Report on performance</vt:lpstr>
      <vt:lpstr>Conclusion</vt:lpstr>
    </vt:vector>
  </TitlesOfParts>
  <Company/>
  <LinksUpToDate>false</LinksUpToDate>
  <CharactersWithSpaces>18067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Rayhan</dc:creator>
  <cp:lastModifiedBy>dorys sparks</cp:lastModifiedBy>
  <cp:revision>2</cp:revision>
  <dcterms:created xsi:type="dcterms:W3CDTF">2024-05-02T20:03:00Z</dcterms:created>
  <dcterms:modified xsi:type="dcterms:W3CDTF">2024-05-02T20:03:00Z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6bf6f8ba061f07c2d361b45388387dc24f690d2c8b817a4e068f63f3c339f889</vt:lpwstr>
  </property>
</Properties>
</file>