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5DA7D" w14:textId="74334194" w:rsidR="00302E42" w:rsidRDefault="003B131E">
      <w:pPr>
        <w:spacing w:line="480" w:lineRule="auto"/>
        <w:jc w:val="center"/>
        <w:rPr>
          <w:rFonts w:ascii="Times New Roman" w:eastAsia="Times New Roman" w:hAnsi="Times New Roman" w:cs="Times New Roman"/>
          <w:sz w:val="32"/>
          <w:szCs w:val="32"/>
        </w:rPr>
      </w:pPr>
      <w:r w:rsidRPr="008D2DAF">
        <w:rPr>
          <w:rFonts w:eastAsia="Calibri"/>
          <w:noProof/>
        </w:rPr>
        <w:drawing>
          <wp:anchor distT="0" distB="0" distL="114300" distR="114300" simplePos="0" relativeHeight="251659264" behindDoc="0" locked="0" layoutInCell="1" allowOverlap="1" wp14:anchorId="6D67B396" wp14:editId="3E618631">
            <wp:simplePos x="0" y="0"/>
            <wp:positionH relativeFrom="margin">
              <wp:posOffset>0</wp:posOffset>
            </wp:positionH>
            <wp:positionV relativeFrom="margin">
              <wp:posOffset>464820</wp:posOffset>
            </wp:positionV>
            <wp:extent cx="2209800" cy="742950"/>
            <wp:effectExtent l="0" t="0" r="0" b="0"/>
            <wp:wrapSquare wrapText="bothSides"/>
            <wp:docPr id="872000466" name="Picture 87200046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w="9525">
                      <a:noFill/>
                      <a:miter lim="800000"/>
                      <a:headEnd/>
                      <a:tailEnd/>
                    </a:ln>
                  </pic:spPr>
                </pic:pic>
              </a:graphicData>
            </a:graphic>
          </wp:anchor>
        </w:drawing>
      </w:r>
    </w:p>
    <w:p w14:paraId="4F5BC869" w14:textId="77777777" w:rsidR="00302E42" w:rsidRDefault="00302E42">
      <w:pPr>
        <w:spacing w:line="480" w:lineRule="auto"/>
        <w:jc w:val="center"/>
        <w:rPr>
          <w:rFonts w:ascii="Times New Roman" w:eastAsia="Times New Roman" w:hAnsi="Times New Roman" w:cs="Times New Roman"/>
          <w:sz w:val="32"/>
          <w:szCs w:val="32"/>
        </w:rPr>
      </w:pPr>
    </w:p>
    <w:p w14:paraId="0F2441F5" w14:textId="77777777" w:rsidR="00302E42" w:rsidRDefault="00302E42">
      <w:pPr>
        <w:spacing w:line="480" w:lineRule="auto"/>
        <w:jc w:val="center"/>
        <w:rPr>
          <w:rFonts w:ascii="Times New Roman" w:eastAsia="Times New Roman" w:hAnsi="Times New Roman" w:cs="Times New Roman"/>
          <w:sz w:val="32"/>
          <w:szCs w:val="32"/>
        </w:rPr>
      </w:pPr>
    </w:p>
    <w:p w14:paraId="57769ECD" w14:textId="77777777" w:rsidR="003B131E" w:rsidRPr="004B425E" w:rsidRDefault="003B131E" w:rsidP="003B131E">
      <w:pPr>
        <w:keepNext/>
        <w:keepLines/>
        <w:spacing w:before="240"/>
        <w:jc w:val="center"/>
        <w:outlineLvl w:val="0"/>
        <w:rPr>
          <w:rFonts w:ascii="Tahoma" w:eastAsia="Calibri" w:hAnsi="Tahoma" w:cs="Tahoma"/>
          <w:color w:val="000000"/>
          <w:sz w:val="40"/>
          <w:szCs w:val="40"/>
        </w:rPr>
      </w:pPr>
      <w:r w:rsidRPr="004B425E">
        <w:rPr>
          <w:rFonts w:ascii="Tahoma" w:eastAsia="Calibri" w:hAnsi="Tahoma" w:cs="Tahoma"/>
          <w:color w:val="000000"/>
          <w:sz w:val="40"/>
          <w:szCs w:val="40"/>
        </w:rPr>
        <w:t>BA leadership and management</w:t>
      </w:r>
    </w:p>
    <w:p w14:paraId="7CB7068B" w14:textId="77777777" w:rsidR="003B131E" w:rsidRDefault="003B131E" w:rsidP="003B131E">
      <w:pPr>
        <w:keepNext/>
        <w:keepLines/>
        <w:spacing w:before="240"/>
        <w:jc w:val="center"/>
        <w:outlineLvl w:val="0"/>
        <w:rPr>
          <w:rFonts w:ascii="Tahoma" w:eastAsia="Calibri" w:hAnsi="Tahoma" w:cs="Tahoma"/>
          <w:color w:val="000000"/>
          <w:sz w:val="40"/>
          <w:szCs w:val="40"/>
        </w:rPr>
      </w:pPr>
      <w:r w:rsidRPr="004B425E">
        <w:rPr>
          <w:rFonts w:ascii="Tahoma" w:eastAsia="Calibri" w:hAnsi="Tahoma" w:cs="Tahoma"/>
          <w:color w:val="000000"/>
          <w:sz w:val="40"/>
          <w:szCs w:val="40"/>
        </w:rPr>
        <w:t>Skills in the workplace.</w:t>
      </w:r>
      <w:r w:rsidRPr="004B425E">
        <w:rPr>
          <w:rFonts w:ascii="Tahoma" w:eastAsia="Calibri" w:hAnsi="Tahoma" w:cs="Tahoma"/>
          <w:color w:val="000000"/>
          <w:sz w:val="40"/>
          <w:szCs w:val="40"/>
        </w:rPr>
        <w:br/>
        <w:t>Module Assignment Submission</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B131E" w:rsidRPr="004B425E" w14:paraId="58C3EAC8" w14:textId="77777777" w:rsidTr="00D3776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3A8995F" w14:textId="77777777" w:rsidR="003B131E" w:rsidRPr="004B425E" w:rsidRDefault="003B131E" w:rsidP="00D37764">
            <w:pPr>
              <w:keepNext/>
              <w:keepLines/>
              <w:spacing w:before="240"/>
              <w:outlineLvl w:val="0"/>
              <w:rPr>
                <w:rFonts w:ascii="Tahoma" w:eastAsiaTheme="majorEastAsia" w:hAnsi="Tahoma" w:cs="Tahoma"/>
                <w:color w:val="365F91" w:themeColor="accent1" w:themeShade="BF"/>
                <w:sz w:val="32"/>
                <w:szCs w:val="32"/>
              </w:rPr>
            </w:pPr>
            <w:r w:rsidRPr="004B425E">
              <w:rPr>
                <w:rFonts w:ascii="Tahoma" w:eastAsiaTheme="majorEastAsia" w:hAnsi="Tahoma" w:cs="Tahoma"/>
                <w:color w:val="365F91" w:themeColor="accent1" w:themeShade="BF"/>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5610ACD9" w14:textId="04F49285" w:rsidR="003B131E" w:rsidRPr="004B425E" w:rsidRDefault="003B131E" w:rsidP="00D37764">
            <w:pPr>
              <w:keepNext/>
              <w:keepLines/>
              <w:spacing w:before="240"/>
              <w:outlineLvl w:val="0"/>
              <w:rPr>
                <w:rFonts w:ascii="Tahoma" w:eastAsiaTheme="majorEastAsia" w:hAnsi="Tahoma" w:cs="Tahoma"/>
                <w:color w:val="365F91" w:themeColor="accent1" w:themeShade="BF"/>
                <w:sz w:val="32"/>
                <w:szCs w:val="32"/>
              </w:rPr>
            </w:pPr>
            <w:r>
              <w:rPr>
                <w:rFonts w:ascii="Tahoma" w:eastAsiaTheme="majorEastAsia" w:hAnsi="Tahoma" w:cs="Tahoma"/>
                <w:color w:val="365F91" w:themeColor="accent1" w:themeShade="BF"/>
                <w:sz w:val="32"/>
                <w:szCs w:val="32"/>
              </w:rPr>
              <w:t>Konstantinos Tsene</w:t>
            </w:r>
          </w:p>
        </w:tc>
      </w:tr>
      <w:tr w:rsidR="003B131E" w:rsidRPr="004B425E" w14:paraId="25B23C8E" w14:textId="77777777" w:rsidTr="00D3776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F12CE59" w14:textId="77777777" w:rsidR="003B131E" w:rsidRPr="004B425E" w:rsidRDefault="003B131E" w:rsidP="00D37764">
            <w:pPr>
              <w:keepNext/>
              <w:keepLines/>
              <w:spacing w:before="240"/>
              <w:outlineLvl w:val="0"/>
              <w:rPr>
                <w:rFonts w:ascii="Tahoma" w:eastAsiaTheme="majorEastAsia" w:hAnsi="Tahoma" w:cs="Tahoma"/>
                <w:color w:val="365F91" w:themeColor="accent1" w:themeShade="BF"/>
                <w:sz w:val="32"/>
                <w:szCs w:val="32"/>
              </w:rPr>
            </w:pPr>
            <w:r w:rsidRPr="004B425E">
              <w:rPr>
                <w:rFonts w:ascii="Tahoma" w:eastAsiaTheme="majorEastAsia" w:hAnsi="Tahoma" w:cs="Tahoma"/>
                <w:color w:val="365F91" w:themeColor="accent1" w:themeShade="BF"/>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3F83286A" w14:textId="779F01EF" w:rsidR="003B131E" w:rsidRPr="004B425E" w:rsidRDefault="003B131E" w:rsidP="00D37764">
            <w:pPr>
              <w:keepNext/>
              <w:keepLines/>
              <w:spacing w:before="240"/>
              <w:outlineLvl w:val="0"/>
              <w:rPr>
                <w:rFonts w:ascii="Tahoma" w:eastAsiaTheme="majorEastAsia" w:hAnsi="Tahoma" w:cs="Tahoma"/>
                <w:color w:val="365F91" w:themeColor="accent1" w:themeShade="BF"/>
                <w:sz w:val="32"/>
                <w:szCs w:val="32"/>
              </w:rPr>
            </w:pPr>
            <w:r>
              <w:rPr>
                <w:rFonts w:ascii="Tahoma" w:eastAsiaTheme="majorEastAsia" w:hAnsi="Tahoma" w:cs="Tahoma"/>
                <w:color w:val="365F91" w:themeColor="accent1" w:themeShade="BF"/>
                <w:sz w:val="32"/>
                <w:szCs w:val="32"/>
              </w:rPr>
              <w:t>2125449</w:t>
            </w:r>
          </w:p>
        </w:tc>
      </w:tr>
      <w:tr w:rsidR="003B131E" w:rsidRPr="0041448C" w14:paraId="02688441" w14:textId="77777777" w:rsidTr="00D3776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1C9E974" w14:textId="77777777" w:rsidR="003B131E" w:rsidRPr="004B425E" w:rsidRDefault="003B131E" w:rsidP="00D37764">
            <w:pPr>
              <w:keepNext/>
              <w:keepLines/>
              <w:spacing w:before="240"/>
              <w:outlineLvl w:val="0"/>
              <w:rPr>
                <w:rFonts w:ascii="Tahoma" w:eastAsiaTheme="majorEastAsia" w:hAnsi="Tahoma" w:cs="Tahoma"/>
                <w:color w:val="365F91" w:themeColor="accent1" w:themeShade="BF"/>
                <w:sz w:val="32"/>
                <w:szCs w:val="32"/>
              </w:rPr>
            </w:pPr>
            <w:r w:rsidRPr="004B425E">
              <w:rPr>
                <w:rFonts w:ascii="Tahoma" w:eastAsiaTheme="majorEastAsia" w:hAnsi="Tahoma" w:cs="Tahoma"/>
                <w:color w:val="365F91" w:themeColor="accent1" w:themeShade="BF"/>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7A0DE71F" w14:textId="24D90A57" w:rsidR="003B131E" w:rsidRPr="0041448C" w:rsidRDefault="003B131E" w:rsidP="00D37764">
            <w:pPr>
              <w:keepNext/>
              <w:keepLines/>
              <w:spacing w:before="240"/>
              <w:outlineLvl w:val="0"/>
              <w:rPr>
                <w:rFonts w:ascii="Tahoma" w:eastAsiaTheme="majorEastAsia" w:hAnsi="Tahoma" w:cs="Tahoma"/>
                <w:sz w:val="32"/>
                <w:szCs w:val="32"/>
              </w:rPr>
            </w:pPr>
            <w:r w:rsidRPr="0041448C">
              <w:rPr>
                <w:rFonts w:ascii="Tahoma" w:eastAsiaTheme="majorEastAsia" w:hAnsi="Tahoma" w:cs="Tahoma"/>
                <w:sz w:val="32"/>
                <w:szCs w:val="32"/>
              </w:rPr>
              <w:t xml:space="preserve">BMSK5008- Part </w:t>
            </w:r>
            <w:r w:rsidR="00A76179">
              <w:rPr>
                <w:rFonts w:ascii="Tahoma" w:eastAsiaTheme="majorEastAsia" w:hAnsi="Tahoma" w:cs="Tahoma"/>
                <w:sz w:val="32"/>
                <w:szCs w:val="32"/>
              </w:rPr>
              <w:t>B</w:t>
            </w:r>
          </w:p>
        </w:tc>
      </w:tr>
      <w:tr w:rsidR="003B131E" w:rsidRPr="0041448C" w14:paraId="1F930BF4" w14:textId="77777777" w:rsidTr="00D3776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EA66BFB" w14:textId="77777777" w:rsidR="003B131E" w:rsidRPr="004B425E" w:rsidRDefault="003B131E" w:rsidP="00D37764">
            <w:pPr>
              <w:keepNext/>
              <w:keepLines/>
              <w:spacing w:before="240"/>
              <w:outlineLvl w:val="0"/>
              <w:rPr>
                <w:rFonts w:ascii="Tahoma" w:eastAsiaTheme="majorEastAsia" w:hAnsi="Tahoma" w:cs="Tahoma"/>
                <w:color w:val="365F91" w:themeColor="accent1" w:themeShade="BF"/>
                <w:sz w:val="32"/>
                <w:szCs w:val="32"/>
              </w:rPr>
            </w:pPr>
            <w:r w:rsidRPr="004B425E">
              <w:rPr>
                <w:rFonts w:ascii="Tahoma" w:eastAsiaTheme="majorEastAsia" w:hAnsi="Tahoma" w:cs="Tahoma"/>
                <w:color w:val="365F91" w:themeColor="accent1" w:themeShade="BF"/>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51896922" w14:textId="77777777" w:rsidR="003B131E" w:rsidRPr="0041448C" w:rsidRDefault="003B131E" w:rsidP="00D37764">
            <w:pPr>
              <w:keepNext/>
              <w:keepLines/>
              <w:tabs>
                <w:tab w:val="left" w:pos="5050"/>
              </w:tabs>
              <w:spacing w:before="240"/>
              <w:outlineLvl w:val="0"/>
              <w:rPr>
                <w:rFonts w:ascii="Tahoma" w:eastAsiaTheme="majorEastAsia" w:hAnsi="Tahoma" w:cs="Tahoma"/>
                <w:sz w:val="32"/>
                <w:szCs w:val="32"/>
              </w:rPr>
            </w:pPr>
            <w:r w:rsidRPr="0041448C">
              <w:rPr>
                <w:rFonts w:ascii="Tahoma" w:eastAsiaTheme="majorEastAsia" w:hAnsi="Tahoma" w:cs="Tahoma"/>
                <w:sz w:val="32"/>
                <w:szCs w:val="32"/>
              </w:rPr>
              <w:t xml:space="preserve">Building your personal brand for sustainable employment </w:t>
            </w:r>
          </w:p>
        </w:tc>
      </w:tr>
    </w:tbl>
    <w:p w14:paraId="40DE1D92" w14:textId="77777777" w:rsidR="003B131E" w:rsidRDefault="003B131E" w:rsidP="003B131E">
      <w:pPr>
        <w:keepNext/>
        <w:keepLines/>
        <w:spacing w:before="240"/>
        <w:outlineLvl w:val="0"/>
        <w:rPr>
          <w:rFonts w:ascii="Tahoma" w:eastAsia="Calibri" w:hAnsi="Tahoma" w:cs="Tahoma"/>
          <w:b/>
          <w:color w:val="000000"/>
          <w:sz w:val="24"/>
          <w:szCs w:val="24"/>
        </w:rPr>
      </w:pPr>
    </w:p>
    <w:p w14:paraId="3E5484DD" w14:textId="05419AD9" w:rsidR="003B131E" w:rsidRPr="004B425E" w:rsidRDefault="003B131E" w:rsidP="003B131E">
      <w:pPr>
        <w:keepNext/>
        <w:keepLines/>
        <w:spacing w:before="240"/>
        <w:outlineLvl w:val="0"/>
        <w:rPr>
          <w:rFonts w:ascii="Tahoma" w:eastAsia="Calibri" w:hAnsi="Tahoma" w:cs="Tahoma"/>
          <w:b/>
          <w:color w:val="000000"/>
          <w:sz w:val="24"/>
          <w:szCs w:val="24"/>
        </w:rPr>
      </w:pPr>
      <w:r w:rsidRPr="004B425E">
        <w:rPr>
          <w:rFonts w:ascii="Tahoma" w:eastAsia="Calibri" w:hAnsi="Tahoma" w:cs="Tahoma"/>
          <w:b/>
          <w:color w:val="000000"/>
          <w:sz w:val="24"/>
          <w:szCs w:val="24"/>
        </w:rPr>
        <w:t>Statement of Confirmation of Authenticity</w:t>
      </w:r>
    </w:p>
    <w:p w14:paraId="4B79E0F6" w14:textId="77777777" w:rsidR="003B131E" w:rsidRPr="004B425E" w:rsidRDefault="003B131E" w:rsidP="003B131E">
      <w:pPr>
        <w:keepNext/>
        <w:keepLines/>
        <w:spacing w:before="240"/>
        <w:outlineLvl w:val="0"/>
        <w:rPr>
          <w:rFonts w:ascii="Tahoma" w:eastAsia="Calibri" w:hAnsi="Tahoma" w:cs="Tahoma"/>
          <w:color w:val="000000"/>
          <w:sz w:val="24"/>
          <w:szCs w:val="24"/>
        </w:rPr>
      </w:pPr>
      <w:r w:rsidRPr="004B425E">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DB80C92" w14:textId="77777777" w:rsidR="003B131E" w:rsidRPr="004B425E" w:rsidRDefault="003B131E" w:rsidP="003B131E">
      <w:pPr>
        <w:keepNext/>
        <w:keepLines/>
        <w:spacing w:before="240"/>
        <w:outlineLvl w:val="0"/>
        <w:rPr>
          <w:rFonts w:ascii="Tahoma" w:eastAsia="Calibri" w:hAnsi="Tahoma" w:cs="Tahoma"/>
          <w:color w:val="000000"/>
          <w:sz w:val="24"/>
          <w:szCs w:val="24"/>
        </w:rPr>
      </w:pPr>
      <w:r w:rsidRPr="004B425E">
        <w:rPr>
          <w:rFonts w:ascii="Tahoma" w:eastAsia="Calibri" w:hAnsi="Tahoma" w:cs="Tahoma"/>
          <w:color w:val="000000"/>
          <w:sz w:val="24"/>
          <w:szCs w:val="24"/>
        </w:rPr>
        <w:t>Attention is drawn to the plagiarism and unfair practice policies of both the University and of ILM.</w:t>
      </w:r>
    </w:p>
    <w:p w14:paraId="7AA42FEF" w14:textId="77777777" w:rsidR="00302E42" w:rsidRDefault="00302E42">
      <w:pPr>
        <w:spacing w:line="480" w:lineRule="auto"/>
        <w:jc w:val="center"/>
        <w:rPr>
          <w:rFonts w:ascii="Times New Roman" w:eastAsia="Times New Roman" w:hAnsi="Times New Roman" w:cs="Times New Roman"/>
          <w:sz w:val="32"/>
          <w:szCs w:val="32"/>
        </w:rPr>
      </w:pPr>
    </w:p>
    <w:p w14:paraId="0CD0A857" w14:textId="77777777" w:rsidR="00302E42" w:rsidRDefault="00302E42">
      <w:pPr>
        <w:spacing w:after="80" w:line="288" w:lineRule="auto"/>
        <w:rPr>
          <w:rFonts w:ascii="Times New Roman" w:eastAsia="Times New Roman" w:hAnsi="Times New Roman" w:cs="Times New Roman"/>
          <w:b/>
          <w:sz w:val="24"/>
          <w:szCs w:val="24"/>
        </w:rPr>
      </w:pPr>
    </w:p>
    <w:p w14:paraId="3BD6D305" w14:textId="2421405C" w:rsidR="00302E42" w:rsidRDefault="00302E42">
      <w:pPr>
        <w:spacing w:line="480" w:lineRule="auto"/>
        <w:rPr>
          <w:rFonts w:ascii="Times New Roman" w:eastAsia="Times New Roman" w:hAnsi="Times New Roman" w:cs="Times New Roman"/>
          <w:b/>
          <w:sz w:val="24"/>
          <w:szCs w:val="24"/>
        </w:rPr>
      </w:pPr>
    </w:p>
    <w:p w14:paraId="3B6A303F" w14:textId="77777777" w:rsidR="00302E42"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p w14:paraId="73C9BB06" w14:textId="77777777" w:rsidR="00302E42" w:rsidRDefault="00302E42">
      <w:pPr>
        <w:spacing w:line="480" w:lineRule="auto"/>
        <w:rPr>
          <w:rFonts w:ascii="Times New Roman" w:eastAsia="Times New Roman" w:hAnsi="Times New Roman" w:cs="Times New Roman"/>
          <w:sz w:val="24"/>
          <w:szCs w:val="24"/>
        </w:rPr>
      </w:pPr>
    </w:p>
    <w:sdt>
      <w:sdtPr>
        <w:id w:val="-1118218817"/>
        <w:docPartObj>
          <w:docPartGallery w:val="Table of Contents"/>
          <w:docPartUnique/>
        </w:docPartObj>
      </w:sdtPr>
      <w:sdtContent>
        <w:p w14:paraId="1D18C2BA" w14:textId="77777777" w:rsidR="00302E42" w:rsidRDefault="00000000">
          <w:pPr>
            <w:widowControl w:val="0"/>
            <w:tabs>
              <w:tab w:val="right" w:pos="9360"/>
            </w:tabs>
            <w:spacing w:before="60" w:line="48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otnpvjgwxpls">
            <w:r>
              <w:rPr>
                <w:rFonts w:ascii="Times New Roman" w:eastAsia="Times New Roman" w:hAnsi="Times New Roman" w:cs="Times New Roman"/>
                <w:color w:val="000000"/>
                <w:sz w:val="24"/>
                <w:szCs w:val="24"/>
              </w:rPr>
              <w:t>Assignment 2- Personal Reflection</w:t>
            </w:r>
            <w:r>
              <w:rPr>
                <w:rFonts w:ascii="Times New Roman" w:eastAsia="Times New Roman" w:hAnsi="Times New Roman" w:cs="Times New Roman"/>
                <w:color w:val="000000"/>
                <w:sz w:val="24"/>
                <w:szCs w:val="24"/>
              </w:rPr>
              <w:tab/>
            </w:r>
          </w:hyperlink>
          <w:r>
            <w:fldChar w:fldCharType="begin"/>
          </w:r>
          <w:r>
            <w:instrText xml:space="preserve"> PAGEREF _otnpvjgwxpls \h </w:instrText>
          </w:r>
          <w:r>
            <w:fldChar w:fldCharType="separate"/>
          </w:r>
          <w:r>
            <w:rPr>
              <w:rFonts w:ascii="Times New Roman" w:eastAsia="Times New Roman" w:hAnsi="Times New Roman" w:cs="Times New Roman"/>
              <w:sz w:val="24"/>
              <w:szCs w:val="24"/>
            </w:rPr>
            <w:t>3</w:t>
          </w:r>
          <w:r>
            <w:fldChar w:fldCharType="end"/>
          </w:r>
        </w:p>
        <w:p w14:paraId="59F322A0" w14:textId="77777777" w:rsidR="00302E42" w:rsidRDefault="00000000">
          <w:pPr>
            <w:widowControl w:val="0"/>
            <w:tabs>
              <w:tab w:val="right" w:pos="9360"/>
            </w:tabs>
            <w:spacing w:before="60" w:line="480" w:lineRule="auto"/>
            <w:ind w:left="360"/>
            <w:rPr>
              <w:rFonts w:ascii="Times New Roman" w:eastAsia="Times New Roman" w:hAnsi="Times New Roman" w:cs="Times New Roman"/>
              <w:color w:val="000000"/>
              <w:sz w:val="24"/>
              <w:szCs w:val="24"/>
            </w:rPr>
          </w:pPr>
          <w:hyperlink w:anchor="_c8n2k8ro28au">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_c8n2k8ro28au \h </w:instrText>
          </w:r>
          <w:r>
            <w:fldChar w:fldCharType="separate"/>
          </w:r>
          <w:r>
            <w:rPr>
              <w:rFonts w:ascii="Times New Roman" w:eastAsia="Times New Roman" w:hAnsi="Times New Roman" w:cs="Times New Roman"/>
              <w:sz w:val="24"/>
              <w:szCs w:val="24"/>
            </w:rPr>
            <w:t>3</w:t>
          </w:r>
          <w:r>
            <w:fldChar w:fldCharType="end"/>
          </w:r>
        </w:p>
        <w:p w14:paraId="5F8431C9" w14:textId="77777777" w:rsidR="00302E42" w:rsidRDefault="00000000">
          <w:pPr>
            <w:widowControl w:val="0"/>
            <w:tabs>
              <w:tab w:val="right" w:pos="9360"/>
            </w:tabs>
            <w:spacing w:before="60" w:line="480" w:lineRule="auto"/>
            <w:ind w:left="360"/>
            <w:rPr>
              <w:rFonts w:ascii="Times New Roman" w:eastAsia="Times New Roman" w:hAnsi="Times New Roman" w:cs="Times New Roman"/>
              <w:color w:val="000000"/>
              <w:sz w:val="24"/>
              <w:szCs w:val="24"/>
            </w:rPr>
          </w:pPr>
          <w:hyperlink w:anchor="_7swgx2bxh6sa">
            <w:r>
              <w:rPr>
                <w:rFonts w:ascii="Times New Roman" w:eastAsia="Times New Roman" w:hAnsi="Times New Roman" w:cs="Times New Roman"/>
                <w:color w:val="000000"/>
                <w:sz w:val="24"/>
                <w:szCs w:val="24"/>
              </w:rPr>
              <w:t>Gibb’s Reflective Cycle</w:t>
            </w:r>
            <w:r>
              <w:rPr>
                <w:rFonts w:ascii="Times New Roman" w:eastAsia="Times New Roman" w:hAnsi="Times New Roman" w:cs="Times New Roman"/>
                <w:color w:val="000000"/>
                <w:sz w:val="24"/>
                <w:szCs w:val="24"/>
              </w:rPr>
              <w:tab/>
            </w:r>
          </w:hyperlink>
          <w:r>
            <w:fldChar w:fldCharType="begin"/>
          </w:r>
          <w:r>
            <w:instrText xml:space="preserve"> PAGEREF _7swgx2bxh6sa \h </w:instrText>
          </w:r>
          <w:r>
            <w:fldChar w:fldCharType="separate"/>
          </w:r>
          <w:r>
            <w:rPr>
              <w:rFonts w:ascii="Times New Roman" w:eastAsia="Times New Roman" w:hAnsi="Times New Roman" w:cs="Times New Roman"/>
              <w:sz w:val="24"/>
              <w:szCs w:val="24"/>
            </w:rPr>
            <w:t>3</w:t>
          </w:r>
          <w:r>
            <w:fldChar w:fldCharType="end"/>
          </w:r>
        </w:p>
        <w:p w14:paraId="6D76C7CE" w14:textId="77777777" w:rsidR="00302E42" w:rsidRDefault="00000000">
          <w:pPr>
            <w:widowControl w:val="0"/>
            <w:tabs>
              <w:tab w:val="right" w:pos="9360"/>
            </w:tabs>
            <w:spacing w:before="60" w:line="480" w:lineRule="auto"/>
            <w:rPr>
              <w:rFonts w:ascii="Times New Roman" w:eastAsia="Times New Roman" w:hAnsi="Times New Roman" w:cs="Times New Roman"/>
              <w:color w:val="000000"/>
              <w:sz w:val="24"/>
              <w:szCs w:val="24"/>
            </w:rPr>
          </w:pPr>
          <w:hyperlink w:anchor="_70wmsiukx7hr">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_70wmsiukx7hr \h </w:instrText>
          </w:r>
          <w:r>
            <w:fldChar w:fldCharType="separate"/>
          </w:r>
          <w:r>
            <w:rPr>
              <w:rFonts w:ascii="Times New Roman" w:eastAsia="Times New Roman" w:hAnsi="Times New Roman" w:cs="Times New Roman"/>
              <w:sz w:val="24"/>
              <w:szCs w:val="24"/>
            </w:rPr>
            <w:t>11</w:t>
          </w:r>
          <w:r>
            <w:fldChar w:fldCharType="end"/>
          </w:r>
          <w:r>
            <w:fldChar w:fldCharType="end"/>
          </w:r>
        </w:p>
      </w:sdtContent>
    </w:sdt>
    <w:p w14:paraId="00DC173C" w14:textId="77777777" w:rsidR="00302E42" w:rsidRDefault="00302E42">
      <w:pPr>
        <w:spacing w:line="480" w:lineRule="auto"/>
        <w:rPr>
          <w:rFonts w:ascii="Times New Roman" w:eastAsia="Times New Roman" w:hAnsi="Times New Roman" w:cs="Times New Roman"/>
          <w:sz w:val="24"/>
          <w:szCs w:val="24"/>
        </w:rPr>
      </w:pPr>
    </w:p>
    <w:p w14:paraId="167413C5" w14:textId="77777777" w:rsidR="00302E42" w:rsidRDefault="00000000">
      <w:pPr>
        <w:pStyle w:val="Heading1"/>
      </w:pPr>
      <w:bookmarkStart w:id="0" w:name="_2r9n4t81q0ta" w:colFirst="0" w:colLast="0"/>
      <w:bookmarkEnd w:id="0"/>
      <w:r>
        <w:br w:type="page"/>
      </w:r>
    </w:p>
    <w:p w14:paraId="7E271E2B" w14:textId="2CD79161" w:rsidR="00302E42" w:rsidRDefault="003B131E">
      <w:pPr>
        <w:pStyle w:val="Heading1"/>
      </w:pPr>
      <w:bookmarkStart w:id="1" w:name="_otnpvjgwxpls" w:colFirst="0" w:colLast="0"/>
      <w:bookmarkEnd w:id="1"/>
      <w:r>
        <w:lastRenderedPageBreak/>
        <w:t>Part2- Personal Reflection</w:t>
      </w:r>
    </w:p>
    <w:p w14:paraId="3DBD4667" w14:textId="77777777" w:rsidR="00302E42" w:rsidRDefault="00000000">
      <w:pPr>
        <w:pStyle w:val="Heading2"/>
      </w:pPr>
      <w:bookmarkStart w:id="2" w:name="_c8n2k8ro28au" w:colFirst="0" w:colLast="0"/>
      <w:bookmarkEnd w:id="2"/>
      <w:r>
        <w:t>Introduction</w:t>
      </w:r>
    </w:p>
    <w:p w14:paraId="2142B982"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personal reflection part will be explained using Gibb’s reflective cycle. The reflection will cover four modules Pursuit of Being Happy, It is a Small World, Brand You, and Opportunity Knocks. It reflects upon my e-learning journey, the key lessons learned and the importance of e-learning for developing my personal brand. The reflection will discuss about what I learned in all 4 modules and how it will help me in developing my personal brand. </w:t>
      </w:r>
    </w:p>
    <w:p w14:paraId="17D36CC5" w14:textId="77777777" w:rsidR="00302E42" w:rsidRDefault="00000000">
      <w:pPr>
        <w:pStyle w:val="Heading2"/>
      </w:pPr>
      <w:bookmarkStart w:id="3" w:name="_7swgx2bxh6sa" w:colFirst="0" w:colLast="0"/>
      <w:bookmarkEnd w:id="3"/>
      <w:r>
        <w:t>Gibb’s Reflective Cycle</w:t>
      </w:r>
    </w:p>
    <w:p w14:paraId="2500926A" w14:textId="77777777" w:rsidR="00302E42"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9F84EC9" wp14:editId="35F35035">
            <wp:extent cx="3524250" cy="3505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524250" cy="3505200"/>
                    </a:xfrm>
                    <a:prstGeom prst="rect">
                      <a:avLst/>
                    </a:prstGeom>
                    <a:ln/>
                  </pic:spPr>
                </pic:pic>
              </a:graphicData>
            </a:graphic>
          </wp:inline>
        </w:drawing>
      </w:r>
    </w:p>
    <w:p w14:paraId="21FDC5F9" w14:textId="77777777" w:rsidR="00302E42"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Gibb’s Reflective Cycle</w:t>
      </w:r>
    </w:p>
    <w:p w14:paraId="1FA0B6A7" w14:textId="77777777" w:rsidR="00302E42"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(Adeani, Febriani &amp; Syafryadin, 2020)</w:t>
      </w:r>
    </w:p>
    <w:p w14:paraId="738BEC4C" w14:textId="77777777" w:rsidR="00302E42"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p w14:paraId="59F51253"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subject of an internet-based educational project I had to finish as a requirement for one of the degree-related courses was Developing One's Own Brand for environmentally friendly </w:t>
      </w:r>
      <w:r>
        <w:rPr>
          <w:rFonts w:ascii="Times New Roman" w:eastAsia="Times New Roman" w:hAnsi="Times New Roman" w:cs="Times New Roman"/>
          <w:sz w:val="24"/>
          <w:szCs w:val="24"/>
        </w:rPr>
        <w:lastRenderedPageBreak/>
        <w:t>Employment (Jacobson, 2020). The curriculum was divided into four sections: Pursuit of Being Happy, It is a Small World, Brand You, and Opportunity Knocks. As a component of a virtual e-learning experience, this course asked me to complete exercises on the topics discussed in all four parts. A different topic was discussed in each course, including how important desire is, what motivates you personally, and the possibilities for endless jobs and abilities. The second unit on the other hand covered the benefits of connecting and how networks react to difficult situations. In Unit three I also learned about the concepts of changing your luck and finding career opportunities (Caldera, Desha &amp; Dawes, 2022). After that, I moved on to unit four where I discovered the idea of possessing restrictive mindsets and how to address them in order to achieve success. Furthermore, I answered questions on restrictive ideas in a questionnaire that determined if I had a growth-oriented or fixed mentality. I had to complete a Zander letter form to myself as a component of this electronic learning experience, and also an action plan for growth and a professionally written resume, in which I had to write about how I finished college with a top-notch BA degree. This online learning experience was eventually intended to help me develop a deeper grasp of critical concepts that would help me build a stronger personal brand for future jobs.</w:t>
      </w:r>
    </w:p>
    <w:p w14:paraId="29CCD797" w14:textId="77777777" w:rsidR="00302E42"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Feelings</w:t>
      </w:r>
    </w:p>
    <w:p w14:paraId="327782BD"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 had to study, consider, and engage with a lot of material to have a better perspective on how to strengthen my branding. I first felt intimidated, feeling overwhelmed, and like giving up before I commenced my online education journey. My initial reactions regarding what I had been studying made me wish to ultimately give up, leave it all behind, and accept simply being who I am without trying to become more. However, after reading about these subjects over a period of time, I realised that it was starting to make more sense and that a couple of them were </w:t>
      </w:r>
      <w:r>
        <w:rPr>
          <w:rFonts w:ascii="Times New Roman" w:eastAsia="Times New Roman" w:hAnsi="Times New Roman" w:cs="Times New Roman"/>
          <w:sz w:val="24"/>
          <w:szCs w:val="24"/>
        </w:rPr>
        <w:lastRenderedPageBreak/>
        <w:t>worthwhile concentrating on and exploiting given the possible effect that these modifications may have on my own personal image. My first main impression from Unit One was the fact that it was necessary to study deeper into the issue of aspiration. Despite the fact that I sometimes battle with faith in my aptitude and talents, I continue to possess the desire to achieve and get to the position of the top manager of a division in the biggest organisation. I felt that I enjoyed every second of studying and continued to find the experience to grow more interesting as I increased my knowledge of how being more driven can assist me achieve (Kost, Feiseler &amp; Wong, 2020). Studying Unit 1's discussion on the need for desire gave me greater faith in my ability to be more driven. It showed me how to achieve this and what characteristics and mindsets I will require in order to portray myself positively and show that I have the willpower to achieve my goals, particularly in challenging times of hardship.</w:t>
      </w:r>
    </w:p>
    <w:p w14:paraId="2DDF600F"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After reading subjects 2, 3, and 4 in unit one, I came to the conclusion that they were not helpful for building my own unique identity and also that I lacked a requirement to comprehend them in order to grow my profession, like the Gig Economy and its benefits and drawbacks (Vallas &amp; Schor, 2020). I noticed that these topics became really long and hard to grasp because there was not any passion or enjoyment in reading these articles.</w:t>
      </w:r>
    </w:p>
    <w:p w14:paraId="6D74D94B"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 thought it fascinating and thrilling to understand how connecting could assist you progress your profession, which was another important lesson from Unit Two. Since I frequently advertise myself on LinkedIn for my line of employment and have the opportunity to network with people in my field, I can relate to this. I like making connections; on LinkedIn, for example, you can upload photos of yourself, describe who you are in a paragraph about yourself, and see who has viewed your profile. LinkedIn may be used to grow your connections and make new contacts in the business world (King &amp; Therrien, 2020). It also promotes your skills and areas of </w:t>
      </w:r>
      <w:r>
        <w:rPr>
          <w:rFonts w:ascii="Times New Roman" w:eastAsia="Times New Roman" w:hAnsi="Times New Roman" w:cs="Times New Roman"/>
          <w:sz w:val="24"/>
          <w:szCs w:val="24"/>
        </w:rPr>
        <w:lastRenderedPageBreak/>
        <w:t>expertise in the hopes that other businesses will come across you and consider hiring you. Knowing how to expand my circle of contacts offers me the assurance that the more I raise the profile of my own brand and widen my connections, the more likely it is that I will be offered greater professional possibilities in the future. This thrills me and gives me the impression that I am desired and am not being ignored or put on the back shelf. It also gives me the impression that I would stand apart from the crowd because business people will engage with me and wish to join my network. I believed that the scientific hypothesis underlying networking had left me experiencing highly overwhelmed anxiety due to the complex vocabulary utilised in networking. Prior to reading this, I thought I knew a lot about social media, but it has now completely shattered my mind and convinced me that I cannot accomplish it. I was really shaken up and stressed out by this, particularly after listening to a podcast by Amy C. Waninger on what has to be changed and accomplished to improve networking.</w:t>
      </w:r>
    </w:p>
    <w:p w14:paraId="36C0F4C7"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Again, several of the other subjects covered in Unit Two left me feeling as though they were worthless exercises and did not provide any real benefit. I was also quite overloaded by the volume of material provided on subjects that I did not discover amazing or believed could contribute any worth to my personal image.</w:t>
      </w:r>
    </w:p>
    <w:p w14:paraId="237B4ABD"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Although I believed some of the topics discussed in the third unit would be relevant, I did not believe there were numerous important elements I could have learned from. Discovering my sweet spot and having professional discussions attracted me and pulled me in to continue reading more because it seemed helpful for how I may enhance my job search in the years to come and what resources I can utilise to support this. Studying some of the related literature and viewing the Sarah Andrus video that backed this made me feel at ease (Utami &amp; Wahyudin, 2022). In the video, Sarah made reference to how some effective job searchers may decide on an objective or </w:t>
      </w:r>
      <w:r>
        <w:rPr>
          <w:rFonts w:ascii="Times New Roman" w:eastAsia="Times New Roman" w:hAnsi="Times New Roman" w:cs="Times New Roman"/>
          <w:sz w:val="24"/>
          <w:szCs w:val="24"/>
        </w:rPr>
        <w:lastRenderedPageBreak/>
        <w:t>"sweet spot" to focus on when looking for employment and ask themselves, "What am I good at?" What do I find fascinating? Whom am I attempting to help? What kind of workplace do I want? Following the identification of these, I will engage in significant, fruitful professional conversations with persons who currently carry out the tasks I wish to do. As a result of reading this, I have become more conscious of the requirement to change the way I handle application processes and the way that recognising the crucial elements listed above will help determine the marketplace I am trying to target. Yet, it will also help my own branding by highlighting the important abilities I possess and making me stand out.</w:t>
      </w:r>
    </w:p>
    <w:p w14:paraId="4BEF0356"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As we go ahead to the fourth and last course, I think that discovering restrictive ideas and how they might affect my own branding proved to be one of the most fascinating topics that I think I am able to relate to. I now see restricting ideas as problems I constantly run into and feel I ought to focus on to help my own branding after studying about them. Presently, before I even start a task or consider the larger picture, I often feel horrible about it. I continually feel inadequate and want to quit whenever things are challenging. Even if my anxieties and confidence cause me to function with a fixed viewpoint, it came out that I actually had a mindset of development after completing an examination to evaluate my way of thinking. My self-confidence difficulties and everyday fears, in my opinion, are the key causes of why my thought process is evolving but my actions are staying the same. I want to confront these problems head-on and implement adjustments so that they do not stand in the way of me creating my company's image and presenting myself as an increasingly more assured individual for my want to stand out and flourish. But as I learned more about restricting ideas, I became more assured about how I may handle them in the years to come and transform my adverse thoughts into positive ones.</w:t>
      </w:r>
    </w:p>
    <w:p w14:paraId="2B5FC971"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Since I knew precisely what I wished to write about as well as what I intended to strive for when it came to finishing my own growth, I felt equipped and appreciated finishing the Zander Letter, Personal Growth Plan, and CV.</w:t>
      </w:r>
    </w:p>
    <w:p w14:paraId="14BFCDAB" w14:textId="77777777" w:rsidR="00302E42"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p w14:paraId="1D41D5E4"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Due to the extensive reading and study that was required, I had my initial doubts about the project, but I have now come around. Based on that I had first considered quitting the whole course due to the significant reading and retention needs, I feel and believe it went quite well. Just a few of the issues, including social media, desire, and acquiring knowledge on how to identify and go over our restricting ideas, in my opinion, were extremely interesting to read about.</w:t>
      </w:r>
    </w:p>
    <w:p w14:paraId="01B74B39"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 believe the online training programme might have progressed much more effectively if it would have been partly given as seminars, where we might have participated in role-playing activities and collaborated with other participants to acquire a much deeper practical knowledge of these subjects instead of merely reading, paying attention, and writing. I do think that the assistance element of things was seen to be insufficient because the training was totally on the internet. It was determined that the instructors' assistance in providing clarification on specific assignments was satisfactory (Mittal &amp; Mehta, 2020). The inclusion of podcasts and video clips in this session was beneficial, but moving ahead, I believe that the experience might have been enhanced by the addition of more real-life instances as opposed to scientific theories.</w:t>
      </w:r>
    </w:p>
    <w:p w14:paraId="6FCD7071" w14:textId="77777777" w:rsidR="00302E42"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Analysis </w:t>
      </w:r>
    </w:p>
    <w:p w14:paraId="375F9BBC"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One of the most significant issues that I thought I could relate to and comprehend was the subject of aspiration, which covered the concept of desire and what one must do to possess ambition. Prior to studying and analysing this, I thought I had a desire that was fully formed and </w:t>
      </w:r>
      <w:r>
        <w:rPr>
          <w:rFonts w:ascii="Times New Roman" w:eastAsia="Times New Roman" w:hAnsi="Times New Roman" w:cs="Times New Roman"/>
          <w:sz w:val="24"/>
          <w:szCs w:val="24"/>
        </w:rPr>
        <w:lastRenderedPageBreak/>
        <w:t>that I comprehended it thoroughly. But now that I know a bit more about it and have done more study, I think there is still room for development (Bayer &amp; Bayram, 2019). I think I have gained knowledge about restricting ideas, another important subject. I had no idea about the way I approach tasks in my everyday existence until I started reading about this topic. I instantly question my capacity to do the large quantities of the tasks I perform every day, for example, and convince myself I am unable to complete this, which keeps me from getting a lot done. Most time-limiting attitudes are just false assumptions that we have allowed to control our behaviour.</w:t>
      </w:r>
    </w:p>
    <w:p w14:paraId="69E64F70" w14:textId="77777777" w:rsidR="00302E42"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43827B37" w14:textId="77777777" w:rsidR="00302E4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In the end, I believe there must be some significant adjustments made to the manner in which this online education programme is offered if it were provided to us to learn again. Meaning that instructors should become more engaged and add more enjoyable elements to it rather than presenting it to us as a studying and self-learning programme. It will allow us to perform some of the situations live and carry out our role-playing activities in a workshop-style setting (Page et al., 2020). It also provides me with the self-assurance to collaborate with my colleagues and discuss the subjects with them, allowing us to share thoughts with one another about how these courses could possibly be used. In general, I believed that it was merely a matter of providing you with the knowledge and informing you that you are required to study and comprehend this particular lesson. Look for lessons you can learn from this to strengthen your brand as an individual.</w:t>
      </w:r>
    </w:p>
    <w:p w14:paraId="7FBDCCA9" w14:textId="77777777" w:rsidR="00302E42"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Plan</w:t>
      </w:r>
    </w:p>
    <w:p w14:paraId="2F616DE0" w14:textId="77777777" w:rsidR="00302E42" w:rsidRDefault="00000000">
      <w:pPr>
        <w:spacing w:line="48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ab/>
        <w:t xml:space="preserve">I will ensure to focus on most of the courses instead of just a few of them, and I will not permit the extensive reading and writing to put me off. In order to have a more practical and realistic grasp of what I am able to do to execute significant modifications that will transform my </w:t>
      </w:r>
      <w:r>
        <w:rPr>
          <w:rFonts w:ascii="Times New Roman" w:eastAsia="Times New Roman" w:hAnsi="Times New Roman" w:cs="Times New Roman"/>
          <w:sz w:val="24"/>
          <w:szCs w:val="24"/>
        </w:rPr>
        <w:lastRenderedPageBreak/>
        <w:t>own branding, I might undertake an extra study on these topics by searching for videos on the web that encourage these beliefs. I will continue to develop my ability to think critically with the goal that every subsequent time I spend time working on an assignment like this, I will analyse sources addressing issues that I must incorporate or promote with more scepticism.</w:t>
      </w:r>
      <w:r>
        <w:br w:type="page"/>
      </w:r>
    </w:p>
    <w:p w14:paraId="47C0F53A" w14:textId="77777777" w:rsidR="00302E42" w:rsidRDefault="00000000">
      <w:pPr>
        <w:pStyle w:val="Heading1"/>
      </w:pPr>
      <w:bookmarkStart w:id="4" w:name="_70wmsiukx7hr" w:colFirst="0" w:colLast="0"/>
      <w:bookmarkEnd w:id="4"/>
      <w:r>
        <w:lastRenderedPageBreak/>
        <w:t>References</w:t>
      </w:r>
    </w:p>
    <w:p w14:paraId="508C9D84" w14:textId="77777777" w:rsidR="00302E42" w:rsidRDefault="00000000">
      <w:pPr>
        <w:spacing w:line="480"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Adeani, I. S., Febriani, R. B., &amp; Syafryadin, S. (2020). Using GIBBS’reflective cycle in making reflections of literary analysis. </w:t>
      </w:r>
      <w:r>
        <w:rPr>
          <w:rFonts w:ascii="Times New Roman" w:eastAsia="Times New Roman" w:hAnsi="Times New Roman" w:cs="Times New Roman"/>
          <w:i/>
          <w:color w:val="222222"/>
          <w:sz w:val="24"/>
          <w:szCs w:val="24"/>
        </w:rPr>
        <w:t>Indonesian EFL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w:t>
      </w:r>
      <w:r>
        <w:rPr>
          <w:rFonts w:ascii="Times New Roman" w:eastAsia="Times New Roman" w:hAnsi="Times New Roman" w:cs="Times New Roman"/>
          <w:color w:val="222222"/>
          <w:sz w:val="24"/>
          <w:szCs w:val="24"/>
        </w:rPr>
        <w:t xml:space="preserve">(2), 139-148. Retrieved from: </w:t>
      </w:r>
      <w:hyperlink r:id="rId8">
        <w:r>
          <w:rPr>
            <w:rFonts w:ascii="Times New Roman" w:eastAsia="Times New Roman" w:hAnsi="Times New Roman" w:cs="Times New Roman"/>
            <w:color w:val="1155CC"/>
            <w:sz w:val="24"/>
            <w:szCs w:val="24"/>
            <w:u w:val="single"/>
          </w:rPr>
          <w:t>https://journal.uniku.ac.id/index.php/IEFLJ/article/view/3382</w:t>
        </w:r>
      </w:hyperlink>
      <w:r>
        <w:rPr>
          <w:rFonts w:ascii="Times New Roman" w:eastAsia="Times New Roman" w:hAnsi="Times New Roman" w:cs="Times New Roman"/>
          <w:color w:val="222222"/>
          <w:sz w:val="24"/>
          <w:szCs w:val="24"/>
        </w:rPr>
        <w:t xml:space="preserve"> </w:t>
      </w:r>
    </w:p>
    <w:p w14:paraId="3D83BCED" w14:textId="77777777" w:rsidR="00302E42"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Bayer, N., &amp; Bayram, A. (2019). INVESTIGATION OF THE RELATIONSHIP BETWEEN SOCIAL INTELLIGENCE, COMPUTER ANXIETY AND PERSONAL DEVELOPMENT INITIATIVE SKILLS IN STUDENTS. Retrieved from: </w:t>
      </w:r>
      <w:hyperlink r:id="rId9">
        <w:r>
          <w:rPr>
            <w:rFonts w:ascii="Times New Roman" w:eastAsia="Times New Roman" w:hAnsi="Times New Roman" w:cs="Times New Roman"/>
            <w:color w:val="1155CC"/>
            <w:sz w:val="24"/>
            <w:szCs w:val="24"/>
            <w:u w:val="single"/>
          </w:rPr>
          <w:t>http://openaccess.lokmanhekim.edu.tr/handle/20.500.12591/189</w:t>
        </w:r>
      </w:hyperlink>
      <w:r>
        <w:rPr>
          <w:rFonts w:ascii="Times New Roman" w:eastAsia="Times New Roman" w:hAnsi="Times New Roman" w:cs="Times New Roman"/>
          <w:color w:val="222222"/>
          <w:sz w:val="24"/>
          <w:szCs w:val="24"/>
        </w:rPr>
        <w:t xml:space="preserve"> </w:t>
      </w:r>
    </w:p>
    <w:p w14:paraId="01F3A020" w14:textId="77777777" w:rsidR="00302E42"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Caldera, S., Desha, C., &amp; Dawes, L. (2022). Applying Cynefin framework to explore the experiences of engineering educators undertaking ‘emergency remote teaching’during the COVID-19 pandemic. </w:t>
      </w:r>
      <w:r>
        <w:rPr>
          <w:rFonts w:ascii="Times New Roman" w:eastAsia="Times New Roman" w:hAnsi="Times New Roman" w:cs="Times New Roman"/>
          <w:i/>
          <w:color w:val="222222"/>
          <w:sz w:val="24"/>
          <w:szCs w:val="24"/>
        </w:rPr>
        <w:t>Australasian Journal of Engineering Education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27</w:t>
      </w:r>
      <w:r>
        <w:rPr>
          <w:rFonts w:ascii="Times New Roman" w:eastAsia="Times New Roman" w:hAnsi="Times New Roman" w:cs="Times New Roman"/>
          <w:color w:val="222222"/>
          <w:sz w:val="24"/>
          <w:szCs w:val="24"/>
        </w:rPr>
        <w:t xml:space="preserve">(1), 3-15. Retrieved from: </w:t>
      </w:r>
      <w:hyperlink r:id="rId10">
        <w:r>
          <w:rPr>
            <w:rFonts w:ascii="Times New Roman" w:eastAsia="Times New Roman" w:hAnsi="Times New Roman" w:cs="Times New Roman"/>
            <w:color w:val="1155CC"/>
            <w:sz w:val="24"/>
            <w:szCs w:val="24"/>
            <w:u w:val="single"/>
          </w:rPr>
          <w:t>https://www.tandfonline.com/doi/abs/10.1080/22054952.2021.2020958</w:t>
        </w:r>
      </w:hyperlink>
      <w:r>
        <w:rPr>
          <w:rFonts w:ascii="Times New Roman" w:eastAsia="Times New Roman" w:hAnsi="Times New Roman" w:cs="Times New Roman"/>
          <w:color w:val="222222"/>
          <w:sz w:val="24"/>
          <w:szCs w:val="24"/>
        </w:rPr>
        <w:t xml:space="preserve"> </w:t>
      </w:r>
    </w:p>
    <w:p w14:paraId="6D5D03D4" w14:textId="4E2BFA01" w:rsidR="00D16D62" w:rsidRDefault="00D16D62" w:rsidP="00D16D62">
      <w:pPr>
        <w:spacing w:line="480" w:lineRule="auto"/>
        <w:rPr>
          <w:rFonts w:ascii="Times New Roman" w:hAnsi="Times New Roman" w:cs="Times New Roman"/>
          <w:bCs/>
          <w:sz w:val="24"/>
          <w:szCs w:val="24"/>
        </w:rPr>
      </w:pPr>
      <w:r w:rsidRPr="00D16D62">
        <w:rPr>
          <w:rFonts w:ascii="Times New Roman" w:hAnsi="Times New Roman" w:cs="Times New Roman"/>
          <w:bCs/>
          <w:sz w:val="24"/>
          <w:szCs w:val="24"/>
        </w:rPr>
        <w:t xml:space="preserve">Gibert, D., Mateu, C. and Planes, J., </w:t>
      </w:r>
      <w:r>
        <w:rPr>
          <w:rFonts w:ascii="Times New Roman" w:hAnsi="Times New Roman" w:cs="Times New Roman"/>
          <w:bCs/>
          <w:sz w:val="24"/>
          <w:szCs w:val="24"/>
        </w:rPr>
        <w:t>(</w:t>
      </w:r>
      <w:r w:rsidRPr="00D16D62">
        <w:rPr>
          <w:rFonts w:ascii="Times New Roman" w:hAnsi="Times New Roman" w:cs="Times New Roman"/>
          <w:bCs/>
          <w:sz w:val="24"/>
          <w:szCs w:val="24"/>
        </w:rPr>
        <w:t>2020</w:t>
      </w:r>
      <w:r>
        <w:rPr>
          <w:rFonts w:ascii="Times New Roman" w:hAnsi="Times New Roman" w:cs="Times New Roman"/>
          <w:bCs/>
          <w:sz w:val="24"/>
          <w:szCs w:val="24"/>
        </w:rPr>
        <w:t>)</w:t>
      </w:r>
      <w:r w:rsidRPr="00D16D62">
        <w:rPr>
          <w:rFonts w:ascii="Times New Roman" w:hAnsi="Times New Roman" w:cs="Times New Roman"/>
          <w:bCs/>
          <w:sz w:val="24"/>
          <w:szCs w:val="24"/>
        </w:rPr>
        <w:t xml:space="preserve">. The rise of machine learning for detection and </w:t>
      </w:r>
      <w:r>
        <w:rPr>
          <w:rFonts w:ascii="Times New Roman" w:hAnsi="Times New Roman" w:cs="Times New Roman"/>
          <w:bCs/>
          <w:sz w:val="24"/>
          <w:szCs w:val="24"/>
        </w:rPr>
        <w:t xml:space="preserve">     </w:t>
      </w:r>
    </w:p>
    <w:p w14:paraId="76A03D4D" w14:textId="12C699F3" w:rsidR="00D16D62" w:rsidRDefault="00D16D62" w:rsidP="00D16D62">
      <w:pPr>
        <w:spacing w:line="480" w:lineRule="auto"/>
        <w:rPr>
          <w:rFonts w:ascii="Times New Roman" w:hAnsi="Times New Roman" w:cs="Times New Roman"/>
          <w:bCs/>
          <w:i/>
          <w:iCs/>
          <w:sz w:val="24"/>
          <w:szCs w:val="24"/>
        </w:rPr>
      </w:pPr>
      <w:r>
        <w:rPr>
          <w:rFonts w:ascii="Times New Roman" w:hAnsi="Times New Roman" w:cs="Times New Roman"/>
          <w:bCs/>
          <w:sz w:val="24"/>
          <w:szCs w:val="24"/>
        </w:rPr>
        <w:t xml:space="preserve">            </w:t>
      </w:r>
      <w:r w:rsidRPr="00D16D62">
        <w:rPr>
          <w:rFonts w:ascii="Times New Roman" w:hAnsi="Times New Roman" w:cs="Times New Roman"/>
          <w:bCs/>
          <w:sz w:val="24"/>
          <w:szCs w:val="24"/>
        </w:rPr>
        <w:t xml:space="preserve">classification of malware: Research developments, </w:t>
      </w:r>
      <w:proofErr w:type="gramStart"/>
      <w:r w:rsidRPr="00D16D62">
        <w:rPr>
          <w:rFonts w:ascii="Times New Roman" w:hAnsi="Times New Roman" w:cs="Times New Roman"/>
          <w:bCs/>
          <w:sz w:val="24"/>
          <w:szCs w:val="24"/>
        </w:rPr>
        <w:t>trends</w:t>
      </w:r>
      <w:proofErr w:type="gramEnd"/>
      <w:r w:rsidRPr="00D16D62">
        <w:rPr>
          <w:rFonts w:ascii="Times New Roman" w:hAnsi="Times New Roman" w:cs="Times New Roman"/>
          <w:bCs/>
          <w:sz w:val="24"/>
          <w:szCs w:val="24"/>
        </w:rPr>
        <w:t xml:space="preserve"> and challenges. </w:t>
      </w:r>
      <w:r w:rsidRPr="00D16D62">
        <w:rPr>
          <w:rFonts w:ascii="Times New Roman" w:hAnsi="Times New Roman" w:cs="Times New Roman"/>
          <w:bCs/>
          <w:i/>
          <w:iCs/>
          <w:sz w:val="24"/>
          <w:szCs w:val="24"/>
        </w:rPr>
        <w:t xml:space="preserve">Journal of </w:t>
      </w:r>
      <w:r>
        <w:rPr>
          <w:rFonts w:ascii="Times New Roman" w:hAnsi="Times New Roman" w:cs="Times New Roman"/>
          <w:bCs/>
          <w:i/>
          <w:iCs/>
          <w:sz w:val="24"/>
          <w:szCs w:val="24"/>
        </w:rPr>
        <w:t xml:space="preserve">   </w:t>
      </w:r>
    </w:p>
    <w:p w14:paraId="516F2317" w14:textId="7E07F81E" w:rsidR="00D16D62" w:rsidRDefault="00D16D62" w:rsidP="00D16D62">
      <w:pPr>
        <w:spacing w:line="480" w:lineRule="auto"/>
        <w:rPr>
          <w:rFonts w:ascii="Times New Roman" w:hAnsi="Times New Roman" w:cs="Times New Roman"/>
          <w:bCs/>
          <w:sz w:val="24"/>
          <w:szCs w:val="24"/>
        </w:rPr>
      </w:pPr>
      <w:r>
        <w:rPr>
          <w:rFonts w:ascii="Times New Roman" w:hAnsi="Times New Roman" w:cs="Times New Roman"/>
          <w:bCs/>
          <w:i/>
          <w:iCs/>
          <w:sz w:val="24"/>
          <w:szCs w:val="24"/>
        </w:rPr>
        <w:t xml:space="preserve">            </w:t>
      </w:r>
      <w:r w:rsidRPr="00D16D62">
        <w:rPr>
          <w:rFonts w:ascii="Times New Roman" w:hAnsi="Times New Roman" w:cs="Times New Roman"/>
          <w:bCs/>
          <w:i/>
          <w:iCs/>
          <w:sz w:val="24"/>
          <w:szCs w:val="24"/>
        </w:rPr>
        <w:t>Network and Computer Applications</w:t>
      </w:r>
      <w:r w:rsidRPr="00D16D62">
        <w:rPr>
          <w:rFonts w:ascii="Times New Roman" w:hAnsi="Times New Roman" w:cs="Times New Roman"/>
          <w:bCs/>
          <w:sz w:val="24"/>
          <w:szCs w:val="24"/>
        </w:rPr>
        <w:t>, </w:t>
      </w:r>
      <w:r w:rsidRPr="00D16D62">
        <w:rPr>
          <w:rFonts w:ascii="Times New Roman" w:hAnsi="Times New Roman" w:cs="Times New Roman"/>
          <w:bCs/>
          <w:i/>
          <w:iCs/>
          <w:sz w:val="24"/>
          <w:szCs w:val="24"/>
        </w:rPr>
        <w:t>153</w:t>
      </w:r>
      <w:r w:rsidRPr="00D16D62">
        <w:rPr>
          <w:rFonts w:ascii="Times New Roman" w:hAnsi="Times New Roman" w:cs="Times New Roman"/>
          <w:bCs/>
          <w:sz w:val="24"/>
          <w:szCs w:val="24"/>
        </w:rPr>
        <w:t>, p.102526</w:t>
      </w:r>
    </w:p>
    <w:p w14:paraId="7A529ECC" w14:textId="77777777" w:rsidR="00302E42" w:rsidRDefault="00000000">
      <w:pPr>
        <w:spacing w:line="480"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Jacobson, J. (2020). You are a brand: social media managers’ personal branding and “the future audience”. </w:t>
      </w:r>
      <w:r>
        <w:rPr>
          <w:rFonts w:ascii="Times New Roman" w:eastAsia="Times New Roman" w:hAnsi="Times New Roman" w:cs="Times New Roman"/>
          <w:i/>
          <w:color w:val="222222"/>
          <w:sz w:val="24"/>
          <w:szCs w:val="24"/>
        </w:rPr>
        <w:t>Journal of Product &amp; Brand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29</w:t>
      </w:r>
      <w:r>
        <w:rPr>
          <w:rFonts w:ascii="Times New Roman" w:eastAsia="Times New Roman" w:hAnsi="Times New Roman" w:cs="Times New Roman"/>
          <w:color w:val="222222"/>
          <w:sz w:val="24"/>
          <w:szCs w:val="24"/>
        </w:rPr>
        <w:t xml:space="preserve">(6), 715-727. Retrieved from: </w:t>
      </w:r>
      <w:hyperlink r:id="rId11">
        <w:r>
          <w:rPr>
            <w:rFonts w:ascii="Times New Roman" w:eastAsia="Times New Roman" w:hAnsi="Times New Roman" w:cs="Times New Roman"/>
            <w:color w:val="1155CC"/>
            <w:sz w:val="24"/>
            <w:szCs w:val="24"/>
            <w:u w:val="single"/>
          </w:rPr>
          <w:t>https://www.emerald.com/insight/content/doi/10.1108/JPBM-03-2019-2299/full/html</w:t>
        </w:r>
      </w:hyperlink>
      <w:r>
        <w:rPr>
          <w:rFonts w:ascii="Times New Roman" w:eastAsia="Times New Roman" w:hAnsi="Times New Roman" w:cs="Times New Roman"/>
          <w:color w:val="222222"/>
          <w:sz w:val="24"/>
          <w:szCs w:val="24"/>
        </w:rPr>
        <w:t xml:space="preserve"> </w:t>
      </w:r>
    </w:p>
    <w:p w14:paraId="4EA2FAA3" w14:textId="77777777" w:rsidR="00302E42" w:rsidRDefault="00000000">
      <w:pPr>
        <w:spacing w:line="480" w:lineRule="auto"/>
        <w:ind w:left="720" w:hanging="720"/>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4"/>
          <w:szCs w:val="24"/>
        </w:rPr>
        <w:t xml:space="preserve">King, A. H., &amp; Therrien, K. (2020). Professional Development in Organizational Behavior Management. </w:t>
      </w:r>
      <w:r>
        <w:rPr>
          <w:rFonts w:ascii="Times New Roman" w:eastAsia="Times New Roman" w:hAnsi="Times New Roman" w:cs="Times New Roman"/>
          <w:i/>
          <w:color w:val="222222"/>
          <w:sz w:val="24"/>
          <w:szCs w:val="24"/>
        </w:rPr>
        <w:t>Journal of Organizational Behavior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40</w:t>
      </w:r>
      <w:r>
        <w:rPr>
          <w:rFonts w:ascii="Times New Roman" w:eastAsia="Times New Roman" w:hAnsi="Times New Roman" w:cs="Times New Roman"/>
          <w:color w:val="222222"/>
          <w:sz w:val="24"/>
          <w:szCs w:val="24"/>
        </w:rPr>
        <w:t xml:space="preserve">(3-4), 153-169. Retrieved from: </w:t>
      </w:r>
      <w:hyperlink r:id="rId12">
        <w:r>
          <w:rPr>
            <w:rFonts w:ascii="Times New Roman" w:eastAsia="Times New Roman" w:hAnsi="Times New Roman" w:cs="Times New Roman"/>
            <w:color w:val="1155CC"/>
            <w:sz w:val="24"/>
            <w:szCs w:val="24"/>
            <w:u w:val="single"/>
          </w:rPr>
          <w:t>https://www.tandfonline.com/doi/abs/10.1080/01608061.2020.1752882</w:t>
        </w:r>
      </w:hyperlink>
      <w:r>
        <w:rPr>
          <w:rFonts w:ascii="Times New Roman" w:eastAsia="Times New Roman" w:hAnsi="Times New Roman" w:cs="Times New Roman"/>
          <w:color w:val="222222"/>
          <w:sz w:val="24"/>
          <w:szCs w:val="24"/>
        </w:rPr>
        <w:t xml:space="preserve"> </w:t>
      </w:r>
    </w:p>
    <w:p w14:paraId="5D7619CD" w14:textId="77777777" w:rsidR="00302E42" w:rsidRDefault="00000000">
      <w:pPr>
        <w:spacing w:line="480" w:lineRule="auto"/>
        <w:ind w:left="720" w:hanging="720"/>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4"/>
          <w:szCs w:val="24"/>
        </w:rPr>
        <w:lastRenderedPageBreak/>
        <w:t xml:space="preserve">Kost, D., Fieseler, C., &amp; Wong, S. I. (2020). Boundaryless careers in the gig economy: An oxymoron?. </w:t>
      </w:r>
      <w:r>
        <w:rPr>
          <w:rFonts w:ascii="Times New Roman" w:eastAsia="Times New Roman" w:hAnsi="Times New Roman" w:cs="Times New Roman"/>
          <w:i/>
          <w:color w:val="222222"/>
          <w:sz w:val="24"/>
          <w:szCs w:val="24"/>
        </w:rPr>
        <w:t>Human Resource Management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30</w:t>
      </w:r>
      <w:r>
        <w:rPr>
          <w:rFonts w:ascii="Times New Roman" w:eastAsia="Times New Roman" w:hAnsi="Times New Roman" w:cs="Times New Roman"/>
          <w:color w:val="222222"/>
          <w:sz w:val="24"/>
          <w:szCs w:val="24"/>
        </w:rPr>
        <w:t xml:space="preserve">(1), 100-113. Retrieved from: </w:t>
      </w:r>
      <w:hyperlink r:id="rId13">
        <w:r>
          <w:rPr>
            <w:rFonts w:ascii="Times New Roman" w:eastAsia="Times New Roman" w:hAnsi="Times New Roman" w:cs="Times New Roman"/>
            <w:color w:val="1155CC"/>
            <w:sz w:val="24"/>
            <w:szCs w:val="24"/>
            <w:u w:val="single"/>
          </w:rPr>
          <w:t>https://onlinelibrary.wiley.com/doi/abs/10.1111/1748-8583.12265</w:t>
        </w:r>
      </w:hyperlink>
      <w:r>
        <w:rPr>
          <w:rFonts w:ascii="Times New Roman" w:eastAsia="Times New Roman" w:hAnsi="Times New Roman" w:cs="Times New Roman"/>
          <w:color w:val="222222"/>
          <w:sz w:val="24"/>
          <w:szCs w:val="24"/>
        </w:rPr>
        <w:t xml:space="preserve"> </w:t>
      </w:r>
    </w:p>
    <w:p w14:paraId="16C8BE78" w14:textId="77777777" w:rsidR="00302E42"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Mittal, P., &amp; Mehta, P. (2020, March). Optimization of software development process by plugin integration with jira–a project management tool in devops. In </w:t>
      </w:r>
      <w:r>
        <w:rPr>
          <w:rFonts w:ascii="Times New Roman" w:eastAsia="Times New Roman" w:hAnsi="Times New Roman" w:cs="Times New Roman"/>
          <w:i/>
          <w:color w:val="222222"/>
          <w:sz w:val="24"/>
          <w:szCs w:val="24"/>
        </w:rPr>
        <w:t>Proceedings of the International Conference on Innovative Computing &amp; Communications (ICICC)</w:t>
      </w:r>
      <w:r>
        <w:rPr>
          <w:rFonts w:ascii="Times New Roman" w:eastAsia="Times New Roman" w:hAnsi="Times New Roman" w:cs="Times New Roman"/>
          <w:color w:val="222222"/>
          <w:sz w:val="24"/>
          <w:szCs w:val="24"/>
        </w:rPr>
        <w:t xml:space="preserve">. Retrieved from: </w:t>
      </w:r>
      <w:hyperlink r:id="rId14">
        <w:r>
          <w:rPr>
            <w:rFonts w:ascii="Times New Roman" w:eastAsia="Times New Roman" w:hAnsi="Times New Roman" w:cs="Times New Roman"/>
            <w:color w:val="1155CC"/>
            <w:sz w:val="24"/>
            <w:szCs w:val="24"/>
            <w:u w:val="single"/>
          </w:rPr>
          <w:t>https://papers.ssrn.com/sol3/papers.cfm?abstract_id=3564436</w:t>
        </w:r>
      </w:hyperlink>
      <w:r>
        <w:rPr>
          <w:rFonts w:ascii="Times New Roman" w:eastAsia="Times New Roman" w:hAnsi="Times New Roman" w:cs="Times New Roman"/>
          <w:color w:val="222222"/>
          <w:sz w:val="24"/>
          <w:szCs w:val="24"/>
        </w:rPr>
        <w:t xml:space="preserve"> </w:t>
      </w:r>
    </w:p>
    <w:p w14:paraId="2E3FB1C6" w14:textId="77777777" w:rsidR="00302E42"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Page, E. J., Massey, A. S., Prado-Romero, P. N., &amp; Albadawi, S. (2020). The use of self-monitoring and technology to increase physical activity: A review of the literature. </w:t>
      </w:r>
      <w:r>
        <w:rPr>
          <w:rFonts w:ascii="Times New Roman" w:eastAsia="Times New Roman" w:hAnsi="Times New Roman" w:cs="Times New Roman"/>
          <w:i/>
          <w:color w:val="222222"/>
          <w:sz w:val="24"/>
          <w:szCs w:val="24"/>
        </w:rPr>
        <w:t>Perspectives on behavior science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43</w:t>
      </w:r>
      <w:r>
        <w:rPr>
          <w:rFonts w:ascii="Times New Roman" w:eastAsia="Times New Roman" w:hAnsi="Times New Roman" w:cs="Times New Roman"/>
          <w:color w:val="222222"/>
          <w:sz w:val="24"/>
          <w:szCs w:val="24"/>
        </w:rPr>
        <w:t xml:space="preserve">, 501-514. Retrieved from: </w:t>
      </w:r>
      <w:hyperlink r:id="rId15">
        <w:r>
          <w:rPr>
            <w:rFonts w:ascii="Times New Roman" w:eastAsia="Times New Roman" w:hAnsi="Times New Roman" w:cs="Times New Roman"/>
            <w:color w:val="1155CC"/>
            <w:sz w:val="24"/>
            <w:szCs w:val="24"/>
            <w:u w:val="single"/>
          </w:rPr>
          <w:t>https://link.springer.com/article/10.1007/s40614-020-00260-0</w:t>
        </w:r>
      </w:hyperlink>
      <w:r>
        <w:rPr>
          <w:rFonts w:ascii="Times New Roman" w:eastAsia="Times New Roman" w:hAnsi="Times New Roman" w:cs="Times New Roman"/>
          <w:color w:val="222222"/>
          <w:sz w:val="24"/>
          <w:szCs w:val="24"/>
        </w:rPr>
        <w:t xml:space="preserve"> </w:t>
      </w:r>
    </w:p>
    <w:p w14:paraId="5C93CAE6" w14:textId="77777777" w:rsidR="00302E42"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Utami, B. R., &amp; Wahyudin, A. Y. (2022). DOES SELF-ESTEEM INFLUENCE STUDENT ENGLISH PROFICIENCY TEST SCORES?. </w:t>
      </w:r>
      <w:r>
        <w:rPr>
          <w:rFonts w:ascii="Times New Roman" w:eastAsia="Times New Roman" w:hAnsi="Times New Roman" w:cs="Times New Roman"/>
          <w:i/>
          <w:color w:val="222222"/>
          <w:sz w:val="24"/>
          <w:szCs w:val="24"/>
        </w:rPr>
        <w:t>Journal of English Language Teaching and Learning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w:t>
      </w:r>
      <w:r>
        <w:rPr>
          <w:rFonts w:ascii="Times New Roman" w:eastAsia="Times New Roman" w:hAnsi="Times New Roman" w:cs="Times New Roman"/>
          <w:color w:val="222222"/>
          <w:sz w:val="24"/>
          <w:szCs w:val="24"/>
        </w:rPr>
        <w:t xml:space="preserve">(2), 16-20. Retrieved from: </w:t>
      </w:r>
      <w:hyperlink r:id="rId16">
        <w:r>
          <w:rPr>
            <w:rFonts w:ascii="Times New Roman" w:eastAsia="Times New Roman" w:hAnsi="Times New Roman" w:cs="Times New Roman"/>
            <w:color w:val="1155CC"/>
            <w:sz w:val="24"/>
            <w:szCs w:val="24"/>
            <w:u w:val="single"/>
          </w:rPr>
          <w:t>http://jim.teknokrat.ac.id/index.php/english-language-teaching/article/view/1926</w:t>
        </w:r>
      </w:hyperlink>
    </w:p>
    <w:p w14:paraId="2CDBCED2" w14:textId="77777777" w:rsidR="00302E42" w:rsidRDefault="00000000">
      <w:pPr>
        <w:spacing w:line="480"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Vallas, S., &amp; Schor, J. B. (2020). What do platforms do? Understanding the gig economy. </w:t>
      </w:r>
      <w:r>
        <w:rPr>
          <w:rFonts w:ascii="Times New Roman" w:eastAsia="Times New Roman" w:hAnsi="Times New Roman" w:cs="Times New Roman"/>
          <w:i/>
          <w:color w:val="222222"/>
          <w:sz w:val="24"/>
          <w:szCs w:val="24"/>
        </w:rPr>
        <w:t>Annual Review of Sociology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46</w:t>
      </w:r>
      <w:r>
        <w:rPr>
          <w:rFonts w:ascii="Times New Roman" w:eastAsia="Times New Roman" w:hAnsi="Times New Roman" w:cs="Times New Roman"/>
          <w:color w:val="222222"/>
          <w:sz w:val="24"/>
          <w:szCs w:val="24"/>
        </w:rPr>
        <w:t xml:space="preserve">, 273-294. Retrieved from: </w:t>
      </w:r>
      <w:hyperlink r:id="rId17">
        <w:r>
          <w:rPr>
            <w:rFonts w:ascii="Times New Roman" w:eastAsia="Times New Roman" w:hAnsi="Times New Roman" w:cs="Times New Roman"/>
            <w:color w:val="1155CC"/>
            <w:sz w:val="24"/>
            <w:szCs w:val="24"/>
            <w:u w:val="single"/>
          </w:rPr>
          <w:t>https://www.annualreviews.org/doi/abs/10.1146/annurev-soc-121919-054857</w:t>
        </w:r>
      </w:hyperlink>
      <w:r>
        <w:rPr>
          <w:rFonts w:ascii="Times New Roman" w:eastAsia="Times New Roman" w:hAnsi="Times New Roman" w:cs="Times New Roman"/>
          <w:color w:val="222222"/>
          <w:sz w:val="24"/>
          <w:szCs w:val="24"/>
        </w:rPr>
        <w:t xml:space="preserve"> </w:t>
      </w:r>
    </w:p>
    <w:p w14:paraId="079A0C09" w14:textId="77777777" w:rsidR="00302E42" w:rsidRDefault="00302E42">
      <w:pPr>
        <w:spacing w:line="480" w:lineRule="auto"/>
        <w:rPr>
          <w:rFonts w:ascii="Times New Roman" w:eastAsia="Times New Roman" w:hAnsi="Times New Roman" w:cs="Times New Roman"/>
          <w:color w:val="FF0000"/>
          <w:sz w:val="24"/>
          <w:szCs w:val="24"/>
        </w:rPr>
      </w:pPr>
    </w:p>
    <w:p w14:paraId="3BCC5C28" w14:textId="77777777" w:rsidR="00302E42" w:rsidRDefault="00302E42">
      <w:pPr>
        <w:spacing w:line="480" w:lineRule="auto"/>
        <w:rPr>
          <w:rFonts w:ascii="Times New Roman" w:eastAsia="Times New Roman" w:hAnsi="Times New Roman" w:cs="Times New Roman"/>
          <w:b/>
          <w:sz w:val="24"/>
          <w:szCs w:val="24"/>
        </w:rPr>
      </w:pPr>
    </w:p>
    <w:sectPr w:rsidR="00302E42">
      <w:headerReference w:type="default" r:id="rId18"/>
      <w:headerReference w:type="first" r:id="rId19"/>
      <w:foot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447FC" w14:textId="77777777" w:rsidR="001A6F0F" w:rsidRDefault="001A6F0F">
      <w:pPr>
        <w:spacing w:line="240" w:lineRule="auto"/>
      </w:pPr>
      <w:r>
        <w:separator/>
      </w:r>
    </w:p>
  </w:endnote>
  <w:endnote w:type="continuationSeparator" w:id="0">
    <w:p w14:paraId="26056127" w14:textId="77777777" w:rsidR="001A6F0F" w:rsidRDefault="001A6F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46C52" w14:textId="77777777" w:rsidR="00302E42" w:rsidRDefault="00302E4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03C91" w14:textId="77777777" w:rsidR="001A6F0F" w:rsidRDefault="001A6F0F">
      <w:pPr>
        <w:spacing w:line="240" w:lineRule="auto"/>
      </w:pPr>
      <w:r>
        <w:separator/>
      </w:r>
    </w:p>
  </w:footnote>
  <w:footnote w:type="continuationSeparator" w:id="0">
    <w:p w14:paraId="5EE9CA8C" w14:textId="77777777" w:rsidR="001A6F0F" w:rsidRDefault="001A6F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6D6A9" w14:textId="77777777" w:rsidR="00302E4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your Personal Brand for Sustainable Employment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2815C2">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E04DC" w14:textId="77777777" w:rsidR="00302E4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Running Head: Building your Personal Brand for Sustainable Employment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2815C2">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E42"/>
    <w:rsid w:val="001A6F0F"/>
    <w:rsid w:val="002815C2"/>
    <w:rsid w:val="00302E42"/>
    <w:rsid w:val="003B131E"/>
    <w:rsid w:val="00887D13"/>
    <w:rsid w:val="00A76179"/>
    <w:rsid w:val="00A872C8"/>
    <w:rsid w:val="00D16D62"/>
    <w:rsid w:val="00FB6BE3"/>
    <w:rsid w:val="00FF489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32EBD"/>
  <w15:docId w15:val="{015CF98E-3A02-4C77-9A82-FA294248E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gu-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480" w:lineRule="auto"/>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view/3382" TargetMode="External"/><Relationship Id="rId13" Type="http://schemas.openxmlformats.org/officeDocument/2006/relationships/hyperlink" Target="https://onlinelibrary.wiley.com/doi/abs/10.1111/1748-8583.12265"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tandfonline.com/doi/abs/10.1080/01608061.2020.1752882" TargetMode="External"/><Relationship Id="rId17" Type="http://schemas.openxmlformats.org/officeDocument/2006/relationships/hyperlink" Target="https://www.annualreviews.org/doi/abs/10.1146/annurev-soc-121919-054857" TargetMode="External"/><Relationship Id="rId2" Type="http://schemas.openxmlformats.org/officeDocument/2006/relationships/settings" Target="settings.xml"/><Relationship Id="rId16" Type="http://schemas.openxmlformats.org/officeDocument/2006/relationships/hyperlink" Target="http://jim.teknokrat.ac.id/index.php/english-language-teaching/article/view/1926"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emerald.com/insight/content/doi/10.1108/JPBM-03-2019-2299/full/html" TargetMode="External"/><Relationship Id="rId5" Type="http://schemas.openxmlformats.org/officeDocument/2006/relationships/endnotes" Target="endnotes.xml"/><Relationship Id="rId15" Type="http://schemas.openxmlformats.org/officeDocument/2006/relationships/hyperlink" Target="https://link.springer.com/article/10.1007/s40614-020-00260-0" TargetMode="External"/><Relationship Id="rId10" Type="http://schemas.openxmlformats.org/officeDocument/2006/relationships/hyperlink" Target="https://www.tandfonline.com/doi/abs/10.1080/22054952.2021.2020958" TargetMode="External"/><Relationship Id="rId19"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openaccess.lokmanhekim.edu.tr/handle/20.500.12591/189" TargetMode="External"/><Relationship Id="rId14" Type="http://schemas.openxmlformats.org/officeDocument/2006/relationships/hyperlink" Target="https://papers.ssrn.com/sol3/papers.cfm?abstract_id=356443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Konstantinos</dc:creator>
  <cp:lastModifiedBy>tsenes131319@gmail.com</cp:lastModifiedBy>
  <cp:revision>4</cp:revision>
  <dcterms:created xsi:type="dcterms:W3CDTF">2023-07-30T15:56:00Z</dcterms:created>
  <dcterms:modified xsi:type="dcterms:W3CDTF">2023-07-30T19:38:00Z</dcterms:modified>
</cp:coreProperties>
</file>