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B4FC2" w14:textId="77777777" w:rsidR="00C11DDD" w:rsidRDefault="00C11DDD" w:rsidP="00613B95">
      <w:pPr>
        <w:spacing w:after="0"/>
        <w:ind w:left="720" w:hanging="72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71FD849" w14:textId="77777777" w:rsidR="00C11DDD" w:rsidRDefault="00C11DDD" w:rsidP="00566445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9A45E17" w14:textId="77777777" w:rsidR="00C11DDD" w:rsidRDefault="00C11DDD" w:rsidP="00613B95">
      <w:pPr>
        <w:spacing w:after="0"/>
        <w:ind w:left="720" w:hanging="72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28ACEC3" w14:textId="6BB92A9B" w:rsidR="00613B95" w:rsidRPr="00613B95" w:rsidRDefault="00613B95" w:rsidP="00613B95">
      <w:pPr>
        <w:spacing w:after="0"/>
        <w:ind w:left="720" w:hanging="720"/>
        <w:rPr>
          <w:rFonts w:ascii="Arial" w:hAnsi="Arial" w:cs="Arial"/>
          <w:b/>
          <w:bCs/>
          <w:sz w:val="24"/>
          <w:szCs w:val="24"/>
          <w:u w:val="single"/>
        </w:rPr>
      </w:pPr>
      <w:r w:rsidRPr="00613B95">
        <w:rPr>
          <w:rFonts w:ascii="Arial" w:hAnsi="Arial" w:cs="Arial"/>
          <w:b/>
          <w:bCs/>
          <w:sz w:val="24"/>
          <w:szCs w:val="24"/>
          <w:u w:val="single"/>
        </w:rPr>
        <w:t>Working Bibliography for Assessment One</w:t>
      </w:r>
    </w:p>
    <w:p w14:paraId="33EDC438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</w:p>
    <w:p w14:paraId="232EB496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</w:p>
    <w:p w14:paraId="49E53887" w14:textId="438D6A2A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Albrecht, J., </w:t>
      </w:r>
      <w:proofErr w:type="spellStart"/>
      <w:r>
        <w:rPr>
          <w:rFonts w:ascii="Arial" w:hAnsi="Arial" w:cs="Arial"/>
          <w:sz w:val="24"/>
          <w:szCs w:val="24"/>
        </w:rPr>
        <w:t>Degelmann</w:t>
      </w:r>
      <w:proofErr w:type="spellEnd"/>
      <w:r>
        <w:rPr>
          <w:rFonts w:ascii="Arial" w:hAnsi="Arial" w:cs="Arial"/>
          <w:sz w:val="24"/>
          <w:szCs w:val="24"/>
        </w:rPr>
        <w:t xml:space="preserve">, C., Gasparini, V., Gordon, R., </w:t>
      </w:r>
      <w:proofErr w:type="spellStart"/>
      <w:r>
        <w:rPr>
          <w:rFonts w:ascii="Arial" w:hAnsi="Arial" w:cs="Arial"/>
          <w:sz w:val="24"/>
          <w:szCs w:val="24"/>
        </w:rPr>
        <w:t>Patzelt</w:t>
      </w:r>
      <w:proofErr w:type="spellEnd"/>
      <w:r>
        <w:rPr>
          <w:rFonts w:ascii="Arial" w:hAnsi="Arial" w:cs="Arial"/>
          <w:sz w:val="24"/>
          <w:szCs w:val="24"/>
        </w:rPr>
        <w:t xml:space="preserve">, M., </w:t>
      </w:r>
      <w:proofErr w:type="spellStart"/>
      <w:r>
        <w:rPr>
          <w:rFonts w:ascii="Arial" w:hAnsi="Arial" w:cs="Arial"/>
          <w:sz w:val="24"/>
          <w:szCs w:val="24"/>
        </w:rPr>
        <w:t>Petridou</w:t>
      </w:r>
      <w:proofErr w:type="spellEnd"/>
      <w:r>
        <w:rPr>
          <w:rFonts w:ascii="Arial" w:hAnsi="Arial" w:cs="Arial"/>
          <w:sz w:val="24"/>
          <w:szCs w:val="24"/>
        </w:rPr>
        <w:t xml:space="preserve">, G., Raja, R. Rieger, A.-K., </w:t>
      </w:r>
      <w:proofErr w:type="spellStart"/>
      <w:r>
        <w:rPr>
          <w:rFonts w:ascii="Arial" w:hAnsi="Arial" w:cs="Arial"/>
          <w:sz w:val="24"/>
          <w:szCs w:val="24"/>
        </w:rPr>
        <w:t>Rüpke</w:t>
      </w:r>
      <w:proofErr w:type="spellEnd"/>
      <w:r>
        <w:rPr>
          <w:rFonts w:ascii="Arial" w:hAnsi="Arial" w:cs="Arial"/>
          <w:sz w:val="24"/>
          <w:szCs w:val="24"/>
        </w:rPr>
        <w:t xml:space="preserve">, J., </w:t>
      </w:r>
      <w:proofErr w:type="spellStart"/>
      <w:r>
        <w:rPr>
          <w:rFonts w:ascii="Arial" w:hAnsi="Arial" w:cs="Arial"/>
          <w:sz w:val="24"/>
          <w:szCs w:val="24"/>
        </w:rPr>
        <w:t>Sippel</w:t>
      </w:r>
      <w:proofErr w:type="spellEnd"/>
      <w:r>
        <w:rPr>
          <w:rFonts w:ascii="Arial" w:hAnsi="Arial" w:cs="Arial"/>
          <w:sz w:val="24"/>
          <w:szCs w:val="24"/>
        </w:rPr>
        <w:t xml:space="preserve">, B., </w:t>
      </w:r>
      <w:proofErr w:type="spellStart"/>
      <w:r>
        <w:rPr>
          <w:rFonts w:ascii="Arial" w:hAnsi="Arial" w:cs="Arial"/>
          <w:sz w:val="24"/>
          <w:szCs w:val="24"/>
        </w:rPr>
        <w:t>Urciuoli</w:t>
      </w:r>
      <w:proofErr w:type="spellEnd"/>
      <w:r>
        <w:rPr>
          <w:rFonts w:ascii="Arial" w:hAnsi="Arial" w:cs="Arial"/>
          <w:sz w:val="24"/>
          <w:szCs w:val="24"/>
        </w:rPr>
        <w:t xml:space="preserve">, E.R. and Weiss, J., ‘Religion in the Making: The Lived Ancient Religion Approach’, </w:t>
      </w:r>
      <w:r>
        <w:rPr>
          <w:rFonts w:ascii="Arial" w:hAnsi="Arial" w:cs="Arial"/>
          <w:i/>
          <w:sz w:val="24"/>
          <w:szCs w:val="24"/>
        </w:rPr>
        <w:t>Religion</w:t>
      </w:r>
      <w:r>
        <w:rPr>
          <w:rFonts w:ascii="Arial" w:hAnsi="Arial" w:cs="Arial"/>
          <w:sz w:val="24"/>
          <w:szCs w:val="24"/>
        </w:rPr>
        <w:t xml:space="preserve"> 48, 4 (2018), pp. 568-593.</w:t>
      </w:r>
    </w:p>
    <w:p w14:paraId="79B66F5A" w14:textId="77777777" w:rsidR="00613B95" w:rsidRPr="00F2383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Barr, J., </w:t>
      </w:r>
      <w:r>
        <w:rPr>
          <w:rFonts w:ascii="Arial" w:hAnsi="Arial" w:cs="Arial"/>
          <w:i/>
          <w:sz w:val="24"/>
          <w:szCs w:val="24"/>
        </w:rPr>
        <w:t>Biblical Theology: An Old Testament Perspective</w:t>
      </w:r>
      <w:r>
        <w:rPr>
          <w:rFonts w:ascii="Arial" w:hAnsi="Arial" w:cs="Arial"/>
          <w:sz w:val="24"/>
          <w:szCs w:val="24"/>
        </w:rPr>
        <w:t xml:space="preserve"> (Minneapolis: Fortress, 1999).</w:t>
      </w:r>
    </w:p>
    <w:p w14:paraId="66DAC781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Beal, T., ‘Reception History and Beyond: Toward the Cultural History of Scriptures’, </w:t>
      </w:r>
      <w:r>
        <w:rPr>
          <w:rFonts w:ascii="Arial" w:hAnsi="Arial" w:cs="Arial"/>
          <w:i/>
          <w:sz w:val="24"/>
          <w:szCs w:val="24"/>
        </w:rPr>
        <w:t>Biblical Interpretation</w:t>
      </w:r>
      <w:r>
        <w:rPr>
          <w:rFonts w:ascii="Arial" w:hAnsi="Arial" w:cs="Arial"/>
          <w:sz w:val="24"/>
          <w:szCs w:val="24"/>
        </w:rPr>
        <w:t xml:space="preserve"> 19 (2011), pp. 357-372.</w:t>
      </w:r>
    </w:p>
    <w:p w14:paraId="72248AC9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Breed, B., ‘What is Reception History?’, </w:t>
      </w:r>
      <w:hyperlink r:id="rId7" w:history="1">
        <w:r w:rsidRPr="005122D0">
          <w:rPr>
            <w:rStyle w:val="Hyperlink"/>
            <w:rFonts w:ascii="Arial" w:hAnsi="Arial" w:cs="Arial"/>
            <w:sz w:val="24"/>
            <w:szCs w:val="24"/>
          </w:rPr>
          <w:t>https://www.bibleodyssey.org:433/en/tools/bible-basics/what-is-reception-history</w:t>
        </w:r>
      </w:hyperlink>
      <w:r>
        <w:rPr>
          <w:rFonts w:ascii="Arial" w:hAnsi="Arial" w:cs="Arial"/>
          <w:sz w:val="24"/>
          <w:szCs w:val="24"/>
        </w:rPr>
        <w:t>, 31</w:t>
      </w:r>
      <w:r w:rsidRPr="00A062BA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May 2021.</w:t>
      </w:r>
    </w:p>
    <w:p w14:paraId="7EED2293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Dearman, J.A., </w:t>
      </w:r>
      <w:r>
        <w:rPr>
          <w:rFonts w:ascii="Arial" w:hAnsi="Arial" w:cs="Arial"/>
          <w:i/>
          <w:sz w:val="24"/>
          <w:szCs w:val="24"/>
        </w:rPr>
        <w:t xml:space="preserve">Reading Hebrew Narratives </w:t>
      </w:r>
      <w:r>
        <w:rPr>
          <w:rFonts w:ascii="Arial" w:hAnsi="Arial" w:cs="Arial"/>
          <w:sz w:val="24"/>
          <w:szCs w:val="24"/>
        </w:rPr>
        <w:t>(Oxford: Oxford University Press, 2018).</w:t>
      </w:r>
    </w:p>
    <w:p w14:paraId="6A544E6C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Exum, J.C., ‘Feminist Study of the Old Testament’, in </w:t>
      </w:r>
      <w:r>
        <w:rPr>
          <w:rFonts w:ascii="Arial" w:hAnsi="Arial" w:cs="Arial"/>
          <w:i/>
          <w:sz w:val="24"/>
          <w:szCs w:val="24"/>
        </w:rPr>
        <w:t>Text in Context: Essays by Members of the Society for Old Testament Studies</w:t>
      </w:r>
      <w:r>
        <w:rPr>
          <w:rFonts w:ascii="Arial" w:hAnsi="Arial" w:cs="Arial"/>
          <w:sz w:val="24"/>
          <w:szCs w:val="24"/>
        </w:rPr>
        <w:t xml:space="preserve">, ed. A.D.H. Mayes (Oxford: Oxford University Press, 2000), pp. 86-115. </w:t>
      </w:r>
    </w:p>
    <w:p w14:paraId="3F516A2A" w14:textId="77777777" w:rsidR="00613B95" w:rsidRPr="00A062BA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Gadamer, H-G., </w:t>
      </w:r>
      <w:r>
        <w:rPr>
          <w:rFonts w:ascii="Arial" w:hAnsi="Arial" w:cs="Arial"/>
          <w:i/>
          <w:sz w:val="24"/>
          <w:szCs w:val="24"/>
        </w:rPr>
        <w:t>Truth and Method</w:t>
      </w:r>
      <w:r>
        <w:rPr>
          <w:rFonts w:ascii="Arial" w:hAnsi="Arial" w:cs="Arial"/>
          <w:sz w:val="24"/>
          <w:szCs w:val="24"/>
        </w:rPr>
        <w:t xml:space="preserve">, trans. </w:t>
      </w:r>
      <w:r w:rsidRPr="00613B95">
        <w:rPr>
          <w:rFonts w:ascii="Arial" w:hAnsi="Arial" w:cs="Arial"/>
          <w:sz w:val="24"/>
          <w:szCs w:val="24"/>
          <w:lang w:val="de-DE"/>
        </w:rPr>
        <w:t xml:space="preserve">J. Weinsheimer and D.G. Marshall, 2nd </w:t>
      </w:r>
      <w:proofErr w:type="spellStart"/>
      <w:r w:rsidRPr="00613B95">
        <w:rPr>
          <w:rFonts w:ascii="Arial" w:hAnsi="Arial" w:cs="Arial"/>
          <w:sz w:val="24"/>
          <w:szCs w:val="24"/>
          <w:lang w:val="de-DE"/>
        </w:rPr>
        <w:t>edn</w:t>
      </w:r>
      <w:proofErr w:type="spellEnd"/>
      <w:r w:rsidRPr="00613B95">
        <w:rPr>
          <w:rFonts w:ascii="Arial" w:hAnsi="Arial" w:cs="Arial"/>
          <w:sz w:val="24"/>
          <w:szCs w:val="24"/>
          <w:lang w:val="de-DE"/>
        </w:rPr>
        <w:t xml:space="preserve">. </w:t>
      </w:r>
      <w:r>
        <w:rPr>
          <w:rFonts w:ascii="Arial" w:hAnsi="Arial" w:cs="Arial"/>
          <w:sz w:val="24"/>
          <w:szCs w:val="24"/>
        </w:rPr>
        <w:t>(London: Continuum, 2004), pp.276-277.</w:t>
      </w:r>
    </w:p>
    <w:p w14:paraId="31629A6F" w14:textId="77777777" w:rsidR="00613B95" w:rsidRPr="003B4190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Jauss</w:t>
      </w:r>
      <w:proofErr w:type="spellEnd"/>
      <w:r>
        <w:rPr>
          <w:rFonts w:ascii="Arial" w:hAnsi="Arial" w:cs="Arial"/>
          <w:sz w:val="24"/>
          <w:szCs w:val="24"/>
        </w:rPr>
        <w:t xml:space="preserve">, H.R., </w:t>
      </w:r>
      <w:r>
        <w:rPr>
          <w:rFonts w:ascii="Arial" w:hAnsi="Arial" w:cs="Arial"/>
          <w:i/>
          <w:sz w:val="24"/>
          <w:szCs w:val="24"/>
        </w:rPr>
        <w:t>Toward an Aesthetic of Reception</w:t>
      </w:r>
      <w:r>
        <w:rPr>
          <w:rFonts w:ascii="Arial" w:hAnsi="Arial" w:cs="Arial"/>
          <w:sz w:val="24"/>
          <w:szCs w:val="24"/>
        </w:rPr>
        <w:t xml:space="preserve">, trans. T. </w:t>
      </w:r>
      <w:proofErr w:type="spellStart"/>
      <w:r>
        <w:rPr>
          <w:rFonts w:ascii="Arial" w:hAnsi="Arial" w:cs="Arial"/>
          <w:sz w:val="24"/>
          <w:szCs w:val="24"/>
        </w:rPr>
        <w:t>Bahti</w:t>
      </w:r>
      <w:proofErr w:type="spellEnd"/>
      <w:r>
        <w:rPr>
          <w:rFonts w:ascii="Arial" w:hAnsi="Arial" w:cs="Arial"/>
          <w:sz w:val="24"/>
          <w:szCs w:val="24"/>
        </w:rPr>
        <w:t xml:space="preserve"> (Minneapolis: University of Minnesota Press, 1982).</w:t>
      </w:r>
    </w:p>
    <w:p w14:paraId="2ECB719C" w14:textId="77777777" w:rsidR="00613B95" w:rsidRPr="00CD475B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Joynes</w:t>
      </w:r>
      <w:proofErr w:type="spellEnd"/>
      <w:r>
        <w:rPr>
          <w:rFonts w:ascii="Arial" w:hAnsi="Arial" w:cs="Arial"/>
          <w:sz w:val="24"/>
          <w:szCs w:val="24"/>
        </w:rPr>
        <w:t xml:space="preserve">, C.E., ‘Changing Horizons: Reflections on a Decade at Oxford University’s Centre for Reception History of the Bible’, </w:t>
      </w:r>
      <w:r>
        <w:rPr>
          <w:rFonts w:ascii="Arial" w:hAnsi="Arial" w:cs="Arial"/>
          <w:i/>
          <w:sz w:val="24"/>
          <w:szCs w:val="24"/>
        </w:rPr>
        <w:t>Journal of the Bible and its Reception</w:t>
      </w:r>
      <w:r>
        <w:rPr>
          <w:rFonts w:ascii="Arial" w:hAnsi="Arial" w:cs="Arial"/>
          <w:sz w:val="24"/>
          <w:szCs w:val="24"/>
        </w:rPr>
        <w:t xml:space="preserve"> 1, 1 (2014), pp. 161-171.</w:t>
      </w:r>
    </w:p>
    <w:p w14:paraId="4DD24CFB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Knight, M., ‘</w:t>
      </w:r>
      <w:proofErr w:type="spellStart"/>
      <w:r>
        <w:rPr>
          <w:rFonts w:ascii="Arial" w:hAnsi="Arial" w:cs="Arial"/>
          <w:sz w:val="24"/>
          <w:szCs w:val="24"/>
        </w:rPr>
        <w:t>Wirkungsgeschichte</w:t>
      </w:r>
      <w:proofErr w:type="spellEnd"/>
      <w:r>
        <w:rPr>
          <w:rFonts w:ascii="Arial" w:hAnsi="Arial" w:cs="Arial"/>
          <w:sz w:val="24"/>
          <w:szCs w:val="24"/>
        </w:rPr>
        <w:t xml:space="preserve">, Reception History, Reception Theory’, </w:t>
      </w:r>
      <w:r>
        <w:rPr>
          <w:rFonts w:ascii="Arial" w:hAnsi="Arial" w:cs="Arial"/>
          <w:i/>
          <w:sz w:val="24"/>
          <w:szCs w:val="24"/>
        </w:rPr>
        <w:t>Journal for the Study of the New Testament</w:t>
      </w:r>
      <w:r>
        <w:rPr>
          <w:rFonts w:ascii="Arial" w:hAnsi="Arial" w:cs="Arial"/>
          <w:sz w:val="24"/>
          <w:szCs w:val="24"/>
        </w:rPr>
        <w:t xml:space="preserve"> 33, 2 (2010), pp. 137-146.</w:t>
      </w:r>
    </w:p>
    <w:p w14:paraId="17E014D3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Lamb, W.R.S., </w:t>
      </w:r>
      <w:r>
        <w:rPr>
          <w:rFonts w:ascii="Arial" w:hAnsi="Arial" w:cs="Arial"/>
          <w:i/>
          <w:sz w:val="24"/>
          <w:szCs w:val="24"/>
        </w:rPr>
        <w:t xml:space="preserve">The Catena in Marcum: A Byzantine Anthology of Early Commentary on Mark </w:t>
      </w:r>
      <w:r>
        <w:rPr>
          <w:rFonts w:ascii="Arial" w:hAnsi="Arial" w:cs="Arial"/>
          <w:sz w:val="24"/>
          <w:szCs w:val="24"/>
        </w:rPr>
        <w:t>(Leiden: Brill, 2012).</w:t>
      </w:r>
    </w:p>
    <w:p w14:paraId="0A8B9BC0" w14:textId="77777777" w:rsidR="00613B95" w:rsidRPr="00DA511B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Luz, U., ‘Effective History and Art: A Hermeneutical Study with Examples from the Passion Narrative’, in C.E. </w:t>
      </w:r>
      <w:proofErr w:type="spellStart"/>
      <w:r>
        <w:rPr>
          <w:rFonts w:ascii="Arial" w:hAnsi="Arial" w:cs="Arial"/>
          <w:sz w:val="24"/>
          <w:szCs w:val="24"/>
        </w:rPr>
        <w:t>Joynes</w:t>
      </w:r>
      <w:proofErr w:type="spellEnd"/>
      <w:r>
        <w:rPr>
          <w:rFonts w:ascii="Arial" w:hAnsi="Arial" w:cs="Arial"/>
          <w:sz w:val="24"/>
          <w:szCs w:val="24"/>
        </w:rPr>
        <w:t xml:space="preserve"> (ed.) </w:t>
      </w:r>
      <w:r>
        <w:rPr>
          <w:rFonts w:ascii="Arial" w:hAnsi="Arial" w:cs="Arial"/>
          <w:i/>
          <w:sz w:val="24"/>
          <w:szCs w:val="24"/>
        </w:rPr>
        <w:t>Perspectives on the Passion: Encountering the Bible Through the Arts</w:t>
      </w:r>
      <w:r>
        <w:rPr>
          <w:rFonts w:ascii="Arial" w:hAnsi="Arial" w:cs="Arial"/>
          <w:sz w:val="24"/>
          <w:szCs w:val="24"/>
        </w:rPr>
        <w:t xml:space="preserve"> (London: T.&amp;T. Clark, c.2007b), pp. 7-29.</w:t>
      </w:r>
    </w:p>
    <w:p w14:paraId="28E2D7F6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Luz, U., </w:t>
      </w:r>
      <w:r>
        <w:rPr>
          <w:rFonts w:ascii="Arial" w:hAnsi="Arial" w:cs="Arial"/>
          <w:i/>
          <w:sz w:val="24"/>
          <w:szCs w:val="24"/>
        </w:rPr>
        <w:t>Matthew 1-7. A Commentary (</w:t>
      </w:r>
      <w:proofErr w:type="spellStart"/>
      <w:r>
        <w:rPr>
          <w:rFonts w:ascii="Arial" w:hAnsi="Arial" w:cs="Arial"/>
          <w:i/>
          <w:sz w:val="24"/>
          <w:szCs w:val="24"/>
        </w:rPr>
        <w:t>Hermeneia</w:t>
      </w:r>
      <w:proofErr w:type="spellEnd"/>
      <w:r>
        <w:rPr>
          <w:rFonts w:ascii="Arial" w:hAnsi="Arial" w:cs="Arial"/>
          <w:i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(Minneapolis: Fortress Press, 2007a).</w:t>
      </w:r>
    </w:p>
    <w:p w14:paraId="2183CF96" w14:textId="77777777" w:rsidR="00613B95" w:rsidRPr="00F2383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Nicholls, R., </w:t>
      </w:r>
      <w:r>
        <w:rPr>
          <w:rFonts w:ascii="Arial" w:hAnsi="Arial" w:cs="Arial"/>
          <w:i/>
          <w:sz w:val="24"/>
          <w:szCs w:val="24"/>
        </w:rPr>
        <w:t xml:space="preserve">Walking on the Water: Reading Mt. 14:22-33 in the Light of its </w:t>
      </w:r>
      <w:proofErr w:type="spellStart"/>
      <w:r>
        <w:rPr>
          <w:rFonts w:ascii="Arial" w:hAnsi="Arial" w:cs="Arial"/>
          <w:i/>
          <w:sz w:val="24"/>
          <w:szCs w:val="24"/>
        </w:rPr>
        <w:t>Wirkungsgeschichte</w:t>
      </w:r>
      <w:proofErr w:type="spellEnd"/>
      <w:r>
        <w:rPr>
          <w:rFonts w:ascii="Arial" w:hAnsi="Arial" w:cs="Arial"/>
          <w:sz w:val="24"/>
          <w:szCs w:val="24"/>
        </w:rPr>
        <w:t xml:space="preserve"> (Leiden: Brill, 2008).</w:t>
      </w:r>
    </w:p>
    <w:p w14:paraId="58BF7173" w14:textId="77777777" w:rsidR="00613B95" w:rsidRPr="006460AB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Petridou</w:t>
      </w:r>
      <w:proofErr w:type="spellEnd"/>
      <w:r>
        <w:rPr>
          <w:rFonts w:ascii="Arial" w:hAnsi="Arial" w:cs="Arial"/>
          <w:sz w:val="24"/>
          <w:szCs w:val="24"/>
        </w:rPr>
        <w:t>, G., ‘</w:t>
      </w:r>
      <w:proofErr w:type="spellStart"/>
      <w:r>
        <w:rPr>
          <w:rFonts w:ascii="Arial" w:hAnsi="Arial" w:cs="Arial"/>
          <w:sz w:val="24"/>
          <w:szCs w:val="24"/>
        </w:rPr>
        <w:t>Emplotting</w:t>
      </w:r>
      <w:proofErr w:type="spellEnd"/>
      <w:r>
        <w:rPr>
          <w:rFonts w:ascii="Arial" w:hAnsi="Arial" w:cs="Arial"/>
          <w:sz w:val="24"/>
          <w:szCs w:val="24"/>
        </w:rPr>
        <w:t xml:space="preserve"> the Divine: Epiphanic Narratives as Means of Enhancing Agency’, </w:t>
      </w:r>
      <w:r>
        <w:rPr>
          <w:rFonts w:ascii="Arial" w:hAnsi="Arial" w:cs="Arial"/>
          <w:i/>
          <w:sz w:val="24"/>
          <w:szCs w:val="24"/>
        </w:rPr>
        <w:t>Religion in the Roman Empire</w:t>
      </w:r>
      <w:r>
        <w:rPr>
          <w:rFonts w:ascii="Arial" w:hAnsi="Arial" w:cs="Arial"/>
          <w:sz w:val="24"/>
          <w:szCs w:val="24"/>
        </w:rPr>
        <w:t xml:space="preserve"> 1, 3 (2015), pp. 321-342.</w:t>
      </w:r>
    </w:p>
    <w:p w14:paraId="43703F50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Petridou</w:t>
      </w:r>
      <w:proofErr w:type="spellEnd"/>
      <w:r>
        <w:rPr>
          <w:rFonts w:ascii="Arial" w:hAnsi="Arial" w:cs="Arial"/>
          <w:sz w:val="24"/>
          <w:szCs w:val="24"/>
        </w:rPr>
        <w:t xml:space="preserve">, G., ‘Introduction: Lived Ancient Religion and the Body’, </w:t>
      </w:r>
      <w:r>
        <w:rPr>
          <w:rFonts w:ascii="Arial" w:hAnsi="Arial" w:cs="Arial"/>
          <w:i/>
          <w:sz w:val="24"/>
          <w:szCs w:val="24"/>
        </w:rPr>
        <w:t>Religion in the Roman Empire</w:t>
      </w:r>
      <w:r>
        <w:rPr>
          <w:rFonts w:ascii="Arial" w:hAnsi="Arial" w:cs="Arial"/>
          <w:sz w:val="24"/>
          <w:szCs w:val="24"/>
        </w:rPr>
        <w:t xml:space="preserve"> 3, 2 (2017), pp. 137-142.</w:t>
      </w:r>
    </w:p>
    <w:p w14:paraId="4439C78A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Roberts, J., ‘Introduction’, in </w:t>
      </w:r>
      <w:r>
        <w:rPr>
          <w:rFonts w:ascii="Arial" w:hAnsi="Arial" w:cs="Arial"/>
          <w:i/>
          <w:sz w:val="24"/>
          <w:szCs w:val="24"/>
        </w:rPr>
        <w:t>The Oxford Handbook of the Reception History of the Bible</w:t>
      </w:r>
      <w:r>
        <w:rPr>
          <w:rFonts w:ascii="Arial" w:hAnsi="Arial" w:cs="Arial"/>
          <w:sz w:val="24"/>
          <w:szCs w:val="24"/>
        </w:rPr>
        <w:t xml:space="preserve">, eds. M. </w:t>
      </w:r>
      <w:proofErr w:type="spellStart"/>
      <w:r>
        <w:rPr>
          <w:rFonts w:ascii="Arial" w:hAnsi="Arial" w:cs="Arial"/>
          <w:sz w:val="24"/>
          <w:szCs w:val="24"/>
        </w:rPr>
        <w:t>Lieb</w:t>
      </w:r>
      <w:proofErr w:type="spellEnd"/>
      <w:r>
        <w:rPr>
          <w:rFonts w:ascii="Arial" w:hAnsi="Arial" w:cs="Arial"/>
          <w:sz w:val="24"/>
          <w:szCs w:val="24"/>
        </w:rPr>
        <w:t>, E. Mason, J. Roberts, and C. Rowland (Oxford: Oxford University Press, 2011), pp. 1-8.</w:t>
      </w:r>
    </w:p>
    <w:p w14:paraId="77A8CD0D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Sawyer, J.F.A., </w:t>
      </w:r>
      <w:r>
        <w:rPr>
          <w:rFonts w:ascii="Arial" w:hAnsi="Arial" w:cs="Arial"/>
          <w:i/>
          <w:sz w:val="24"/>
          <w:szCs w:val="24"/>
        </w:rPr>
        <w:t xml:space="preserve">Sacred Language and Sacred Texts </w:t>
      </w:r>
      <w:r>
        <w:rPr>
          <w:rFonts w:ascii="Arial" w:hAnsi="Arial" w:cs="Arial"/>
          <w:sz w:val="24"/>
          <w:szCs w:val="24"/>
        </w:rPr>
        <w:t>(London: Routledge, 1999).</w:t>
      </w:r>
    </w:p>
    <w:p w14:paraId="21CF5659" w14:textId="77777777" w:rsidR="00613B95" w:rsidRPr="00A01553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Sawyer, J.F.A., </w:t>
      </w:r>
      <w:r>
        <w:rPr>
          <w:rFonts w:ascii="Arial" w:hAnsi="Arial" w:cs="Arial"/>
          <w:i/>
          <w:sz w:val="24"/>
          <w:szCs w:val="24"/>
        </w:rPr>
        <w:t>A Concise Dictionary of the Bible and its Reception</w:t>
      </w:r>
      <w:r>
        <w:rPr>
          <w:rFonts w:ascii="Arial" w:hAnsi="Arial" w:cs="Arial"/>
          <w:sz w:val="24"/>
          <w:szCs w:val="24"/>
        </w:rPr>
        <w:t xml:space="preserve"> (Louisville, KY: Westminster John Knox, 2009).</w:t>
      </w:r>
    </w:p>
    <w:p w14:paraId="2A305A18" w14:textId="77777777" w:rsidR="00613B9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Smith, W.C., ‘The Study of Religion and the Study of the Bible’, </w:t>
      </w:r>
      <w:r>
        <w:rPr>
          <w:rFonts w:ascii="Arial" w:hAnsi="Arial" w:cs="Arial"/>
          <w:i/>
          <w:sz w:val="24"/>
          <w:szCs w:val="24"/>
        </w:rPr>
        <w:t xml:space="preserve">Journal of the American Academy of Religion </w:t>
      </w:r>
      <w:r>
        <w:rPr>
          <w:rFonts w:ascii="Arial" w:hAnsi="Arial" w:cs="Arial"/>
          <w:sz w:val="24"/>
          <w:szCs w:val="24"/>
        </w:rPr>
        <w:t>39 (1971), pp. 131-140.</w:t>
      </w:r>
    </w:p>
    <w:p w14:paraId="1BFD0251" w14:textId="77777777" w:rsidR="00613B95" w:rsidRPr="00F2383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The New Oxford Annotated Bible: New Revised Standard Version with the Apocrypha</w:t>
      </w:r>
      <w:r>
        <w:rPr>
          <w:rFonts w:ascii="Arial" w:hAnsi="Arial" w:cs="Arial"/>
          <w:sz w:val="24"/>
          <w:szCs w:val="24"/>
        </w:rPr>
        <w:t xml:space="preserve">, ed. M.D. Coogan, </w:t>
      </w:r>
      <w:r w:rsidRPr="005D1708">
        <w:rPr>
          <w:rFonts w:ascii="Arial" w:hAnsi="Arial" w:cs="Arial"/>
          <w:sz w:val="24"/>
          <w:szCs w:val="24"/>
        </w:rPr>
        <w:t>5</w:t>
      </w:r>
      <w:r w:rsidRPr="005D1708">
        <w:rPr>
          <w:rFonts w:ascii="Arial" w:hAnsi="Arial" w:cs="Arial"/>
          <w:sz w:val="24"/>
          <w:szCs w:val="24"/>
          <w:vertAlign w:val="superscript"/>
        </w:rPr>
        <w:t>th</w:t>
      </w:r>
      <w:r w:rsidRPr="005D1708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(Oxford: Oxford University Press, 2018).</w:t>
      </w:r>
    </w:p>
    <w:p w14:paraId="544EAEB9" w14:textId="77777777" w:rsidR="00613B95" w:rsidRPr="00F23835" w:rsidRDefault="00613B95" w:rsidP="00613B95">
      <w:pPr>
        <w:spacing w:after="0"/>
        <w:ind w:left="720" w:hanging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Thiselton</w:t>
      </w:r>
      <w:proofErr w:type="spellEnd"/>
      <w:r>
        <w:rPr>
          <w:rFonts w:ascii="Arial" w:hAnsi="Arial" w:cs="Arial"/>
          <w:sz w:val="24"/>
          <w:szCs w:val="24"/>
        </w:rPr>
        <w:t xml:space="preserve">, A., </w:t>
      </w:r>
      <w:proofErr w:type="spellStart"/>
      <w:r>
        <w:rPr>
          <w:rFonts w:ascii="Arial" w:hAnsi="Arial" w:cs="Arial"/>
          <w:i/>
          <w:sz w:val="24"/>
          <w:szCs w:val="24"/>
        </w:rPr>
        <w:t>Thiselton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on Hermeneutics: The Collected Works and New Essays of Anthony </w:t>
      </w:r>
      <w:proofErr w:type="spellStart"/>
      <w:r>
        <w:rPr>
          <w:rFonts w:ascii="Arial" w:hAnsi="Arial" w:cs="Arial"/>
          <w:i/>
          <w:sz w:val="24"/>
          <w:szCs w:val="24"/>
        </w:rPr>
        <w:t>Thiselton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(Aldershot: Ashgate, 2007).</w:t>
      </w:r>
    </w:p>
    <w:p w14:paraId="215B4643" w14:textId="4294D203" w:rsidR="00635BA4" w:rsidRDefault="00635BA4"/>
    <w:p w14:paraId="62498C10" w14:textId="3A8F2CE3" w:rsidR="000D2724" w:rsidRDefault="000D2724"/>
    <w:p w14:paraId="21B9C999" w14:textId="77777777" w:rsidR="000D2724" w:rsidRDefault="000D2724"/>
    <w:sectPr w:rsidR="000D2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91861" w14:textId="77777777" w:rsidR="00C11DDD" w:rsidRDefault="00C11DDD" w:rsidP="00C11DDD">
      <w:pPr>
        <w:spacing w:after="0" w:line="240" w:lineRule="auto"/>
      </w:pPr>
      <w:r>
        <w:separator/>
      </w:r>
    </w:p>
  </w:endnote>
  <w:endnote w:type="continuationSeparator" w:id="0">
    <w:p w14:paraId="332D5085" w14:textId="77777777" w:rsidR="00C11DDD" w:rsidRDefault="00C11DDD" w:rsidP="00C11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FE50E" w14:textId="77777777" w:rsidR="00C11DDD" w:rsidRDefault="00C11DDD" w:rsidP="00C11DDD">
      <w:pPr>
        <w:spacing w:after="0" w:line="240" w:lineRule="auto"/>
      </w:pPr>
      <w:r>
        <w:separator/>
      </w:r>
    </w:p>
  </w:footnote>
  <w:footnote w:type="continuationSeparator" w:id="0">
    <w:p w14:paraId="45ECB6BB" w14:textId="77777777" w:rsidR="00C11DDD" w:rsidRDefault="00C11DDD" w:rsidP="00C11D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455EF"/>
    <w:multiLevelType w:val="hybridMultilevel"/>
    <w:tmpl w:val="4CE08AD4"/>
    <w:lvl w:ilvl="0" w:tplc="9796FE2A">
      <w:start w:val="1"/>
      <w:numFmt w:val="decimal"/>
      <w:lvlText w:val="%1."/>
      <w:lvlJc w:val="left"/>
      <w:pPr>
        <w:ind w:left="720" w:hanging="360"/>
      </w:pPr>
      <w:rPr>
        <w:rFonts w:hint="default"/>
        <w:color w:val="373A3C"/>
        <w:sz w:val="23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B95"/>
    <w:rsid w:val="000D2724"/>
    <w:rsid w:val="00566445"/>
    <w:rsid w:val="00613B95"/>
    <w:rsid w:val="00635BA4"/>
    <w:rsid w:val="00B11CC3"/>
    <w:rsid w:val="00C1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A613C"/>
  <w15:chartTrackingRefBased/>
  <w15:docId w15:val="{DFBC60E8-69B2-426A-A40E-FEA10E9F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B95"/>
    <w:pPr>
      <w:spacing w:after="200" w:line="27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3B9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11DDD"/>
    <w:pPr>
      <w:spacing w:after="0" w:line="240" w:lineRule="auto"/>
      <w:ind w:left="720"/>
      <w:contextualSpacing/>
    </w:pPr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C11DD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11DDD"/>
    <w:rPr>
      <w:rFonts w:eastAsiaTheme="minorHAns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C11DDD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11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6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ibleodyssey.org:433/en/tools/bible-basics/what-is-reception-histo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Keady</dc:creator>
  <cp:keywords/>
  <dc:description/>
  <cp:lastModifiedBy>Jessica Keady</cp:lastModifiedBy>
  <cp:revision>1</cp:revision>
  <dcterms:created xsi:type="dcterms:W3CDTF">2023-06-15T08:43:00Z</dcterms:created>
  <dcterms:modified xsi:type="dcterms:W3CDTF">2023-06-15T15:33:00Z</dcterms:modified>
</cp:coreProperties>
</file>