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9C0DF3F" w:rsidP="522D1F8A" w:rsidRDefault="29C0DF3F" w14:paraId="46E6E8EF" w14:textId="66B5EFE0">
      <w:pPr>
        <w:pStyle w:val="Normal"/>
        <w:bidi w:val="0"/>
        <w:spacing w:before="0" w:beforeAutospacing="off" w:after="160" w:afterAutospacing="off" w:line="480" w:lineRule="auto"/>
        <w:ind w:left="0" w:right="0"/>
        <w:jc w:val="left"/>
        <w:rPr>
          <w:rFonts w:ascii="Arial" w:hAnsi="Arial" w:eastAsia="Arial" w:cs="Arial"/>
          <w:sz w:val="24"/>
          <w:szCs w:val="24"/>
        </w:rPr>
      </w:pPr>
      <w:r w:rsidRPr="522D1F8A" w:rsidR="076015B6">
        <w:rPr>
          <w:rFonts w:ascii="Arial" w:hAnsi="Arial" w:eastAsia="Arial" w:cs="Arial"/>
          <w:sz w:val="24"/>
          <w:szCs w:val="24"/>
        </w:rPr>
        <w:t>The Event Experience</w:t>
      </w:r>
    </w:p>
    <w:p w:rsidR="29C0DF3F" w:rsidP="29C0DF3F" w:rsidRDefault="29C0DF3F" w14:paraId="00982D18" w14:textId="08D08FE4">
      <w:pPr>
        <w:pStyle w:val="Normal"/>
        <w:bidi w:val="0"/>
        <w:spacing w:before="0" w:beforeAutospacing="off" w:after="160" w:afterAutospacing="off" w:line="480" w:lineRule="auto"/>
        <w:ind w:left="0" w:right="0"/>
        <w:jc w:val="left"/>
      </w:pPr>
      <w:r w:rsidRPr="522D1F8A" w:rsidR="076015B6">
        <w:rPr>
          <w:rFonts w:ascii="Arial" w:hAnsi="Arial" w:eastAsia="Arial" w:cs="Arial"/>
          <w:sz w:val="24"/>
          <w:szCs w:val="24"/>
        </w:rPr>
        <w:t>Megan Marston-Phipps</w:t>
      </w:r>
    </w:p>
    <w:p w:rsidR="29C0DF3F" w:rsidP="29C0DF3F" w:rsidRDefault="29C0DF3F" w14:paraId="23BEB61D" w14:textId="2950AB09">
      <w:pPr>
        <w:pStyle w:val="Normal"/>
        <w:bidi w:val="0"/>
        <w:spacing w:before="0" w:beforeAutospacing="off" w:after="160" w:afterAutospacing="off" w:line="480" w:lineRule="auto"/>
        <w:ind w:left="0" w:right="0"/>
        <w:jc w:val="left"/>
      </w:pPr>
      <w:r w:rsidRPr="522D1F8A" w:rsidR="076015B6">
        <w:rPr>
          <w:rFonts w:ascii="Arial" w:hAnsi="Arial" w:eastAsia="Arial" w:cs="Arial"/>
          <w:sz w:val="24"/>
          <w:szCs w:val="24"/>
        </w:rPr>
        <w:t>2204916</w:t>
      </w:r>
    </w:p>
    <w:p w:rsidR="29C0DF3F" w:rsidP="29C0DF3F" w:rsidRDefault="29C0DF3F" w14:paraId="71E9749E" w14:textId="526AE478">
      <w:pPr>
        <w:pStyle w:val="Normal"/>
        <w:bidi w:val="0"/>
        <w:spacing w:before="0" w:beforeAutospacing="off" w:after="160" w:afterAutospacing="off" w:line="480" w:lineRule="auto"/>
        <w:ind w:left="0" w:right="0"/>
        <w:jc w:val="left"/>
      </w:pPr>
      <w:r w:rsidRPr="522D1F8A" w:rsidR="076015B6">
        <w:rPr>
          <w:rFonts w:ascii="Arial" w:hAnsi="Arial" w:eastAsia="Arial" w:cs="Arial"/>
          <w:sz w:val="24"/>
          <w:szCs w:val="24"/>
        </w:rPr>
        <w:t xml:space="preserve">This essay is a critical assessment of the roles played in The Eurovision Song Contest within its sectors. This review will include an overview of the history of the event and a description of the sectors that it is part of. It will also identify the stakeholders involved in the planning and running of the event. </w:t>
      </w:r>
    </w:p>
    <w:p w:rsidR="29C0DF3F" w:rsidP="29C0DF3F" w:rsidRDefault="29C0DF3F" w14:paraId="55F0B6E6" w14:textId="6DC907C7">
      <w:pPr>
        <w:pStyle w:val="Normal"/>
        <w:bidi w:val="0"/>
        <w:spacing w:before="0" w:beforeAutospacing="off" w:after="160" w:afterAutospacing="off" w:line="480" w:lineRule="auto"/>
        <w:ind w:left="0" w:right="0"/>
        <w:jc w:val="left"/>
      </w:pPr>
      <w:r w:rsidRPr="522D1F8A" w:rsidR="076015B6">
        <w:rPr>
          <w:rFonts w:ascii="Arial" w:hAnsi="Arial" w:eastAsia="Arial" w:cs="Arial"/>
          <w:sz w:val="24"/>
          <w:szCs w:val="24"/>
        </w:rPr>
        <w:t xml:space="preserve">The Eurovision Song Contest is an international event that has been running since 1956. It is a live televised songwriting competition organised by the European Broadcasting Union (EBU) that features performers from each invited country. In May 1956, the contest began with only seven countries competing. Since then, the Eurovision Song Contest has grown magnificently into a week-long event including broadcast semi-finals with entries from over 30 nations. This year will see the United Kingdom host the event with an expected 37 nations competing. </w:t>
      </w:r>
    </w:p>
    <w:p w:rsidR="29C0DF3F" w:rsidP="29C0DF3F" w:rsidRDefault="29C0DF3F" w14:paraId="31DFE183" w14:textId="1C96F7CC">
      <w:pPr>
        <w:pStyle w:val="Normal"/>
        <w:bidi w:val="0"/>
        <w:spacing w:before="0" w:beforeAutospacing="off" w:after="160" w:afterAutospacing="off" w:line="480" w:lineRule="auto"/>
        <w:ind w:left="0" w:right="0"/>
        <w:jc w:val="left"/>
      </w:pPr>
      <w:r w:rsidRPr="522D1F8A" w:rsidR="076015B6">
        <w:rPr>
          <w:rFonts w:ascii="Arial" w:hAnsi="Arial" w:eastAsia="Arial" w:cs="Arial"/>
          <w:sz w:val="24"/>
          <w:szCs w:val="24"/>
        </w:rPr>
        <w:t xml:space="preserve">The idea of the Eurovision Song Contest came from Marcel Bezencon who was the director of the EBU at the time. He suggested a TV show based on the Italian Festival di Sanremo. The format of the event has changed significantly since it began, and it has grown not only in participants but also in popularity and remains a major date in fans' calendars each year. Although it is a European contest, the show broadcasts across the world and has fans in places such as the United States, Hong Kong, Egypt, and many others. </w:t>
      </w:r>
    </w:p>
    <w:p w:rsidR="29C0DF3F" w:rsidP="29C0DF3F" w:rsidRDefault="29C0DF3F" w14:paraId="14A40C58" w14:textId="3A8FFE4E">
      <w:pPr>
        <w:pStyle w:val="Normal"/>
        <w:bidi w:val="0"/>
        <w:spacing w:before="0" w:beforeAutospacing="off" w:after="160" w:afterAutospacing="off" w:line="480" w:lineRule="auto"/>
        <w:ind w:left="0" w:right="0"/>
        <w:jc w:val="left"/>
      </w:pPr>
      <w:r w:rsidRPr="522D1F8A" w:rsidR="076015B6">
        <w:rPr>
          <w:rFonts w:ascii="Arial" w:hAnsi="Arial" w:eastAsia="Arial" w:cs="Arial"/>
          <w:sz w:val="24"/>
          <w:szCs w:val="24"/>
        </w:rPr>
        <w:t xml:space="preserve">On the final night, each country performs its entry before it goes to a televote. Each country involved in the contest gets a vote despite only 26 performing in the final. In recent years, the voting results have been of a political nature with countries voting for their neighbours and choosing not to vote for countries they may have had political issues with. This has been combatted slightly with the introduction of the Jury vote which is made up of a specialist panel from each country that votes on the actual performance and their votes make up a percentage of the final vote. </w:t>
      </w:r>
    </w:p>
    <w:p w:rsidR="29C0DF3F" w:rsidP="29C0DF3F" w:rsidRDefault="29C0DF3F" w14:paraId="722D59E9" w14:textId="56F7B6CB">
      <w:pPr>
        <w:pStyle w:val="Normal"/>
        <w:bidi w:val="0"/>
        <w:spacing w:before="0" w:beforeAutospacing="off" w:after="160" w:afterAutospacing="off" w:line="480" w:lineRule="auto"/>
        <w:ind w:left="0" w:right="0"/>
        <w:jc w:val="left"/>
      </w:pPr>
      <w:r w:rsidRPr="522D1F8A" w:rsidR="076015B6">
        <w:rPr>
          <w:rFonts w:ascii="Arial" w:hAnsi="Arial" w:eastAsia="Arial" w:cs="Arial"/>
          <w:sz w:val="24"/>
          <w:szCs w:val="24"/>
        </w:rPr>
        <w:t xml:space="preserve">The Eurovision Song Contest is so popular today due to its eccentricity and is an unmissable event for millions of people worldwide. The show makes musical history each year with many entries going on to be chart toppers. </w:t>
      </w:r>
    </w:p>
    <w:p w:rsidR="29C0DF3F" w:rsidP="29C0DF3F" w:rsidRDefault="29C0DF3F" w14:paraId="4756539C" w14:textId="45C5FC6E">
      <w:pPr>
        <w:pStyle w:val="Normal"/>
        <w:bidi w:val="0"/>
        <w:spacing w:before="0" w:beforeAutospacing="off" w:after="160" w:afterAutospacing="off" w:line="480" w:lineRule="auto"/>
        <w:ind w:left="0" w:right="0"/>
        <w:jc w:val="left"/>
      </w:pPr>
      <w:r w:rsidRPr="522D1F8A" w:rsidR="076015B6">
        <w:rPr>
          <w:rFonts w:ascii="Arial" w:hAnsi="Arial" w:eastAsia="Arial" w:cs="Arial"/>
          <w:sz w:val="24"/>
          <w:szCs w:val="24"/>
        </w:rPr>
        <w:t xml:space="preserve">Bowdin et al, (2006) state that each year, events occur throughout the United Kingdom. They monopolize the media, dominate transport systems, venues, and hotels, hit business objectives, motivate communities, and create positive and negative impacts. </w:t>
      </w:r>
    </w:p>
    <w:p w:rsidR="29C0DF3F" w:rsidP="29C0DF3F" w:rsidRDefault="29C0DF3F" w14:paraId="5608B84E" w14:textId="792D2B89">
      <w:pPr>
        <w:pStyle w:val="Normal"/>
        <w:bidi w:val="0"/>
        <w:spacing w:before="0" w:beforeAutospacing="off" w:after="160" w:afterAutospacing="off" w:line="480" w:lineRule="auto"/>
        <w:ind w:left="0" w:right="0"/>
        <w:jc w:val="left"/>
      </w:pPr>
      <w:r w:rsidRPr="522D1F8A" w:rsidR="076015B6">
        <w:rPr>
          <w:rFonts w:ascii="Arial" w:hAnsi="Arial" w:eastAsia="Arial" w:cs="Arial"/>
          <w:sz w:val="24"/>
          <w:szCs w:val="24"/>
        </w:rPr>
        <w:t>The Eurovision Song Contest falls under both the cultural arts and festivals sector due to it being a musical competition. Music Events in the UK are worth £1.3bn and 60 million visits are made to music concerts each year (Mintel, 2008). Music events tend to be resource intensive, with logistics, planning, and organisation and impacts on individual attendees.</w:t>
      </w:r>
    </w:p>
    <w:p w:rsidR="29C0DF3F" w:rsidP="29C0DF3F" w:rsidRDefault="29C0DF3F" w14:paraId="1FCA569A" w14:textId="39545051">
      <w:pPr>
        <w:pStyle w:val="Normal"/>
        <w:bidi w:val="0"/>
        <w:spacing w:before="0" w:beforeAutospacing="off" w:after="160" w:afterAutospacing="off" w:line="480" w:lineRule="auto"/>
        <w:ind w:left="0" w:right="0"/>
        <w:jc w:val="left"/>
      </w:pPr>
      <w:r w:rsidRPr="522D1F8A" w:rsidR="076015B6">
        <w:rPr>
          <w:rFonts w:ascii="Arial" w:hAnsi="Arial" w:eastAsia="Arial" w:cs="Arial"/>
          <w:sz w:val="24"/>
          <w:szCs w:val="24"/>
        </w:rPr>
        <w:t>The public, private, and not-for-profit sectors all play roles within Eurovision. As it is such a large and diverse event it does not fall solely into one of these categories.</w:t>
      </w:r>
    </w:p>
    <w:p w:rsidR="29C0DF3F" w:rsidP="29C0DF3F" w:rsidRDefault="29C0DF3F" w14:paraId="664D2BAA" w14:textId="4D3850A3">
      <w:pPr>
        <w:pStyle w:val="Normal"/>
        <w:bidi w:val="0"/>
        <w:spacing w:before="0" w:beforeAutospacing="off" w:after="160" w:afterAutospacing="off" w:line="480" w:lineRule="auto"/>
        <w:ind w:left="0" w:right="0"/>
        <w:jc w:val="left"/>
      </w:pPr>
      <w:r w:rsidRPr="522D1F8A" w:rsidR="076015B6">
        <w:rPr>
          <w:rFonts w:ascii="Arial" w:hAnsi="Arial" w:eastAsia="Arial" w:cs="Arial"/>
          <w:sz w:val="24"/>
          <w:szCs w:val="24"/>
        </w:rPr>
        <w:t>Funding for the event typically comes from within the private sector but also with public investment from the host city and country (Bladen, 2012, pg. 215). Local authorities are now becoming more involved with events than before; observing them as important means of creating a quality of life for their constituents and attracting tourism and economic benefits to their regions. Local authorities are now some of the biggest players in the events industry, with the majority of local government bodies employing an event manager or events group and with almost all providing funding and backing for a wide range of local events (Bowdin et al, 2011 pg. 53).</w:t>
      </w:r>
    </w:p>
    <w:p w:rsidR="29C0DF3F" w:rsidP="29C0DF3F" w:rsidRDefault="29C0DF3F" w14:paraId="2215F826" w14:textId="730D048F">
      <w:pPr>
        <w:pStyle w:val="Normal"/>
        <w:bidi w:val="0"/>
        <w:spacing w:before="0" w:beforeAutospacing="off" w:after="160" w:afterAutospacing="off" w:line="480" w:lineRule="auto"/>
        <w:ind w:left="0" w:right="0"/>
        <w:jc w:val="left"/>
      </w:pPr>
      <w:r w:rsidRPr="522D1F8A" w:rsidR="076015B6">
        <w:rPr>
          <w:rFonts w:ascii="Arial" w:hAnsi="Arial" w:eastAsia="Arial" w:cs="Arial"/>
          <w:sz w:val="24"/>
          <w:szCs w:val="24"/>
        </w:rPr>
        <w:t>Eurovision also partners with sponsors, both nationally and internationally to help in funding the event. In research by Bladen, (2012, pg. 217) he describes the event industry as providing some of the best illustrations of how sponsorship performs, with some of the largest sponsorship deals associated with major events. According to BDS (2010), sponsorship is: "a business relationship between a provider of funds, resources or services and an individual, event or organisation which offers in return rights and associations that may be used for commercial advantage in return for the sponsorship investment."</w:t>
      </w:r>
    </w:p>
    <w:p w:rsidR="29C0DF3F" w:rsidP="29C0DF3F" w:rsidRDefault="29C0DF3F" w14:paraId="32F1367C" w14:textId="13AA93C9">
      <w:pPr>
        <w:pStyle w:val="Normal"/>
        <w:bidi w:val="0"/>
        <w:spacing w:before="0" w:beforeAutospacing="off" w:after="160" w:afterAutospacing="off" w:line="480" w:lineRule="auto"/>
        <w:ind w:left="0" w:right="0"/>
        <w:jc w:val="left"/>
      </w:pPr>
      <w:r w:rsidRPr="522D1F8A" w:rsidR="076015B6">
        <w:rPr>
          <w:rFonts w:ascii="Arial" w:hAnsi="Arial" w:eastAsia="Arial" w:cs="Arial"/>
          <w:sz w:val="24"/>
          <w:szCs w:val="24"/>
        </w:rPr>
        <w:t>Getz (2005, pg. 191) identifies the three groups of event organisers in each of the private, non-profit, and government/partnership groups. However, due to the change in the relationship between private and public sectors since 2008, we can now place organisations that provide events into the ensuing three categories:</w:t>
      </w:r>
    </w:p>
    <w:p w:rsidR="29C0DF3F" w:rsidP="29C0DF3F" w:rsidRDefault="29C0DF3F" w14:paraId="380D0296" w14:textId="6181303D">
      <w:pPr>
        <w:pStyle w:val="Normal"/>
        <w:bidi w:val="0"/>
        <w:spacing w:before="0" w:beforeAutospacing="off" w:after="160" w:afterAutospacing="off" w:line="480" w:lineRule="auto"/>
        <w:ind w:left="0" w:right="0"/>
        <w:jc w:val="left"/>
      </w:pPr>
      <w:r w:rsidRPr="522D1F8A" w:rsidR="076015B6">
        <w:rPr>
          <w:rFonts w:ascii="Arial" w:hAnsi="Arial" w:eastAsia="Arial" w:cs="Arial"/>
          <w:sz w:val="24"/>
          <w:szCs w:val="24"/>
        </w:rPr>
        <w:t>Public sector: Central government, regional/local government, and government agencies.</w:t>
      </w:r>
    </w:p>
    <w:p w:rsidR="29C0DF3F" w:rsidP="29C0DF3F" w:rsidRDefault="29C0DF3F" w14:paraId="2EF07062" w14:textId="7B292148">
      <w:pPr>
        <w:pStyle w:val="Normal"/>
        <w:bidi w:val="0"/>
        <w:spacing w:before="0" w:beforeAutospacing="off" w:after="160" w:afterAutospacing="off" w:line="480" w:lineRule="auto"/>
        <w:ind w:left="0" w:right="0"/>
        <w:jc w:val="left"/>
      </w:pPr>
      <w:r w:rsidRPr="522D1F8A" w:rsidR="076015B6">
        <w:rPr>
          <w:rFonts w:ascii="Arial" w:hAnsi="Arial" w:eastAsia="Arial" w:cs="Arial"/>
          <w:sz w:val="24"/>
          <w:szCs w:val="24"/>
        </w:rPr>
        <w:t>Private sector: Private companies, corporations, and individuals seeking profit.</w:t>
      </w:r>
    </w:p>
    <w:p w:rsidR="29C0DF3F" w:rsidP="29C0DF3F" w:rsidRDefault="29C0DF3F" w14:paraId="03DA177B" w14:textId="1F6080F1">
      <w:pPr>
        <w:pStyle w:val="Normal"/>
        <w:bidi w:val="0"/>
        <w:spacing w:before="0" w:beforeAutospacing="off" w:after="160" w:afterAutospacing="off" w:line="480" w:lineRule="auto"/>
        <w:ind w:left="0" w:right="0"/>
        <w:jc w:val="left"/>
      </w:pPr>
      <w:r w:rsidRPr="522D1F8A" w:rsidR="076015B6">
        <w:rPr>
          <w:rFonts w:ascii="Arial" w:hAnsi="Arial" w:eastAsia="Arial" w:cs="Arial"/>
          <w:sz w:val="24"/>
          <w:szCs w:val="24"/>
        </w:rPr>
        <w:t xml:space="preserve">Third sector: Voluntary groups, charities, and social enterprises (Bladen, 2012, pg. 277). </w:t>
      </w:r>
    </w:p>
    <w:p w:rsidR="29C0DF3F" w:rsidP="29C0DF3F" w:rsidRDefault="29C0DF3F" w14:paraId="65D19C95" w14:textId="7EC513AE">
      <w:pPr>
        <w:pStyle w:val="Normal"/>
        <w:bidi w:val="0"/>
        <w:spacing w:before="0" w:beforeAutospacing="off" w:after="160" w:afterAutospacing="off" w:line="480" w:lineRule="auto"/>
        <w:ind w:left="0" w:right="0"/>
        <w:jc w:val="left"/>
      </w:pPr>
      <w:r w:rsidRPr="522D1F8A" w:rsidR="076015B6">
        <w:rPr>
          <w:rFonts w:ascii="Arial" w:hAnsi="Arial" w:eastAsia="Arial" w:cs="Arial"/>
          <w:sz w:val="24"/>
          <w:szCs w:val="24"/>
        </w:rPr>
        <w:t>Allen et al (2011, pg. 47), states that the majority of public events are either community events or major events that take place in host communities that have a certain interest in and mindset toward the event. Therefore, the community is a considerable stakeholder in events.</w:t>
      </w:r>
    </w:p>
    <w:p w:rsidR="29C0DF3F" w:rsidP="29C0DF3F" w:rsidRDefault="29C0DF3F" w14:paraId="67D923C3" w14:textId="619900A5">
      <w:pPr>
        <w:pStyle w:val="Normal"/>
        <w:bidi w:val="0"/>
        <w:spacing w:before="0" w:beforeAutospacing="off" w:after="160" w:afterAutospacing="off" w:line="480" w:lineRule="auto"/>
        <w:ind w:left="0" w:right="0"/>
        <w:jc w:val="left"/>
      </w:pPr>
      <w:r w:rsidRPr="522D1F8A" w:rsidR="076015B6">
        <w:rPr>
          <w:rFonts w:ascii="Arial" w:hAnsi="Arial" w:eastAsia="Arial" w:cs="Arial"/>
          <w:sz w:val="24"/>
          <w:szCs w:val="24"/>
        </w:rPr>
        <w:t xml:space="preserve">According to Bowdin et al (2011, pg. 19), events are usually categorised in relation to their size and scale. The most frequent categories are local or community events, mega-events, hallmark events, and major events. Following a review of classifications, typologies, and terminology in use within published research, Jago and Shaw (1998), proposed mega events and hallmark events as a subcategory of major events. </w:t>
      </w:r>
    </w:p>
    <w:p w:rsidR="29C0DF3F" w:rsidP="29C0DF3F" w:rsidRDefault="29C0DF3F" w14:paraId="7443931D" w14:textId="4CEBDD42">
      <w:pPr>
        <w:pStyle w:val="Normal"/>
        <w:bidi w:val="0"/>
        <w:spacing w:before="0" w:beforeAutospacing="off" w:after="160" w:afterAutospacing="off" w:line="480" w:lineRule="auto"/>
        <w:ind w:left="0" w:right="0"/>
        <w:jc w:val="left"/>
      </w:pPr>
      <w:r w:rsidRPr="522D1F8A" w:rsidR="076015B6">
        <w:rPr>
          <w:rFonts w:ascii="Arial" w:hAnsi="Arial" w:eastAsia="Arial" w:cs="Arial"/>
          <w:sz w:val="24"/>
          <w:szCs w:val="24"/>
        </w:rPr>
        <w:t xml:space="preserve">It is a Major event due to the size of the event with roughly 40,000 people attending in person. A major event is defined as an event attracting an excess of 200 people. They are also discussed as having large press coverage and economic benefits. </w:t>
      </w:r>
    </w:p>
    <w:p w:rsidR="29C0DF3F" w:rsidP="29C0DF3F" w:rsidRDefault="29C0DF3F" w14:paraId="0CE6B6C1" w14:textId="321642B1">
      <w:pPr>
        <w:pStyle w:val="Normal"/>
        <w:bidi w:val="0"/>
        <w:spacing w:before="0" w:beforeAutospacing="off" w:after="160" w:afterAutospacing="off" w:line="480" w:lineRule="auto"/>
        <w:ind w:left="0" w:right="0"/>
        <w:jc w:val="left"/>
      </w:pPr>
      <w:r w:rsidRPr="522D1F8A" w:rsidR="076015B6">
        <w:rPr>
          <w:rFonts w:ascii="Arial" w:hAnsi="Arial" w:eastAsia="Arial" w:cs="Arial"/>
          <w:sz w:val="24"/>
          <w:szCs w:val="24"/>
        </w:rPr>
        <w:t xml:space="preserve">However, looking at it from a different viewpoint it could at some point soon be considered as a Mega-Event due to the number of people it reaches globally as 161 million viewers watched the 2022 Eurovision Song Contest on television, as online engagement soared to a new height (Eurovision 2022, 2022). Mega-Events are described as affecting whole countries and being held annually with a change of location which Eurovision does. </w:t>
      </w:r>
    </w:p>
    <w:p w:rsidR="29C0DF3F" w:rsidP="29C0DF3F" w:rsidRDefault="29C0DF3F" w14:paraId="24B3322D" w14:textId="27728D85">
      <w:pPr>
        <w:pStyle w:val="Normal"/>
        <w:bidi w:val="0"/>
        <w:spacing w:before="0" w:beforeAutospacing="off" w:after="160" w:afterAutospacing="off" w:line="480" w:lineRule="auto"/>
        <w:ind w:left="0" w:right="0"/>
        <w:jc w:val="left"/>
      </w:pPr>
      <w:r w:rsidRPr="522D1F8A" w:rsidR="076015B6">
        <w:rPr>
          <w:rFonts w:ascii="Arial" w:hAnsi="Arial" w:eastAsia="Arial" w:cs="Arial"/>
          <w:sz w:val="24"/>
          <w:szCs w:val="24"/>
        </w:rPr>
        <w:t>Research by Allen et al (2011, pg. 126), describes people and organisations with a rightful interest in the outcomes of an event as stakeholders. There are multiple stakeholders involved in Eurovision including production companies, technical service and multimedia companies, the European Broadcasting Union, executive Supervisor, Reference Group, Host Broadcaster, Participating Broadcasters, Head of Delegation (HoD), audience, any and all food and drink suppliers (especially within the green room), security staff, artists, performers and musicians from each country, UK Government (for 2023 only), Local council, marketing department, sponsors (which aren't confirmed for 2023's event yet). Bowdin et al (2011 pg. 67), state that appropriate communication with stakeholders will make sure that the event illustrates the true values of the community and will often serve to settle many of the potential community issues and disruptions in regard to the event. The decision to use certain organisations for these roles will depend on their budget, level of experience, time available, standards to be achieved at the event, and their needs and demands.</w:t>
      </w:r>
    </w:p>
    <w:p w:rsidR="29C0DF3F" w:rsidP="29C0DF3F" w:rsidRDefault="29C0DF3F" w14:paraId="50D49149" w14:textId="2C799ABA">
      <w:pPr>
        <w:pStyle w:val="Normal"/>
        <w:bidi w:val="0"/>
        <w:spacing w:before="0" w:beforeAutospacing="off" w:after="160" w:afterAutospacing="off" w:line="480" w:lineRule="auto"/>
        <w:ind w:left="0" w:right="0"/>
        <w:jc w:val="left"/>
      </w:pPr>
      <w:r w:rsidRPr="522D1F8A" w:rsidR="076015B6">
        <w:rPr>
          <w:rFonts w:ascii="Arial" w:hAnsi="Arial" w:eastAsia="Arial" w:cs="Arial"/>
          <w:sz w:val="24"/>
          <w:szCs w:val="24"/>
        </w:rPr>
        <w:t xml:space="preserve">Eurovision 2023 will be held in Liverpool, UK. Many researchers (Getz, 2005; Goldblatt and Perry, 2002; Jago, Chalip, Brown, Mules, and Ali, 2002) have observed the importance of the host community taking part in and 'owning' the event, which in turn breathes positive information to visitors (Bowdin et al, 2011, pg. 234). The host community may include residents, traders, lobby groups, and public authorities such as council, transport, police, fire, and ambulance services (Bowdin et al, 2011, pg. 235). For considerably larger events, the local authority will commonly call a meeting to include emergency services, environmental health, transport, and the management team to discuss such matters as street closures, special access, and parking arrangements (HSE, 1999). These are all prime examples of the public sector organisers' involvement in running the event. </w:t>
      </w:r>
    </w:p>
    <w:p w:rsidR="29C0DF3F" w:rsidP="29C0DF3F" w:rsidRDefault="29C0DF3F" w14:paraId="004EEC7B" w14:textId="30EC63BD">
      <w:pPr>
        <w:pStyle w:val="Normal"/>
        <w:bidi w:val="0"/>
        <w:spacing w:before="0" w:beforeAutospacing="off" w:after="160" w:afterAutospacing="off" w:line="480" w:lineRule="auto"/>
        <w:ind w:left="0" w:right="0"/>
        <w:jc w:val="left"/>
      </w:pPr>
      <w:r w:rsidRPr="522D1F8A" w:rsidR="076015B6">
        <w:rPr>
          <w:rFonts w:ascii="Arial" w:hAnsi="Arial" w:eastAsia="Arial" w:cs="Arial"/>
          <w:sz w:val="24"/>
          <w:szCs w:val="24"/>
        </w:rPr>
        <w:t>Through the critical assessment of all involved sectors, we can see that the Eurovision Song Contest is a major event that has gone through many changes; growing into the Major event that we see today. It has been shaped through its involvement in the private, public, and not-for-profit sectors and is an annual staple event for the cultural arts and festival sector. 2023's competition in Liverpool will be a culmination of all the information mentioned above, creating the eccentric and unmissable event that millions of people look forward to each year.</w:t>
      </w:r>
    </w:p>
    <w:p w:rsidR="29C0DF3F" w:rsidP="29C0DF3F" w:rsidRDefault="29C0DF3F" w14:paraId="7A605FED" w14:textId="7E39E571">
      <w:pPr>
        <w:pStyle w:val="Normal"/>
        <w:bidi w:val="0"/>
        <w:spacing w:before="0" w:beforeAutospacing="off" w:after="160" w:afterAutospacing="off" w:line="480" w:lineRule="auto"/>
        <w:ind w:left="0" w:right="0"/>
        <w:jc w:val="left"/>
      </w:pPr>
      <w:r w:rsidRPr="522D1F8A" w:rsidR="076015B6">
        <w:rPr>
          <w:rFonts w:ascii="Arial" w:hAnsi="Arial" w:eastAsia="Arial" w:cs="Arial"/>
          <w:sz w:val="24"/>
          <w:szCs w:val="24"/>
        </w:rPr>
        <w:t xml:space="preserve"> </w:t>
      </w:r>
    </w:p>
    <w:p w:rsidR="29C0DF3F" w:rsidP="522D1F8A" w:rsidRDefault="29C0DF3F" w14:paraId="24A2EE0A" w14:textId="6554A62A">
      <w:pPr>
        <w:pStyle w:val="Normal"/>
        <w:bidi w:val="0"/>
        <w:spacing w:before="0" w:beforeAutospacing="off" w:after="160" w:afterAutospacing="off" w:line="480" w:lineRule="auto"/>
        <w:ind w:left="0" w:right="0"/>
        <w:jc w:val="left"/>
        <w:rPr>
          <w:rFonts w:ascii="Arial" w:hAnsi="Arial" w:eastAsia="Arial" w:cs="Arial"/>
          <w:sz w:val="24"/>
          <w:szCs w:val="24"/>
          <w:u w:val="single"/>
        </w:rPr>
      </w:pPr>
      <w:r w:rsidRPr="41E33E13" w:rsidR="79414C3D">
        <w:rPr>
          <w:rFonts w:ascii="Arial" w:hAnsi="Arial" w:eastAsia="Arial" w:cs="Arial"/>
          <w:sz w:val="24"/>
          <w:szCs w:val="24"/>
          <w:u w:val="single"/>
        </w:rPr>
        <w:t>Bibliography</w:t>
      </w:r>
    </w:p>
    <w:p w:rsidR="2966A656" w:rsidP="522D1F8A" w:rsidRDefault="2966A656" w14:paraId="3EC96579" w14:textId="704E9B3E">
      <w:pPr>
        <w:pStyle w:val="Normal"/>
        <w:spacing w:line="480" w:lineRule="auto"/>
        <w:rPr>
          <w:rFonts w:ascii="Arial" w:hAnsi="Arial" w:eastAsia="Arial" w:cs="Arial"/>
          <w:i w:val="0"/>
          <w:iCs w:val="0"/>
          <w:sz w:val="24"/>
          <w:szCs w:val="24"/>
        </w:rPr>
      </w:pPr>
      <w:r w:rsidRPr="522D1F8A" w:rsidR="2966A656">
        <w:rPr>
          <w:rFonts w:ascii="Arial" w:hAnsi="Arial" w:eastAsia="Arial" w:cs="Arial"/>
          <w:sz w:val="24"/>
          <w:szCs w:val="24"/>
        </w:rPr>
        <w:t xml:space="preserve">Allen, G., O’Toole, W., Harris, R., </w:t>
      </w:r>
      <w:r w:rsidRPr="522D1F8A" w:rsidR="02D6B4AD">
        <w:rPr>
          <w:rFonts w:ascii="Arial" w:hAnsi="Arial" w:eastAsia="Arial" w:cs="Arial"/>
          <w:sz w:val="24"/>
          <w:szCs w:val="24"/>
        </w:rPr>
        <w:t>McDonnell, I. (2011), (</w:t>
      </w:r>
      <w:r w:rsidRPr="522D1F8A" w:rsidR="1ACB1572">
        <w:rPr>
          <w:rFonts w:ascii="Arial" w:hAnsi="Arial" w:eastAsia="Arial" w:cs="Arial"/>
          <w:sz w:val="24"/>
          <w:szCs w:val="24"/>
        </w:rPr>
        <w:t>pg.</w:t>
      </w:r>
      <w:r w:rsidRPr="522D1F8A" w:rsidR="02D6B4AD">
        <w:rPr>
          <w:rFonts w:ascii="Arial" w:hAnsi="Arial" w:eastAsia="Arial" w:cs="Arial"/>
          <w:sz w:val="24"/>
          <w:szCs w:val="24"/>
        </w:rPr>
        <w:t xml:space="preserve"> 47). </w:t>
      </w:r>
      <w:r w:rsidRPr="522D1F8A" w:rsidR="02D6B4AD">
        <w:rPr>
          <w:rFonts w:ascii="Arial" w:hAnsi="Arial" w:eastAsia="Arial" w:cs="Arial"/>
          <w:i w:val="1"/>
          <w:iCs w:val="1"/>
          <w:sz w:val="24"/>
          <w:szCs w:val="24"/>
        </w:rPr>
        <w:t xml:space="preserve">Festival &amp; Special Event Management </w:t>
      </w:r>
      <w:r w:rsidRPr="522D1F8A" w:rsidR="02D6B4AD">
        <w:rPr>
          <w:rFonts w:ascii="Arial" w:hAnsi="Arial" w:eastAsia="Arial" w:cs="Arial"/>
          <w:i w:val="0"/>
          <w:iCs w:val="0"/>
          <w:sz w:val="24"/>
          <w:szCs w:val="24"/>
        </w:rPr>
        <w:t>(5</w:t>
      </w:r>
      <w:r w:rsidRPr="522D1F8A" w:rsidR="02D6B4AD">
        <w:rPr>
          <w:rFonts w:ascii="Arial" w:hAnsi="Arial" w:eastAsia="Arial" w:cs="Arial"/>
          <w:i w:val="0"/>
          <w:iCs w:val="0"/>
          <w:sz w:val="24"/>
          <w:szCs w:val="24"/>
          <w:vertAlign w:val="superscript"/>
        </w:rPr>
        <w:t>th</w:t>
      </w:r>
      <w:r w:rsidRPr="522D1F8A" w:rsidR="02D6B4AD">
        <w:rPr>
          <w:rFonts w:ascii="Arial" w:hAnsi="Arial" w:eastAsia="Arial" w:cs="Arial"/>
          <w:i w:val="0"/>
          <w:iCs w:val="0"/>
          <w:sz w:val="24"/>
          <w:szCs w:val="24"/>
        </w:rPr>
        <w:t xml:space="preserve"> ed</w:t>
      </w:r>
      <w:r w:rsidRPr="522D1F8A" w:rsidR="0BE54794">
        <w:rPr>
          <w:rFonts w:ascii="Arial" w:hAnsi="Arial" w:eastAsia="Arial" w:cs="Arial"/>
          <w:i w:val="0"/>
          <w:iCs w:val="0"/>
          <w:sz w:val="24"/>
          <w:szCs w:val="24"/>
        </w:rPr>
        <w:t xml:space="preserve">.). </w:t>
      </w:r>
      <w:r w:rsidRPr="522D1F8A" w:rsidR="0F5A62FD">
        <w:rPr>
          <w:rFonts w:ascii="Arial" w:hAnsi="Arial" w:eastAsia="Arial" w:cs="Arial"/>
          <w:i w:val="0"/>
          <w:iCs w:val="0"/>
          <w:sz w:val="24"/>
          <w:szCs w:val="24"/>
        </w:rPr>
        <w:t>Queensland: John Wiley &amp; Sons</w:t>
      </w:r>
    </w:p>
    <w:p w:rsidR="3C679CCF" w:rsidP="522D1F8A" w:rsidRDefault="3C679CCF" w14:paraId="523AFDE7" w14:textId="6CCC974A">
      <w:pPr>
        <w:pStyle w:val="Normal"/>
        <w:spacing w:line="480" w:lineRule="auto"/>
        <w:rPr>
          <w:rFonts w:ascii="Arial" w:hAnsi="Arial" w:eastAsia="Arial" w:cs="Arial"/>
          <w:i w:val="0"/>
          <w:iCs w:val="0"/>
          <w:sz w:val="24"/>
          <w:szCs w:val="24"/>
        </w:rPr>
      </w:pPr>
      <w:r w:rsidRPr="522D1F8A" w:rsidR="3C679CCF">
        <w:rPr>
          <w:rFonts w:ascii="Arial" w:hAnsi="Arial" w:eastAsia="Arial" w:cs="Arial"/>
          <w:sz w:val="24"/>
          <w:szCs w:val="24"/>
        </w:rPr>
        <w:t>Allen, G., O’Toole, W., Harris, R., McDonnell, I. (2011), (</w:t>
      </w:r>
      <w:r w:rsidRPr="522D1F8A" w:rsidR="565D201D">
        <w:rPr>
          <w:rFonts w:ascii="Arial" w:hAnsi="Arial" w:eastAsia="Arial" w:cs="Arial"/>
          <w:sz w:val="24"/>
          <w:szCs w:val="24"/>
        </w:rPr>
        <w:t>pg.</w:t>
      </w:r>
      <w:r w:rsidRPr="522D1F8A" w:rsidR="3C679CCF">
        <w:rPr>
          <w:rFonts w:ascii="Arial" w:hAnsi="Arial" w:eastAsia="Arial" w:cs="Arial"/>
          <w:sz w:val="24"/>
          <w:szCs w:val="24"/>
        </w:rPr>
        <w:t xml:space="preserve"> 126). </w:t>
      </w:r>
      <w:r w:rsidRPr="522D1F8A" w:rsidR="3C679CCF">
        <w:rPr>
          <w:rFonts w:ascii="Arial" w:hAnsi="Arial" w:eastAsia="Arial" w:cs="Arial"/>
          <w:i w:val="1"/>
          <w:iCs w:val="1"/>
          <w:sz w:val="24"/>
          <w:szCs w:val="24"/>
        </w:rPr>
        <w:t xml:space="preserve">Festival &amp; Special Event Management </w:t>
      </w:r>
      <w:r w:rsidRPr="522D1F8A" w:rsidR="3C679CCF">
        <w:rPr>
          <w:rFonts w:ascii="Arial" w:hAnsi="Arial" w:eastAsia="Arial" w:cs="Arial"/>
          <w:i w:val="0"/>
          <w:iCs w:val="0"/>
          <w:sz w:val="24"/>
          <w:szCs w:val="24"/>
        </w:rPr>
        <w:t>(5</w:t>
      </w:r>
      <w:r w:rsidRPr="522D1F8A" w:rsidR="3C679CCF">
        <w:rPr>
          <w:rFonts w:ascii="Arial" w:hAnsi="Arial" w:eastAsia="Arial" w:cs="Arial"/>
          <w:i w:val="0"/>
          <w:iCs w:val="0"/>
          <w:sz w:val="24"/>
          <w:szCs w:val="24"/>
          <w:vertAlign w:val="superscript"/>
        </w:rPr>
        <w:t>th</w:t>
      </w:r>
      <w:r w:rsidRPr="522D1F8A" w:rsidR="3C679CCF">
        <w:rPr>
          <w:rFonts w:ascii="Arial" w:hAnsi="Arial" w:eastAsia="Arial" w:cs="Arial"/>
          <w:i w:val="0"/>
          <w:iCs w:val="0"/>
          <w:sz w:val="24"/>
          <w:szCs w:val="24"/>
        </w:rPr>
        <w:t xml:space="preserve"> ed.). Queensland: John Wiley &amp; Sons</w:t>
      </w:r>
    </w:p>
    <w:p w:rsidR="67467A49" w:rsidP="522D1F8A" w:rsidRDefault="67467A49" w14:paraId="4859E692" w14:textId="42C3C136">
      <w:pPr>
        <w:pStyle w:val="Normal"/>
        <w:spacing w:line="480" w:lineRule="auto"/>
        <w:rPr>
          <w:rFonts w:ascii="Arial" w:hAnsi="Arial" w:eastAsia="Arial" w:cs="Arial"/>
          <w:i w:val="0"/>
          <w:iCs w:val="0"/>
          <w:sz w:val="24"/>
          <w:szCs w:val="24"/>
        </w:rPr>
      </w:pPr>
      <w:r w:rsidRPr="522D1F8A" w:rsidR="67467A49">
        <w:rPr>
          <w:rFonts w:ascii="Arial" w:hAnsi="Arial" w:eastAsia="Arial" w:cs="Arial"/>
          <w:i w:val="0"/>
          <w:iCs w:val="0"/>
          <w:sz w:val="24"/>
          <w:szCs w:val="24"/>
        </w:rPr>
        <w:t xml:space="preserve">BDS (2010). Sponsorship (Online). Available at: </w:t>
      </w:r>
      <w:hyperlink r:id="R9e57832b85124d90">
        <w:r w:rsidRPr="522D1F8A" w:rsidR="67467A49">
          <w:rPr>
            <w:rStyle w:val="Hyperlink"/>
            <w:rFonts w:ascii="Arial" w:hAnsi="Arial" w:eastAsia="Arial" w:cs="Arial"/>
            <w:i w:val="0"/>
            <w:iCs w:val="0"/>
            <w:sz w:val="24"/>
            <w:szCs w:val="24"/>
          </w:rPr>
          <w:t>http://</w:t>
        </w:r>
        <w:r w:rsidRPr="522D1F8A" w:rsidR="7293E441">
          <w:rPr>
            <w:rStyle w:val="Hyperlink"/>
            <w:rFonts w:ascii="Arial" w:hAnsi="Arial" w:eastAsia="Arial" w:cs="Arial"/>
            <w:i w:val="0"/>
            <w:iCs w:val="0"/>
            <w:sz w:val="24"/>
            <w:szCs w:val="24"/>
          </w:rPr>
          <w:t>www.sponsorship.co.uk/in_sponsorship/in_sponsorship.htm</w:t>
        </w:r>
      </w:hyperlink>
      <w:r w:rsidR="7293E441">
        <w:rPr/>
        <w:t xml:space="preserve"> </w:t>
      </w:r>
      <w:r w:rsidRPr="522D1F8A" w:rsidR="7293E441">
        <w:rPr>
          <w:rFonts w:ascii="Arial" w:hAnsi="Arial" w:eastAsia="Arial" w:cs="Arial"/>
          <w:sz w:val="24"/>
          <w:szCs w:val="24"/>
        </w:rPr>
        <w:t>Acces</w:t>
      </w:r>
      <w:r w:rsidRPr="522D1F8A" w:rsidR="134171A9">
        <w:rPr>
          <w:rFonts w:ascii="Arial" w:hAnsi="Arial" w:eastAsia="Arial" w:cs="Arial"/>
          <w:sz w:val="24"/>
          <w:szCs w:val="24"/>
        </w:rPr>
        <w:t>sed 31st October 2011.</w:t>
      </w:r>
    </w:p>
    <w:p w:rsidR="6155DCED" w:rsidP="522D1F8A" w:rsidRDefault="6155DCED" w14:paraId="4A891F33" w14:textId="42729A79">
      <w:pPr>
        <w:pStyle w:val="Normal"/>
        <w:spacing w:line="480" w:lineRule="auto"/>
        <w:rPr>
          <w:rFonts w:ascii="Arial" w:hAnsi="Arial" w:eastAsia="Arial" w:cs="Arial"/>
          <w:b w:val="0"/>
          <w:bCs w:val="0"/>
          <w:i w:val="0"/>
          <w:iCs w:val="0"/>
          <w:caps w:val="0"/>
          <w:smallCaps w:val="0"/>
          <w:noProof w:val="0"/>
          <w:color w:val="auto"/>
          <w:sz w:val="24"/>
          <w:szCs w:val="24"/>
          <w:lang w:val="en-GB"/>
        </w:rPr>
      </w:pPr>
      <w:proofErr w:type="spellStart"/>
      <w:r w:rsidRPr="522D1F8A" w:rsidR="6155DCED">
        <w:rPr>
          <w:rFonts w:ascii="Arial" w:hAnsi="Arial" w:eastAsia="Arial" w:cs="Arial"/>
          <w:b w:val="0"/>
          <w:bCs w:val="0"/>
          <w:i w:val="0"/>
          <w:iCs w:val="0"/>
          <w:caps w:val="0"/>
          <w:smallCaps w:val="0"/>
          <w:noProof w:val="0"/>
          <w:color w:val="auto"/>
          <w:sz w:val="24"/>
          <w:szCs w:val="24"/>
          <w:lang w:val="en-GB"/>
        </w:rPr>
        <w:t>Bladen</w:t>
      </w:r>
      <w:proofErr w:type="spellEnd"/>
      <w:r w:rsidRPr="522D1F8A" w:rsidR="6155DCED">
        <w:rPr>
          <w:rFonts w:ascii="Arial" w:hAnsi="Arial" w:eastAsia="Arial" w:cs="Arial"/>
          <w:b w:val="0"/>
          <w:bCs w:val="0"/>
          <w:i w:val="0"/>
          <w:iCs w:val="0"/>
          <w:caps w:val="0"/>
          <w:smallCaps w:val="0"/>
          <w:noProof w:val="0"/>
          <w:color w:val="auto"/>
          <w:sz w:val="24"/>
          <w:szCs w:val="24"/>
          <w:lang w:val="en-GB"/>
        </w:rPr>
        <w:t xml:space="preserve">. (2012), (pg. 177). Events </w:t>
      </w:r>
      <w:proofErr w:type="gramStart"/>
      <w:r w:rsidRPr="522D1F8A" w:rsidR="6155DCED">
        <w:rPr>
          <w:rFonts w:ascii="Arial" w:hAnsi="Arial" w:eastAsia="Arial" w:cs="Arial"/>
          <w:b w:val="0"/>
          <w:bCs w:val="0"/>
          <w:i w:val="0"/>
          <w:iCs w:val="0"/>
          <w:caps w:val="0"/>
          <w:smallCaps w:val="0"/>
          <w:noProof w:val="0"/>
          <w:color w:val="auto"/>
          <w:sz w:val="24"/>
          <w:szCs w:val="24"/>
          <w:lang w:val="en-GB"/>
        </w:rPr>
        <w:t>management :</w:t>
      </w:r>
      <w:proofErr w:type="gramEnd"/>
      <w:r w:rsidRPr="522D1F8A" w:rsidR="6155DCED">
        <w:rPr>
          <w:rFonts w:ascii="Arial" w:hAnsi="Arial" w:eastAsia="Arial" w:cs="Arial"/>
          <w:b w:val="0"/>
          <w:bCs w:val="0"/>
          <w:i w:val="0"/>
          <w:iCs w:val="0"/>
          <w:caps w:val="0"/>
          <w:smallCaps w:val="0"/>
          <w:noProof w:val="0"/>
          <w:color w:val="auto"/>
          <w:sz w:val="24"/>
          <w:szCs w:val="24"/>
          <w:lang w:val="en-GB"/>
        </w:rPr>
        <w:t xml:space="preserve"> an introduction (1st ed.). Routledge. </w:t>
      </w:r>
      <w:hyperlink r:id="Rfe39a51776d54e6e">
        <w:r w:rsidRPr="522D1F8A" w:rsidR="6155DCED">
          <w:rPr>
            <w:rStyle w:val="Hyperlink"/>
            <w:rFonts w:ascii="Arial" w:hAnsi="Arial" w:eastAsia="Arial" w:cs="Arial"/>
            <w:b w:val="0"/>
            <w:bCs w:val="0"/>
            <w:i w:val="0"/>
            <w:iCs w:val="0"/>
            <w:caps w:val="0"/>
            <w:smallCaps w:val="0"/>
            <w:noProof w:val="0"/>
            <w:sz w:val="24"/>
            <w:szCs w:val="24"/>
            <w:lang w:val="en-GB"/>
          </w:rPr>
          <w:t>https://doi.org/10.4324/9780203852972</w:t>
        </w:r>
      </w:hyperlink>
    </w:p>
    <w:p w:rsidR="4BCD2C8C" w:rsidP="522D1F8A" w:rsidRDefault="4BCD2C8C" w14:paraId="4B23D200" w14:textId="5BACA967">
      <w:pPr>
        <w:pStyle w:val="Normal"/>
        <w:spacing w:line="480" w:lineRule="auto"/>
        <w:rPr>
          <w:rFonts w:ascii="Arial" w:hAnsi="Arial" w:eastAsia="Arial" w:cs="Arial"/>
          <w:b w:val="0"/>
          <w:bCs w:val="0"/>
          <w:i w:val="0"/>
          <w:iCs w:val="0"/>
          <w:caps w:val="0"/>
          <w:smallCaps w:val="0"/>
          <w:noProof w:val="0"/>
          <w:color w:val="auto"/>
          <w:sz w:val="24"/>
          <w:szCs w:val="24"/>
          <w:lang w:val="en-GB"/>
        </w:rPr>
      </w:pPr>
      <w:r w:rsidRPr="522D1F8A" w:rsidR="4BCD2C8C">
        <w:rPr>
          <w:rFonts w:ascii="Arial" w:hAnsi="Arial" w:eastAsia="Arial" w:cs="Arial"/>
          <w:b w:val="0"/>
          <w:bCs w:val="0"/>
          <w:i w:val="0"/>
          <w:iCs w:val="0"/>
          <w:caps w:val="0"/>
          <w:smallCaps w:val="0"/>
          <w:noProof w:val="0"/>
          <w:color w:val="auto"/>
          <w:sz w:val="24"/>
          <w:szCs w:val="24"/>
          <w:lang w:val="en-GB"/>
        </w:rPr>
        <w:t>Bladen</w:t>
      </w:r>
      <w:r w:rsidRPr="522D1F8A" w:rsidR="4BCD2C8C">
        <w:rPr>
          <w:rFonts w:ascii="Arial" w:hAnsi="Arial" w:eastAsia="Arial" w:cs="Arial"/>
          <w:b w:val="0"/>
          <w:bCs w:val="0"/>
          <w:i w:val="0"/>
          <w:iCs w:val="0"/>
          <w:caps w:val="0"/>
          <w:smallCaps w:val="0"/>
          <w:noProof w:val="0"/>
          <w:color w:val="auto"/>
          <w:sz w:val="24"/>
          <w:szCs w:val="24"/>
          <w:lang w:val="en-GB"/>
        </w:rPr>
        <w:t>. (2012)</w:t>
      </w:r>
      <w:r w:rsidRPr="522D1F8A" w:rsidR="391AC8BE">
        <w:rPr>
          <w:rFonts w:ascii="Arial" w:hAnsi="Arial" w:eastAsia="Arial" w:cs="Arial"/>
          <w:b w:val="0"/>
          <w:bCs w:val="0"/>
          <w:i w:val="0"/>
          <w:iCs w:val="0"/>
          <w:caps w:val="0"/>
          <w:smallCaps w:val="0"/>
          <w:noProof w:val="0"/>
          <w:color w:val="auto"/>
          <w:sz w:val="24"/>
          <w:szCs w:val="24"/>
          <w:lang w:val="en-GB"/>
        </w:rPr>
        <w:t xml:space="preserve">, (pg. 215). </w:t>
      </w:r>
      <w:r w:rsidRPr="522D1F8A" w:rsidR="4BCD2C8C">
        <w:rPr>
          <w:rFonts w:ascii="Arial" w:hAnsi="Arial" w:eastAsia="Arial" w:cs="Arial"/>
          <w:b w:val="0"/>
          <w:bCs w:val="0"/>
          <w:i w:val="0"/>
          <w:iCs w:val="0"/>
          <w:caps w:val="0"/>
          <w:smallCaps w:val="0"/>
          <w:noProof w:val="0"/>
          <w:color w:val="auto"/>
          <w:sz w:val="24"/>
          <w:szCs w:val="24"/>
          <w:lang w:val="en-GB"/>
        </w:rPr>
        <w:t xml:space="preserve">Events </w:t>
      </w:r>
      <w:r w:rsidRPr="522D1F8A" w:rsidR="4BCD2C8C">
        <w:rPr>
          <w:rFonts w:ascii="Arial" w:hAnsi="Arial" w:eastAsia="Arial" w:cs="Arial"/>
          <w:b w:val="0"/>
          <w:bCs w:val="0"/>
          <w:i w:val="0"/>
          <w:iCs w:val="0"/>
          <w:caps w:val="0"/>
          <w:smallCaps w:val="0"/>
          <w:noProof w:val="0"/>
          <w:color w:val="auto"/>
          <w:sz w:val="24"/>
          <w:szCs w:val="24"/>
          <w:lang w:val="en-GB"/>
        </w:rPr>
        <w:t>management :</w:t>
      </w:r>
      <w:r w:rsidRPr="522D1F8A" w:rsidR="4BCD2C8C">
        <w:rPr>
          <w:rFonts w:ascii="Arial" w:hAnsi="Arial" w:eastAsia="Arial" w:cs="Arial"/>
          <w:b w:val="0"/>
          <w:bCs w:val="0"/>
          <w:i w:val="0"/>
          <w:iCs w:val="0"/>
          <w:caps w:val="0"/>
          <w:smallCaps w:val="0"/>
          <w:noProof w:val="0"/>
          <w:color w:val="auto"/>
          <w:sz w:val="24"/>
          <w:szCs w:val="24"/>
          <w:lang w:val="en-GB"/>
        </w:rPr>
        <w:t xml:space="preserve"> an introduction (1st ed.). Routledge. </w:t>
      </w:r>
      <w:hyperlink r:id="R2b4088fa94f44546">
        <w:r w:rsidRPr="522D1F8A" w:rsidR="4BCD2C8C">
          <w:rPr>
            <w:rStyle w:val="Hyperlink"/>
            <w:rFonts w:ascii="Arial" w:hAnsi="Arial" w:eastAsia="Arial" w:cs="Arial"/>
            <w:b w:val="0"/>
            <w:bCs w:val="0"/>
            <w:i w:val="0"/>
            <w:iCs w:val="0"/>
            <w:caps w:val="0"/>
            <w:smallCaps w:val="0"/>
            <w:noProof w:val="0"/>
            <w:sz w:val="24"/>
            <w:szCs w:val="24"/>
            <w:lang w:val="en-GB"/>
          </w:rPr>
          <w:t>https://doi.org/10.4324/9780203852972</w:t>
        </w:r>
      </w:hyperlink>
    </w:p>
    <w:p w:rsidR="16069B82" w:rsidP="522D1F8A" w:rsidRDefault="16069B82" w14:paraId="1676BF57" w14:textId="4B84BDE6">
      <w:pPr>
        <w:pStyle w:val="Normal"/>
        <w:spacing w:line="480" w:lineRule="auto"/>
        <w:rPr>
          <w:rFonts w:ascii="Arial" w:hAnsi="Arial" w:eastAsia="Arial" w:cs="Arial"/>
          <w:b w:val="0"/>
          <w:bCs w:val="0"/>
          <w:i w:val="0"/>
          <w:iCs w:val="0"/>
          <w:caps w:val="0"/>
          <w:smallCaps w:val="0"/>
          <w:noProof w:val="0"/>
          <w:color w:val="auto"/>
          <w:sz w:val="24"/>
          <w:szCs w:val="24"/>
          <w:lang w:val="en-GB"/>
        </w:rPr>
      </w:pPr>
      <w:proofErr w:type="spellStart"/>
      <w:r w:rsidRPr="522D1F8A" w:rsidR="16069B82">
        <w:rPr>
          <w:rFonts w:ascii="Arial" w:hAnsi="Arial" w:eastAsia="Arial" w:cs="Arial"/>
          <w:b w:val="0"/>
          <w:bCs w:val="0"/>
          <w:i w:val="0"/>
          <w:iCs w:val="0"/>
          <w:caps w:val="0"/>
          <w:smallCaps w:val="0"/>
          <w:noProof w:val="0"/>
          <w:color w:val="auto"/>
          <w:sz w:val="24"/>
          <w:szCs w:val="24"/>
          <w:lang w:val="en-GB"/>
        </w:rPr>
        <w:t>Bladen</w:t>
      </w:r>
      <w:proofErr w:type="spellEnd"/>
      <w:r w:rsidRPr="522D1F8A" w:rsidR="16069B82">
        <w:rPr>
          <w:rFonts w:ascii="Arial" w:hAnsi="Arial" w:eastAsia="Arial" w:cs="Arial"/>
          <w:b w:val="0"/>
          <w:bCs w:val="0"/>
          <w:i w:val="0"/>
          <w:iCs w:val="0"/>
          <w:caps w:val="0"/>
          <w:smallCaps w:val="0"/>
          <w:noProof w:val="0"/>
          <w:color w:val="auto"/>
          <w:sz w:val="24"/>
          <w:szCs w:val="24"/>
          <w:lang w:val="en-GB"/>
        </w:rPr>
        <w:t xml:space="preserve">. (2012), (pg. 277). Events </w:t>
      </w:r>
      <w:proofErr w:type="gramStart"/>
      <w:r w:rsidRPr="522D1F8A" w:rsidR="16069B82">
        <w:rPr>
          <w:rFonts w:ascii="Arial" w:hAnsi="Arial" w:eastAsia="Arial" w:cs="Arial"/>
          <w:b w:val="0"/>
          <w:bCs w:val="0"/>
          <w:i w:val="0"/>
          <w:iCs w:val="0"/>
          <w:caps w:val="0"/>
          <w:smallCaps w:val="0"/>
          <w:noProof w:val="0"/>
          <w:color w:val="auto"/>
          <w:sz w:val="24"/>
          <w:szCs w:val="24"/>
          <w:lang w:val="en-GB"/>
        </w:rPr>
        <w:t>management :</w:t>
      </w:r>
      <w:proofErr w:type="gramEnd"/>
      <w:r w:rsidRPr="522D1F8A" w:rsidR="16069B82">
        <w:rPr>
          <w:rFonts w:ascii="Arial" w:hAnsi="Arial" w:eastAsia="Arial" w:cs="Arial"/>
          <w:b w:val="0"/>
          <w:bCs w:val="0"/>
          <w:i w:val="0"/>
          <w:iCs w:val="0"/>
          <w:caps w:val="0"/>
          <w:smallCaps w:val="0"/>
          <w:noProof w:val="0"/>
          <w:color w:val="auto"/>
          <w:sz w:val="24"/>
          <w:szCs w:val="24"/>
          <w:lang w:val="en-GB"/>
        </w:rPr>
        <w:t xml:space="preserve"> an introduction (1st ed.). Routledge. </w:t>
      </w:r>
      <w:hyperlink r:id="Rfb7a7b95211d45b2">
        <w:r w:rsidRPr="522D1F8A" w:rsidR="16069B82">
          <w:rPr>
            <w:rStyle w:val="Hyperlink"/>
            <w:rFonts w:ascii="Arial" w:hAnsi="Arial" w:eastAsia="Arial" w:cs="Arial"/>
            <w:b w:val="0"/>
            <w:bCs w:val="0"/>
            <w:i w:val="0"/>
            <w:iCs w:val="0"/>
            <w:caps w:val="0"/>
            <w:smallCaps w:val="0"/>
            <w:noProof w:val="0"/>
            <w:sz w:val="24"/>
            <w:szCs w:val="24"/>
            <w:lang w:val="en-GB"/>
          </w:rPr>
          <w:t>https://doi.org/10.4324/9780203852972</w:t>
        </w:r>
      </w:hyperlink>
    </w:p>
    <w:p w:rsidR="4B289347" w:rsidP="522D1F8A" w:rsidRDefault="4B289347" w14:paraId="48B4A415" w14:textId="250CDBD9">
      <w:pPr>
        <w:pStyle w:val="Normal"/>
        <w:spacing w:line="480" w:lineRule="auto"/>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r w:rsidRPr="522D1F8A" w:rsidR="4B28934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Bowdin, G., O'Toole, W., Allen, J., Harris, R., &amp; McDonnell, I. (2006).</w:t>
      </w:r>
      <w:r w:rsidRPr="522D1F8A" w:rsidR="4B28934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Events Management (2nd ed.). Routledge</w:t>
      </w:r>
    </w:p>
    <w:p w:rsidR="7314606B" w:rsidP="522D1F8A" w:rsidRDefault="7314606B" w14:paraId="4CA7EB4B" w14:textId="2DD1BFA3">
      <w:pPr>
        <w:pStyle w:val="Normal"/>
        <w:spacing w:line="480" w:lineRule="auto"/>
        <w:rPr>
          <w:rFonts w:ascii="Arial" w:hAnsi="Arial" w:eastAsia="Arial" w:cs="Arial"/>
          <w:i w:val="0"/>
          <w:iCs w:val="0"/>
          <w:sz w:val="24"/>
          <w:szCs w:val="24"/>
        </w:rPr>
      </w:pPr>
      <w:r w:rsidRPr="522D1F8A" w:rsidR="7314606B">
        <w:rPr>
          <w:rFonts w:ascii="Arial" w:hAnsi="Arial" w:eastAsia="Arial" w:cs="Arial"/>
          <w:sz w:val="24"/>
          <w:szCs w:val="24"/>
        </w:rPr>
        <w:t xml:space="preserve">Bowdin, G., O’Toole, W., Allen, J., Harris, R., &amp; McDonnell, I. (2011), (pg. 19). </w:t>
      </w:r>
      <w:r w:rsidRPr="522D1F8A" w:rsidR="7314606B">
        <w:rPr>
          <w:rFonts w:ascii="Arial" w:hAnsi="Arial" w:eastAsia="Arial" w:cs="Arial"/>
          <w:i w:val="1"/>
          <w:iCs w:val="1"/>
          <w:sz w:val="24"/>
          <w:szCs w:val="24"/>
        </w:rPr>
        <w:t xml:space="preserve">Events Management </w:t>
      </w:r>
      <w:r w:rsidRPr="522D1F8A" w:rsidR="7314606B">
        <w:rPr>
          <w:rFonts w:ascii="Arial" w:hAnsi="Arial" w:eastAsia="Arial" w:cs="Arial"/>
          <w:i w:val="0"/>
          <w:iCs w:val="0"/>
          <w:sz w:val="24"/>
          <w:szCs w:val="24"/>
        </w:rPr>
        <w:t>(3</w:t>
      </w:r>
      <w:r w:rsidRPr="522D1F8A" w:rsidR="7314606B">
        <w:rPr>
          <w:rFonts w:ascii="Arial" w:hAnsi="Arial" w:eastAsia="Arial" w:cs="Arial"/>
          <w:i w:val="0"/>
          <w:iCs w:val="0"/>
          <w:sz w:val="24"/>
          <w:szCs w:val="24"/>
          <w:vertAlign w:val="superscript"/>
        </w:rPr>
        <w:t>rd</w:t>
      </w:r>
      <w:r w:rsidRPr="522D1F8A" w:rsidR="7314606B">
        <w:rPr>
          <w:rFonts w:ascii="Arial" w:hAnsi="Arial" w:eastAsia="Arial" w:cs="Arial"/>
          <w:i w:val="0"/>
          <w:iCs w:val="0"/>
          <w:sz w:val="24"/>
          <w:szCs w:val="24"/>
        </w:rPr>
        <w:t xml:space="preserve"> ed.). Oxford: Elsevier Butterworth-Heinemann</w:t>
      </w:r>
    </w:p>
    <w:p w:rsidR="5782A706" w:rsidP="522D1F8A" w:rsidRDefault="5782A706" w14:paraId="2A8CB4F7" w14:textId="202A615E">
      <w:pPr>
        <w:pStyle w:val="Normal"/>
        <w:spacing w:line="480" w:lineRule="auto"/>
        <w:rPr>
          <w:rFonts w:ascii="Arial" w:hAnsi="Arial" w:eastAsia="Arial" w:cs="Arial"/>
          <w:i w:val="0"/>
          <w:iCs w:val="0"/>
          <w:sz w:val="24"/>
          <w:szCs w:val="24"/>
        </w:rPr>
      </w:pPr>
      <w:r w:rsidRPr="522D1F8A" w:rsidR="5782A706">
        <w:rPr>
          <w:rFonts w:ascii="Arial" w:hAnsi="Arial" w:eastAsia="Arial" w:cs="Arial"/>
          <w:sz w:val="24"/>
          <w:szCs w:val="24"/>
        </w:rPr>
        <w:t xml:space="preserve">Bowdin, G., O’Toole, W., Allen, J., Harris, R., &amp; McDonnell, I. (2011), (pg. 53). </w:t>
      </w:r>
      <w:r w:rsidRPr="522D1F8A" w:rsidR="5782A706">
        <w:rPr>
          <w:rFonts w:ascii="Arial" w:hAnsi="Arial" w:eastAsia="Arial" w:cs="Arial"/>
          <w:i w:val="1"/>
          <w:iCs w:val="1"/>
          <w:sz w:val="24"/>
          <w:szCs w:val="24"/>
        </w:rPr>
        <w:t xml:space="preserve">Events Management </w:t>
      </w:r>
      <w:r w:rsidRPr="522D1F8A" w:rsidR="5782A706">
        <w:rPr>
          <w:rFonts w:ascii="Arial" w:hAnsi="Arial" w:eastAsia="Arial" w:cs="Arial"/>
          <w:i w:val="0"/>
          <w:iCs w:val="0"/>
          <w:sz w:val="24"/>
          <w:szCs w:val="24"/>
        </w:rPr>
        <w:t>(3</w:t>
      </w:r>
      <w:r w:rsidRPr="522D1F8A" w:rsidR="5782A706">
        <w:rPr>
          <w:rFonts w:ascii="Arial" w:hAnsi="Arial" w:eastAsia="Arial" w:cs="Arial"/>
          <w:i w:val="0"/>
          <w:iCs w:val="0"/>
          <w:sz w:val="24"/>
          <w:szCs w:val="24"/>
          <w:vertAlign w:val="superscript"/>
        </w:rPr>
        <w:t>rd</w:t>
      </w:r>
      <w:r w:rsidRPr="522D1F8A" w:rsidR="5782A706">
        <w:rPr>
          <w:rFonts w:ascii="Arial" w:hAnsi="Arial" w:eastAsia="Arial" w:cs="Arial"/>
          <w:i w:val="0"/>
          <w:iCs w:val="0"/>
          <w:sz w:val="24"/>
          <w:szCs w:val="24"/>
        </w:rPr>
        <w:t xml:space="preserve"> ed.). Oxford: Elsevier Butterworth-Heinemann</w:t>
      </w:r>
    </w:p>
    <w:p w:rsidR="685E52E2" w:rsidP="522D1F8A" w:rsidRDefault="685E52E2" w14:paraId="36D9D49D" w14:textId="479E4E03">
      <w:pPr>
        <w:pStyle w:val="Normal"/>
        <w:spacing w:line="480" w:lineRule="auto"/>
        <w:rPr>
          <w:rFonts w:ascii="Arial" w:hAnsi="Arial" w:eastAsia="Arial" w:cs="Arial"/>
          <w:i w:val="0"/>
          <w:iCs w:val="0"/>
          <w:sz w:val="24"/>
          <w:szCs w:val="24"/>
        </w:rPr>
      </w:pPr>
      <w:r w:rsidRPr="522D1F8A" w:rsidR="685E52E2">
        <w:rPr>
          <w:rFonts w:ascii="Arial" w:hAnsi="Arial" w:eastAsia="Arial" w:cs="Arial"/>
          <w:sz w:val="24"/>
          <w:szCs w:val="24"/>
        </w:rPr>
        <w:t>Bowdin, G., O’Toole, W., Allen, J., Harris, R., &amp; McDonnell, I. (2011), (</w:t>
      </w:r>
      <w:r w:rsidRPr="522D1F8A" w:rsidR="2AFAB749">
        <w:rPr>
          <w:rFonts w:ascii="Arial" w:hAnsi="Arial" w:eastAsia="Arial" w:cs="Arial"/>
          <w:sz w:val="24"/>
          <w:szCs w:val="24"/>
        </w:rPr>
        <w:t>pg.</w:t>
      </w:r>
      <w:r w:rsidRPr="522D1F8A" w:rsidR="685E52E2">
        <w:rPr>
          <w:rFonts w:ascii="Arial" w:hAnsi="Arial" w:eastAsia="Arial" w:cs="Arial"/>
          <w:sz w:val="24"/>
          <w:szCs w:val="24"/>
        </w:rPr>
        <w:t xml:space="preserve"> 67). </w:t>
      </w:r>
      <w:r w:rsidRPr="522D1F8A" w:rsidR="685E52E2">
        <w:rPr>
          <w:rFonts w:ascii="Arial" w:hAnsi="Arial" w:eastAsia="Arial" w:cs="Arial"/>
          <w:i w:val="1"/>
          <w:iCs w:val="1"/>
          <w:sz w:val="24"/>
          <w:szCs w:val="24"/>
        </w:rPr>
        <w:t xml:space="preserve">Events Management </w:t>
      </w:r>
      <w:r w:rsidRPr="522D1F8A" w:rsidR="1ABA3D6E">
        <w:rPr>
          <w:rFonts w:ascii="Arial" w:hAnsi="Arial" w:eastAsia="Arial" w:cs="Arial"/>
          <w:i w:val="0"/>
          <w:iCs w:val="0"/>
          <w:sz w:val="24"/>
          <w:szCs w:val="24"/>
        </w:rPr>
        <w:t>(3</w:t>
      </w:r>
      <w:r w:rsidRPr="522D1F8A" w:rsidR="1ABA3D6E">
        <w:rPr>
          <w:rFonts w:ascii="Arial" w:hAnsi="Arial" w:eastAsia="Arial" w:cs="Arial"/>
          <w:i w:val="0"/>
          <w:iCs w:val="0"/>
          <w:sz w:val="24"/>
          <w:szCs w:val="24"/>
          <w:vertAlign w:val="superscript"/>
        </w:rPr>
        <w:t>rd</w:t>
      </w:r>
      <w:r w:rsidRPr="522D1F8A" w:rsidR="1ABA3D6E">
        <w:rPr>
          <w:rFonts w:ascii="Arial" w:hAnsi="Arial" w:eastAsia="Arial" w:cs="Arial"/>
          <w:i w:val="0"/>
          <w:iCs w:val="0"/>
          <w:sz w:val="24"/>
          <w:szCs w:val="24"/>
        </w:rPr>
        <w:t xml:space="preserve"> ed.). </w:t>
      </w:r>
      <w:r w:rsidRPr="522D1F8A" w:rsidR="1862D4F3">
        <w:rPr>
          <w:rFonts w:ascii="Arial" w:hAnsi="Arial" w:eastAsia="Arial" w:cs="Arial"/>
          <w:i w:val="0"/>
          <w:iCs w:val="0"/>
          <w:sz w:val="24"/>
          <w:szCs w:val="24"/>
        </w:rPr>
        <w:t xml:space="preserve">Oxford: Elsevier Butterworth-Heinemann </w:t>
      </w:r>
    </w:p>
    <w:p w:rsidR="527974F0" w:rsidP="522D1F8A" w:rsidRDefault="527974F0" w14:paraId="6EBCFA38" w14:textId="5B53F87A">
      <w:pPr>
        <w:pStyle w:val="Normal"/>
        <w:spacing w:line="480" w:lineRule="auto"/>
        <w:rPr>
          <w:rFonts w:ascii="Arial" w:hAnsi="Arial" w:eastAsia="Arial" w:cs="Arial"/>
          <w:i w:val="0"/>
          <w:iCs w:val="0"/>
          <w:sz w:val="24"/>
          <w:szCs w:val="24"/>
        </w:rPr>
      </w:pPr>
      <w:r w:rsidRPr="522D1F8A" w:rsidR="527974F0">
        <w:rPr>
          <w:rFonts w:ascii="Arial" w:hAnsi="Arial" w:eastAsia="Arial" w:cs="Arial"/>
          <w:sz w:val="24"/>
          <w:szCs w:val="24"/>
        </w:rPr>
        <w:t xml:space="preserve">Bowdin, G., O’Toole, W., Allen, J., Harris, R., &amp; McDonnell, I. (2011), (pg. 234). </w:t>
      </w:r>
      <w:r w:rsidRPr="522D1F8A" w:rsidR="527974F0">
        <w:rPr>
          <w:rFonts w:ascii="Arial" w:hAnsi="Arial" w:eastAsia="Arial" w:cs="Arial"/>
          <w:i w:val="1"/>
          <w:iCs w:val="1"/>
          <w:sz w:val="24"/>
          <w:szCs w:val="24"/>
        </w:rPr>
        <w:t xml:space="preserve">Events Management </w:t>
      </w:r>
      <w:r w:rsidRPr="522D1F8A" w:rsidR="527974F0">
        <w:rPr>
          <w:rFonts w:ascii="Arial" w:hAnsi="Arial" w:eastAsia="Arial" w:cs="Arial"/>
          <w:i w:val="0"/>
          <w:iCs w:val="0"/>
          <w:sz w:val="24"/>
          <w:szCs w:val="24"/>
        </w:rPr>
        <w:t>(3</w:t>
      </w:r>
      <w:r w:rsidRPr="522D1F8A" w:rsidR="527974F0">
        <w:rPr>
          <w:rFonts w:ascii="Arial" w:hAnsi="Arial" w:eastAsia="Arial" w:cs="Arial"/>
          <w:i w:val="0"/>
          <w:iCs w:val="0"/>
          <w:sz w:val="24"/>
          <w:szCs w:val="24"/>
          <w:vertAlign w:val="superscript"/>
        </w:rPr>
        <w:t>rd</w:t>
      </w:r>
      <w:r w:rsidRPr="522D1F8A" w:rsidR="527974F0">
        <w:rPr>
          <w:rFonts w:ascii="Arial" w:hAnsi="Arial" w:eastAsia="Arial" w:cs="Arial"/>
          <w:i w:val="0"/>
          <w:iCs w:val="0"/>
          <w:sz w:val="24"/>
          <w:szCs w:val="24"/>
        </w:rPr>
        <w:t xml:space="preserve"> ed.). Oxford: Elsevier Butterworth-Heinemann</w:t>
      </w:r>
    </w:p>
    <w:p w:rsidR="527974F0" w:rsidP="522D1F8A" w:rsidRDefault="527974F0" w14:paraId="77DCF4C7" w14:textId="3B3402FD">
      <w:pPr>
        <w:pStyle w:val="Normal"/>
        <w:spacing w:line="480" w:lineRule="auto"/>
        <w:rPr>
          <w:rFonts w:ascii="Arial" w:hAnsi="Arial" w:eastAsia="Arial" w:cs="Arial"/>
          <w:i w:val="0"/>
          <w:iCs w:val="0"/>
          <w:sz w:val="24"/>
          <w:szCs w:val="24"/>
        </w:rPr>
      </w:pPr>
      <w:r w:rsidRPr="522D1F8A" w:rsidR="527974F0">
        <w:rPr>
          <w:rFonts w:ascii="Arial" w:hAnsi="Arial" w:eastAsia="Arial" w:cs="Arial"/>
          <w:sz w:val="24"/>
          <w:szCs w:val="24"/>
        </w:rPr>
        <w:t xml:space="preserve">Bowdin, G., O’Toole, W., Allen, J., Harris, R., &amp; McDonnell, I. (2011), (pg. 235). </w:t>
      </w:r>
      <w:r w:rsidRPr="522D1F8A" w:rsidR="527974F0">
        <w:rPr>
          <w:rFonts w:ascii="Arial" w:hAnsi="Arial" w:eastAsia="Arial" w:cs="Arial"/>
          <w:i w:val="1"/>
          <w:iCs w:val="1"/>
          <w:sz w:val="24"/>
          <w:szCs w:val="24"/>
        </w:rPr>
        <w:t xml:space="preserve">Events Management </w:t>
      </w:r>
      <w:r w:rsidRPr="522D1F8A" w:rsidR="527974F0">
        <w:rPr>
          <w:rFonts w:ascii="Arial" w:hAnsi="Arial" w:eastAsia="Arial" w:cs="Arial"/>
          <w:i w:val="0"/>
          <w:iCs w:val="0"/>
          <w:sz w:val="24"/>
          <w:szCs w:val="24"/>
        </w:rPr>
        <w:t>(3</w:t>
      </w:r>
      <w:r w:rsidRPr="522D1F8A" w:rsidR="527974F0">
        <w:rPr>
          <w:rFonts w:ascii="Arial" w:hAnsi="Arial" w:eastAsia="Arial" w:cs="Arial"/>
          <w:i w:val="0"/>
          <w:iCs w:val="0"/>
          <w:sz w:val="24"/>
          <w:szCs w:val="24"/>
          <w:vertAlign w:val="superscript"/>
        </w:rPr>
        <w:t>rd</w:t>
      </w:r>
      <w:r w:rsidRPr="522D1F8A" w:rsidR="527974F0">
        <w:rPr>
          <w:rFonts w:ascii="Arial" w:hAnsi="Arial" w:eastAsia="Arial" w:cs="Arial"/>
          <w:i w:val="0"/>
          <w:iCs w:val="0"/>
          <w:sz w:val="24"/>
          <w:szCs w:val="24"/>
        </w:rPr>
        <w:t xml:space="preserve"> ed.). Oxford: Elsevier Butterworth-Heinemann</w:t>
      </w:r>
    </w:p>
    <w:p w:rsidR="01300267" w:rsidP="522D1F8A" w:rsidRDefault="01300267" w14:paraId="0430A580" w14:textId="7024B086">
      <w:pPr>
        <w:pStyle w:val="Normal"/>
        <w:spacing w:line="480" w:lineRule="auto"/>
        <w:rPr>
          <w:rFonts w:ascii="Arial" w:hAnsi="Arial" w:eastAsia="Arial" w:cs="Arial"/>
          <w:i w:val="0"/>
          <w:iCs w:val="0"/>
          <w:sz w:val="24"/>
          <w:szCs w:val="24"/>
        </w:rPr>
      </w:pPr>
      <w:r w:rsidRPr="522D1F8A" w:rsidR="01300267">
        <w:rPr>
          <w:rFonts w:ascii="Arial" w:hAnsi="Arial" w:eastAsia="Arial" w:cs="Arial"/>
          <w:i w:val="0"/>
          <w:iCs w:val="0"/>
          <w:sz w:val="24"/>
          <w:szCs w:val="24"/>
        </w:rPr>
        <w:t xml:space="preserve">Mintel (2008), </w:t>
      </w:r>
      <w:r w:rsidRPr="522D1F8A" w:rsidR="01300267">
        <w:rPr>
          <w:rFonts w:ascii="Arial" w:hAnsi="Arial" w:eastAsia="Arial" w:cs="Arial"/>
          <w:i w:val="1"/>
          <w:iCs w:val="1"/>
          <w:sz w:val="24"/>
          <w:szCs w:val="24"/>
        </w:rPr>
        <w:t xml:space="preserve">Music Concert Events and Festivals, </w:t>
      </w:r>
      <w:r w:rsidRPr="522D1F8A" w:rsidR="01300267">
        <w:rPr>
          <w:rFonts w:ascii="Arial" w:hAnsi="Arial" w:eastAsia="Arial" w:cs="Arial"/>
          <w:i w:val="0"/>
          <w:iCs w:val="0"/>
          <w:sz w:val="24"/>
          <w:szCs w:val="24"/>
        </w:rPr>
        <w:t>London</w:t>
      </w:r>
      <w:r w:rsidRPr="522D1F8A" w:rsidR="3152B919">
        <w:rPr>
          <w:rFonts w:ascii="Arial" w:hAnsi="Arial" w:eastAsia="Arial" w:cs="Arial"/>
          <w:i w:val="0"/>
          <w:iCs w:val="0"/>
          <w:sz w:val="24"/>
          <w:szCs w:val="24"/>
        </w:rPr>
        <w:t>: Mintel Group.</w:t>
      </w:r>
    </w:p>
    <w:p w:rsidR="522D1F8A" w:rsidP="522D1F8A" w:rsidRDefault="522D1F8A" w14:paraId="1C8F7D8A" w14:textId="30CAA504">
      <w:pPr>
        <w:pStyle w:val="Normal"/>
        <w:spacing w:line="480" w:lineRule="auto"/>
        <w:rPr>
          <w:rFonts w:ascii="Arial" w:hAnsi="Arial" w:eastAsia="Arial" w:cs="Arial"/>
          <w:i w:val="0"/>
          <w:iCs w:val="0"/>
          <w:sz w:val="24"/>
          <w:szCs w:val="24"/>
        </w:rPr>
      </w:pPr>
    </w:p>
    <w:p w:rsidR="456ECFB0" w:rsidP="522D1F8A" w:rsidRDefault="456ECFB0" w14:paraId="7B52FD10" w14:textId="474AF47A">
      <w:pPr>
        <w:pStyle w:val="Normal"/>
        <w:spacing w:line="480" w:lineRule="auto"/>
        <w:rPr>
          <w:rFonts w:ascii="Arial" w:hAnsi="Arial" w:eastAsia="Arial" w:cs="Arial"/>
          <w:sz w:val="24"/>
          <w:szCs w:val="24"/>
        </w:rPr>
      </w:pPr>
      <w:r w:rsidRPr="522D1F8A" w:rsidR="456ECFB0">
        <w:rPr>
          <w:rFonts w:ascii="Arial" w:hAnsi="Arial" w:eastAsia="Arial" w:cs="Arial"/>
          <w:sz w:val="24"/>
          <w:szCs w:val="24"/>
        </w:rPr>
        <w:t xml:space="preserve">Eurovision 2022: </w:t>
      </w:r>
      <w:r w:rsidRPr="522D1F8A" w:rsidR="456ECFB0">
        <w:rPr>
          <w:rFonts w:ascii="Arial" w:hAnsi="Arial" w:eastAsia="Arial" w:cs="Arial"/>
          <w:i w:val="1"/>
          <w:iCs w:val="1"/>
          <w:sz w:val="24"/>
          <w:szCs w:val="24"/>
        </w:rPr>
        <w:t>161 million viewers</w:t>
      </w:r>
      <w:r w:rsidRPr="522D1F8A" w:rsidR="456ECFB0">
        <w:rPr>
          <w:rFonts w:ascii="Arial" w:hAnsi="Arial" w:eastAsia="Arial" w:cs="Arial"/>
          <w:sz w:val="24"/>
          <w:szCs w:val="24"/>
        </w:rPr>
        <w:t xml:space="preserve"> (2022). Available at </w:t>
      </w:r>
      <w:hyperlink r:id="Re2ea6a076a464b93">
        <w:r w:rsidRPr="522D1F8A" w:rsidR="456ECFB0">
          <w:rPr>
            <w:rStyle w:val="Hyperlink"/>
            <w:rFonts w:ascii="Arial" w:hAnsi="Arial" w:eastAsia="Arial" w:cs="Arial"/>
            <w:sz w:val="24"/>
            <w:szCs w:val="24"/>
          </w:rPr>
          <w:t>https://eurovision.tv/story/eurovision-2022-161-million-viewers</w:t>
        </w:r>
      </w:hyperlink>
      <w:r w:rsidRPr="522D1F8A" w:rsidR="456ECFB0">
        <w:rPr>
          <w:rFonts w:ascii="Arial" w:hAnsi="Arial" w:eastAsia="Arial" w:cs="Arial"/>
          <w:sz w:val="24"/>
          <w:szCs w:val="24"/>
        </w:rPr>
        <w:t xml:space="preserve"> (Accessed: 6</w:t>
      </w:r>
      <w:r w:rsidRPr="522D1F8A" w:rsidR="456ECFB0">
        <w:rPr>
          <w:rFonts w:ascii="Arial" w:hAnsi="Arial" w:eastAsia="Arial" w:cs="Arial"/>
          <w:sz w:val="24"/>
          <w:szCs w:val="24"/>
          <w:vertAlign w:val="superscript"/>
        </w:rPr>
        <w:t>th</w:t>
      </w:r>
      <w:r w:rsidRPr="522D1F8A" w:rsidR="456ECFB0">
        <w:rPr>
          <w:rFonts w:ascii="Arial" w:hAnsi="Arial" w:eastAsia="Arial" w:cs="Arial"/>
          <w:sz w:val="24"/>
          <w:szCs w:val="24"/>
        </w:rPr>
        <w:t xml:space="preserve"> </w:t>
      </w:r>
      <w:r w:rsidRPr="522D1F8A" w:rsidR="3207B9AB">
        <w:rPr>
          <w:rFonts w:ascii="Arial" w:hAnsi="Arial" w:eastAsia="Arial" w:cs="Arial"/>
          <w:sz w:val="24"/>
          <w:szCs w:val="24"/>
        </w:rPr>
        <w:t>November</w:t>
      </w:r>
      <w:r w:rsidRPr="522D1F8A" w:rsidR="456ECFB0">
        <w:rPr>
          <w:rFonts w:ascii="Arial" w:hAnsi="Arial" w:eastAsia="Arial" w:cs="Arial"/>
          <w:sz w:val="24"/>
          <w:szCs w:val="24"/>
        </w:rPr>
        <w:t xml:space="preserve"> 2022).</w:t>
      </w:r>
    </w:p>
    <w:p w:rsidR="578AFD2A" w:rsidP="522D1F8A" w:rsidRDefault="578AFD2A" w14:paraId="3C164118" w14:textId="550CCB3D">
      <w:pPr>
        <w:pStyle w:val="Normal"/>
        <w:spacing w:line="480" w:lineRule="auto"/>
        <w:rPr>
          <w:rFonts w:ascii="Arial" w:hAnsi="Arial" w:eastAsia="Arial" w:cs="Arial"/>
          <w:i w:val="0"/>
          <w:iCs w:val="0"/>
          <w:sz w:val="24"/>
          <w:szCs w:val="24"/>
        </w:rPr>
      </w:pPr>
      <w:r w:rsidRPr="522D1F8A" w:rsidR="578AFD2A">
        <w:rPr>
          <w:rFonts w:ascii="Arial" w:hAnsi="Arial" w:eastAsia="Arial" w:cs="Arial"/>
          <w:sz w:val="24"/>
          <w:szCs w:val="24"/>
        </w:rPr>
        <w:t xml:space="preserve">Getz, D. (2005). </w:t>
      </w:r>
      <w:r w:rsidRPr="522D1F8A" w:rsidR="578AFD2A">
        <w:rPr>
          <w:rFonts w:ascii="Arial" w:hAnsi="Arial" w:eastAsia="Arial" w:cs="Arial"/>
          <w:i w:val="1"/>
          <w:iCs w:val="1"/>
          <w:sz w:val="24"/>
          <w:szCs w:val="24"/>
        </w:rPr>
        <w:t xml:space="preserve">Event Management and Event Tourism, </w:t>
      </w:r>
      <w:r w:rsidRPr="522D1F8A" w:rsidR="578AFD2A">
        <w:rPr>
          <w:rFonts w:ascii="Arial" w:hAnsi="Arial" w:eastAsia="Arial" w:cs="Arial"/>
          <w:i w:val="0"/>
          <w:iCs w:val="0"/>
          <w:sz w:val="24"/>
          <w:szCs w:val="24"/>
        </w:rPr>
        <w:t>(2</w:t>
      </w:r>
      <w:r w:rsidRPr="522D1F8A" w:rsidR="578AFD2A">
        <w:rPr>
          <w:rFonts w:ascii="Arial" w:hAnsi="Arial" w:eastAsia="Arial" w:cs="Arial"/>
          <w:i w:val="0"/>
          <w:iCs w:val="0"/>
          <w:sz w:val="24"/>
          <w:szCs w:val="24"/>
          <w:vertAlign w:val="superscript"/>
        </w:rPr>
        <w:t>nd</w:t>
      </w:r>
      <w:r w:rsidRPr="522D1F8A" w:rsidR="578AFD2A">
        <w:rPr>
          <w:rFonts w:ascii="Arial" w:hAnsi="Arial" w:eastAsia="Arial" w:cs="Arial"/>
          <w:i w:val="0"/>
          <w:iCs w:val="0"/>
          <w:sz w:val="24"/>
          <w:szCs w:val="24"/>
        </w:rPr>
        <w:t xml:space="preserve"> ed.). New York, Cognizant Communication </w:t>
      </w:r>
      <w:r w:rsidRPr="522D1F8A" w:rsidR="162FE25C">
        <w:rPr>
          <w:rFonts w:ascii="Arial" w:hAnsi="Arial" w:eastAsia="Arial" w:cs="Arial"/>
          <w:i w:val="0"/>
          <w:iCs w:val="0"/>
          <w:sz w:val="24"/>
          <w:szCs w:val="24"/>
        </w:rPr>
        <w:t>Corporation.</w:t>
      </w:r>
    </w:p>
    <w:p w:rsidR="162FE25C" w:rsidP="522D1F8A" w:rsidRDefault="162FE25C" w14:paraId="0B932547" w14:textId="2995F5AA">
      <w:pPr>
        <w:pStyle w:val="Normal"/>
        <w:spacing w:line="480" w:lineRule="auto"/>
        <w:rPr>
          <w:rFonts w:ascii="Arial" w:hAnsi="Arial" w:eastAsia="Arial" w:cs="Arial"/>
          <w:i w:val="0"/>
          <w:iCs w:val="0"/>
          <w:sz w:val="24"/>
          <w:szCs w:val="24"/>
        </w:rPr>
      </w:pPr>
      <w:r w:rsidRPr="522D1F8A" w:rsidR="162FE25C">
        <w:rPr>
          <w:rFonts w:ascii="Arial" w:hAnsi="Arial" w:eastAsia="Arial" w:cs="Arial"/>
          <w:i w:val="0"/>
          <w:iCs w:val="0"/>
          <w:sz w:val="24"/>
          <w:szCs w:val="24"/>
        </w:rPr>
        <w:t xml:space="preserve">Goldblatt, J. and Perry, J. (2002). </w:t>
      </w:r>
      <w:r w:rsidRPr="522D1F8A" w:rsidR="162FE25C">
        <w:rPr>
          <w:rFonts w:ascii="Arial" w:hAnsi="Arial" w:eastAsia="Arial" w:cs="Arial"/>
          <w:i w:val="0"/>
          <w:iCs w:val="0"/>
          <w:sz w:val="24"/>
          <w:szCs w:val="24"/>
        </w:rPr>
        <w:t xml:space="preserve">Re-building the community with fire, </w:t>
      </w:r>
      <w:r w:rsidRPr="522D1F8A" w:rsidR="162FE25C">
        <w:rPr>
          <w:rFonts w:ascii="Arial" w:hAnsi="Arial" w:eastAsia="Arial" w:cs="Arial"/>
          <w:i w:val="0"/>
          <w:iCs w:val="0"/>
          <w:sz w:val="24"/>
          <w:szCs w:val="24"/>
        </w:rPr>
        <w:t>water</w:t>
      </w:r>
      <w:r w:rsidRPr="522D1F8A" w:rsidR="162FE25C">
        <w:rPr>
          <w:rFonts w:ascii="Arial" w:hAnsi="Arial" w:eastAsia="Arial" w:cs="Arial"/>
          <w:i w:val="0"/>
          <w:iCs w:val="0"/>
          <w:sz w:val="24"/>
          <w:szCs w:val="24"/>
        </w:rPr>
        <w:t xml:space="preserve"> and music: the </w:t>
      </w:r>
      <w:proofErr w:type="spellStart"/>
      <w:r w:rsidRPr="522D1F8A" w:rsidR="162FE25C">
        <w:rPr>
          <w:rFonts w:ascii="Arial" w:hAnsi="Arial" w:eastAsia="Arial" w:cs="Arial"/>
          <w:i w:val="0"/>
          <w:iCs w:val="0"/>
          <w:sz w:val="24"/>
          <w:szCs w:val="24"/>
        </w:rPr>
        <w:t>waterfire</w:t>
      </w:r>
      <w:proofErr w:type="spellEnd"/>
      <w:r w:rsidRPr="522D1F8A" w:rsidR="162FE25C">
        <w:rPr>
          <w:rFonts w:ascii="Arial" w:hAnsi="Arial" w:eastAsia="Arial" w:cs="Arial"/>
          <w:i w:val="0"/>
          <w:iCs w:val="0"/>
          <w:sz w:val="24"/>
          <w:szCs w:val="24"/>
        </w:rPr>
        <w:t xml:space="preserve"> phenomenon.</w:t>
      </w:r>
      <w:r w:rsidRPr="522D1F8A" w:rsidR="162FE25C">
        <w:rPr>
          <w:rFonts w:ascii="Arial" w:hAnsi="Arial" w:eastAsia="Arial" w:cs="Arial"/>
          <w:i w:val="0"/>
          <w:iCs w:val="0"/>
          <w:sz w:val="24"/>
          <w:szCs w:val="24"/>
        </w:rPr>
        <w:t xml:space="preserve"> In </w:t>
      </w:r>
      <w:r w:rsidRPr="522D1F8A" w:rsidR="162FE25C">
        <w:rPr>
          <w:rFonts w:ascii="Arial" w:hAnsi="Arial" w:eastAsia="Arial" w:cs="Arial"/>
          <w:i w:val="1"/>
          <w:iCs w:val="1"/>
          <w:sz w:val="24"/>
          <w:szCs w:val="24"/>
        </w:rPr>
        <w:t>Events and Place-ma</w:t>
      </w:r>
      <w:r w:rsidRPr="522D1F8A" w:rsidR="10BC46C4">
        <w:rPr>
          <w:rFonts w:ascii="Arial" w:hAnsi="Arial" w:eastAsia="Arial" w:cs="Arial"/>
          <w:i w:val="1"/>
          <w:iCs w:val="1"/>
          <w:sz w:val="24"/>
          <w:szCs w:val="24"/>
        </w:rPr>
        <w:t>king: Proceedings of International Research Conference Held in Sydney 2002</w:t>
      </w:r>
      <w:r w:rsidRPr="522D1F8A" w:rsidR="0D13165B">
        <w:rPr>
          <w:rFonts w:ascii="Arial" w:hAnsi="Arial" w:eastAsia="Arial" w:cs="Arial"/>
          <w:i w:val="1"/>
          <w:iCs w:val="1"/>
          <w:sz w:val="24"/>
          <w:szCs w:val="24"/>
        </w:rPr>
        <w:t xml:space="preserve"> </w:t>
      </w:r>
      <w:r w:rsidRPr="522D1F8A" w:rsidR="0D13165B">
        <w:rPr>
          <w:rFonts w:ascii="Arial" w:hAnsi="Arial" w:eastAsia="Arial" w:cs="Arial"/>
          <w:i w:val="0"/>
          <w:iCs w:val="0"/>
          <w:sz w:val="24"/>
          <w:szCs w:val="24"/>
        </w:rPr>
        <w:t>(L. Jago, M. Deery, R. Harris, A. Hede, J. Allen, eds). Sydney, Aus</w:t>
      </w:r>
      <w:r w:rsidRPr="522D1F8A" w:rsidR="0D13165B">
        <w:rPr>
          <w:rFonts w:ascii="Arial" w:hAnsi="Arial" w:eastAsia="Arial" w:cs="Arial"/>
          <w:i w:val="0"/>
          <w:iCs w:val="0"/>
          <w:sz w:val="24"/>
          <w:szCs w:val="24"/>
        </w:rPr>
        <w:t>tralian Ce</w:t>
      </w:r>
      <w:r w:rsidRPr="522D1F8A" w:rsidR="608B56F7">
        <w:rPr>
          <w:rFonts w:ascii="Arial" w:hAnsi="Arial" w:eastAsia="Arial" w:cs="Arial"/>
          <w:i w:val="0"/>
          <w:iCs w:val="0"/>
          <w:sz w:val="24"/>
          <w:szCs w:val="24"/>
        </w:rPr>
        <w:t xml:space="preserve">ntre for Event Management. </w:t>
      </w:r>
    </w:p>
    <w:p w:rsidR="1DF9F0FE" w:rsidP="522D1F8A" w:rsidRDefault="1DF9F0FE" w14:paraId="304833A8" w14:textId="2929D9DF">
      <w:pPr>
        <w:pStyle w:val="Normal"/>
        <w:spacing w:line="480" w:lineRule="auto"/>
        <w:rPr>
          <w:rFonts w:ascii="Arial" w:hAnsi="Arial" w:eastAsia="Arial" w:cs="Arial"/>
          <w:i w:val="0"/>
          <w:iCs w:val="0"/>
          <w:sz w:val="24"/>
          <w:szCs w:val="24"/>
        </w:rPr>
      </w:pPr>
      <w:r w:rsidRPr="522D1F8A" w:rsidR="1DF9F0FE">
        <w:rPr>
          <w:rFonts w:ascii="Arial" w:hAnsi="Arial" w:eastAsia="Arial" w:cs="Arial"/>
          <w:i w:val="0"/>
          <w:iCs w:val="0"/>
          <w:sz w:val="24"/>
          <w:szCs w:val="24"/>
        </w:rPr>
        <w:t xml:space="preserve">Health and Safety Executive (HSE) (1999). </w:t>
      </w:r>
      <w:r w:rsidRPr="522D1F8A" w:rsidR="091D5B49">
        <w:rPr>
          <w:rFonts w:ascii="Arial" w:hAnsi="Arial" w:eastAsia="Arial" w:cs="Arial"/>
          <w:i w:val="1"/>
          <w:iCs w:val="1"/>
          <w:sz w:val="24"/>
          <w:szCs w:val="24"/>
        </w:rPr>
        <w:t xml:space="preserve">The Event Safety Guide. </w:t>
      </w:r>
      <w:r w:rsidRPr="522D1F8A" w:rsidR="091D5B49">
        <w:rPr>
          <w:rFonts w:ascii="Arial" w:hAnsi="Arial" w:eastAsia="Arial" w:cs="Arial"/>
          <w:i w:val="0"/>
          <w:iCs w:val="0"/>
          <w:sz w:val="24"/>
          <w:szCs w:val="24"/>
        </w:rPr>
        <w:t>Norwhich, HSE Books.</w:t>
      </w:r>
    </w:p>
    <w:p w:rsidR="4E3C20F1" w:rsidP="522D1F8A" w:rsidRDefault="4E3C20F1" w14:paraId="30C8949E" w14:textId="3C18B048">
      <w:pPr>
        <w:pStyle w:val="Normal"/>
        <w:spacing w:line="480" w:lineRule="auto"/>
        <w:rPr>
          <w:rFonts w:ascii="Arial" w:hAnsi="Arial" w:eastAsia="Arial" w:cs="Arial"/>
          <w:i w:val="0"/>
          <w:iCs w:val="0"/>
          <w:sz w:val="24"/>
          <w:szCs w:val="24"/>
        </w:rPr>
      </w:pPr>
      <w:r w:rsidRPr="522D1F8A" w:rsidR="4E3C20F1">
        <w:rPr>
          <w:rFonts w:ascii="Arial" w:hAnsi="Arial" w:eastAsia="Arial" w:cs="Arial"/>
          <w:sz w:val="24"/>
          <w:szCs w:val="24"/>
        </w:rPr>
        <w:t>Jago, L. K. and Shaw, R. N. (1998). A conceptual and differential framework</w:t>
      </w:r>
      <w:r w:rsidRPr="522D1F8A" w:rsidR="6DA0C4D3">
        <w:rPr>
          <w:rFonts w:ascii="Arial" w:hAnsi="Arial" w:eastAsia="Arial" w:cs="Arial"/>
          <w:sz w:val="24"/>
          <w:szCs w:val="24"/>
        </w:rPr>
        <w:t xml:space="preserve">. </w:t>
      </w:r>
      <w:r w:rsidRPr="522D1F8A" w:rsidR="6DA0C4D3">
        <w:rPr>
          <w:rFonts w:ascii="Arial" w:hAnsi="Arial" w:eastAsia="Arial" w:cs="Arial"/>
          <w:i w:val="1"/>
          <w:iCs w:val="1"/>
          <w:sz w:val="24"/>
          <w:szCs w:val="24"/>
        </w:rPr>
        <w:t xml:space="preserve">Festival Management and Event Tourism. </w:t>
      </w:r>
      <w:r w:rsidRPr="522D1F8A" w:rsidR="6DA0C4D3">
        <w:rPr>
          <w:rFonts w:ascii="Arial" w:hAnsi="Arial" w:eastAsia="Arial" w:cs="Arial"/>
          <w:i w:val="0"/>
          <w:iCs w:val="0"/>
          <w:sz w:val="24"/>
          <w:szCs w:val="24"/>
        </w:rPr>
        <w:t xml:space="preserve">5(½), 21-32. </w:t>
      </w:r>
      <w:r w:rsidRPr="522D1F8A" w:rsidR="05C5D4B3">
        <w:rPr>
          <w:rFonts w:ascii="Arial" w:hAnsi="Arial" w:eastAsia="Arial" w:cs="Arial"/>
          <w:i w:val="0"/>
          <w:iCs w:val="0"/>
          <w:sz w:val="24"/>
          <w:szCs w:val="24"/>
        </w:rPr>
        <w:t>New York, Cognizant Communication Corporation.</w:t>
      </w:r>
    </w:p>
    <w:p w:rsidR="1EC1737F" w:rsidP="522D1F8A" w:rsidRDefault="1EC1737F" w14:paraId="49D9563A" w14:textId="384612F1">
      <w:pPr>
        <w:pStyle w:val="Normal"/>
        <w:spacing w:line="480" w:lineRule="auto"/>
        <w:rPr>
          <w:rFonts w:ascii="Arial" w:hAnsi="Arial" w:eastAsia="Arial" w:cs="Arial"/>
          <w:i w:val="0"/>
          <w:iCs w:val="0"/>
          <w:sz w:val="24"/>
          <w:szCs w:val="24"/>
        </w:rPr>
      </w:pPr>
      <w:r w:rsidRPr="522D1F8A" w:rsidR="1EC1737F">
        <w:rPr>
          <w:rFonts w:ascii="Arial" w:hAnsi="Arial" w:eastAsia="Arial" w:cs="Arial"/>
          <w:i w:val="0"/>
          <w:iCs w:val="0"/>
          <w:sz w:val="24"/>
          <w:szCs w:val="24"/>
        </w:rPr>
        <w:t xml:space="preserve">Jago, L., </w:t>
      </w:r>
      <w:proofErr w:type="spellStart"/>
      <w:r w:rsidRPr="522D1F8A" w:rsidR="1EC1737F">
        <w:rPr>
          <w:rFonts w:ascii="Arial" w:hAnsi="Arial" w:eastAsia="Arial" w:cs="Arial"/>
          <w:i w:val="0"/>
          <w:iCs w:val="0"/>
          <w:sz w:val="24"/>
          <w:szCs w:val="24"/>
        </w:rPr>
        <w:t>Chalip</w:t>
      </w:r>
      <w:proofErr w:type="spellEnd"/>
      <w:r w:rsidRPr="522D1F8A" w:rsidR="1EC1737F">
        <w:rPr>
          <w:rFonts w:ascii="Arial" w:hAnsi="Arial" w:eastAsia="Arial" w:cs="Arial"/>
          <w:i w:val="0"/>
          <w:iCs w:val="0"/>
          <w:sz w:val="24"/>
          <w:szCs w:val="24"/>
        </w:rPr>
        <w:t>, L., Brown, G., Mules, T. and Ali, S. (2003). Building events into destination branding: insights</w:t>
      </w:r>
      <w:r w:rsidRPr="522D1F8A" w:rsidR="31710489">
        <w:rPr>
          <w:rFonts w:ascii="Arial" w:hAnsi="Arial" w:eastAsia="Arial" w:cs="Arial"/>
          <w:i w:val="0"/>
          <w:iCs w:val="0"/>
          <w:sz w:val="24"/>
          <w:szCs w:val="24"/>
        </w:rPr>
        <w:t xml:space="preserve"> from experts. </w:t>
      </w:r>
      <w:r w:rsidRPr="522D1F8A" w:rsidR="31710489">
        <w:rPr>
          <w:rFonts w:ascii="Arial" w:hAnsi="Arial" w:eastAsia="Arial" w:cs="Arial"/>
          <w:i w:val="1"/>
          <w:iCs w:val="1"/>
          <w:sz w:val="24"/>
          <w:szCs w:val="24"/>
        </w:rPr>
        <w:t xml:space="preserve">Event Management, </w:t>
      </w:r>
      <w:r w:rsidRPr="522D1F8A" w:rsidR="31710489">
        <w:rPr>
          <w:rFonts w:ascii="Arial" w:hAnsi="Arial" w:eastAsia="Arial" w:cs="Arial"/>
          <w:i w:val="0"/>
          <w:iCs w:val="0"/>
          <w:sz w:val="24"/>
          <w:szCs w:val="24"/>
        </w:rPr>
        <w:t>8(1), 3-14.</w:t>
      </w:r>
    </w:p>
    <w:p w:rsidR="522D1F8A" w:rsidP="522D1F8A" w:rsidRDefault="522D1F8A" w14:paraId="2490E7BD" w14:textId="4111B275">
      <w:pPr>
        <w:pStyle w:val="Normal"/>
        <w:spacing w:line="480" w:lineRule="auto"/>
        <w:rPr>
          <w:rFonts w:ascii="Arial" w:hAnsi="Arial" w:eastAsia="Arial" w:cs="Arial"/>
          <w:sz w:val="24"/>
          <w:szCs w:val="24"/>
        </w:rPr>
      </w:pPr>
    </w:p>
    <w:p w:rsidR="5ACCF2AF" w:rsidP="522D1F8A" w:rsidRDefault="5ACCF2AF" w14:paraId="2F910957" w14:textId="61349CC5">
      <w:pPr>
        <w:pStyle w:val="Normal"/>
        <w:spacing w:line="480" w:lineRule="auto"/>
        <w:rPr>
          <w:rFonts w:ascii="Arial" w:hAnsi="Arial" w:eastAsia="Arial" w:cs="Arial"/>
          <w:sz w:val="24"/>
          <w:szCs w:val="24"/>
          <w:u w:val="single"/>
        </w:rPr>
      </w:pPr>
      <w:r w:rsidRPr="522D1F8A" w:rsidR="5ACCF2AF">
        <w:rPr>
          <w:rFonts w:ascii="Arial" w:hAnsi="Arial" w:eastAsia="Arial" w:cs="Arial"/>
          <w:sz w:val="24"/>
          <w:szCs w:val="24"/>
          <w:u w:val="single"/>
        </w:rPr>
        <w:t>Websites used</w:t>
      </w:r>
      <w:r w:rsidRPr="522D1F8A" w:rsidR="5ACCF2AF">
        <w:rPr>
          <w:rFonts w:ascii="Arial" w:hAnsi="Arial" w:eastAsia="Arial" w:cs="Arial"/>
          <w:sz w:val="24"/>
          <w:szCs w:val="24"/>
        </w:rPr>
        <w:t xml:space="preserve"> </w:t>
      </w:r>
    </w:p>
    <w:p w:rsidR="5ACCF2AF" w:rsidP="522D1F8A" w:rsidRDefault="5ACCF2AF" w14:paraId="3FFF7587" w14:textId="405B1DE3">
      <w:pPr>
        <w:pStyle w:val="Normal"/>
        <w:spacing w:line="480" w:lineRule="auto"/>
        <w:rPr>
          <w:rFonts w:ascii="Arial" w:hAnsi="Arial" w:eastAsia="Arial" w:cs="Arial"/>
          <w:sz w:val="24"/>
          <w:szCs w:val="24"/>
        </w:rPr>
      </w:pPr>
      <w:hyperlink r:id="R9355a4e74da74876">
        <w:r w:rsidRPr="522D1F8A" w:rsidR="5ACCF2AF">
          <w:rPr>
            <w:rStyle w:val="Hyperlink"/>
            <w:rFonts w:ascii="Arial" w:hAnsi="Arial" w:eastAsia="Arial" w:cs="Arial"/>
            <w:sz w:val="24"/>
            <w:szCs w:val="24"/>
          </w:rPr>
          <w:t>https://www.history.co.uk/articles/the-weird-and-wonderful-history-of-the-eurovision-song-contest</w:t>
        </w:r>
      </w:hyperlink>
      <w:r w:rsidRPr="522D1F8A" w:rsidR="5ACCF2AF">
        <w:rPr>
          <w:rFonts w:ascii="Arial" w:hAnsi="Arial" w:eastAsia="Arial" w:cs="Arial"/>
          <w:sz w:val="24"/>
          <w:szCs w:val="24"/>
        </w:rPr>
        <w:t xml:space="preserve"> </w:t>
      </w:r>
    </w:p>
    <w:p w:rsidR="5ACCF2AF" w:rsidP="522D1F8A" w:rsidRDefault="5ACCF2AF" w14:paraId="708D0923" w14:textId="155D62BD">
      <w:pPr>
        <w:pStyle w:val="Normal"/>
        <w:spacing w:line="480" w:lineRule="auto"/>
        <w:rPr>
          <w:rFonts w:ascii="Arial" w:hAnsi="Arial" w:eastAsia="Arial" w:cs="Arial"/>
          <w:sz w:val="24"/>
          <w:szCs w:val="24"/>
        </w:rPr>
      </w:pPr>
      <w:hyperlink r:id="Ra4cefa48c37846e5">
        <w:r w:rsidRPr="522D1F8A" w:rsidR="5ACCF2AF">
          <w:rPr>
            <w:rStyle w:val="Hyperlink"/>
            <w:rFonts w:ascii="Arial" w:hAnsi="Arial" w:eastAsia="Arial" w:cs="Arial"/>
            <w:sz w:val="24"/>
            <w:szCs w:val="24"/>
          </w:rPr>
          <w:t>https://eurovision.tv/history/origins-of-eurovision</w:t>
        </w:r>
      </w:hyperlink>
    </w:p>
    <w:p w:rsidR="522D1F8A" w:rsidP="522D1F8A" w:rsidRDefault="522D1F8A" w14:paraId="6283FFB1" w14:textId="1FAA83DE">
      <w:pPr>
        <w:pStyle w:val="Normal"/>
        <w:spacing w:line="480" w:lineRule="auto"/>
        <w:rPr>
          <w:rFonts w:ascii="Arial" w:hAnsi="Arial" w:eastAsia="Arial" w:cs="Arial"/>
          <w:i w:val="0"/>
          <w:iCs w:val="0"/>
          <w:sz w:val="24"/>
          <w:szCs w:val="24"/>
        </w:rPr>
      </w:pPr>
    </w:p>
    <w:p w:rsidR="522D1F8A" w:rsidP="522D1F8A" w:rsidRDefault="522D1F8A" w14:paraId="0BF20472" w14:textId="760AD5F6">
      <w:pPr>
        <w:pStyle w:val="Normal"/>
        <w:spacing w:line="480" w:lineRule="auto"/>
        <w:rPr>
          <w:rFonts w:ascii="Arial" w:hAnsi="Arial" w:eastAsia="Arial" w:cs="Arial"/>
          <w:i w:val="0"/>
          <w:iCs w:val="0"/>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op4tC6iRqMRT7U" int2:id="JFTXfIYh">
      <int2:state int2:type="LegacyProofing" int2:value="Rejected"/>
    </int2:textHash>
    <int2:textHash int2:hashCode="2sI6e9ka5jcvYa" int2:id="lyJeDlzk">
      <int2:state int2:type="LegacyProofing" int2:value="Rejected"/>
    </int2:textHash>
    <int2:textHash int2:hashCode="yl9jxYtmuxJyue" int2:id="NRYDTWlh">
      <int2:state int2:type="LegacyProofing" int2:value="Rejected"/>
    </int2:textHash>
    <int2:textHash int2:hashCode="0U1U0Ta4+1E8s6" int2:id="gnA4xyC2">
      <int2:state int2:type="LegacyProofing" int2:value="Rejected"/>
    </int2:textHash>
    <int2:textHash int2:hashCode="PkGtA//HOgSjTS" int2:id="foUDY5ae">
      <int2:state int2:type="LegacyProofing" int2:value="Rejected"/>
    </int2:textHash>
    <int2:bookmark int2:bookmarkName="_Int_TzDm8RUV" int2:invalidationBookmarkName="" int2:hashCode="Lpm5wcxZzqBogC" int2:id="KbsE0OM3">
      <int2:state int2:type="AugLoop_Text_Critique" int2:value="Rejected"/>
    </int2:bookmark>
    <int2:bookmark int2:bookmarkName="_Int_1bupQiSd" int2:invalidationBookmarkName="" int2:hashCode="vTQ6RQCQf2J9Ff" int2:id="F2eGgYkP">
      <int2:state int2:type="AugLoop_Text_Critique" int2:value="Rejected"/>
    </int2:bookmark>
    <int2:bookmark int2:bookmarkName="_Int_aaXvnLZv" int2:invalidationBookmarkName="" int2:hashCode="FhxCN58vOqq4SL" int2:id="KyDKUHHM"/>
    <int2:bookmark int2:bookmarkName="_Int_vAXaLNPc" int2:invalidationBookmarkName="" int2:hashCode="anE+WmtFMh1he2" int2:id="nY6hGtw3">
      <int2:state int2:type="AugLoop_Text_Critique" int2:value="Rejected"/>
    </int2:bookmark>
    <int2:bookmark int2:bookmarkName="_Int_E27v42zI" int2:invalidationBookmarkName="" int2:hashCode="lavdBpWYCx0r5V" int2:id="jmNo0o7r"/>
    <int2:bookmark int2:bookmarkName="_Int_zbLjqri7" int2:invalidationBookmarkName="" int2:hashCode="F4WpPlqWjzcnj2" int2:id="PU0HV7pU"/>
    <int2:bookmark int2:bookmarkName="_Int_XGEFtp5H" int2:invalidationBookmarkName="" int2:hashCode="NZyFr9UBPaHvBg" int2:id="HUOW4yuP"/>
    <int2:bookmark int2:bookmarkName="_Int_0gGNqtYq" int2:invalidationBookmarkName="" int2:hashCode="cDkeu0xe4270md" int2:id="RqGM2BW4"/>
    <int2:bookmark int2:bookmarkName="_Int_EzNM7CRf" int2:invalidationBookmarkName="" int2:hashCode="Y1obFqVhDcAVw1" int2:id="63FALn2u"/>
    <int2:bookmark int2:bookmarkName="_Int_NaSe0ywW" int2:invalidationBookmarkName="" int2:hashCode="RoHRJMxsS3O6q/" int2:id="lnFLB006"/>
    <int2:bookmark int2:bookmarkName="_Int_LmYOOduY" int2:invalidationBookmarkName="" int2:hashCode="UkhMV36mjLdszB" int2:id="jDETos57">
      <int2:state int2:type="AugLoop_Text_Critique" int2:value="Rejected"/>
    </int2:bookmark>
    <int2:bookmark int2:bookmarkName="_Int_wNSsxRhA" int2:invalidationBookmarkName="" int2:hashCode="HahAJEmJnsG6nD" int2:id="MUmwQtij"/>
    <int2:bookmark int2:bookmarkName="_Int_LGaBm8KX" int2:invalidationBookmarkName="" int2:hashCode="MMCnzSOxxKSsWu" int2:id="322CaTlt">
      <int2:state int2:type="AugLoop_Text_Critique" int2:value="Rejected"/>
    </int2:bookmark>
    <int2:bookmark int2:bookmarkName="_Int_2X1Wj1EK" int2:invalidationBookmarkName="" int2:hashCode="qOYBLkq47XusKL" int2:id="jq8LyD2c"/>
    <int2:bookmark int2:bookmarkName="_Int_j9lm9BoF" int2:invalidationBookmarkName="" int2:hashCode="jtshmifAtjqiFz" int2:id="HhTg6NMZ">
      <int2:state int2:type="AugLoop_Text_Critique" int2:value="Rejected"/>
    </int2:bookmark>
    <int2:bookmark int2:bookmarkName="_Int_BejwiOuo" int2:invalidationBookmarkName="" int2:hashCode="A5r7UjOonCryc9" int2:id="oiExWefI">
      <int2:state int2:type="AugLoop_Text_Critique" int2:value="Rejected"/>
      <int2:state int2:type="LegacyProofing" int2:value="Rejected"/>
    </int2:bookmark>
    <int2:bookmark int2:bookmarkName="_Int_N8hNOuHL" int2:invalidationBookmarkName="" int2:hashCode="Bxmj7B6wPYQqcn" int2:id="2HWDLFWy">
      <int2:state int2:type="AugLoop_Text_Critique" int2:value="Rejected"/>
    </int2:bookmark>
    <int2:bookmark int2:bookmarkName="_Int_X8vdW6P9" int2:invalidationBookmarkName="" int2:hashCode="bFUiyor4b8UGm3" int2:id="BZD8HmqS">
      <int2:state int2:type="LegacyProofing" int2:value="Rejected"/>
    </int2:bookmark>
  </int2:observations>
  <int2:intelligenceSettings/>
  <int2:onDemandWorkflows>
    <int2:onDemandWorkflow int2:type="SimilarityCheck" int2:paragraphVersions="5B61EF19-6370B803 7A87A265-0E6ED426 5F129A94-58AB866F 45FC2092-0507C74C 6C820217-09C6178C 0728DB4B-748238BD 1607ECF2-2F18BCE0 218FAD8F-248EA354 74E7E509-5D49DC4F 3C02639F-2CD2CB3D 357BC310-6FDB979C 05CC20A8-4BAC17F4 28FDB359-5BFAB603 42DC75B1-75741292 1F75A4E0-4A39B0F9 24A2EE0A-4A3924EC 3EC96579-704E9B3E 523AFDE7-6CCC974A 4B23D200-5BACA967 22463BF3-344F04F8 48B4A415-250CDBD9 4CA7EB4B-2DD1BFA3 36D9D49D-479E4E03 6EBCFA38-5B53F87A 77DCF4C7-3B3402FD 0430A580-7024B086 1C8F7D8A-30CAA504 7B52FD10-474AF47A 3C164118-550CCB3D 0B932547-2995F5AA 304833A8-2929D9DF 30C8949E-3C18B048 49D9563A-384612F1 2490E7BD-4111B275 2F910957-61349CC5 3FFF7587-405B1DE3 708D0923-155D62BD 6283FFB1-1FAA83DE 0BF20472-760AD5F6"/>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BEA2AD"/>
    <w:rsid w:val="00145FD4"/>
    <w:rsid w:val="00399520"/>
    <w:rsid w:val="003C3A4E"/>
    <w:rsid w:val="00824BC1"/>
    <w:rsid w:val="0082755D"/>
    <w:rsid w:val="00E71FBE"/>
    <w:rsid w:val="01300267"/>
    <w:rsid w:val="01D56581"/>
    <w:rsid w:val="0211BDE2"/>
    <w:rsid w:val="0224BC7D"/>
    <w:rsid w:val="026FD720"/>
    <w:rsid w:val="02C7B6AC"/>
    <w:rsid w:val="02D6B4AD"/>
    <w:rsid w:val="02E06D3A"/>
    <w:rsid w:val="03224104"/>
    <w:rsid w:val="03831459"/>
    <w:rsid w:val="03A85F99"/>
    <w:rsid w:val="03AD8E43"/>
    <w:rsid w:val="03D4A1FC"/>
    <w:rsid w:val="0452F4F6"/>
    <w:rsid w:val="04564428"/>
    <w:rsid w:val="0459784D"/>
    <w:rsid w:val="0469E777"/>
    <w:rsid w:val="047BD58A"/>
    <w:rsid w:val="047C3D9B"/>
    <w:rsid w:val="048B1D22"/>
    <w:rsid w:val="04D70F15"/>
    <w:rsid w:val="054DF6B8"/>
    <w:rsid w:val="055C5D3F"/>
    <w:rsid w:val="055DD406"/>
    <w:rsid w:val="05808F57"/>
    <w:rsid w:val="05907366"/>
    <w:rsid w:val="05A777E2"/>
    <w:rsid w:val="05B311E7"/>
    <w:rsid w:val="05C12822"/>
    <w:rsid w:val="05C5D4B3"/>
    <w:rsid w:val="05E69B47"/>
    <w:rsid w:val="0617A5EB"/>
    <w:rsid w:val="0659E1C6"/>
    <w:rsid w:val="071266A9"/>
    <w:rsid w:val="072C43C7"/>
    <w:rsid w:val="074A6113"/>
    <w:rsid w:val="074D34C5"/>
    <w:rsid w:val="076015B6"/>
    <w:rsid w:val="07759B6C"/>
    <w:rsid w:val="07BE5B88"/>
    <w:rsid w:val="0839E7D8"/>
    <w:rsid w:val="089263EF"/>
    <w:rsid w:val="08F5050B"/>
    <w:rsid w:val="08F74727"/>
    <w:rsid w:val="091D5B49"/>
    <w:rsid w:val="094FAEBE"/>
    <w:rsid w:val="0962B939"/>
    <w:rsid w:val="09DDF44F"/>
    <w:rsid w:val="0A299AF6"/>
    <w:rsid w:val="0A311B8D"/>
    <w:rsid w:val="0A5B285A"/>
    <w:rsid w:val="0AB81816"/>
    <w:rsid w:val="0B602D14"/>
    <w:rsid w:val="0BA90AB0"/>
    <w:rsid w:val="0BB3717E"/>
    <w:rsid w:val="0BDB3D00"/>
    <w:rsid w:val="0BE54794"/>
    <w:rsid w:val="0BF9114E"/>
    <w:rsid w:val="0C6F6E09"/>
    <w:rsid w:val="0C874F80"/>
    <w:rsid w:val="0C95B435"/>
    <w:rsid w:val="0C962F07"/>
    <w:rsid w:val="0D13165B"/>
    <w:rsid w:val="0D44DB11"/>
    <w:rsid w:val="0D5A24C9"/>
    <w:rsid w:val="0DD533AE"/>
    <w:rsid w:val="0DE964A5"/>
    <w:rsid w:val="0DFE1621"/>
    <w:rsid w:val="0E231FE1"/>
    <w:rsid w:val="0E2E26D6"/>
    <w:rsid w:val="0E31FF68"/>
    <w:rsid w:val="0E4209BA"/>
    <w:rsid w:val="0E435550"/>
    <w:rsid w:val="0F04CE50"/>
    <w:rsid w:val="0F2327EC"/>
    <w:rsid w:val="0F5A62FD"/>
    <w:rsid w:val="0F6D1F08"/>
    <w:rsid w:val="0FBEF042"/>
    <w:rsid w:val="0FC6DDC8"/>
    <w:rsid w:val="0FE7095A"/>
    <w:rsid w:val="0FF9EC21"/>
    <w:rsid w:val="1090315A"/>
    <w:rsid w:val="10BC46C4"/>
    <w:rsid w:val="10CB7738"/>
    <w:rsid w:val="10D3711C"/>
    <w:rsid w:val="10E7A6D3"/>
    <w:rsid w:val="1128E76F"/>
    <w:rsid w:val="11620202"/>
    <w:rsid w:val="1171291D"/>
    <w:rsid w:val="11B189E1"/>
    <w:rsid w:val="11D1AED7"/>
    <w:rsid w:val="120D3A64"/>
    <w:rsid w:val="1214E5C9"/>
    <w:rsid w:val="1260AACF"/>
    <w:rsid w:val="12FE7E8A"/>
    <w:rsid w:val="134171A9"/>
    <w:rsid w:val="1366F039"/>
    <w:rsid w:val="13793314"/>
    <w:rsid w:val="13A73975"/>
    <w:rsid w:val="13D8276F"/>
    <w:rsid w:val="144640BE"/>
    <w:rsid w:val="1473A16E"/>
    <w:rsid w:val="149A4EEB"/>
    <w:rsid w:val="14D43D53"/>
    <w:rsid w:val="14EDE6FD"/>
    <w:rsid w:val="14EEB7A3"/>
    <w:rsid w:val="15058C2E"/>
    <w:rsid w:val="15499DB8"/>
    <w:rsid w:val="1588E874"/>
    <w:rsid w:val="159EA0A7"/>
    <w:rsid w:val="15B8FE09"/>
    <w:rsid w:val="15ED5521"/>
    <w:rsid w:val="16069B82"/>
    <w:rsid w:val="162FE25C"/>
    <w:rsid w:val="16361F4C"/>
    <w:rsid w:val="16886A09"/>
    <w:rsid w:val="168886E5"/>
    <w:rsid w:val="1725E622"/>
    <w:rsid w:val="175F0890"/>
    <w:rsid w:val="176227F4"/>
    <w:rsid w:val="1796E02B"/>
    <w:rsid w:val="17AE26A7"/>
    <w:rsid w:val="17C87BD9"/>
    <w:rsid w:val="180C6960"/>
    <w:rsid w:val="183406A3"/>
    <w:rsid w:val="183F1F5B"/>
    <w:rsid w:val="1862D4F3"/>
    <w:rsid w:val="18633179"/>
    <w:rsid w:val="18924699"/>
    <w:rsid w:val="18A2EDDA"/>
    <w:rsid w:val="19708727"/>
    <w:rsid w:val="19ACFD5B"/>
    <w:rsid w:val="19B8D288"/>
    <w:rsid w:val="1A9C8E8F"/>
    <w:rsid w:val="1ABA3D6E"/>
    <w:rsid w:val="1ACB1572"/>
    <w:rsid w:val="1B7EC064"/>
    <w:rsid w:val="1B99098E"/>
    <w:rsid w:val="1BD64D42"/>
    <w:rsid w:val="1BDF019B"/>
    <w:rsid w:val="1BF8D761"/>
    <w:rsid w:val="1C18485A"/>
    <w:rsid w:val="1C277E05"/>
    <w:rsid w:val="1C3279B3"/>
    <w:rsid w:val="1C864B27"/>
    <w:rsid w:val="1CBC5D23"/>
    <w:rsid w:val="1CE1A280"/>
    <w:rsid w:val="1CE33118"/>
    <w:rsid w:val="1D8F4A2C"/>
    <w:rsid w:val="1DF9F0FE"/>
    <w:rsid w:val="1E85521C"/>
    <w:rsid w:val="1EB8D17C"/>
    <w:rsid w:val="1EC1737F"/>
    <w:rsid w:val="1EDDB3A2"/>
    <w:rsid w:val="1EE14816"/>
    <w:rsid w:val="1F284123"/>
    <w:rsid w:val="1F2F8B13"/>
    <w:rsid w:val="1F85840C"/>
    <w:rsid w:val="1FC0FFC6"/>
    <w:rsid w:val="1FDD0192"/>
    <w:rsid w:val="1FF3FDE5"/>
    <w:rsid w:val="1FF574AC"/>
    <w:rsid w:val="201AD1DA"/>
    <w:rsid w:val="203F1888"/>
    <w:rsid w:val="2058772B"/>
    <w:rsid w:val="20977300"/>
    <w:rsid w:val="20AFD6DB"/>
    <w:rsid w:val="213FC533"/>
    <w:rsid w:val="2196BB1A"/>
    <w:rsid w:val="21E0790A"/>
    <w:rsid w:val="22441C52"/>
    <w:rsid w:val="226E4EAF"/>
    <w:rsid w:val="228D52CD"/>
    <w:rsid w:val="22BD24CE"/>
    <w:rsid w:val="23272121"/>
    <w:rsid w:val="236F73CE"/>
    <w:rsid w:val="23AB4A88"/>
    <w:rsid w:val="23DD1062"/>
    <w:rsid w:val="23EDE7E6"/>
    <w:rsid w:val="2568A79E"/>
    <w:rsid w:val="258ED787"/>
    <w:rsid w:val="25D6561D"/>
    <w:rsid w:val="26615883"/>
    <w:rsid w:val="2664B630"/>
    <w:rsid w:val="2679A6D4"/>
    <w:rsid w:val="268EDB1E"/>
    <w:rsid w:val="272C9389"/>
    <w:rsid w:val="273E5FC8"/>
    <w:rsid w:val="275CEDA6"/>
    <w:rsid w:val="2770342C"/>
    <w:rsid w:val="27CC2055"/>
    <w:rsid w:val="27DC6389"/>
    <w:rsid w:val="2829BC94"/>
    <w:rsid w:val="282FDDEF"/>
    <w:rsid w:val="28528024"/>
    <w:rsid w:val="286C7358"/>
    <w:rsid w:val="28A7E757"/>
    <w:rsid w:val="28B30B1B"/>
    <w:rsid w:val="28BC5F58"/>
    <w:rsid w:val="291D58FA"/>
    <w:rsid w:val="295F3788"/>
    <w:rsid w:val="2966A656"/>
    <w:rsid w:val="29A29272"/>
    <w:rsid w:val="29A2CDB1"/>
    <w:rsid w:val="29C0DF3F"/>
    <w:rsid w:val="29D04C28"/>
    <w:rsid w:val="29D312DC"/>
    <w:rsid w:val="2A271671"/>
    <w:rsid w:val="2A43B7B8"/>
    <w:rsid w:val="2A4F5FA9"/>
    <w:rsid w:val="2AA9BD5C"/>
    <w:rsid w:val="2AD9AB00"/>
    <w:rsid w:val="2AFAB749"/>
    <w:rsid w:val="2B5BB9F6"/>
    <w:rsid w:val="2BA34ACC"/>
    <w:rsid w:val="2BB3C0DF"/>
    <w:rsid w:val="2BC2B5C5"/>
    <w:rsid w:val="2BFE17E3"/>
    <w:rsid w:val="2C1D3FAF"/>
    <w:rsid w:val="2C217D16"/>
    <w:rsid w:val="2C54E14B"/>
    <w:rsid w:val="2C689A92"/>
    <w:rsid w:val="2CB4DB0A"/>
    <w:rsid w:val="2CC02AC9"/>
    <w:rsid w:val="2CDA6E73"/>
    <w:rsid w:val="2CE22578"/>
    <w:rsid w:val="2D0217B2"/>
    <w:rsid w:val="2D0AE7E1"/>
    <w:rsid w:val="2D124BB0"/>
    <w:rsid w:val="2D1AB4F4"/>
    <w:rsid w:val="2D1CFB70"/>
    <w:rsid w:val="2D4F9140"/>
    <w:rsid w:val="2D513812"/>
    <w:rsid w:val="2D99E844"/>
    <w:rsid w:val="2DEC5B64"/>
    <w:rsid w:val="2DF26E16"/>
    <w:rsid w:val="2E126464"/>
    <w:rsid w:val="2E36231F"/>
    <w:rsid w:val="2E763ED4"/>
    <w:rsid w:val="2EBEA2AD"/>
    <w:rsid w:val="2EF6E00F"/>
    <w:rsid w:val="2F34B3AD"/>
    <w:rsid w:val="2F35B8A5"/>
    <w:rsid w:val="2F46205A"/>
    <w:rsid w:val="2FC80C3C"/>
    <w:rsid w:val="2FF8E6D8"/>
    <w:rsid w:val="308C10C6"/>
    <w:rsid w:val="30ADD368"/>
    <w:rsid w:val="3128916C"/>
    <w:rsid w:val="3148EC84"/>
    <w:rsid w:val="3152B919"/>
    <w:rsid w:val="31710489"/>
    <w:rsid w:val="3207B9AB"/>
    <w:rsid w:val="3216A13C"/>
    <w:rsid w:val="32CA3514"/>
    <w:rsid w:val="32F8ECD6"/>
    <w:rsid w:val="3318DF20"/>
    <w:rsid w:val="334815E5"/>
    <w:rsid w:val="33710EB0"/>
    <w:rsid w:val="33ADE32E"/>
    <w:rsid w:val="33B2719D"/>
    <w:rsid w:val="33C8B577"/>
    <w:rsid w:val="340560B4"/>
    <w:rsid w:val="340824D0"/>
    <w:rsid w:val="341DD3CE"/>
    <w:rsid w:val="34464C24"/>
    <w:rsid w:val="34700985"/>
    <w:rsid w:val="34CD6E94"/>
    <w:rsid w:val="34E3E646"/>
    <w:rsid w:val="34E6ED4B"/>
    <w:rsid w:val="35343F40"/>
    <w:rsid w:val="359C450A"/>
    <w:rsid w:val="35A13115"/>
    <w:rsid w:val="35E3D5B7"/>
    <w:rsid w:val="35E95A9D"/>
    <w:rsid w:val="369A45A4"/>
    <w:rsid w:val="36A60D8E"/>
    <w:rsid w:val="36D00FA1"/>
    <w:rsid w:val="36D80561"/>
    <w:rsid w:val="373C9965"/>
    <w:rsid w:val="37557DC5"/>
    <w:rsid w:val="376E7351"/>
    <w:rsid w:val="3797D2F0"/>
    <w:rsid w:val="37C007F1"/>
    <w:rsid w:val="386BE002"/>
    <w:rsid w:val="388FB431"/>
    <w:rsid w:val="38A33A27"/>
    <w:rsid w:val="38E14038"/>
    <w:rsid w:val="38F14E26"/>
    <w:rsid w:val="391AC8BE"/>
    <w:rsid w:val="394C8AAE"/>
    <w:rsid w:val="396671F8"/>
    <w:rsid w:val="39E2D666"/>
    <w:rsid w:val="39EAA41A"/>
    <w:rsid w:val="3A07B063"/>
    <w:rsid w:val="3A288191"/>
    <w:rsid w:val="3A514A1C"/>
    <w:rsid w:val="3A8D1552"/>
    <w:rsid w:val="3ACF73B2"/>
    <w:rsid w:val="3AD6A66D"/>
    <w:rsid w:val="3B0354BA"/>
    <w:rsid w:val="3B6BF062"/>
    <w:rsid w:val="3BA380C4"/>
    <w:rsid w:val="3C057720"/>
    <w:rsid w:val="3C679CCF"/>
    <w:rsid w:val="3CDBBD07"/>
    <w:rsid w:val="3CE347E2"/>
    <w:rsid w:val="3D39292A"/>
    <w:rsid w:val="3D93D483"/>
    <w:rsid w:val="3DB98584"/>
    <w:rsid w:val="3DBEC1C7"/>
    <w:rsid w:val="3E59059B"/>
    <w:rsid w:val="3ED33400"/>
    <w:rsid w:val="3EF9C62C"/>
    <w:rsid w:val="3F3DCA85"/>
    <w:rsid w:val="3F5A9228"/>
    <w:rsid w:val="3F718FA0"/>
    <w:rsid w:val="3FAD7899"/>
    <w:rsid w:val="3FD918B9"/>
    <w:rsid w:val="3FDB2146"/>
    <w:rsid w:val="406F0461"/>
    <w:rsid w:val="40733DD9"/>
    <w:rsid w:val="4081D270"/>
    <w:rsid w:val="413AACFA"/>
    <w:rsid w:val="413F6954"/>
    <w:rsid w:val="4170848A"/>
    <w:rsid w:val="419B200F"/>
    <w:rsid w:val="41E33E13"/>
    <w:rsid w:val="4233FE98"/>
    <w:rsid w:val="42AECFEA"/>
    <w:rsid w:val="42D6F55B"/>
    <w:rsid w:val="42F6A251"/>
    <w:rsid w:val="432E7E1F"/>
    <w:rsid w:val="435E17C7"/>
    <w:rsid w:val="435E8523"/>
    <w:rsid w:val="4372969C"/>
    <w:rsid w:val="43CF63D7"/>
    <w:rsid w:val="44323337"/>
    <w:rsid w:val="448588FA"/>
    <w:rsid w:val="44C1FCE3"/>
    <w:rsid w:val="44E1F978"/>
    <w:rsid w:val="44E60FC3"/>
    <w:rsid w:val="4508A634"/>
    <w:rsid w:val="4539306D"/>
    <w:rsid w:val="456ECFB0"/>
    <w:rsid w:val="45769D94"/>
    <w:rsid w:val="45C3975E"/>
    <w:rsid w:val="45D69DD0"/>
    <w:rsid w:val="4667BBA8"/>
    <w:rsid w:val="4683E384"/>
    <w:rsid w:val="4692495A"/>
    <w:rsid w:val="477385E0"/>
    <w:rsid w:val="482D57C5"/>
    <w:rsid w:val="482E19BB"/>
    <w:rsid w:val="4869CAB1"/>
    <w:rsid w:val="488B533C"/>
    <w:rsid w:val="48C5A48C"/>
    <w:rsid w:val="49000D8B"/>
    <w:rsid w:val="4941F5A1"/>
    <w:rsid w:val="498C1CA5"/>
    <w:rsid w:val="49CD594B"/>
    <w:rsid w:val="4A0F033F"/>
    <w:rsid w:val="4B289347"/>
    <w:rsid w:val="4BB781E1"/>
    <w:rsid w:val="4BCD2C8C"/>
    <w:rsid w:val="4BED5436"/>
    <w:rsid w:val="4C2C57DF"/>
    <w:rsid w:val="4C2D52F7"/>
    <w:rsid w:val="4C71AA72"/>
    <w:rsid w:val="4CFB4A99"/>
    <w:rsid w:val="4D5C0273"/>
    <w:rsid w:val="4DA97596"/>
    <w:rsid w:val="4DBFD917"/>
    <w:rsid w:val="4DFEC579"/>
    <w:rsid w:val="4E3C20F1"/>
    <w:rsid w:val="4E56093E"/>
    <w:rsid w:val="4E6A6B2F"/>
    <w:rsid w:val="4F0B910A"/>
    <w:rsid w:val="4F63F8A1"/>
    <w:rsid w:val="4F6E930C"/>
    <w:rsid w:val="4F8A596C"/>
    <w:rsid w:val="4FC9890C"/>
    <w:rsid w:val="4FFC4B1B"/>
    <w:rsid w:val="5007E6CB"/>
    <w:rsid w:val="50D6C821"/>
    <w:rsid w:val="515DFCA4"/>
    <w:rsid w:val="5190C329"/>
    <w:rsid w:val="520DCB5E"/>
    <w:rsid w:val="522D1F8A"/>
    <w:rsid w:val="523882C2"/>
    <w:rsid w:val="5269EA51"/>
    <w:rsid w:val="527974F0"/>
    <w:rsid w:val="52991AB2"/>
    <w:rsid w:val="52B63887"/>
    <w:rsid w:val="52E6B406"/>
    <w:rsid w:val="5324931A"/>
    <w:rsid w:val="533ADACD"/>
    <w:rsid w:val="536F4286"/>
    <w:rsid w:val="53AA715F"/>
    <w:rsid w:val="54CF2D09"/>
    <w:rsid w:val="555741BD"/>
    <w:rsid w:val="55AE2044"/>
    <w:rsid w:val="55EDD949"/>
    <w:rsid w:val="55F8001B"/>
    <w:rsid w:val="5620C3B8"/>
    <w:rsid w:val="565D201D"/>
    <w:rsid w:val="56669EDF"/>
    <w:rsid w:val="566D357F"/>
    <w:rsid w:val="5691AEFE"/>
    <w:rsid w:val="56A3EE6F"/>
    <w:rsid w:val="56BE7BB9"/>
    <w:rsid w:val="56C05CBD"/>
    <w:rsid w:val="56C6D435"/>
    <w:rsid w:val="56D0BEAC"/>
    <w:rsid w:val="576FAC46"/>
    <w:rsid w:val="5782A706"/>
    <w:rsid w:val="5789A9AA"/>
    <w:rsid w:val="578AFD2A"/>
    <w:rsid w:val="57D5473D"/>
    <w:rsid w:val="57F7C2F9"/>
    <w:rsid w:val="584017E6"/>
    <w:rsid w:val="5926BA38"/>
    <w:rsid w:val="59F61C7B"/>
    <w:rsid w:val="59FE08A8"/>
    <w:rsid w:val="5A38316F"/>
    <w:rsid w:val="5A46914F"/>
    <w:rsid w:val="5A62CE19"/>
    <w:rsid w:val="5A7401B0"/>
    <w:rsid w:val="5ACCF2AF"/>
    <w:rsid w:val="5B437729"/>
    <w:rsid w:val="5B773B0D"/>
    <w:rsid w:val="5BA96EE2"/>
    <w:rsid w:val="5BDA645D"/>
    <w:rsid w:val="5BFE9E7A"/>
    <w:rsid w:val="5C06EB79"/>
    <w:rsid w:val="5C2C36B3"/>
    <w:rsid w:val="5C8C2EF2"/>
    <w:rsid w:val="5C993051"/>
    <w:rsid w:val="5CD21438"/>
    <w:rsid w:val="5CD8B459"/>
    <w:rsid w:val="5CF3C3C8"/>
    <w:rsid w:val="5D0D0BED"/>
    <w:rsid w:val="5D6FD231"/>
    <w:rsid w:val="5DCE6C79"/>
    <w:rsid w:val="5DF63B92"/>
    <w:rsid w:val="5E27FF53"/>
    <w:rsid w:val="5E2DFA34"/>
    <w:rsid w:val="5E3BDDA1"/>
    <w:rsid w:val="5E7CBD96"/>
    <w:rsid w:val="5F062524"/>
    <w:rsid w:val="5F069302"/>
    <w:rsid w:val="5FE71B52"/>
    <w:rsid w:val="5FE77FF9"/>
    <w:rsid w:val="602B648A"/>
    <w:rsid w:val="60575847"/>
    <w:rsid w:val="60797583"/>
    <w:rsid w:val="608B56F7"/>
    <w:rsid w:val="609505EC"/>
    <w:rsid w:val="614B4EE9"/>
    <w:rsid w:val="6155DCED"/>
    <w:rsid w:val="61641607"/>
    <w:rsid w:val="6182EBB3"/>
    <w:rsid w:val="61F1D2F8"/>
    <w:rsid w:val="622D0B62"/>
    <w:rsid w:val="6299E1FB"/>
    <w:rsid w:val="62B68629"/>
    <w:rsid w:val="62C4F86B"/>
    <w:rsid w:val="63D99647"/>
    <w:rsid w:val="63DF64FF"/>
    <w:rsid w:val="641DFCEC"/>
    <w:rsid w:val="6424AA3D"/>
    <w:rsid w:val="64487A4F"/>
    <w:rsid w:val="64600D80"/>
    <w:rsid w:val="64783A58"/>
    <w:rsid w:val="64D76517"/>
    <w:rsid w:val="65D182BD"/>
    <w:rsid w:val="65E44AB0"/>
    <w:rsid w:val="66157D8D"/>
    <w:rsid w:val="6676D937"/>
    <w:rsid w:val="66BDEEAB"/>
    <w:rsid w:val="66BF8352"/>
    <w:rsid w:val="67467A49"/>
    <w:rsid w:val="674971E0"/>
    <w:rsid w:val="675C2662"/>
    <w:rsid w:val="67BC7351"/>
    <w:rsid w:val="67FA389E"/>
    <w:rsid w:val="6836766F"/>
    <w:rsid w:val="685E52E2"/>
    <w:rsid w:val="68888D4B"/>
    <w:rsid w:val="68C48948"/>
    <w:rsid w:val="6910BEF2"/>
    <w:rsid w:val="698B4DBE"/>
    <w:rsid w:val="69AD9AF2"/>
    <w:rsid w:val="6A1E72BB"/>
    <w:rsid w:val="6A780ACA"/>
    <w:rsid w:val="6AAB943B"/>
    <w:rsid w:val="6ABC90A6"/>
    <w:rsid w:val="6AF354DF"/>
    <w:rsid w:val="6B0FD73B"/>
    <w:rsid w:val="6B22AB8C"/>
    <w:rsid w:val="6B5ADEE7"/>
    <w:rsid w:val="6BAFCD12"/>
    <w:rsid w:val="6C0A5CC8"/>
    <w:rsid w:val="6C7C6C4A"/>
    <w:rsid w:val="6CCC5697"/>
    <w:rsid w:val="6D7C83B9"/>
    <w:rsid w:val="6D807940"/>
    <w:rsid w:val="6DA0C4D3"/>
    <w:rsid w:val="6E5702FD"/>
    <w:rsid w:val="6E6E5599"/>
    <w:rsid w:val="6EB5F59F"/>
    <w:rsid w:val="6EB7A606"/>
    <w:rsid w:val="6EEDDFC6"/>
    <w:rsid w:val="6F1FDE54"/>
    <w:rsid w:val="6F4D0906"/>
    <w:rsid w:val="6F5824FC"/>
    <w:rsid w:val="6F6078D7"/>
    <w:rsid w:val="6F81A542"/>
    <w:rsid w:val="6FE5B74E"/>
    <w:rsid w:val="6FFC60F2"/>
    <w:rsid w:val="701DE9D0"/>
    <w:rsid w:val="702A9DA1"/>
    <w:rsid w:val="7091AEC0"/>
    <w:rsid w:val="7096831A"/>
    <w:rsid w:val="70B6874D"/>
    <w:rsid w:val="70D93F52"/>
    <w:rsid w:val="7109309C"/>
    <w:rsid w:val="71143564"/>
    <w:rsid w:val="714023F5"/>
    <w:rsid w:val="716838ED"/>
    <w:rsid w:val="71845588"/>
    <w:rsid w:val="71A38E32"/>
    <w:rsid w:val="71E72B94"/>
    <w:rsid w:val="72022DA6"/>
    <w:rsid w:val="725680FE"/>
    <w:rsid w:val="7293E441"/>
    <w:rsid w:val="729B11A8"/>
    <w:rsid w:val="72D13B70"/>
    <w:rsid w:val="73042FB3"/>
    <w:rsid w:val="7314606B"/>
    <w:rsid w:val="736B25C3"/>
    <w:rsid w:val="736E9231"/>
    <w:rsid w:val="73AA3F2F"/>
    <w:rsid w:val="73C30666"/>
    <w:rsid w:val="74283E2A"/>
    <w:rsid w:val="744866F1"/>
    <w:rsid w:val="745407A4"/>
    <w:rsid w:val="748EB722"/>
    <w:rsid w:val="74CC9913"/>
    <w:rsid w:val="74DB2EF4"/>
    <w:rsid w:val="74EE801A"/>
    <w:rsid w:val="74F5CCAE"/>
    <w:rsid w:val="750FF238"/>
    <w:rsid w:val="753FC2B5"/>
    <w:rsid w:val="7591C59B"/>
    <w:rsid w:val="75A166F2"/>
    <w:rsid w:val="75CBC69C"/>
    <w:rsid w:val="76662508"/>
    <w:rsid w:val="7676FF55"/>
    <w:rsid w:val="768AF896"/>
    <w:rsid w:val="76C05472"/>
    <w:rsid w:val="777A5C4F"/>
    <w:rsid w:val="77F56072"/>
    <w:rsid w:val="7882D4A4"/>
    <w:rsid w:val="78EDB73B"/>
    <w:rsid w:val="78FF6FF3"/>
    <w:rsid w:val="790DBA5F"/>
    <w:rsid w:val="793F12A5"/>
    <w:rsid w:val="79414C3D"/>
    <w:rsid w:val="79737137"/>
    <w:rsid w:val="79AEA017"/>
    <w:rsid w:val="79EF28FE"/>
    <w:rsid w:val="79F38F7F"/>
    <w:rsid w:val="7A205D70"/>
    <w:rsid w:val="7AA98AC0"/>
    <w:rsid w:val="7AACE4E2"/>
    <w:rsid w:val="7AAEFD55"/>
    <w:rsid w:val="7ABA9E08"/>
    <w:rsid w:val="7B4DC551"/>
    <w:rsid w:val="7B50839F"/>
    <w:rsid w:val="7B5CF0D1"/>
    <w:rsid w:val="7B8C4849"/>
    <w:rsid w:val="7BD8BDBF"/>
    <w:rsid w:val="7BF85BFF"/>
    <w:rsid w:val="7C70C5DE"/>
    <w:rsid w:val="7C712BB5"/>
    <w:rsid w:val="7D01D199"/>
    <w:rsid w:val="7D1515AC"/>
    <w:rsid w:val="7D1E8B36"/>
    <w:rsid w:val="7D4AD49A"/>
    <w:rsid w:val="7D4CD626"/>
    <w:rsid w:val="7D66A6AA"/>
    <w:rsid w:val="7DAF7EFB"/>
    <w:rsid w:val="7DB05307"/>
    <w:rsid w:val="7E0EF4FF"/>
    <w:rsid w:val="7F1F2A59"/>
    <w:rsid w:val="7F9015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EA2AD"/>
  <w15:chartTrackingRefBased/>
  <w15:docId w15:val="{44E51704-9710-4611-BECD-6859C59CAC8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04419d20ee44b09" /><Relationship Type="http://schemas.openxmlformats.org/officeDocument/2006/relationships/hyperlink" Target="http://www.sponsorship.co.uk/in_sponsorship/in_sponsorship.htm" TargetMode="External" Id="R9e57832b85124d90" /><Relationship Type="http://schemas.openxmlformats.org/officeDocument/2006/relationships/hyperlink" Target="https://doi.org/10.4324/9780203852972" TargetMode="External" Id="Rfe39a51776d54e6e" /><Relationship Type="http://schemas.openxmlformats.org/officeDocument/2006/relationships/hyperlink" Target="https://doi.org/10.4324/9780203852972" TargetMode="External" Id="R2b4088fa94f44546" /><Relationship Type="http://schemas.openxmlformats.org/officeDocument/2006/relationships/hyperlink" Target="https://doi.org/10.4324/9780203852972" TargetMode="External" Id="Rfb7a7b95211d45b2" /><Relationship Type="http://schemas.openxmlformats.org/officeDocument/2006/relationships/hyperlink" Target="https://eurovision.tv/story/eurovision-2022-161-million-viewers" TargetMode="External" Id="Re2ea6a076a464b93" /><Relationship Type="http://schemas.openxmlformats.org/officeDocument/2006/relationships/hyperlink" Target="https://www.history.co.uk/articles/the-weird-and-wonderful-history-of-the-eurovision-song-contest" TargetMode="External" Id="R9355a4e74da74876" /><Relationship Type="http://schemas.openxmlformats.org/officeDocument/2006/relationships/hyperlink" Target="https://eurovision.tv/history/origins-of-eurovision" TargetMode="External" Id="Ra4cefa48c37846e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Megan Marston-Phipps (2204916)</dc:creator>
  <keywords/>
  <dc:description/>
  <lastModifiedBy>Megan Marston-Phipps (2204916)</lastModifiedBy>
  <revision>6</revision>
  <dcterms:created xsi:type="dcterms:W3CDTF">2022-11-02T09:12:57.2778186Z</dcterms:created>
  <dcterms:modified xsi:type="dcterms:W3CDTF">2022-11-25T11:43:04.8012133Z</dcterms:modified>
</coreProperties>
</file>