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552AD6">
      <w:pPr>
        <w:ind w:firstLine="0"/>
        <w:rPr>
          <w:rFonts w:eastAsia="Times New Roman"/>
        </w:rPr>
      </w:pPr>
    </w:p>
    <w:p w14:paraId="5859250A">
      <w:pPr>
        <w:ind w:firstLine="0"/>
        <w:rPr>
          <w:rFonts w:eastAsia="Times New Roman"/>
        </w:rPr>
      </w:pPr>
    </w:p>
    <w:p w14:paraId="6EEECD8B">
      <w:pPr>
        <w:ind w:firstLine="0"/>
        <w:rPr>
          <w:rFonts w:eastAsia="Times New Roman"/>
        </w:rPr>
      </w:pPr>
    </w:p>
    <w:p w14:paraId="5A503053">
      <w:pPr>
        <w:ind w:firstLine="0"/>
        <w:rPr>
          <w:rFonts w:eastAsia="Times New Roman"/>
        </w:rPr>
      </w:pPr>
    </w:p>
    <w:p w14:paraId="515AD078">
      <w:pPr>
        <w:ind w:firstLine="0"/>
        <w:jc w:val="center"/>
        <w:rPr>
          <w:rFonts w:eastAsia="Times New Roman"/>
        </w:rPr>
      </w:pPr>
    </w:p>
    <w:p w14:paraId="23FC7026">
      <w:pPr>
        <w:ind w:firstLine="0"/>
        <w:jc w:val="center"/>
        <w:rPr>
          <w:rFonts w:eastAsia="Times New Roman"/>
        </w:rPr>
      </w:pPr>
      <w:r>
        <w:rPr>
          <w:rFonts w:eastAsia="Times New Roman"/>
        </w:rPr>
        <w:drawing>
          <wp:inline distT="0" distB="0" distL="0" distR="0">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10385" cy="725170"/>
                    </a:xfrm>
                    <a:prstGeom prst="rect">
                      <a:avLst/>
                    </a:prstGeom>
                    <a:noFill/>
                  </pic:spPr>
                </pic:pic>
              </a:graphicData>
            </a:graphic>
          </wp:inline>
        </w:drawing>
      </w:r>
    </w:p>
    <w:p w14:paraId="26673281">
      <w:pPr>
        <w:ind w:firstLine="0"/>
        <w:jc w:val="center"/>
        <w:rPr>
          <w:rFonts w:eastAsia="Times New Roman"/>
        </w:rPr>
      </w:pPr>
    </w:p>
    <w:p w14:paraId="60094A64">
      <w:pPr>
        <w:ind w:firstLine="0"/>
        <w:rPr>
          <w:rFonts w:eastAsia="Times New Roman"/>
        </w:rPr>
      </w:pPr>
    </w:p>
    <w:p w14:paraId="5F77BBC3">
      <w:pPr>
        <w:ind w:firstLine="0"/>
        <w:jc w:val="center"/>
        <w:rPr>
          <w:rFonts w:eastAsia="Times New Roman"/>
          <w:i/>
          <w:iCs/>
        </w:rPr>
      </w:pPr>
      <w:r>
        <w:rPr>
          <w:rFonts w:eastAsia="Times New Roman"/>
          <w:i/>
          <w:iCs/>
        </w:rPr>
        <w:t>‘Critical Analysis Report on Amazon.com, Inc.’</w:t>
      </w:r>
    </w:p>
    <w:p w14:paraId="0F6B1517">
      <w:pPr>
        <w:ind w:firstLine="0"/>
        <w:jc w:val="center"/>
        <w:rPr>
          <w:rFonts w:eastAsia="Times New Roman"/>
        </w:rPr>
      </w:pPr>
    </w:p>
    <w:p w14:paraId="1A14C064">
      <w:pPr>
        <w:ind w:firstLine="0"/>
        <w:jc w:val="center"/>
        <w:rPr>
          <w:rFonts w:eastAsia="Times New Roman"/>
        </w:rPr>
      </w:pPr>
      <w:r>
        <w:rPr>
          <w:rFonts w:eastAsia="Times New Roman"/>
        </w:rPr>
        <w:t>MSc in Engineering Project Management</w:t>
      </w:r>
    </w:p>
    <w:p w14:paraId="363FC4AE">
      <w:pPr>
        <w:ind w:firstLine="0"/>
        <w:jc w:val="center"/>
        <w:rPr>
          <w:rFonts w:hint="default" w:eastAsia="Times New Roman"/>
          <w:lang w:val="en-IN"/>
        </w:rPr>
      </w:pPr>
      <w:r>
        <w:rPr>
          <w:rFonts w:hint="default" w:eastAsia="Times New Roman"/>
          <w:lang w:val="en-IN"/>
        </w:rPr>
        <w:t xml:space="preserve">Name- Durgesh Sunil Badhe </w:t>
      </w:r>
    </w:p>
    <w:p w14:paraId="425BACD1">
      <w:pPr>
        <w:ind w:firstLine="0"/>
        <w:jc w:val="center"/>
        <w:rPr>
          <w:rFonts w:hint="default" w:eastAsia="Times New Roman"/>
          <w:lang w:val="en-IN"/>
        </w:rPr>
      </w:pPr>
      <w:r>
        <w:rPr>
          <w:rFonts w:hint="default" w:eastAsia="Times New Roman"/>
          <w:lang w:val="en-IN"/>
        </w:rPr>
        <w:t>Student no - 2506741</w:t>
      </w:r>
    </w:p>
    <w:p w14:paraId="2925762D">
      <w:pPr>
        <w:ind w:firstLine="0"/>
        <w:jc w:val="center"/>
        <w:rPr>
          <w:rFonts w:eastAsia="Times New Roman"/>
        </w:rPr>
      </w:pPr>
    </w:p>
    <w:p w14:paraId="1D335884">
      <w:pPr>
        <w:ind w:firstLine="0"/>
        <w:jc w:val="center"/>
        <w:rPr>
          <w:rFonts w:eastAsia="Times New Roman"/>
        </w:rPr>
      </w:pPr>
    </w:p>
    <w:p w14:paraId="55D79452">
      <w:pPr>
        <w:ind w:firstLine="0"/>
        <w:jc w:val="center"/>
        <w:rPr>
          <w:rFonts w:eastAsia="Times New Roman"/>
        </w:rPr>
      </w:pPr>
      <w:r>
        <w:rPr>
          <w:rFonts w:eastAsia="Times New Roman"/>
        </w:rPr>
        <w:t xml:space="preserve">Business Analytics </w:t>
      </w:r>
    </w:p>
    <w:p w14:paraId="4A61FBDC">
      <w:pPr>
        <w:ind w:firstLine="0"/>
        <w:jc w:val="center"/>
        <w:rPr>
          <w:rFonts w:eastAsia="Times New Roman"/>
        </w:rPr>
      </w:pPr>
      <w:r>
        <w:rPr>
          <w:rFonts w:eastAsia="Times New Roman"/>
        </w:rPr>
        <w:t>ACHA 7005</w:t>
      </w:r>
    </w:p>
    <w:p w14:paraId="2C07FA3E">
      <w:pPr>
        <w:ind w:firstLine="0"/>
        <w:jc w:val="center"/>
        <w:rPr>
          <w:rFonts w:eastAsia="Times New Roman"/>
        </w:rPr>
      </w:pPr>
    </w:p>
    <w:p w14:paraId="4917F5C3">
      <w:pPr>
        <w:ind w:firstLine="0"/>
        <w:jc w:val="center"/>
        <w:rPr>
          <w:rFonts w:eastAsia="Times New Roman"/>
        </w:rPr>
      </w:pPr>
    </w:p>
    <w:p w14:paraId="373C207E">
      <w:pPr>
        <w:ind w:firstLine="0"/>
        <w:jc w:val="center"/>
        <w:rPr>
          <w:rFonts w:eastAsia="Times New Roman"/>
        </w:rPr>
      </w:pPr>
    </w:p>
    <w:p w14:paraId="18B755C5">
      <w:pPr>
        <w:ind w:firstLine="0"/>
        <w:jc w:val="center"/>
        <w:rPr>
          <w:rFonts w:eastAsia="Times New Roman"/>
        </w:rPr>
      </w:pPr>
    </w:p>
    <w:p w14:paraId="47636D88">
      <w:pPr>
        <w:spacing w:after="0" w:line="240" w:lineRule="auto"/>
        <w:ind w:firstLine="600" w:firstLineChars="250"/>
        <w:jc w:val="both"/>
        <w:textAlignment w:val="baseline"/>
        <w:rPr>
          <w:rFonts w:ascii="Arial" w:hAnsi="Arial" w:eastAsia="Arial" w:cs="Arial"/>
          <w:color w:val="000000" w:themeColor="text1"/>
          <w14:textFill>
            <w14:solidFill>
              <w14:schemeClr w14:val="tx1"/>
            </w14:solidFill>
          </w14:textFill>
        </w:rPr>
      </w:pPr>
      <w:r>
        <w:rPr>
          <w:rFonts w:ascii="Arial" w:hAnsi="Arial" w:eastAsia="Arial" w:cs="Arial"/>
          <w:b/>
          <w:bCs/>
          <w:color w:val="000000" w:themeColor="text1"/>
          <w14:textFill>
            <w14:solidFill>
              <w14:schemeClr w14:val="tx1"/>
            </w14:solidFill>
          </w14:textFill>
        </w:rPr>
        <w:t>Use of Generative AI in Assessment </w:t>
      </w:r>
      <w:r>
        <w:rPr>
          <w:rFonts w:ascii="Arial" w:hAnsi="Arial" w:eastAsia="Arial" w:cs="Arial"/>
          <w:color w:val="000000" w:themeColor="text1"/>
          <w14:textFill>
            <w14:solidFill>
              <w14:schemeClr w14:val="tx1"/>
            </w14:solidFill>
          </w14:textFill>
        </w:rPr>
        <w:t> </w:t>
      </w:r>
    </w:p>
    <w:p w14:paraId="6F760D63">
      <w:pPr>
        <w:spacing w:after="0" w:line="240" w:lineRule="auto"/>
        <w:ind w:firstLine="8640"/>
        <w:textAlignment w:val="baseline"/>
        <w:rPr>
          <w:rFonts w:ascii="Times New Roman" w:hAnsi="Times New Roman" w:eastAsia="Times New Roman" w:cs="Times New Roman"/>
          <w:color w:val="000000" w:themeColor="text1"/>
          <w:sz w:val="20"/>
          <w:szCs w:val="20"/>
          <w14:textFill>
            <w14:solidFill>
              <w14:schemeClr w14:val="tx1"/>
            </w14:solidFill>
          </w14:textFill>
        </w:rPr>
      </w:pPr>
      <w:r>
        <w:rPr>
          <w:rFonts w:ascii="Times New Roman" w:hAnsi="Times New Roman" w:eastAsia="Times New Roman" w:cs="Times New Roman"/>
          <w:color w:val="000000" w:themeColor="text1"/>
          <w:sz w:val="20"/>
          <w:szCs w:val="20"/>
          <w14:textFill>
            <w14:solidFill>
              <w14:schemeClr w14:val="tx1"/>
            </w14:solidFill>
          </w14:textFill>
        </w:rPr>
        <w:t>  </w:t>
      </w:r>
    </w:p>
    <w:p w14:paraId="51EEB09A">
      <w:pPr>
        <w:spacing w:after="0" w:line="240" w:lineRule="auto"/>
        <w:textAlignment w:val="baseline"/>
        <w:rPr>
          <w:rFonts w:ascii="Times New Roman" w:hAnsi="Times New Roman" w:eastAsia="Times New Roman" w:cs="Times New Roman"/>
          <w:color w:val="000000" w:themeColor="text1"/>
          <w:sz w:val="20"/>
          <w:szCs w:val="20"/>
          <w14:textFill>
            <w14:solidFill>
              <w14:schemeClr w14:val="tx1"/>
            </w14:solidFill>
          </w14:textFill>
        </w:rPr>
      </w:pPr>
    </w:p>
    <w:tbl>
      <w:tblPr>
        <w:tblStyle w:val="12"/>
        <w:tblW w:w="0" w:type="auto"/>
        <w:tblInd w:w="60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108" w:type="dxa"/>
          <w:bottom w:w="0" w:type="dxa"/>
          <w:right w:w="108" w:type="dxa"/>
        </w:tblCellMar>
      </w:tblPr>
      <w:tblGrid>
        <w:gridCol w:w="2837"/>
        <w:gridCol w:w="4396"/>
        <w:gridCol w:w="1737"/>
      </w:tblGrid>
      <w:tr w14:paraId="5F77EDD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auto" w:sz="6" w:space="0"/>
              <w:left w:val="single" w:color="auto" w:sz="6" w:space="0"/>
              <w:bottom w:val="single" w:color="000000" w:themeColor="text1" w:sz="6" w:space="0"/>
              <w:right w:val="single" w:color="000000" w:themeColor="text1" w:sz="6" w:space="0"/>
            </w:tcBorders>
            <w:tcMar>
              <w:left w:w="105" w:type="dxa"/>
              <w:right w:w="105" w:type="dxa"/>
            </w:tcMar>
          </w:tcPr>
          <w:p w14:paraId="7C75143B">
            <w:pPr>
              <w:spacing w:after="0" w:line="240" w:lineRule="auto"/>
              <w:rPr>
                <w:rFonts w:ascii="Arial" w:hAnsi="Arial" w:eastAsia="Arial" w:cs="Arial"/>
                <w:sz w:val="22"/>
                <w:szCs w:val="21"/>
              </w:rPr>
            </w:pPr>
            <w:r>
              <w:rPr>
                <w:rFonts w:ascii="Arial" w:hAnsi="Arial" w:eastAsia="Arial" w:cs="Arial"/>
                <w:sz w:val="22"/>
                <w:szCs w:val="21"/>
              </w:rPr>
              <w:t>RESEARCH  </w:t>
            </w:r>
          </w:p>
        </w:tc>
        <w:tc>
          <w:tcPr>
            <w:tcW w:w="4935" w:type="dxa"/>
            <w:tcBorders>
              <w:top w:val="single" w:color="auto"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719C084E">
            <w:pPr>
              <w:spacing w:after="0" w:line="240" w:lineRule="auto"/>
              <w:rPr>
                <w:rFonts w:ascii="Arial" w:hAnsi="Arial" w:eastAsia="Arial" w:cs="Arial"/>
                <w:sz w:val="22"/>
                <w:szCs w:val="21"/>
              </w:rPr>
            </w:pPr>
            <w:r>
              <w:rPr>
                <w:rFonts w:ascii="Arial" w:hAnsi="Arial" w:eastAsia="Arial" w:cs="Arial"/>
                <w:sz w:val="22"/>
                <w:szCs w:val="21"/>
              </w:rPr>
              <w:t>For this assessment, you can use Generative AI to support you in research, including searching for bibliography, using tools to summarise, compare and interrogate materials.  </w:t>
            </w:r>
          </w:p>
        </w:tc>
        <w:tc>
          <w:tcPr>
            <w:tcW w:w="1260" w:type="dxa"/>
            <w:tcBorders>
              <w:top w:val="single" w:color="auto" w:sz="6" w:space="0"/>
              <w:left w:val="single" w:color="000000" w:themeColor="text1" w:sz="6" w:space="0"/>
              <w:bottom w:val="single" w:color="000000" w:themeColor="text1" w:sz="6" w:space="0"/>
              <w:right w:val="single" w:color="auto" w:sz="6" w:space="0"/>
            </w:tcBorders>
            <w:tcMar>
              <w:left w:w="105" w:type="dxa"/>
              <w:right w:w="105" w:type="dxa"/>
            </w:tcMar>
          </w:tcPr>
          <w:p w14:paraId="1060F0F9">
            <w:pPr>
              <w:spacing w:after="0" w:line="240" w:lineRule="auto"/>
              <w:rPr>
                <w:rFonts w:ascii="Arial" w:hAnsi="Arial" w:eastAsia="Arial" w:cs="Arial"/>
                <w:sz w:val="22"/>
                <w:szCs w:val="21"/>
              </w:rPr>
            </w:pPr>
            <w:r>
              <w:rPr>
                <w:rFonts w:ascii="Arial" w:hAnsi="Arial" w:eastAsia="Arial" w:cs="Arial"/>
                <w:sz w:val="22"/>
                <w:szCs w:val="21"/>
              </w:rPr>
              <w:t xml:space="preserve">Yes </w:t>
            </w:r>
            <w:r>
              <w:rPr>
                <w:rFonts w:ascii="MS Gothic" w:hAnsi="MS Gothic" w:eastAsia="MS Gothic" w:cs="MS Gothic"/>
                <w:sz w:val="22"/>
                <w:szCs w:val="21"/>
              </w:rPr>
              <w:t>☒</w:t>
            </w:r>
            <w:r>
              <w:rPr>
                <w:rFonts w:ascii="Arial" w:hAnsi="Arial" w:eastAsia="Arial" w:cs="Arial"/>
                <w:sz w:val="22"/>
                <w:szCs w:val="21"/>
              </w:rPr>
              <w:t xml:space="preserve">   </w:t>
            </w:r>
          </w:p>
          <w:p w14:paraId="7B50347B">
            <w:pPr>
              <w:spacing w:after="0" w:line="240" w:lineRule="auto"/>
              <w:rPr>
                <w:rFonts w:ascii="Arial" w:hAnsi="Arial" w:eastAsia="Arial" w:cs="Arial"/>
                <w:sz w:val="22"/>
                <w:szCs w:val="21"/>
              </w:rPr>
            </w:pPr>
            <w:r>
              <w:rPr>
                <w:rFonts w:ascii="Arial" w:hAnsi="Arial" w:eastAsia="Arial" w:cs="Arial"/>
                <w:sz w:val="22"/>
                <w:szCs w:val="21"/>
              </w:rPr>
              <w:t>  </w:t>
            </w:r>
          </w:p>
          <w:p w14:paraId="143DA1B1">
            <w:pPr>
              <w:spacing w:after="0" w:line="240" w:lineRule="auto"/>
              <w:rPr>
                <w:rFonts w:ascii="Arial" w:hAnsi="Arial" w:eastAsia="Arial" w:cs="Arial"/>
                <w:sz w:val="22"/>
                <w:szCs w:val="21"/>
              </w:rPr>
            </w:pPr>
            <w:r>
              <w:rPr>
                <w:rFonts w:ascii="Arial" w:hAnsi="Arial" w:eastAsia="Arial" w:cs="Arial"/>
                <w:sz w:val="22"/>
                <w:szCs w:val="21"/>
              </w:rPr>
              <w:t xml:space="preserve">No  </w:t>
            </w:r>
            <w:r>
              <w:rPr>
                <w:rFonts w:ascii="MS Gothic" w:hAnsi="MS Gothic" w:eastAsia="MS Gothic" w:cs="MS Gothic"/>
                <w:sz w:val="22"/>
                <w:szCs w:val="21"/>
              </w:rPr>
              <w:t>☐</w:t>
            </w:r>
            <w:r>
              <w:rPr>
                <w:rFonts w:ascii="Arial" w:hAnsi="Arial" w:eastAsia="Arial" w:cs="Arial"/>
                <w:sz w:val="22"/>
                <w:szCs w:val="21"/>
              </w:rPr>
              <w:t xml:space="preserve">   </w:t>
            </w:r>
          </w:p>
        </w:tc>
      </w:tr>
      <w:tr w14:paraId="5D7A311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tcPr>
          <w:p w14:paraId="03ED2116">
            <w:pPr>
              <w:spacing w:after="0" w:line="240" w:lineRule="auto"/>
              <w:rPr>
                <w:rFonts w:ascii="Arial" w:hAnsi="Arial" w:eastAsia="Arial" w:cs="Arial"/>
                <w:sz w:val="22"/>
                <w:szCs w:val="21"/>
              </w:rPr>
            </w:pPr>
            <w:r>
              <w:rPr>
                <w:rFonts w:ascii="Arial" w:hAnsi="Arial" w:eastAsia="Arial" w:cs="Arial"/>
                <w:sz w:val="22"/>
                <w:szCs w:val="21"/>
              </w:rPr>
              <w:t>STRUCTURE  </w:t>
            </w:r>
          </w:p>
        </w:tc>
        <w:tc>
          <w:tcPr>
            <w:tcW w:w="49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22F6FDCB">
            <w:pPr>
              <w:spacing w:after="0" w:line="240" w:lineRule="auto"/>
              <w:rPr>
                <w:rFonts w:ascii="Arial" w:hAnsi="Arial" w:eastAsia="Arial" w:cs="Arial"/>
                <w:sz w:val="22"/>
                <w:szCs w:val="21"/>
              </w:rPr>
            </w:pPr>
            <w:r>
              <w:rPr>
                <w:rFonts w:ascii="Arial" w:hAnsi="Arial" w:eastAsia="Arial" w:cs="Arial"/>
                <w:sz w:val="22"/>
                <w:szCs w:val="21"/>
              </w:rPr>
              <w:t>For this assessment, you can use Generative AI to support you in structuring your submission, including creating a draft argument structure, identifying parts and headings, etc.  </w:t>
            </w:r>
          </w:p>
        </w:tc>
        <w:tc>
          <w:tcPr>
            <w:tcW w:w="126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14:paraId="23BE1218">
            <w:pPr>
              <w:spacing w:after="0" w:line="240" w:lineRule="auto"/>
              <w:rPr>
                <w:rFonts w:ascii="Arial" w:hAnsi="Arial" w:eastAsia="Arial" w:cs="Arial"/>
                <w:sz w:val="22"/>
                <w:szCs w:val="21"/>
              </w:rPr>
            </w:pPr>
            <w:r>
              <w:rPr>
                <w:rFonts w:ascii="Arial" w:hAnsi="Arial" w:eastAsia="Arial" w:cs="Arial"/>
                <w:sz w:val="22"/>
                <w:szCs w:val="21"/>
              </w:rPr>
              <w:t xml:space="preserve">Yes </w:t>
            </w:r>
            <w:r>
              <w:rPr>
                <w:rFonts w:ascii="MS Gothic" w:hAnsi="MS Gothic" w:eastAsia="MS Gothic" w:cs="MS Gothic"/>
                <w:sz w:val="22"/>
                <w:szCs w:val="21"/>
              </w:rPr>
              <w:t>☒</w:t>
            </w:r>
            <w:r>
              <w:rPr>
                <w:rFonts w:ascii="Arial" w:hAnsi="Arial" w:eastAsia="Arial" w:cs="Arial"/>
                <w:sz w:val="22"/>
                <w:szCs w:val="21"/>
              </w:rPr>
              <w:t xml:space="preserve">   </w:t>
            </w:r>
          </w:p>
          <w:p w14:paraId="15316EC4">
            <w:pPr>
              <w:spacing w:after="0" w:line="240" w:lineRule="auto"/>
              <w:rPr>
                <w:rFonts w:ascii="Arial" w:hAnsi="Arial" w:eastAsia="Arial" w:cs="Arial"/>
                <w:sz w:val="22"/>
                <w:szCs w:val="21"/>
              </w:rPr>
            </w:pPr>
            <w:r>
              <w:rPr>
                <w:rFonts w:ascii="Arial" w:hAnsi="Arial" w:eastAsia="Arial" w:cs="Arial"/>
                <w:sz w:val="22"/>
                <w:szCs w:val="21"/>
              </w:rPr>
              <w:t>  </w:t>
            </w:r>
          </w:p>
          <w:p w14:paraId="4D815BC3">
            <w:pPr>
              <w:spacing w:after="0" w:line="240" w:lineRule="auto"/>
              <w:rPr>
                <w:rFonts w:ascii="Arial" w:hAnsi="Arial" w:eastAsia="Arial" w:cs="Arial"/>
                <w:sz w:val="22"/>
                <w:szCs w:val="21"/>
              </w:rPr>
            </w:pPr>
            <w:r>
              <w:rPr>
                <w:rFonts w:ascii="Arial" w:hAnsi="Arial" w:eastAsia="Arial" w:cs="Arial"/>
                <w:sz w:val="22"/>
                <w:szCs w:val="21"/>
              </w:rPr>
              <w:t xml:space="preserve">No  </w:t>
            </w:r>
            <w:r>
              <w:rPr>
                <w:rFonts w:ascii="MS Gothic" w:hAnsi="MS Gothic" w:eastAsia="MS Gothic" w:cs="MS Gothic"/>
                <w:sz w:val="22"/>
                <w:szCs w:val="21"/>
              </w:rPr>
              <w:t>☐</w:t>
            </w:r>
            <w:r>
              <w:rPr>
                <w:rFonts w:ascii="Arial" w:hAnsi="Arial" w:eastAsia="Arial" w:cs="Arial"/>
                <w:sz w:val="22"/>
                <w:szCs w:val="21"/>
              </w:rPr>
              <w:t xml:space="preserve">   </w:t>
            </w:r>
          </w:p>
        </w:tc>
      </w:tr>
      <w:tr w14:paraId="4F5F556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tcPr>
          <w:p w14:paraId="25357779">
            <w:pPr>
              <w:spacing w:after="0" w:line="240" w:lineRule="auto"/>
              <w:rPr>
                <w:rFonts w:ascii="Arial" w:hAnsi="Arial" w:eastAsia="Arial" w:cs="Arial"/>
                <w:sz w:val="22"/>
                <w:szCs w:val="21"/>
              </w:rPr>
            </w:pPr>
            <w:r>
              <w:rPr>
                <w:rFonts w:ascii="Arial" w:hAnsi="Arial" w:eastAsia="Arial" w:cs="Arial"/>
                <w:sz w:val="22"/>
                <w:szCs w:val="21"/>
              </w:rPr>
              <w:t>PROOFREADING  </w:t>
            </w:r>
          </w:p>
        </w:tc>
        <w:tc>
          <w:tcPr>
            <w:tcW w:w="49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2891DD53">
            <w:pPr>
              <w:spacing w:after="0" w:line="240" w:lineRule="auto"/>
              <w:rPr>
                <w:rFonts w:ascii="Arial" w:hAnsi="Arial" w:eastAsia="Arial" w:cs="Arial"/>
                <w:sz w:val="22"/>
                <w:szCs w:val="21"/>
              </w:rPr>
            </w:pPr>
            <w:r>
              <w:rPr>
                <w:rFonts w:ascii="Arial" w:hAnsi="Arial" w:eastAsia="Arial" w:cs="Arial"/>
                <w:sz w:val="22"/>
                <w:szCs w:val="21"/>
              </w:rPr>
              <w:t>For this assessment, you can use Generative AI to check your own text/creation for grammatical and syntactical mistakes, including rephrasing of your own work within specific standards.  </w:t>
            </w:r>
          </w:p>
        </w:tc>
        <w:tc>
          <w:tcPr>
            <w:tcW w:w="126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14:paraId="6B2DAFF4">
            <w:pPr>
              <w:spacing w:after="0" w:line="240" w:lineRule="auto"/>
              <w:rPr>
                <w:rFonts w:ascii="Arial" w:hAnsi="Arial" w:eastAsia="Arial" w:cs="Arial"/>
                <w:sz w:val="22"/>
                <w:szCs w:val="21"/>
              </w:rPr>
            </w:pPr>
            <w:r>
              <w:rPr>
                <w:rFonts w:ascii="Arial" w:hAnsi="Arial" w:eastAsia="Arial" w:cs="Arial"/>
                <w:sz w:val="22"/>
                <w:szCs w:val="21"/>
              </w:rPr>
              <w:t xml:space="preserve">Yes </w:t>
            </w:r>
            <w:r>
              <w:rPr>
                <w:rFonts w:ascii="MS Gothic" w:hAnsi="MS Gothic" w:eastAsia="MS Gothic" w:cs="MS Gothic"/>
                <w:sz w:val="22"/>
                <w:szCs w:val="21"/>
              </w:rPr>
              <w:t>☒</w:t>
            </w:r>
            <w:r>
              <w:rPr>
                <w:rFonts w:ascii="Arial" w:hAnsi="Arial" w:eastAsia="Arial" w:cs="Arial"/>
                <w:sz w:val="22"/>
                <w:szCs w:val="21"/>
              </w:rPr>
              <w:t xml:space="preserve">   </w:t>
            </w:r>
          </w:p>
          <w:p w14:paraId="4DDEC335">
            <w:pPr>
              <w:spacing w:after="0" w:line="240" w:lineRule="auto"/>
              <w:rPr>
                <w:rFonts w:ascii="Arial" w:hAnsi="Arial" w:eastAsia="Arial" w:cs="Arial"/>
                <w:sz w:val="22"/>
                <w:szCs w:val="21"/>
              </w:rPr>
            </w:pPr>
            <w:r>
              <w:rPr>
                <w:rFonts w:ascii="Arial" w:hAnsi="Arial" w:eastAsia="Arial" w:cs="Arial"/>
                <w:sz w:val="22"/>
                <w:szCs w:val="21"/>
              </w:rPr>
              <w:t>  </w:t>
            </w:r>
          </w:p>
          <w:p w14:paraId="4AE00E53">
            <w:pPr>
              <w:spacing w:after="0" w:line="240" w:lineRule="auto"/>
              <w:rPr>
                <w:rFonts w:ascii="Arial" w:hAnsi="Arial" w:eastAsia="Arial" w:cs="Arial"/>
                <w:sz w:val="22"/>
                <w:szCs w:val="21"/>
              </w:rPr>
            </w:pPr>
            <w:r>
              <w:rPr>
                <w:rFonts w:ascii="Arial" w:hAnsi="Arial" w:eastAsia="Arial" w:cs="Arial"/>
                <w:sz w:val="22"/>
                <w:szCs w:val="21"/>
              </w:rPr>
              <w:t xml:space="preserve">No  </w:t>
            </w:r>
            <w:r>
              <w:rPr>
                <w:rFonts w:ascii="MS Gothic" w:hAnsi="MS Gothic" w:eastAsia="MS Gothic" w:cs="MS Gothic"/>
                <w:sz w:val="22"/>
                <w:szCs w:val="21"/>
              </w:rPr>
              <w:t>☐</w:t>
            </w:r>
            <w:r>
              <w:rPr>
                <w:rFonts w:ascii="Arial" w:hAnsi="Arial" w:eastAsia="Arial" w:cs="Arial"/>
                <w:sz w:val="22"/>
                <w:szCs w:val="21"/>
              </w:rPr>
              <w:t xml:space="preserve">   </w:t>
            </w:r>
          </w:p>
        </w:tc>
      </w:tr>
      <w:tr w14:paraId="0DDCAEC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tcPr>
          <w:p w14:paraId="741B7570">
            <w:pPr>
              <w:spacing w:after="0" w:line="240" w:lineRule="auto"/>
              <w:rPr>
                <w:rFonts w:ascii="Arial" w:hAnsi="Arial" w:eastAsia="Arial" w:cs="Arial"/>
                <w:sz w:val="22"/>
                <w:szCs w:val="21"/>
              </w:rPr>
            </w:pPr>
            <w:r>
              <w:rPr>
                <w:rFonts w:ascii="Arial" w:hAnsi="Arial" w:eastAsia="Arial" w:cs="Arial"/>
                <w:sz w:val="22"/>
                <w:szCs w:val="21"/>
              </w:rPr>
              <w:t>WRITING  </w:t>
            </w:r>
          </w:p>
        </w:tc>
        <w:tc>
          <w:tcPr>
            <w:tcW w:w="49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7327383D">
            <w:pPr>
              <w:spacing w:after="0" w:line="240" w:lineRule="auto"/>
              <w:rPr>
                <w:rFonts w:ascii="Arial" w:hAnsi="Arial" w:eastAsia="Arial" w:cs="Arial"/>
                <w:sz w:val="22"/>
                <w:szCs w:val="21"/>
              </w:rPr>
            </w:pPr>
            <w:r>
              <w:rPr>
                <w:rFonts w:ascii="Arial" w:hAnsi="Arial" w:eastAsia="Arial" w:cs="Arial"/>
                <w:sz w:val="22"/>
                <w:szCs w:val="21"/>
              </w:rPr>
              <w:t>For this assessment, you can use Generative AI to create text for submission.  </w:t>
            </w:r>
          </w:p>
        </w:tc>
        <w:tc>
          <w:tcPr>
            <w:tcW w:w="126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14:paraId="51047D3E">
            <w:pPr>
              <w:spacing w:after="0" w:line="240" w:lineRule="auto"/>
              <w:rPr>
                <w:rFonts w:ascii="Arial" w:hAnsi="Arial" w:eastAsia="Arial" w:cs="Arial"/>
                <w:sz w:val="22"/>
                <w:szCs w:val="21"/>
              </w:rPr>
            </w:pPr>
            <w:r>
              <w:rPr>
                <w:rFonts w:ascii="Arial" w:hAnsi="Arial" w:eastAsia="Arial" w:cs="Arial"/>
                <w:sz w:val="22"/>
                <w:szCs w:val="21"/>
              </w:rPr>
              <w:t xml:space="preserve">Yes </w:t>
            </w:r>
            <w:r>
              <w:rPr>
                <w:rFonts w:ascii="MS Gothic" w:hAnsi="MS Gothic" w:eastAsia="MS Gothic" w:cs="MS Gothic"/>
                <w:sz w:val="22"/>
                <w:szCs w:val="21"/>
              </w:rPr>
              <w:t>☐</w:t>
            </w:r>
            <w:r>
              <w:rPr>
                <w:rFonts w:ascii="Arial" w:hAnsi="Arial" w:eastAsia="Arial" w:cs="Arial"/>
                <w:sz w:val="22"/>
                <w:szCs w:val="21"/>
              </w:rPr>
              <w:t xml:space="preserve">   </w:t>
            </w:r>
          </w:p>
          <w:p w14:paraId="554E8798">
            <w:pPr>
              <w:spacing w:after="0" w:line="240" w:lineRule="auto"/>
              <w:rPr>
                <w:rFonts w:ascii="Arial" w:hAnsi="Arial" w:eastAsia="Arial" w:cs="Arial"/>
                <w:sz w:val="22"/>
                <w:szCs w:val="21"/>
              </w:rPr>
            </w:pPr>
            <w:r>
              <w:rPr>
                <w:rFonts w:ascii="Arial" w:hAnsi="Arial" w:eastAsia="Arial" w:cs="Arial"/>
                <w:sz w:val="22"/>
                <w:szCs w:val="21"/>
              </w:rPr>
              <w:t>  </w:t>
            </w:r>
          </w:p>
          <w:p w14:paraId="3736FD4E">
            <w:pPr>
              <w:spacing w:after="0" w:line="240" w:lineRule="auto"/>
              <w:rPr>
                <w:rFonts w:ascii="Arial" w:hAnsi="Arial" w:eastAsia="Arial" w:cs="Arial"/>
                <w:sz w:val="22"/>
                <w:szCs w:val="21"/>
              </w:rPr>
            </w:pPr>
            <w:r>
              <w:rPr>
                <w:rFonts w:ascii="Arial" w:hAnsi="Arial" w:eastAsia="Arial" w:cs="Arial"/>
                <w:sz w:val="22"/>
                <w:szCs w:val="21"/>
              </w:rPr>
              <w:t xml:space="preserve">No  </w:t>
            </w:r>
            <w:r>
              <w:rPr>
                <w:rFonts w:ascii="MS Gothic" w:hAnsi="MS Gothic" w:eastAsia="MS Gothic" w:cs="MS Gothic"/>
                <w:sz w:val="22"/>
                <w:szCs w:val="21"/>
              </w:rPr>
              <w:t>☒</w:t>
            </w:r>
            <w:r>
              <w:rPr>
                <w:rFonts w:ascii="Arial" w:hAnsi="Arial" w:eastAsia="Arial" w:cs="Arial"/>
                <w:sz w:val="22"/>
                <w:szCs w:val="21"/>
              </w:rPr>
              <w:t xml:space="preserve">   </w:t>
            </w:r>
          </w:p>
        </w:tc>
      </w:tr>
      <w:tr w14:paraId="055CFC7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tcPr>
          <w:p w14:paraId="4C865685">
            <w:pPr>
              <w:spacing w:after="0" w:line="240" w:lineRule="auto"/>
              <w:rPr>
                <w:rFonts w:ascii="Arial" w:hAnsi="Arial" w:eastAsia="Arial" w:cs="Arial"/>
                <w:sz w:val="22"/>
                <w:szCs w:val="21"/>
              </w:rPr>
            </w:pPr>
            <w:r>
              <w:rPr>
                <w:rFonts w:ascii="Arial" w:hAnsi="Arial" w:eastAsia="Arial" w:cs="Arial"/>
                <w:sz w:val="22"/>
                <w:szCs w:val="21"/>
              </w:rPr>
              <w:t>CREATIVE  </w:t>
            </w:r>
          </w:p>
        </w:tc>
        <w:tc>
          <w:tcPr>
            <w:tcW w:w="49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6533A440">
            <w:pPr>
              <w:spacing w:after="0" w:line="240" w:lineRule="auto"/>
              <w:rPr>
                <w:rFonts w:ascii="Arial" w:hAnsi="Arial" w:eastAsia="Arial" w:cs="Arial"/>
                <w:sz w:val="22"/>
                <w:szCs w:val="21"/>
              </w:rPr>
            </w:pPr>
            <w:r>
              <w:rPr>
                <w:rFonts w:ascii="Arial" w:hAnsi="Arial" w:eastAsia="Arial" w:cs="Arial"/>
                <w:sz w:val="22"/>
                <w:szCs w:val="21"/>
              </w:rPr>
              <w:t>For this assessment, you can use Generative AI to create creative materials, such as images.  </w:t>
            </w:r>
          </w:p>
        </w:tc>
        <w:tc>
          <w:tcPr>
            <w:tcW w:w="126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14:paraId="51BA4E57">
            <w:pPr>
              <w:spacing w:after="0" w:line="240" w:lineRule="auto"/>
              <w:rPr>
                <w:rFonts w:ascii="Arial" w:hAnsi="Arial" w:eastAsia="Arial" w:cs="Arial"/>
                <w:sz w:val="22"/>
                <w:szCs w:val="21"/>
              </w:rPr>
            </w:pPr>
            <w:r>
              <w:rPr>
                <w:rFonts w:ascii="Arial" w:hAnsi="Arial" w:eastAsia="Arial" w:cs="Arial"/>
                <w:sz w:val="22"/>
                <w:szCs w:val="21"/>
              </w:rPr>
              <w:t xml:space="preserve">Yes </w:t>
            </w:r>
            <w:r>
              <w:rPr>
                <w:rFonts w:ascii="MS Gothic" w:hAnsi="MS Gothic" w:eastAsia="MS Gothic" w:cs="MS Gothic"/>
                <w:sz w:val="22"/>
                <w:szCs w:val="21"/>
              </w:rPr>
              <w:t>☐</w:t>
            </w:r>
            <w:r>
              <w:rPr>
                <w:rFonts w:ascii="Arial" w:hAnsi="Arial" w:eastAsia="Arial" w:cs="Arial"/>
                <w:sz w:val="22"/>
                <w:szCs w:val="21"/>
              </w:rPr>
              <w:t xml:space="preserve">   </w:t>
            </w:r>
          </w:p>
          <w:p w14:paraId="4786B172">
            <w:pPr>
              <w:spacing w:after="0" w:line="240" w:lineRule="auto"/>
              <w:rPr>
                <w:rFonts w:ascii="Arial" w:hAnsi="Arial" w:eastAsia="Arial" w:cs="Arial"/>
                <w:sz w:val="22"/>
                <w:szCs w:val="21"/>
              </w:rPr>
            </w:pPr>
            <w:r>
              <w:rPr>
                <w:rFonts w:ascii="Arial" w:hAnsi="Arial" w:eastAsia="Arial" w:cs="Arial"/>
                <w:sz w:val="22"/>
                <w:szCs w:val="21"/>
              </w:rPr>
              <w:t>  </w:t>
            </w:r>
          </w:p>
          <w:p w14:paraId="5A51A5B5">
            <w:pPr>
              <w:spacing w:after="0" w:line="240" w:lineRule="auto"/>
              <w:rPr>
                <w:rFonts w:ascii="Arial" w:hAnsi="Arial" w:eastAsia="Arial" w:cs="Arial"/>
                <w:sz w:val="22"/>
                <w:szCs w:val="21"/>
              </w:rPr>
            </w:pPr>
            <w:r>
              <w:rPr>
                <w:rFonts w:ascii="Arial" w:hAnsi="Arial" w:eastAsia="Arial" w:cs="Arial"/>
                <w:sz w:val="22"/>
                <w:szCs w:val="21"/>
              </w:rPr>
              <w:t xml:space="preserve">No  </w:t>
            </w:r>
            <w:r>
              <w:rPr>
                <w:rFonts w:ascii="MS Gothic" w:hAnsi="MS Gothic" w:eastAsia="MS Gothic" w:cs="MS Gothic"/>
                <w:sz w:val="22"/>
                <w:szCs w:val="21"/>
              </w:rPr>
              <w:t>☒</w:t>
            </w:r>
            <w:r>
              <w:rPr>
                <w:rFonts w:ascii="Arial" w:hAnsi="Arial" w:eastAsia="Arial" w:cs="Arial"/>
                <w:sz w:val="22"/>
                <w:szCs w:val="21"/>
              </w:rPr>
              <w:t xml:space="preserve">   </w:t>
            </w:r>
          </w:p>
        </w:tc>
      </w:tr>
      <w:tr w14:paraId="28D6EBA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tcPr>
          <w:p w14:paraId="388C2823">
            <w:pPr>
              <w:spacing w:after="0" w:line="240" w:lineRule="auto"/>
              <w:rPr>
                <w:rFonts w:ascii="Arial" w:hAnsi="Arial" w:eastAsia="Arial" w:cs="Arial"/>
                <w:sz w:val="22"/>
                <w:szCs w:val="21"/>
              </w:rPr>
            </w:pPr>
            <w:r>
              <w:rPr>
                <w:rFonts w:ascii="Arial" w:hAnsi="Arial" w:eastAsia="Arial" w:cs="Arial"/>
                <w:sz w:val="22"/>
                <w:szCs w:val="21"/>
              </w:rPr>
              <w:t>PROGRAMING  </w:t>
            </w:r>
          </w:p>
        </w:tc>
        <w:tc>
          <w:tcPr>
            <w:tcW w:w="49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14:paraId="1B992125">
            <w:pPr>
              <w:spacing w:after="0" w:line="240" w:lineRule="auto"/>
              <w:rPr>
                <w:rFonts w:ascii="Arial" w:hAnsi="Arial" w:eastAsia="Arial" w:cs="Arial"/>
                <w:sz w:val="22"/>
                <w:szCs w:val="21"/>
              </w:rPr>
            </w:pPr>
            <w:r>
              <w:rPr>
                <w:rFonts w:ascii="Arial" w:hAnsi="Arial" w:eastAsia="Arial" w:cs="Arial"/>
                <w:sz w:val="22"/>
                <w:szCs w:val="21"/>
              </w:rPr>
              <w:t>For this assessment, you can use Generative AI to create and check code.  </w:t>
            </w:r>
          </w:p>
        </w:tc>
        <w:tc>
          <w:tcPr>
            <w:tcW w:w="126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14:paraId="08AA82C2">
            <w:pPr>
              <w:spacing w:after="0" w:line="240" w:lineRule="auto"/>
              <w:rPr>
                <w:rFonts w:ascii="Arial" w:hAnsi="Arial" w:eastAsia="Arial" w:cs="Arial"/>
                <w:sz w:val="22"/>
                <w:szCs w:val="21"/>
              </w:rPr>
            </w:pPr>
            <w:r>
              <w:rPr>
                <w:rFonts w:ascii="Arial" w:hAnsi="Arial" w:eastAsia="Arial" w:cs="Arial"/>
                <w:sz w:val="22"/>
                <w:szCs w:val="21"/>
              </w:rPr>
              <w:t xml:space="preserve">Yes </w:t>
            </w:r>
            <w:r>
              <w:rPr>
                <w:rFonts w:ascii="MS Gothic" w:hAnsi="MS Gothic" w:eastAsia="MS Gothic" w:cs="MS Gothic"/>
                <w:sz w:val="22"/>
                <w:szCs w:val="21"/>
              </w:rPr>
              <w:t>☐</w:t>
            </w:r>
            <w:r>
              <w:rPr>
                <w:rFonts w:ascii="Arial" w:hAnsi="Arial" w:eastAsia="Arial" w:cs="Arial"/>
                <w:sz w:val="22"/>
                <w:szCs w:val="21"/>
              </w:rPr>
              <w:t xml:space="preserve">   </w:t>
            </w:r>
          </w:p>
          <w:p w14:paraId="4C5E0692">
            <w:pPr>
              <w:spacing w:after="0" w:line="240" w:lineRule="auto"/>
              <w:rPr>
                <w:rFonts w:ascii="Arial" w:hAnsi="Arial" w:eastAsia="Arial" w:cs="Arial"/>
                <w:sz w:val="22"/>
                <w:szCs w:val="21"/>
              </w:rPr>
            </w:pPr>
            <w:r>
              <w:rPr>
                <w:rFonts w:ascii="Arial" w:hAnsi="Arial" w:eastAsia="Arial" w:cs="Arial"/>
                <w:sz w:val="22"/>
                <w:szCs w:val="21"/>
              </w:rPr>
              <w:t>  </w:t>
            </w:r>
          </w:p>
          <w:p w14:paraId="331CB117">
            <w:pPr>
              <w:spacing w:after="0" w:line="240" w:lineRule="auto"/>
              <w:rPr>
                <w:rFonts w:ascii="Arial" w:hAnsi="Arial" w:eastAsia="Arial" w:cs="Arial"/>
                <w:sz w:val="22"/>
                <w:szCs w:val="21"/>
              </w:rPr>
            </w:pPr>
            <w:r>
              <w:rPr>
                <w:rFonts w:ascii="Arial" w:hAnsi="Arial" w:eastAsia="Arial" w:cs="Arial"/>
                <w:sz w:val="22"/>
                <w:szCs w:val="21"/>
              </w:rPr>
              <w:t xml:space="preserve">No  </w:t>
            </w:r>
            <w:r>
              <w:rPr>
                <w:rFonts w:ascii="MS Gothic" w:hAnsi="MS Gothic" w:eastAsia="MS Gothic" w:cs="MS Gothic"/>
                <w:sz w:val="22"/>
                <w:szCs w:val="21"/>
              </w:rPr>
              <w:t>☒</w:t>
            </w:r>
            <w:r>
              <w:rPr>
                <w:rFonts w:ascii="Arial" w:hAnsi="Arial" w:eastAsia="Arial" w:cs="Arial"/>
                <w:sz w:val="22"/>
                <w:szCs w:val="21"/>
              </w:rPr>
              <w:t xml:space="preserve">   </w:t>
            </w:r>
          </w:p>
        </w:tc>
      </w:tr>
      <w:tr w14:paraId="70908F6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205" w:type="dxa"/>
            <w:tcBorders>
              <w:top w:val="single" w:color="000000" w:themeColor="text1" w:sz="6" w:space="0"/>
              <w:left w:val="single" w:color="auto" w:sz="6" w:space="0"/>
              <w:bottom w:val="single" w:color="auto" w:sz="6" w:space="0"/>
              <w:right w:val="single" w:color="000000" w:themeColor="text1" w:sz="6" w:space="0"/>
            </w:tcBorders>
            <w:tcMar>
              <w:left w:w="105" w:type="dxa"/>
              <w:right w:w="105" w:type="dxa"/>
            </w:tcMar>
          </w:tcPr>
          <w:p w14:paraId="39F8F5C7">
            <w:pPr>
              <w:spacing w:after="0" w:line="240" w:lineRule="auto"/>
              <w:rPr>
                <w:rFonts w:ascii="Arial" w:hAnsi="Arial" w:eastAsia="Arial" w:cs="Arial"/>
                <w:sz w:val="22"/>
                <w:szCs w:val="21"/>
              </w:rPr>
            </w:pPr>
            <w:r>
              <w:rPr>
                <w:rFonts w:ascii="Arial" w:hAnsi="Arial" w:eastAsia="Arial" w:cs="Arial"/>
                <w:sz w:val="22"/>
                <w:szCs w:val="21"/>
              </w:rPr>
              <w:t>NONE  </w:t>
            </w:r>
          </w:p>
        </w:tc>
        <w:tc>
          <w:tcPr>
            <w:tcW w:w="4935" w:type="dxa"/>
            <w:tcBorders>
              <w:top w:val="single" w:color="000000" w:themeColor="text1" w:sz="6" w:space="0"/>
              <w:left w:val="single" w:color="000000" w:themeColor="text1" w:sz="6" w:space="0"/>
              <w:bottom w:val="single" w:color="auto" w:sz="6" w:space="0"/>
              <w:right w:val="single" w:color="000000" w:themeColor="text1" w:sz="6" w:space="0"/>
            </w:tcBorders>
            <w:tcMar>
              <w:left w:w="105" w:type="dxa"/>
              <w:right w:w="105" w:type="dxa"/>
            </w:tcMar>
          </w:tcPr>
          <w:p w14:paraId="051F8F0D">
            <w:pPr>
              <w:spacing w:after="0" w:line="240" w:lineRule="auto"/>
              <w:rPr>
                <w:rFonts w:ascii="Arial" w:hAnsi="Arial" w:eastAsia="Arial" w:cs="Arial"/>
                <w:sz w:val="22"/>
                <w:szCs w:val="21"/>
              </w:rPr>
            </w:pPr>
            <w:r>
              <w:rPr>
                <w:rFonts w:ascii="Arial" w:hAnsi="Arial" w:eastAsia="Arial" w:cs="Arial"/>
                <w:sz w:val="22"/>
                <w:szCs w:val="21"/>
              </w:rPr>
              <w:t xml:space="preserve">For this assessment, you are not allowed to use </w:t>
            </w:r>
            <w:r>
              <w:rPr>
                <w:rFonts w:ascii="Arial" w:hAnsi="Arial" w:eastAsia="Arial" w:cs="Arial"/>
                <w:b/>
                <w:bCs/>
                <w:sz w:val="22"/>
                <w:szCs w:val="21"/>
              </w:rPr>
              <w:t>any</w:t>
            </w:r>
            <w:r>
              <w:rPr>
                <w:rFonts w:ascii="Arial" w:hAnsi="Arial" w:eastAsia="Arial" w:cs="Arial"/>
                <w:sz w:val="22"/>
                <w:szCs w:val="21"/>
              </w:rPr>
              <w:t xml:space="preserve"> type of Generative AI support. This includes research support, structure support, writing/proofreading support and creative support.  </w:t>
            </w:r>
          </w:p>
        </w:tc>
        <w:tc>
          <w:tcPr>
            <w:tcW w:w="1260" w:type="dxa"/>
            <w:tcBorders>
              <w:top w:val="single" w:color="000000" w:themeColor="text1" w:sz="6" w:space="0"/>
              <w:left w:val="single" w:color="000000" w:themeColor="text1" w:sz="6" w:space="0"/>
              <w:bottom w:val="single" w:color="auto" w:sz="6" w:space="0"/>
              <w:right w:val="single" w:color="auto" w:sz="6" w:space="0"/>
            </w:tcBorders>
            <w:tcMar>
              <w:left w:w="105" w:type="dxa"/>
              <w:right w:w="105" w:type="dxa"/>
            </w:tcMar>
          </w:tcPr>
          <w:p w14:paraId="67E08AE1">
            <w:pPr>
              <w:spacing w:after="0" w:line="240" w:lineRule="auto"/>
              <w:rPr>
                <w:rFonts w:ascii="Arial" w:hAnsi="Arial" w:eastAsia="Arial" w:cs="Arial"/>
                <w:sz w:val="22"/>
                <w:szCs w:val="21"/>
              </w:rPr>
            </w:pPr>
            <w:r>
              <w:rPr>
                <w:rFonts w:ascii="Arial" w:hAnsi="Arial" w:eastAsia="Arial" w:cs="Arial"/>
                <w:sz w:val="22"/>
                <w:szCs w:val="21"/>
              </w:rPr>
              <w:t xml:space="preserve">Yes </w:t>
            </w:r>
            <w:r>
              <w:rPr>
                <w:rFonts w:ascii="MS Gothic" w:hAnsi="MS Gothic" w:eastAsia="MS Gothic" w:cs="MS Gothic"/>
                <w:sz w:val="22"/>
                <w:szCs w:val="21"/>
              </w:rPr>
              <w:t>☐</w:t>
            </w:r>
            <w:r>
              <w:rPr>
                <w:rFonts w:ascii="Arial" w:hAnsi="Arial" w:eastAsia="Arial" w:cs="Arial"/>
                <w:sz w:val="22"/>
                <w:szCs w:val="21"/>
              </w:rPr>
              <w:t xml:space="preserve">   </w:t>
            </w:r>
          </w:p>
          <w:p w14:paraId="440F205E">
            <w:pPr>
              <w:spacing w:after="0" w:line="240" w:lineRule="auto"/>
              <w:rPr>
                <w:rFonts w:ascii="Arial" w:hAnsi="Arial" w:eastAsia="Arial" w:cs="Arial"/>
                <w:sz w:val="22"/>
                <w:szCs w:val="21"/>
              </w:rPr>
            </w:pPr>
            <w:r>
              <w:rPr>
                <w:rFonts w:ascii="Arial" w:hAnsi="Arial" w:eastAsia="Arial" w:cs="Arial"/>
                <w:sz w:val="22"/>
                <w:szCs w:val="21"/>
              </w:rPr>
              <w:t>  </w:t>
            </w:r>
          </w:p>
          <w:p w14:paraId="481E3A00">
            <w:pPr>
              <w:spacing w:after="0" w:line="240" w:lineRule="auto"/>
              <w:rPr>
                <w:rFonts w:ascii="Arial" w:hAnsi="Arial" w:eastAsia="Arial" w:cs="Arial"/>
                <w:sz w:val="22"/>
                <w:szCs w:val="21"/>
              </w:rPr>
            </w:pPr>
            <w:r>
              <w:rPr>
                <w:rFonts w:ascii="Arial" w:hAnsi="Arial" w:eastAsia="Arial" w:cs="Arial"/>
                <w:sz w:val="22"/>
                <w:szCs w:val="21"/>
              </w:rPr>
              <w:t xml:space="preserve">No  </w:t>
            </w:r>
            <w:r>
              <w:rPr>
                <w:rFonts w:ascii="MS Gothic" w:hAnsi="MS Gothic" w:eastAsia="MS Gothic" w:cs="MS Gothic"/>
                <w:sz w:val="22"/>
                <w:szCs w:val="21"/>
              </w:rPr>
              <w:t>☒</w:t>
            </w:r>
            <w:r>
              <w:rPr>
                <w:rFonts w:ascii="Arial" w:hAnsi="Arial" w:eastAsia="Arial" w:cs="Arial"/>
                <w:sz w:val="22"/>
                <w:szCs w:val="21"/>
              </w:rPr>
              <w:t xml:space="preserve">   </w:t>
            </w:r>
          </w:p>
        </w:tc>
      </w:tr>
    </w:tbl>
    <w:p w14:paraId="286CFC0B">
      <w:pPr>
        <w:spacing w:after="0" w:line="240" w:lineRule="auto"/>
        <w:textAlignment w:val="baseline"/>
        <w:rPr>
          <w:rFonts w:ascii="Arial" w:hAnsi="Arial" w:eastAsia="Times New Roman" w:cs="Arial"/>
          <w:kern w:val="0"/>
          <w:sz w:val="24"/>
          <w:szCs w:val="24"/>
          <w14:ligatures w14:val="none"/>
        </w:rPr>
      </w:pPr>
      <w:r>
        <w:rPr>
          <w:rFonts w:ascii="Arial" w:hAnsi="Arial" w:eastAsia="Times New Roman" w:cs="Arial"/>
          <w:kern w:val="0"/>
          <w:sz w:val="24"/>
          <w:szCs w:val="24"/>
          <w14:ligatures w14:val="none"/>
        </w:rPr>
        <w:t xml:space="preserve">           AI Acknowledgement </w:t>
      </w:r>
    </w:p>
    <w:p w14:paraId="0A91FC73">
      <w:pPr>
        <w:spacing w:after="0" w:line="240" w:lineRule="auto"/>
        <w:ind w:left="720"/>
        <w:textAlignment w:val="baseline"/>
        <w:rPr>
          <w:rFonts w:ascii="Segoe UI" w:hAnsi="Segoe UI" w:eastAsia="Times New Roman" w:cs="Segoe UI"/>
          <w:kern w:val="0"/>
          <w:sz w:val="18"/>
          <w:szCs w:val="18"/>
          <w14:ligatures w14:val="none"/>
        </w:rPr>
      </w:pPr>
      <w:r>
        <w:rPr>
          <w:rFonts w:ascii="Arial" w:hAnsi="Arial" w:eastAsia="Times New Roman" w:cs="Arial"/>
          <w:kern w:val="0"/>
          <w:sz w:val="24"/>
          <w:szCs w:val="24"/>
          <w14:ligatures w14:val="none"/>
        </w:rPr>
        <w:t>  I confirm that I have not present any AI-generated materials as my own work in this portfolio. </w:t>
      </w:r>
    </w:p>
    <w:p w14:paraId="7DFB9FB4">
      <w:pPr>
        <w:spacing w:after="0" w:line="240" w:lineRule="auto"/>
        <w:ind w:left="720"/>
        <w:textAlignment w:val="baseline"/>
        <w:rPr>
          <w:rFonts w:ascii="Segoe UI" w:hAnsi="Segoe UI" w:eastAsia="Times New Roman" w:cs="Segoe UI"/>
          <w:kern w:val="0"/>
          <w:sz w:val="18"/>
          <w:szCs w:val="18"/>
          <w14:ligatures w14:val="none"/>
        </w:rPr>
      </w:pPr>
      <w:r>
        <w:rPr>
          <w:rFonts w:ascii="Arial" w:hAnsi="Arial" w:eastAsia="Times New Roman" w:cs="Arial"/>
          <w:kern w:val="0"/>
          <w:sz w:val="24"/>
          <w:szCs w:val="24"/>
          <w14:ligatures w14:val="none"/>
        </w:rPr>
        <w:t>  However, I acknowledge that I have used or may have used the AI in the research and proofreading of my portfolio. </w:t>
      </w:r>
    </w:p>
    <w:p w14:paraId="392AC31D">
      <w:pPr>
        <w:spacing w:after="0" w:line="240" w:lineRule="auto"/>
        <w:ind w:left="720"/>
        <w:textAlignment w:val="baseline"/>
        <w:rPr>
          <w:rFonts w:ascii="Segoe UI" w:hAnsi="Segoe UI" w:eastAsia="Times New Roman" w:cs="Segoe UI"/>
          <w:kern w:val="0"/>
          <w:sz w:val="18"/>
          <w:szCs w:val="18"/>
          <w14:ligatures w14:val="none"/>
        </w:rPr>
      </w:pPr>
      <w:r>
        <w:rPr>
          <w:rFonts w:ascii="Arial" w:hAnsi="Arial" w:eastAsia="Times New Roman" w:cs="Arial"/>
          <w:kern w:val="0"/>
          <w:sz w:val="24"/>
          <w:szCs w:val="24"/>
          <w14:ligatures w14:val="none"/>
        </w:rPr>
        <w:t>  </w:t>
      </w:r>
    </w:p>
    <w:p w14:paraId="72D10B09">
      <w:pPr>
        <w:spacing w:after="0" w:line="240" w:lineRule="auto"/>
        <w:ind w:left="720"/>
        <w:textAlignment w:val="baseline"/>
        <w:rPr>
          <w:rFonts w:ascii="Arial" w:hAnsi="Arial" w:eastAsia="Times New Roman" w:cs="Arial"/>
          <w:kern w:val="0"/>
          <w:sz w:val="24"/>
          <w:szCs w:val="24"/>
          <w14:ligatures w14:val="none"/>
        </w:rPr>
      </w:pPr>
      <w:r>
        <w:rPr>
          <w:rFonts w:ascii="Arial" w:hAnsi="Arial" w:eastAsia="Times New Roman" w:cs="Arial"/>
          <w:kern w:val="0"/>
          <w:sz w:val="24"/>
          <w:szCs w:val="24"/>
          <w14:ligatures w14:val="none"/>
        </w:rPr>
        <w:t>Name:</w:t>
      </w:r>
      <w:r>
        <w:rPr>
          <w:rFonts w:hint="default" w:ascii="Arial" w:hAnsi="Arial" w:eastAsia="Times New Roman" w:cs="Arial"/>
          <w:kern w:val="0"/>
          <w:sz w:val="24"/>
          <w:szCs w:val="24"/>
          <w:lang w:val="en-IN"/>
          <w14:ligatures w14:val="none"/>
        </w:rPr>
        <w:t xml:space="preserve">Durgesh Sunil Badhe </w:t>
      </w:r>
      <w:r>
        <w:rPr>
          <w:rFonts w:ascii="Arial" w:hAnsi="Arial" w:eastAsia="Times New Roman" w:cs="Arial"/>
          <w:kern w:val="0"/>
          <w:sz w:val="24"/>
          <w:szCs w:val="24"/>
          <w14:ligatures w14:val="none"/>
        </w:rPr>
        <w:t>.........…</w:t>
      </w:r>
    </w:p>
    <w:p w14:paraId="6CFA9472">
      <w:pPr>
        <w:spacing w:after="0" w:line="240" w:lineRule="auto"/>
        <w:ind w:left="720"/>
        <w:textAlignment w:val="baseline"/>
        <w:rPr>
          <w:rFonts w:ascii="Segoe UI" w:hAnsi="Segoe UI" w:eastAsia="Times New Roman" w:cs="Segoe UI"/>
          <w:kern w:val="0"/>
          <w:sz w:val="18"/>
          <w:szCs w:val="18"/>
          <w14:ligatures w14:val="none"/>
        </w:rPr>
      </w:pPr>
      <w:r>
        <w:rPr>
          <w:rFonts w:ascii="Arial" w:hAnsi="Arial" w:eastAsia="Times New Roman" w:cs="Arial"/>
          <w:kern w:val="0"/>
          <w:sz w:val="24"/>
          <w:szCs w:val="24"/>
          <w14:ligatures w14:val="none"/>
        </w:rPr>
        <w:t> Student ID</w:t>
      </w:r>
      <w:r>
        <w:rPr>
          <w:rFonts w:hint="default" w:ascii="Arial" w:hAnsi="Arial" w:eastAsia="Times New Roman" w:cs="Arial"/>
          <w:kern w:val="0"/>
          <w:sz w:val="24"/>
          <w:szCs w:val="24"/>
          <w:lang w:val="en-IN"/>
          <w14:ligatures w14:val="none"/>
        </w:rPr>
        <w:t xml:space="preserve">  S2506741</w:t>
      </w:r>
      <w:r>
        <w:rPr>
          <w:rFonts w:ascii="Arial" w:hAnsi="Arial" w:eastAsia="Times New Roman" w:cs="Arial"/>
          <w:kern w:val="0"/>
          <w:sz w:val="24"/>
          <w:szCs w:val="24"/>
          <w14:ligatures w14:val="none"/>
        </w:rPr>
        <w:t>.............. </w:t>
      </w:r>
      <w:bookmarkStart w:id="32" w:name="_GoBack"/>
      <w:bookmarkEnd w:id="32"/>
    </w:p>
    <w:p w14:paraId="30D64466">
      <w:pPr>
        <w:pStyle w:val="2"/>
        <w:numPr>
          <w:ilvl w:val="0"/>
          <w:numId w:val="0"/>
        </w:numPr>
        <w:jc w:val="both"/>
        <w:rPr>
          <w:rFonts w:eastAsia="Times New Roman"/>
          <w:color w:val="0000FF"/>
          <w:sz w:val="32"/>
          <w:szCs w:val="44"/>
        </w:rPr>
      </w:pPr>
      <w:bookmarkStart w:id="0" w:name="_Toc229474758"/>
      <w:r>
        <w:rPr>
          <w:rFonts w:eastAsia="Times New Roman"/>
          <w:color w:val="0000FF"/>
          <w:sz w:val="32"/>
          <w:szCs w:val="44"/>
        </w:rPr>
        <w:t>Executive Summary</w:t>
      </w:r>
      <w:bookmarkEnd w:id="0"/>
    </w:p>
    <w:p w14:paraId="270ABB66">
      <w:pPr>
        <w:rPr>
          <w:rFonts w:eastAsia="Times New Roman"/>
        </w:rPr>
      </w:pPr>
      <w:r>
        <w:rPr>
          <w:rFonts w:eastAsia="Times New Roman"/>
        </w:rPr>
        <w:t>This report critically analyses four significant challenges facing organisations in relation to the application of business analytics, using Amazon.com, Inc. as the main reference organisation. Scenario 1 assesses the rationality of the decision made by the Amazon company to venture into cloud computing through AWS by applying the Rational Decision-Making Model that combines descriptive, predictive, and prescriptive analytics. Scenario 2 evaluates the organisational culture of Amazon, where bureaucratic inertia and the lack of employee wellbeing have been identified as factors that need change, and uses the Unfreeze-Change-Refreeze Model by Lewin to focus on the cultural change strategies. Scenario 3 is based on the Team Development Model by Tuckman to develop interventions to deal with the problems of psychological safety and shared accountability within the two-pizza teams at Amazon. Scenario 4 utilizes the Balanced Scorecard framework by Kaplan and Norton as a framework to review performance measurement systems at Amazon and critically discusses ethical implications and unintended consequences. All these four scenarios illustrate the potential of business analytics and management theory to improve organisational performance.</w:t>
      </w:r>
    </w:p>
    <w:p w14:paraId="61C3F053">
      <w:pPr>
        <w:rPr>
          <w:rFonts w:eastAsia="Times New Roman"/>
        </w:rPr>
      </w:pPr>
    </w:p>
    <w:p w14:paraId="34E789CD">
      <w:pPr>
        <w:rPr>
          <w:rFonts w:eastAsia="Times New Roman"/>
        </w:rPr>
      </w:pPr>
    </w:p>
    <w:p w14:paraId="319E5BA9">
      <w:pPr>
        <w:rPr>
          <w:rFonts w:eastAsia="Times New Roman"/>
        </w:rPr>
      </w:pPr>
    </w:p>
    <w:p w14:paraId="232F223C">
      <w:pPr>
        <w:rPr>
          <w:rFonts w:eastAsia="Times New Roman"/>
        </w:rPr>
      </w:pPr>
    </w:p>
    <w:p w14:paraId="62412858">
      <w:pPr>
        <w:rPr>
          <w:rFonts w:eastAsia="Times New Roman"/>
        </w:rPr>
      </w:pPr>
    </w:p>
    <w:p w14:paraId="78B59BEC">
      <w:pPr>
        <w:rPr>
          <w:rFonts w:eastAsia="Times New Roman"/>
        </w:rPr>
      </w:pPr>
    </w:p>
    <w:p w14:paraId="6A2B9269">
      <w:pPr>
        <w:rPr>
          <w:rFonts w:eastAsia="Times New Roman"/>
        </w:rPr>
      </w:pPr>
    </w:p>
    <w:p w14:paraId="249CB2B8">
      <w:pPr>
        <w:rPr>
          <w:rFonts w:eastAsia="Times New Roman"/>
        </w:rPr>
      </w:pPr>
    </w:p>
    <w:p w14:paraId="2A80F7E4">
      <w:pPr>
        <w:rPr>
          <w:rFonts w:eastAsia="Times New Roman"/>
        </w:rPr>
      </w:pPr>
    </w:p>
    <w:p w14:paraId="30B29E66">
      <w:pPr>
        <w:rPr>
          <w:rFonts w:eastAsia="Times New Roman"/>
        </w:rPr>
      </w:pPr>
    </w:p>
    <w:p w14:paraId="4F738E37">
      <w:pPr>
        <w:rPr>
          <w:rFonts w:eastAsia="Times New Roman"/>
        </w:rPr>
      </w:pPr>
    </w:p>
    <w:sdt>
      <w:sdtPr>
        <w:rPr>
          <w:rFonts w:eastAsiaTheme="minorEastAsia" w:cstheme="minorBidi"/>
          <w:b w:val="0"/>
          <w:bCs w:val="0"/>
          <w:color w:val="0000FF"/>
          <w:sz w:val="32"/>
          <w:szCs w:val="28"/>
        </w:rPr>
        <w:id w:val="-1215194136"/>
        <w:docPartObj>
          <w:docPartGallery w:val="Table of Contents"/>
          <w:docPartUnique/>
        </w:docPartObj>
      </w:sdtPr>
      <w:sdtEndPr>
        <w:rPr>
          <w:rFonts w:eastAsiaTheme="minorEastAsia" w:cstheme="minorBidi"/>
          <w:b w:val="0"/>
          <w:bCs w:val="0"/>
          <w:color w:val="auto"/>
          <w:szCs w:val="22"/>
        </w:rPr>
      </w:sdtEndPr>
      <w:sdtContent>
        <w:p w14:paraId="1F23A1AF">
          <w:pPr>
            <w:pStyle w:val="57"/>
            <w:numPr>
              <w:ilvl w:val="0"/>
              <w:numId w:val="0"/>
            </w:numPr>
            <w:jc w:val="both"/>
            <w:rPr>
              <w:color w:val="0000FF"/>
              <w:sz w:val="32"/>
              <w:szCs w:val="44"/>
            </w:rPr>
          </w:pPr>
          <w:r>
            <w:rPr>
              <w:color w:val="0000FF"/>
              <w:sz w:val="32"/>
              <w:szCs w:val="44"/>
            </w:rPr>
            <w:t>Table of Contents</w:t>
          </w:r>
        </w:p>
        <w:p w14:paraId="34FE77EA">
          <w:pPr>
            <w:pStyle w:val="28"/>
            <w:tabs>
              <w:tab w:val="right" w:leader="dot" w:pos="9350"/>
            </w:tabs>
            <w:rPr>
              <w:rFonts w:asciiTheme="minorHAnsi" w:hAnsiTheme="minorHAnsi"/>
              <w:kern w:val="2"/>
              <w:szCs w:val="24"/>
              <w:lang w:eastAsia="en-AU"/>
              <w14:ligatures w14:val="standardContextual"/>
            </w:rPr>
          </w:pPr>
          <w:r>
            <w:fldChar w:fldCharType="begin"/>
          </w:r>
          <w:r>
            <w:instrText xml:space="preserve"> TOC \o "1-3" \h \z \u </w:instrText>
          </w:r>
          <w:r>
            <w:fldChar w:fldCharType="separate"/>
          </w:r>
          <w:r>
            <w:fldChar w:fldCharType="begin"/>
          </w:r>
          <w:r>
            <w:instrText xml:space="preserve"> HYPERLINK \l "_Toc229474757" </w:instrText>
          </w:r>
          <w:r>
            <w:fldChar w:fldCharType="separate"/>
          </w:r>
          <w:r>
            <w:rPr>
              <w:rStyle w:val="21"/>
              <w:rFonts w:eastAsia="Times New Roman"/>
            </w:rPr>
            <w:t>Acknowledgement</w:t>
          </w:r>
          <w:r>
            <w:tab/>
          </w:r>
          <w:r>
            <w:fldChar w:fldCharType="begin"/>
          </w:r>
          <w:r>
            <w:instrText xml:space="preserve"> PAGEREF _Toc229474757 \h </w:instrText>
          </w:r>
          <w:r>
            <w:fldChar w:fldCharType="separate"/>
          </w:r>
          <w:r>
            <w:t>2</w:t>
          </w:r>
          <w:r>
            <w:fldChar w:fldCharType="end"/>
          </w:r>
          <w:r>
            <w:fldChar w:fldCharType="end"/>
          </w:r>
        </w:p>
        <w:p w14:paraId="214B0E79">
          <w:pPr>
            <w:pStyle w:val="28"/>
            <w:tabs>
              <w:tab w:val="right" w:leader="dot" w:pos="9350"/>
            </w:tabs>
            <w:rPr>
              <w:rFonts w:asciiTheme="minorHAnsi" w:hAnsiTheme="minorHAnsi"/>
              <w:kern w:val="2"/>
              <w:szCs w:val="24"/>
              <w:lang w:eastAsia="en-AU"/>
              <w14:ligatures w14:val="standardContextual"/>
            </w:rPr>
          </w:pPr>
          <w:r>
            <w:fldChar w:fldCharType="begin"/>
          </w:r>
          <w:r>
            <w:instrText xml:space="preserve"> HYPERLINK \l "_Toc229474758" </w:instrText>
          </w:r>
          <w:r>
            <w:fldChar w:fldCharType="separate"/>
          </w:r>
          <w:r>
            <w:rPr>
              <w:rStyle w:val="21"/>
              <w:rFonts w:eastAsia="Times New Roman"/>
            </w:rPr>
            <w:t>Executive Summary</w:t>
          </w:r>
          <w:r>
            <w:tab/>
          </w:r>
          <w:r>
            <w:fldChar w:fldCharType="begin"/>
          </w:r>
          <w:r>
            <w:instrText xml:space="preserve"> PAGEREF _Toc229474758 \h </w:instrText>
          </w:r>
          <w:r>
            <w:fldChar w:fldCharType="separate"/>
          </w:r>
          <w:r>
            <w:t>3</w:t>
          </w:r>
          <w:r>
            <w:fldChar w:fldCharType="end"/>
          </w:r>
          <w:r>
            <w:fldChar w:fldCharType="end"/>
          </w:r>
        </w:p>
        <w:p w14:paraId="5776EFDA">
          <w:pPr>
            <w:pStyle w:val="28"/>
            <w:tabs>
              <w:tab w:val="left" w:pos="120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"_Toc229474759" </w:instrText>
          </w:r>
          <w:r>
            <w:fldChar w:fldCharType="separate"/>
          </w:r>
          <w:r>
            <w:rPr>
              <w:rStyle w:val="21"/>
              <w:rFonts w:eastAsia="Times New Roman"/>
            </w:rPr>
            <w:t>1</w:t>
          </w:r>
          <w:r>
            <w:rPr>
              <w:rFonts w:asciiTheme="minorHAnsi" w:hAnsiTheme="minorHAnsi"/>
              <w:kern w:val="2"/>
              <w:szCs w:val="24"/>
              <w:lang w:eastAsia="en-AU"/>
              <w14:ligatures w14:val="standardContextual"/>
            </w:rPr>
            <w:tab/>
          </w:r>
          <w:r>
            <w:rPr>
              <w:rStyle w:val="21"/>
              <w:rFonts w:eastAsia="Times New Roman"/>
            </w:rPr>
            <w:t>Introduction</w:t>
          </w:r>
          <w:r>
            <w:tab/>
          </w:r>
          <w:r>
            <w:fldChar w:fldCharType="begin"/>
          </w:r>
          <w:r>
            <w:instrText xml:space="preserve"> PAGEREF _Toc229474759 \h </w:instrText>
          </w:r>
          <w:r>
            <w:fldChar w:fldCharType="separate"/>
          </w:r>
          <w:r>
            <w:t>5</w:t>
          </w:r>
          <w:r>
            <w:fldChar w:fldCharType="end"/>
          </w:r>
          <w:r>
            <w:fldChar w:fldCharType="end"/>
          </w:r>
        </w:p>
        <w:p w14:paraId="08DC6B5F">
          <w:pPr>
            <w:pStyle w:val="28"/>
            <w:tabs>
              <w:tab w:val="left" w:pos="120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"_Toc229474760" </w:instrText>
          </w:r>
          <w:r>
            <w:fldChar w:fldCharType="separate"/>
          </w:r>
          <w:r>
            <w:rPr>
              <w:rStyle w:val="21"/>
              <w:rFonts w:eastAsia="Times New Roman"/>
            </w:rPr>
            <w:t>2</w:t>
          </w:r>
          <w:r>
            <w:rPr>
              <w:rFonts w:asciiTheme="minorHAnsi" w:hAnsiTheme="minorHAnsi"/>
              <w:kern w:val="2"/>
              <w:szCs w:val="24"/>
              <w:lang w:eastAsia="en-AU"/>
              <w14:ligatures w14:val="standardContextual"/>
            </w:rPr>
            <w:tab/>
          </w:r>
          <w:r>
            <w:rPr>
              <w:rStyle w:val="21"/>
              <w:rFonts w:eastAsia="Times New Roman"/>
            </w:rPr>
            <w:t>Scenario 1: Advanced Decision-Making Analysis</w:t>
          </w:r>
          <w:r>
            <w:tab/>
          </w:r>
          <w:r>
            <w:fldChar w:fldCharType="begin"/>
          </w:r>
          <w:r>
            <w:instrText xml:space="preserve"> PAGEREF _Toc229474760 \h </w:instrText>
          </w:r>
          <w:r>
            <w:fldChar w:fldCharType="separate"/>
          </w:r>
          <w:r>
            <w:t>5</w:t>
          </w:r>
          <w:r>
            <w:fldChar w:fldCharType="end"/>
          </w:r>
          <w:r>
            <w:fldChar w:fldCharType="end"/>
          </w:r>
        </w:p>
        <w:p w14:paraId="0B0FC194">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"_Toc229474761" </w:instrText>
          </w:r>
          <w:r>
            <w:fldChar w:fldCharType="separate"/>
          </w:r>
          <w:r>
            <w:rPr>
              <w:rStyle w:val="21"/>
              <w:rFonts w:eastAsia="Times New Roman"/>
            </w:rPr>
            <w:t>2.1</w:t>
          </w:r>
          <w:r>
            <w:rPr>
              <w:rFonts w:asciiTheme="minorHAnsi" w:hAnsiTheme="minorHAnsi"/>
              <w:kern w:val="2"/>
              <w:szCs w:val="24"/>
              <w:lang w:eastAsia="en-AU"/>
              <w14:ligatures w14:val="standardContextual"/>
            </w:rPr>
            <w:tab/>
          </w:r>
          <w:r>
            <w:rPr>
              <w:rStyle w:val="21"/>
              <w:rFonts w:eastAsia="Times New Roman"/>
            </w:rPr>
            <w:t>The Organisational Decision: Launch of Amazon Web Services (AWS)</w:t>
          </w:r>
          <w:r>
            <w:tab/>
          </w:r>
          <w:r>
            <w:fldChar w:fldCharType="begin"/>
          </w:r>
          <w:r>
            <w:instrText xml:space="preserve"> PAGEREF _Toc229474761 \h </w:instrText>
          </w:r>
          <w:r>
            <w:fldChar w:fldCharType="separate"/>
          </w:r>
          <w:r>
            <w:t>5</w:t>
          </w:r>
          <w:r>
            <w:fldChar w:fldCharType="end"/>
          </w:r>
          <w:r>
            <w:fldChar w:fldCharType="end"/>
          </w:r>
        </w:p>
        <w:p w14:paraId="768208BA">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"_Toc229474762" </w:instrText>
          </w:r>
          <w:r>
            <w:fldChar w:fldCharType="separate"/>
          </w:r>
          <w:r>
            <w:rPr>
              <w:rStyle w:val="21"/>
              <w:rFonts w:eastAsia="Times New Roman"/>
            </w:rPr>
            <w:t>2.2</w:t>
          </w:r>
          <w:r>
            <w:rPr>
              <w:rFonts w:asciiTheme="minorHAnsi" w:hAnsiTheme="minorHAnsi"/>
              <w:kern w:val="2"/>
              <w:szCs w:val="24"/>
              <w:lang w:eastAsia="en-AU"/>
              <w14:ligatures w14:val="standardContextual"/>
            </w:rPr>
            <w:tab/>
          </w:r>
          <w:r>
            <w:rPr>
              <w:rStyle w:val="21"/>
              <w:rFonts w:eastAsia="Times New Roman"/>
            </w:rPr>
            <w:t>Rational Decision-Making Model</w:t>
          </w:r>
          <w:r>
            <w:tab/>
          </w:r>
          <w:r>
            <w:fldChar w:fldCharType="begin"/>
          </w:r>
          <w:r>
            <w:instrText xml:space="preserve"> PAGEREF _Toc229474762 \h </w:instrText>
          </w:r>
          <w:r>
            <w:fldChar w:fldCharType="separate"/>
          </w:r>
          <w:r>
            <w:t>6</w:t>
          </w:r>
          <w:r>
            <w:fldChar w:fldCharType="end"/>
          </w:r>
          <w:r>
            <w:fldChar w:fldCharType="end"/>
          </w:r>
        </w:p>
        <w:p w14:paraId="7595D016">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"_Toc229474763" </w:instrText>
          </w:r>
          <w:r>
            <w:fldChar w:fldCharType="separate"/>
          </w:r>
          <w:r>
            <w:rPr>
              <w:rStyle w:val="21"/>
              <w:rFonts w:eastAsia="Times New Roman"/>
            </w:rPr>
            <w:t>2.3</w:t>
          </w:r>
          <w:r>
            <w:rPr>
              <w:rFonts w:asciiTheme="minorHAnsi" w:hAnsiTheme="minorHAnsi"/>
              <w:kern w:val="2"/>
              <w:szCs w:val="24"/>
              <w:lang w:eastAsia="en-AU"/>
              <w14:ligatures w14:val="standardContextual"/>
            </w:rPr>
            <w:tab/>
          </w:r>
          <w:r>
            <w:rPr>
              <w:rStyle w:val="21"/>
              <w:rFonts w:eastAsia="Times New Roman"/>
            </w:rPr>
            <w:t>Critical Assessment: Limitations, Biases, and Missed Opportunities</w:t>
          </w:r>
          <w:r>
            <w:tab/>
          </w:r>
          <w:r>
            <w:fldChar w:fldCharType="begin"/>
          </w:r>
          <w:r>
            <w:instrText xml:space="preserve"> PAGEREF _Toc229474763 \h </w:instrText>
          </w:r>
          <w:r>
            <w:fldChar w:fldCharType="separate"/>
          </w:r>
          <w:r>
            <w:t>6</w:t>
          </w:r>
          <w:r>
            <w:fldChar w:fldCharType="end"/>
          </w:r>
          <w:r>
            <w:fldChar w:fldCharType="end"/>
          </w:r>
        </w:p>
        <w:p w14:paraId="0F5CDA66">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"_Toc229474764" </w:instrText>
          </w:r>
          <w:r>
            <w:fldChar w:fldCharType="separate"/>
          </w:r>
          <w:r>
            <w:rPr>
              <w:rStyle w:val="21"/>
              <w:rFonts w:eastAsia="Times New Roman"/>
            </w:rPr>
            <w:t>2.4</w:t>
          </w:r>
          <w:r>
            <w:rPr>
              <w:rFonts w:asciiTheme="minorHAnsi" w:hAnsiTheme="minorHAnsi"/>
              <w:kern w:val="2"/>
              <w:szCs w:val="24"/>
              <w:lang w:eastAsia="en-AU"/>
              <w14:ligatures w14:val="standardContextual"/>
            </w:rPr>
            <w:tab/>
          </w:r>
          <w:r>
            <w:rPr>
              <w:rStyle w:val="21"/>
              <w:rFonts w:eastAsia="Times New Roman"/>
            </w:rPr>
            <w:t>Alternative Approaches</w:t>
          </w:r>
          <w:r>
            <w:tab/>
          </w:r>
          <w:r>
            <w:fldChar w:fldCharType="begin"/>
          </w:r>
          <w:r>
            <w:instrText xml:space="preserve"> PAGEREF _Toc229474764 \h </w:instrText>
          </w:r>
          <w:r>
            <w:fldChar w:fldCharType="separate"/>
          </w:r>
          <w:r>
            <w:t>7</w:t>
          </w:r>
          <w:r>
            <w:fldChar w:fldCharType="end"/>
          </w:r>
          <w:r>
            <w:fldChar w:fldCharType="end"/>
          </w:r>
        </w:p>
        <w:p w14:paraId="78333F03">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"_Toc229474765" </w:instrText>
          </w:r>
          <w:r>
            <w:fldChar w:fldCharType="separate"/>
          </w:r>
          <w:r>
            <w:rPr>
              <w:rStyle w:val="21"/>
              <w:rFonts w:eastAsia="Times New Roman"/>
            </w:rPr>
            <w:t>2.5</w:t>
          </w:r>
          <w:r>
            <w:rPr>
              <w:rFonts w:asciiTheme="minorHAnsi" w:hAnsiTheme="minorHAnsi"/>
              <w:kern w:val="2"/>
              <w:szCs w:val="24"/>
              <w:lang w:eastAsia="en-AU"/>
              <w14:ligatures w14:val="standardContextual"/>
            </w:rPr>
            <w:tab/>
          </w:r>
          <w:r>
            <w:rPr>
              <w:rStyle w:val="21"/>
              <w:rFonts w:eastAsia="Times New Roman"/>
            </w:rPr>
            <w:t>Role of Business Analytics</w:t>
          </w:r>
          <w:r>
            <w:tab/>
          </w:r>
          <w:r>
            <w:fldChar w:fldCharType="begin"/>
          </w:r>
          <w:r>
            <w:instrText xml:space="preserve"> PAGEREF _Toc229474765 \h </w:instrText>
          </w:r>
          <w:r>
            <w:fldChar w:fldCharType="separate"/>
          </w:r>
          <w:r>
            <w:t>7</w:t>
          </w:r>
          <w:r>
            <w:fldChar w:fldCharType="end"/>
          </w:r>
          <w:r>
            <w:fldChar w:fldCharType="end"/>
          </w:r>
        </w:p>
        <w:p w14:paraId="61054CA0">
          <w:pPr>
            <w:pStyle w:val="28"/>
            <w:tabs>
              <w:tab w:val="left" w:pos="120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"_Toc229474766" </w:instrText>
          </w:r>
          <w:r>
            <w:fldChar w:fldCharType="separate"/>
          </w:r>
          <w:r>
            <w:rPr>
              <w:rStyle w:val="21"/>
              <w:rFonts w:eastAsia="Times New Roman"/>
            </w:rPr>
            <w:t>3</w:t>
          </w:r>
          <w:r>
            <w:rPr>
              <w:rFonts w:asciiTheme="minorHAnsi" w:hAnsiTheme="minorHAnsi"/>
              <w:kern w:val="2"/>
              <w:szCs w:val="24"/>
              <w:lang w:eastAsia="en-AU"/>
              <w14:ligatures w14:val="standardContextual"/>
            </w:rPr>
            <w:tab/>
          </w:r>
          <w:r>
            <w:rPr>
              <w:rStyle w:val="21"/>
              <w:rFonts w:eastAsia="Times New Roman"/>
            </w:rPr>
            <w:t>Scenario 2: Organisational Culture and Change Intervention</w:t>
          </w:r>
          <w:r>
            <w:tab/>
          </w:r>
          <w:r>
            <w:fldChar w:fldCharType="begin"/>
          </w:r>
          <w:r>
            <w:instrText xml:space="preserve"> PAGEREF _Toc229474766 \h </w:instrText>
          </w:r>
          <w:r>
            <w:fldChar w:fldCharType="separate"/>
          </w:r>
          <w:r>
            <w:t>7</w:t>
          </w:r>
          <w:r>
            <w:fldChar w:fldCharType="end"/>
          </w:r>
          <w:r>
            <w:fldChar w:fldCharType="end"/>
          </w:r>
        </w:p>
        <w:p w14:paraId="23597DC1">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"_Toc229474767" </w:instrText>
          </w:r>
          <w:r>
            <w:fldChar w:fldCharType="separate"/>
          </w:r>
          <w:r>
            <w:rPr>
              <w:rStyle w:val="21"/>
              <w:rFonts w:eastAsia="Times New Roman"/>
            </w:rPr>
            <w:t>3.1</w:t>
          </w:r>
          <w:r>
            <w:rPr>
              <w:rFonts w:asciiTheme="minorHAnsi" w:hAnsiTheme="minorHAnsi"/>
              <w:kern w:val="2"/>
              <w:szCs w:val="24"/>
              <w:lang w:eastAsia="en-AU"/>
              <w14:ligatures w14:val="standardContextual"/>
            </w:rPr>
            <w:tab/>
          </w:r>
          <w:r>
            <w:rPr>
              <w:rStyle w:val="21"/>
              <w:rFonts w:eastAsia="Times New Roman"/>
            </w:rPr>
            <w:t>Analysing Amazon's Organisational Culture</w:t>
          </w:r>
          <w:r>
            <w:tab/>
          </w:r>
          <w:r>
            <w:fldChar w:fldCharType="begin"/>
          </w:r>
          <w:r>
            <w:instrText xml:space="preserve"> PAGEREF _Toc229474767 \h </w:instrText>
          </w:r>
          <w:r>
            <w:fldChar w:fldCharType="separate"/>
          </w:r>
          <w:r>
            <w:t>7</w:t>
          </w:r>
          <w:r>
            <w:fldChar w:fldCharType="end"/>
          </w:r>
          <w:r>
            <w:fldChar w:fldCharType="end"/>
          </w:r>
        </w:p>
        <w:p w14:paraId="3B3A109B">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"_Toc229474768" </w:instrText>
          </w:r>
          <w:r>
            <w:fldChar w:fldCharType="separate"/>
          </w:r>
          <w:r>
            <w:rPr>
              <w:rStyle w:val="21"/>
              <w:rFonts w:eastAsia="Times New Roman"/>
            </w:rPr>
            <w:t>3.2</w:t>
          </w:r>
          <w:r>
            <w:rPr>
              <w:rFonts w:asciiTheme="minorHAnsi" w:hAnsiTheme="minorHAnsi"/>
              <w:kern w:val="2"/>
              <w:szCs w:val="24"/>
              <w:lang w:eastAsia="en-AU"/>
              <w14:ligatures w14:val="standardContextual"/>
            </w:rPr>
            <w:tab/>
          </w:r>
          <w:r>
            <w:rPr>
              <w:rStyle w:val="21"/>
              <w:rFonts w:eastAsia="Times New Roman"/>
            </w:rPr>
            <w:t>Two Core Cultural Elements Requiring Transformation</w:t>
          </w:r>
          <w:r>
            <w:tab/>
          </w:r>
          <w:r>
            <w:fldChar w:fldCharType="begin"/>
          </w:r>
          <w:r>
            <w:instrText xml:space="preserve"> PAGEREF _Toc229474768 \h </w:instrText>
          </w:r>
          <w:r>
            <w:fldChar w:fldCharType="separate"/>
          </w:r>
          <w:r>
            <w:t>8</w:t>
          </w:r>
          <w:r>
            <w:fldChar w:fldCharType="end"/>
          </w:r>
          <w:r>
            <w:fldChar w:fldCharType="end"/>
          </w:r>
        </w:p>
        <w:p w14:paraId="3D9BECB1">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"_Toc229474769" </w:instrText>
          </w:r>
          <w:r>
            <w:fldChar w:fldCharType="separate"/>
          </w:r>
          <w:r>
            <w:rPr>
              <w:rStyle w:val="21"/>
              <w:rFonts w:eastAsia="Times New Roman"/>
            </w:rPr>
            <w:t>3.3</w:t>
          </w:r>
          <w:r>
            <w:rPr>
              <w:rFonts w:asciiTheme="minorHAnsi" w:hAnsiTheme="minorHAnsi"/>
              <w:kern w:val="2"/>
              <w:szCs w:val="24"/>
              <w:lang w:eastAsia="en-AU"/>
              <w14:ligatures w14:val="standardContextual"/>
            </w:rPr>
            <w:tab/>
          </w:r>
          <w:r>
            <w:rPr>
              <w:rStyle w:val="21"/>
              <w:rFonts w:eastAsia="Times New Roman"/>
            </w:rPr>
            <w:t>Strategic Interventions Using Lewin's Change Model</w:t>
          </w:r>
          <w:r>
            <w:tab/>
          </w:r>
          <w:r>
            <w:fldChar w:fldCharType="begin"/>
          </w:r>
          <w:r>
            <w:instrText xml:space="preserve"> PAGEREF _Toc229474769 \h </w:instrText>
          </w:r>
          <w:r>
            <w:fldChar w:fldCharType="separate"/>
          </w:r>
          <w:r>
            <w:t>8</w:t>
          </w:r>
          <w:r>
            <w:fldChar w:fldCharType="end"/>
          </w:r>
          <w:r>
            <w:fldChar w:fldCharType="end"/>
          </w:r>
        </w:p>
        <w:p w14:paraId="21D408BC">
          <w:pPr>
            <w:pStyle w:val="30"/>
            <w:tabs>
              <w:tab w:val="left" w:pos="192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"_Toc229474770" </w:instrText>
          </w:r>
          <w:r>
            <w:fldChar w:fldCharType="separate"/>
          </w:r>
          <w:r>
            <w:rPr>
              <w:rStyle w:val="21"/>
              <w:rFonts w:eastAsia="Times New Roman" w:cs="Times New Roman"/>
            </w:rPr>
            <w:t>3.3.1</w:t>
          </w:r>
          <w:r>
            <w:rPr>
              <w:rFonts w:asciiTheme="minorHAnsi" w:hAnsiTheme="minorHAnsi"/>
              <w:kern w:val="2"/>
              <w:szCs w:val="24"/>
              <w:lang w:eastAsia="en-AU"/>
              <w14:ligatures w14:val="standardContextual"/>
            </w:rPr>
            <w:tab/>
          </w:r>
          <w:r>
            <w:rPr>
              <w:rStyle w:val="21"/>
              <w:rFonts w:eastAsia="Times New Roman"/>
            </w:rPr>
            <w:t>Stage 1: Unfreeze</w:t>
          </w:r>
          <w:r>
            <w:tab/>
          </w:r>
          <w:r>
            <w:fldChar w:fldCharType="begin"/>
          </w:r>
          <w:r>
            <w:instrText xml:space="preserve"> PAGEREF _Toc229474770 \h </w:instrText>
          </w:r>
          <w:r>
            <w:fldChar w:fldCharType="separate"/>
          </w:r>
          <w:r>
            <w:t>8</w:t>
          </w:r>
          <w:r>
            <w:fldChar w:fldCharType="end"/>
          </w:r>
          <w:r>
            <w:fldChar w:fldCharType="end"/>
          </w:r>
        </w:p>
        <w:p w14:paraId="5E5FE43E">
          <w:pPr>
            <w:pStyle w:val="30"/>
            <w:tabs>
              <w:tab w:val="left" w:pos="192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"_Toc229474771" </w:instrText>
          </w:r>
          <w:r>
            <w:fldChar w:fldCharType="separate"/>
          </w:r>
          <w:r>
            <w:rPr>
              <w:rStyle w:val="21"/>
              <w:rFonts w:eastAsia="Times New Roman" w:cs="Times New Roman"/>
            </w:rPr>
            <w:t>3.3.2</w:t>
          </w:r>
          <w:r>
            <w:rPr>
              <w:rFonts w:asciiTheme="minorHAnsi" w:hAnsiTheme="minorHAnsi"/>
              <w:kern w:val="2"/>
              <w:szCs w:val="24"/>
              <w:lang w:eastAsia="en-AU"/>
              <w14:ligatures w14:val="standardContextual"/>
            </w:rPr>
            <w:tab/>
          </w:r>
          <w:r>
            <w:rPr>
              <w:rStyle w:val="21"/>
              <w:rFonts w:eastAsia="Times New Roman"/>
            </w:rPr>
            <w:t>Stage 2: Change</w:t>
          </w:r>
          <w:r>
            <w:tab/>
          </w:r>
          <w:r>
            <w:fldChar w:fldCharType="begin"/>
          </w:r>
          <w:r>
            <w:instrText xml:space="preserve"> PAGEREF _Toc229474771 \h </w:instrText>
          </w:r>
          <w:r>
            <w:fldChar w:fldCharType="separate"/>
          </w:r>
          <w:r>
            <w:t>9</w:t>
          </w:r>
          <w:r>
            <w:fldChar w:fldCharType="end"/>
          </w:r>
          <w:r>
            <w:fldChar w:fldCharType="end"/>
          </w:r>
        </w:p>
        <w:p w14:paraId="1FC41776">
          <w:pPr>
            <w:pStyle w:val="30"/>
            <w:tabs>
              <w:tab w:val="left" w:pos="192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"_Toc229474772" </w:instrText>
          </w:r>
          <w:r>
            <w:fldChar w:fldCharType="separate"/>
          </w:r>
          <w:r>
            <w:rPr>
              <w:rStyle w:val="21"/>
              <w:rFonts w:eastAsia="Times New Roman" w:cs="Times New Roman"/>
            </w:rPr>
            <w:t>3.3.3</w:t>
          </w:r>
          <w:r>
            <w:rPr>
              <w:rFonts w:asciiTheme="minorHAnsi" w:hAnsiTheme="minorHAnsi"/>
              <w:kern w:val="2"/>
              <w:szCs w:val="24"/>
              <w:lang w:eastAsia="en-AU"/>
              <w14:ligatures w14:val="standardContextual"/>
            </w:rPr>
            <w:tab/>
          </w:r>
          <w:r>
            <w:rPr>
              <w:rStyle w:val="21"/>
              <w:rFonts w:eastAsia="Times New Roman"/>
            </w:rPr>
            <w:t>Stage 3: Refreeze</w:t>
          </w:r>
          <w:r>
            <w:tab/>
          </w:r>
          <w:r>
            <w:fldChar w:fldCharType="begin"/>
          </w:r>
          <w:r>
            <w:instrText xml:space="preserve"> PAGEREF _Toc229474772 \h </w:instrText>
          </w:r>
          <w:r>
            <w:fldChar w:fldCharType="separate"/>
          </w:r>
          <w:r>
            <w:t>9</w:t>
          </w:r>
          <w:r>
            <w:fldChar w:fldCharType="end"/>
          </w:r>
          <w:r>
            <w:fldChar w:fldCharType="end"/>
          </w:r>
        </w:p>
        <w:p w14:paraId="40C4C3C9">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"_Toc229474773" </w:instrText>
          </w:r>
          <w:r>
            <w:fldChar w:fldCharType="separate"/>
          </w:r>
          <w:r>
            <w:rPr>
              <w:rStyle w:val="21"/>
              <w:rFonts w:eastAsia="Times New Roman"/>
            </w:rPr>
            <w:t>3.4</w:t>
          </w:r>
          <w:r>
            <w:rPr>
              <w:rFonts w:asciiTheme="minorHAnsi" w:hAnsiTheme="minorHAnsi"/>
              <w:kern w:val="2"/>
              <w:szCs w:val="24"/>
              <w:lang w:eastAsia="en-AU"/>
              <w14:ligatures w14:val="standardContextual"/>
            </w:rPr>
            <w:tab/>
          </w:r>
          <w:r>
            <w:rPr>
              <w:rStyle w:val="21"/>
              <w:rFonts w:eastAsia="Times New Roman"/>
            </w:rPr>
            <w:t>Barriers, Resistance, and Ethical Considerations</w:t>
          </w:r>
          <w:r>
            <w:tab/>
          </w:r>
          <w:r>
            <w:fldChar w:fldCharType="begin"/>
          </w:r>
          <w:r>
            <w:instrText xml:space="preserve"> PAGEREF _Toc229474773 \h </w:instrText>
          </w:r>
          <w:r>
            <w:fldChar w:fldCharType="separate"/>
          </w:r>
          <w:r>
            <w:t>9</w:t>
          </w:r>
          <w:r>
            <w:fldChar w:fldCharType="end"/>
          </w:r>
          <w:r>
            <w:fldChar w:fldCharType="end"/>
          </w:r>
        </w:p>
        <w:p w14:paraId="5797DF84">
          <w:pPr>
            <w:pStyle w:val="28"/>
            <w:tabs>
              <w:tab w:val="left" w:pos="120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"_Toc229474774" </w:instrText>
          </w:r>
          <w:r>
            <w:fldChar w:fldCharType="separate"/>
          </w:r>
          <w:r>
            <w:rPr>
              <w:rStyle w:val="21"/>
            </w:rPr>
            <w:t>4</w:t>
          </w:r>
          <w:r>
            <w:rPr>
              <w:rFonts w:asciiTheme="minorHAnsi" w:hAnsiTheme="minorHAnsi"/>
              <w:kern w:val="2"/>
              <w:szCs w:val="24"/>
              <w:lang w:eastAsia="en-AU"/>
              <w14:ligatures w14:val="standardContextual"/>
            </w:rPr>
            <w:tab/>
          </w:r>
          <w:r>
            <w:rPr>
              <w:rStyle w:val="21"/>
            </w:rPr>
            <w:t>Scenario 3: Team Effectiveness and Development</w:t>
          </w:r>
          <w:r>
            <w:tab/>
          </w:r>
          <w:r>
            <w:fldChar w:fldCharType="begin"/>
          </w:r>
          <w:r>
            <w:instrText xml:space="preserve"> PAGEREF _Toc229474774 \h </w:instrText>
          </w:r>
          <w:r>
            <w:fldChar w:fldCharType="separate"/>
          </w:r>
          <w:r>
            <w:t>10</w:t>
          </w:r>
          <w:r>
            <w:fldChar w:fldCharType="end"/>
          </w:r>
          <w:r>
            <w:fldChar w:fldCharType="end"/>
          </w:r>
        </w:p>
        <w:p w14:paraId="7866C190">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"_Toc229474775" </w:instrText>
          </w:r>
          <w:r>
            <w:fldChar w:fldCharType="separate"/>
          </w:r>
          <w:r>
            <w:rPr>
              <w:rStyle w:val="21"/>
            </w:rPr>
            <w:t>4.1</w:t>
          </w:r>
          <w:r>
            <w:rPr>
              <w:rFonts w:asciiTheme="minorHAnsi" w:hAnsiTheme="minorHAnsi"/>
              <w:kern w:val="2"/>
              <w:szCs w:val="24"/>
              <w:lang w:eastAsia="en-AU"/>
              <w14:ligatures w14:val="standardContextual"/>
            </w:rPr>
            <w:tab/>
          </w:r>
          <w:r>
            <w:rPr>
              <w:rStyle w:val="21"/>
            </w:rPr>
            <w:t>Theoretical Framework: Tuckman's Team Development Model</w:t>
          </w:r>
          <w:r>
            <w:tab/>
          </w:r>
          <w:r>
            <w:fldChar w:fldCharType="begin"/>
          </w:r>
          <w:r>
            <w:instrText xml:space="preserve"> PAGEREF _Toc229474775 \h </w:instrText>
          </w:r>
          <w:r>
            <w:fldChar w:fldCharType="separate"/>
          </w:r>
          <w:r>
            <w:t>10</w:t>
          </w:r>
          <w:r>
            <w:fldChar w:fldCharType="end"/>
          </w:r>
          <w:r>
            <w:fldChar w:fldCharType="end"/>
          </w:r>
        </w:p>
        <w:p w14:paraId="191C9FC2">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"_Toc229474776" </w:instrText>
          </w:r>
          <w:r>
            <w:fldChar w:fldCharType="separate"/>
          </w:r>
          <w:r>
            <w:rPr>
              <w:rStyle w:val="21"/>
              <w:rFonts w:eastAsia="Times New Roman"/>
            </w:rPr>
            <w:t>4.2</w:t>
          </w:r>
          <w:r>
            <w:rPr>
              <w:rFonts w:asciiTheme="minorHAnsi" w:hAnsiTheme="minorHAnsi"/>
              <w:kern w:val="2"/>
              <w:szCs w:val="24"/>
              <w:lang w:eastAsia="en-AU"/>
              <w14:ligatures w14:val="standardContextual"/>
            </w:rPr>
            <w:tab/>
          </w:r>
          <w:r>
            <w:rPr>
              <w:rStyle w:val="21"/>
              <w:rFonts w:eastAsia="Times New Roman"/>
            </w:rPr>
            <w:t>Two Key Characteristics of High-Performing Teams</w:t>
          </w:r>
          <w:r>
            <w:tab/>
          </w:r>
          <w:r>
            <w:fldChar w:fldCharType="begin"/>
          </w:r>
          <w:r>
            <w:instrText xml:space="preserve"> PAGEREF _Toc229474776 \h </w:instrText>
          </w:r>
          <w:r>
            <w:fldChar w:fldCharType="separate"/>
          </w:r>
          <w:r>
            <w:t>10</w:t>
          </w:r>
          <w:r>
            <w:fldChar w:fldCharType="end"/>
          </w:r>
          <w:r>
            <w:fldChar w:fldCharType="end"/>
          </w:r>
        </w:p>
        <w:p w14:paraId="7A29A56C">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"_Toc229474777" </w:instrText>
          </w:r>
          <w:r>
            <w:fldChar w:fldCharType="separate"/>
          </w:r>
          <w:r>
            <w:rPr>
              <w:rStyle w:val="21"/>
              <w:rFonts w:eastAsia="Times New Roman"/>
            </w:rPr>
            <w:t>4.3</w:t>
          </w:r>
          <w:r>
            <w:rPr>
              <w:rFonts w:asciiTheme="minorHAnsi" w:hAnsiTheme="minorHAnsi"/>
              <w:kern w:val="2"/>
              <w:szCs w:val="24"/>
              <w:lang w:eastAsia="en-AU"/>
              <w14:ligatures w14:val="standardContextual"/>
            </w:rPr>
            <w:tab/>
          </w:r>
          <w:r>
            <w:rPr>
              <w:rStyle w:val="21"/>
              <w:rFonts w:eastAsia="Times New Roman"/>
            </w:rPr>
            <w:t>Innovative Team-Building Interventions</w:t>
          </w:r>
          <w:r>
            <w:tab/>
          </w:r>
          <w:r>
            <w:fldChar w:fldCharType="begin"/>
          </w:r>
          <w:r>
            <w:instrText xml:space="preserve"> PAGEREF _Toc229474777 \h </w:instrText>
          </w:r>
          <w:r>
            <w:fldChar w:fldCharType="separate"/>
          </w:r>
          <w:r>
            <w:t>11</w:t>
          </w:r>
          <w:r>
            <w:fldChar w:fldCharType="end"/>
          </w:r>
          <w:r>
            <w:fldChar w:fldCharType="end"/>
          </w:r>
        </w:p>
        <w:p w14:paraId="2ABC192C">
          <w:pPr>
            <w:pStyle w:val="30"/>
            <w:tabs>
              <w:tab w:val="left" w:pos="192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"_Toc229474778" </w:instrText>
          </w:r>
          <w:r>
            <w:fldChar w:fldCharType="separate"/>
          </w:r>
          <w:r>
            <w:rPr>
              <w:rStyle w:val="21"/>
              <w:rFonts w:eastAsia="Times New Roman" w:cs="Times New Roman"/>
            </w:rPr>
            <w:t>4.3.1</w:t>
          </w:r>
          <w:r>
            <w:rPr>
              <w:rFonts w:asciiTheme="minorHAnsi" w:hAnsiTheme="minorHAnsi"/>
              <w:kern w:val="2"/>
              <w:szCs w:val="24"/>
              <w:lang w:eastAsia="en-AU"/>
              <w14:ligatures w14:val="standardContextual"/>
            </w:rPr>
            <w:tab/>
          </w:r>
          <w:r>
            <w:rPr>
              <w:rStyle w:val="21"/>
              <w:rFonts w:eastAsia="Times New Roman"/>
            </w:rPr>
            <w:t>Intervention 1: Psychological Safety Workshops with Real-Data Feedback</w:t>
          </w:r>
          <w:r>
            <w:tab/>
          </w:r>
          <w:r>
            <w:fldChar w:fldCharType="begin"/>
          </w:r>
          <w:r>
            <w:instrText xml:space="preserve"> PAGEREF _Toc229474778 \h </w:instrText>
          </w:r>
          <w:r>
            <w:fldChar w:fldCharType="separate"/>
          </w:r>
          <w:r>
            <w:t>11</w:t>
          </w:r>
          <w:r>
            <w:fldChar w:fldCharType="end"/>
          </w:r>
          <w:r>
            <w:fldChar w:fldCharType="end"/>
          </w:r>
        </w:p>
        <w:p w14:paraId="0D1E670F">
          <w:pPr>
            <w:pStyle w:val="30"/>
            <w:tabs>
              <w:tab w:val="left" w:pos="192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"_Toc229474779" </w:instrText>
          </w:r>
          <w:r>
            <w:fldChar w:fldCharType="separate"/>
          </w:r>
          <w:r>
            <w:rPr>
              <w:rStyle w:val="21"/>
              <w:rFonts w:eastAsia="Times New Roman" w:cs="Times New Roman"/>
            </w:rPr>
            <w:t>4.3.2</w:t>
          </w:r>
          <w:r>
            <w:rPr>
              <w:rFonts w:asciiTheme="minorHAnsi" w:hAnsiTheme="minorHAnsi"/>
              <w:kern w:val="2"/>
              <w:szCs w:val="24"/>
              <w:lang w:eastAsia="en-AU"/>
              <w14:ligatures w14:val="standardContextual"/>
            </w:rPr>
            <w:tab/>
          </w:r>
          <w:r>
            <w:rPr>
              <w:rStyle w:val="21"/>
              <w:rFonts w:eastAsia="Times New Roman"/>
            </w:rPr>
            <w:t>Intervention 2: Team Working Agreements and Accountability Charters</w:t>
          </w:r>
          <w:r>
            <w:tab/>
          </w:r>
          <w:r>
            <w:fldChar w:fldCharType="begin"/>
          </w:r>
          <w:r>
            <w:instrText xml:space="preserve"> PAGEREF _Toc229474779 \h </w:instrText>
          </w:r>
          <w:r>
            <w:fldChar w:fldCharType="separate"/>
          </w:r>
          <w:r>
            <w:t>11</w:t>
          </w:r>
          <w:r>
            <w:fldChar w:fldCharType="end"/>
          </w:r>
          <w:r>
            <w:fldChar w:fldCharType="end"/>
          </w:r>
        </w:p>
        <w:p w14:paraId="62645528">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"_Toc229474780" </w:instrText>
          </w:r>
          <w:r>
            <w:fldChar w:fldCharType="separate"/>
          </w:r>
          <w:r>
            <w:rPr>
              <w:rStyle w:val="21"/>
              <w:rFonts w:eastAsia="Times New Roman"/>
            </w:rPr>
            <w:t>4.4</w:t>
          </w:r>
          <w:r>
            <w:rPr>
              <w:rFonts w:asciiTheme="minorHAnsi" w:hAnsiTheme="minorHAnsi"/>
              <w:kern w:val="2"/>
              <w:szCs w:val="24"/>
              <w:lang w:eastAsia="en-AU"/>
              <w14:ligatures w14:val="standardContextual"/>
            </w:rPr>
            <w:tab/>
          </w:r>
          <w:r>
            <w:rPr>
              <w:rStyle w:val="21"/>
              <w:rFonts w:eastAsia="Times New Roman"/>
            </w:rPr>
            <w:t>Research Synthesis: Best Practices in Team Working Agreements</w:t>
          </w:r>
          <w:r>
            <w:tab/>
          </w:r>
          <w:r>
            <w:fldChar w:fldCharType="begin"/>
          </w:r>
          <w:r>
            <w:instrText xml:space="preserve"> PAGEREF _Toc229474780 \h </w:instrText>
          </w:r>
          <w:r>
            <w:fldChar w:fldCharType="separate"/>
          </w:r>
          <w:r>
            <w:t>11</w:t>
          </w:r>
          <w:r>
            <w:fldChar w:fldCharType="end"/>
          </w:r>
          <w:r>
            <w:fldChar w:fldCharType="end"/>
          </w:r>
        </w:p>
        <w:p w14:paraId="3E23CDE7">
          <w:pPr>
            <w:pStyle w:val="28"/>
            <w:tabs>
              <w:tab w:val="left" w:pos="120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"_Toc229474781" </w:instrText>
          </w:r>
          <w:r>
            <w:fldChar w:fldCharType="separate"/>
          </w:r>
          <w:r>
            <w:rPr>
              <w:rStyle w:val="21"/>
              <w:rFonts w:eastAsia="Times New Roman"/>
            </w:rPr>
            <w:t>5</w:t>
          </w:r>
          <w:r>
            <w:rPr>
              <w:rFonts w:asciiTheme="minorHAnsi" w:hAnsiTheme="minorHAnsi"/>
              <w:kern w:val="2"/>
              <w:szCs w:val="24"/>
              <w:lang w:eastAsia="en-AU"/>
              <w14:ligatures w14:val="standardContextual"/>
            </w:rPr>
            <w:tab/>
          </w:r>
          <w:r>
            <w:rPr>
              <w:rStyle w:val="21"/>
              <w:rFonts w:eastAsia="Times New Roman"/>
            </w:rPr>
            <w:t>Scenario 4:  Performance Measurement and Control Systems</w:t>
          </w:r>
          <w:r>
            <w:tab/>
          </w:r>
          <w:r>
            <w:fldChar w:fldCharType="begin"/>
          </w:r>
          <w:r>
            <w:instrText xml:space="preserve"> PAGEREF _Toc229474781 \h </w:instrText>
          </w:r>
          <w:r>
            <w:fldChar w:fldCharType="separate"/>
          </w:r>
          <w:r>
            <w:t>12</w:t>
          </w:r>
          <w:r>
            <w:fldChar w:fldCharType="end"/>
          </w:r>
          <w:r>
            <w:fldChar w:fldCharType="end"/>
          </w:r>
        </w:p>
        <w:p w14:paraId="7E9EDFBF">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"_Toc229474782" </w:instrText>
          </w:r>
          <w:r>
            <w:fldChar w:fldCharType="separate"/>
          </w:r>
          <w:r>
            <w:rPr>
              <w:rStyle w:val="21"/>
              <w:rFonts w:eastAsia="Times New Roman"/>
            </w:rPr>
            <w:t>5.1</w:t>
          </w:r>
          <w:r>
            <w:rPr>
              <w:rFonts w:asciiTheme="minorHAnsi" w:hAnsiTheme="minorHAnsi"/>
              <w:kern w:val="2"/>
              <w:szCs w:val="24"/>
              <w:lang w:eastAsia="en-AU"/>
              <w14:ligatures w14:val="standardContextual"/>
            </w:rPr>
            <w:tab/>
          </w:r>
          <w:r>
            <w:rPr>
              <w:rStyle w:val="21"/>
              <w:rFonts w:eastAsia="Times New Roman"/>
            </w:rPr>
            <w:t>Theoretical Framework: Kaplan and Norton's Balanced Scorecard</w:t>
          </w:r>
          <w:r>
            <w:tab/>
          </w:r>
          <w:r>
            <w:fldChar w:fldCharType="begin"/>
          </w:r>
          <w:r>
            <w:instrText xml:space="preserve"> PAGEREF _Toc229474782 \h </w:instrText>
          </w:r>
          <w:r>
            <w:fldChar w:fldCharType="separate"/>
          </w:r>
          <w:r>
            <w:t>12</w:t>
          </w:r>
          <w:r>
            <w:fldChar w:fldCharType="end"/>
          </w:r>
          <w:r>
            <w:fldChar w:fldCharType="end"/>
          </w:r>
        </w:p>
        <w:p w14:paraId="2FFA9182">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"_Toc229474783" </w:instrText>
          </w:r>
          <w:r>
            <w:fldChar w:fldCharType="separate"/>
          </w:r>
          <w:r>
            <w:rPr>
              <w:rStyle w:val="21"/>
              <w:rFonts w:eastAsia="Times New Roman"/>
            </w:rPr>
            <w:t>5.2</w:t>
          </w:r>
          <w:r>
            <w:rPr>
              <w:rFonts w:asciiTheme="minorHAnsi" w:hAnsiTheme="minorHAnsi"/>
              <w:kern w:val="2"/>
              <w:szCs w:val="24"/>
              <w:lang w:eastAsia="en-AU"/>
              <w14:ligatures w14:val="standardContextual"/>
            </w:rPr>
            <w:tab/>
          </w:r>
          <w:r>
            <w:rPr>
              <w:rStyle w:val="21"/>
              <w:rFonts w:eastAsia="Arial"/>
            </w:rPr>
            <w:t>Applying the BSC to Amazon's Performance Measurement</w:t>
          </w:r>
          <w:r>
            <w:tab/>
          </w:r>
          <w:r>
            <w:fldChar w:fldCharType="begin"/>
          </w:r>
          <w:r>
            <w:instrText xml:space="preserve"> PAGEREF _Toc229474783 \h </w:instrText>
          </w:r>
          <w:r>
            <w:fldChar w:fldCharType="separate"/>
          </w:r>
          <w:r>
            <w:t>12</w:t>
          </w:r>
          <w:r>
            <w:fldChar w:fldCharType="end"/>
          </w:r>
          <w:r>
            <w:fldChar w:fldCharType="end"/>
          </w:r>
        </w:p>
        <w:p w14:paraId="3AACEA17">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"_Toc229474784" </w:instrText>
          </w:r>
          <w:r>
            <w:fldChar w:fldCharType="separate"/>
          </w:r>
          <w:r>
            <w:rPr>
              <w:rStyle w:val="21"/>
              <w:rFonts w:eastAsia="Times New Roman"/>
            </w:rPr>
            <w:t>5.3</w:t>
          </w:r>
          <w:r>
            <w:rPr>
              <w:rFonts w:asciiTheme="minorHAnsi" w:hAnsiTheme="minorHAnsi"/>
              <w:kern w:val="2"/>
              <w:szCs w:val="24"/>
              <w:lang w:eastAsia="en-AU"/>
              <w14:ligatures w14:val="standardContextual"/>
            </w:rPr>
            <w:tab/>
          </w:r>
          <w:r>
            <w:rPr>
              <w:rStyle w:val="21"/>
              <w:rFonts w:eastAsia="Times New Roman"/>
            </w:rPr>
            <w:t>Control Mechanisms for Individual Performance Monitoring</w:t>
          </w:r>
          <w:r>
            <w:tab/>
          </w:r>
          <w:r>
            <w:fldChar w:fldCharType="begin"/>
          </w:r>
          <w:r>
            <w:instrText xml:space="preserve"> PAGEREF _Toc229474784 \h </w:instrText>
          </w:r>
          <w:r>
            <w:fldChar w:fldCharType="separate"/>
          </w:r>
          <w:r>
            <w:t>12</w:t>
          </w:r>
          <w:r>
            <w:fldChar w:fldCharType="end"/>
          </w:r>
          <w:r>
            <w:fldChar w:fldCharType="end"/>
          </w:r>
        </w:p>
        <w:p w14:paraId="169D413C">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"_Toc229474785" </w:instrText>
          </w:r>
          <w:r>
            <w:fldChar w:fldCharType="separate"/>
          </w:r>
          <w:r>
            <w:rPr>
              <w:rStyle w:val="21"/>
              <w:rFonts w:eastAsia="Times New Roman"/>
            </w:rPr>
            <w:t>5.4</w:t>
          </w:r>
          <w:r>
            <w:rPr>
              <w:rFonts w:asciiTheme="minorHAnsi" w:hAnsiTheme="minorHAnsi"/>
              <w:kern w:val="2"/>
              <w:szCs w:val="24"/>
              <w:lang w:eastAsia="en-AU"/>
              <w14:ligatures w14:val="standardContextual"/>
            </w:rPr>
            <w:tab/>
          </w:r>
          <w:r>
            <w:rPr>
              <w:rStyle w:val="21"/>
              <w:rFonts w:eastAsia="Times New Roman"/>
            </w:rPr>
            <w:t>Measuring Team and Organisational Effectiveness</w:t>
          </w:r>
          <w:r>
            <w:tab/>
          </w:r>
          <w:r>
            <w:fldChar w:fldCharType="begin"/>
          </w:r>
          <w:r>
            <w:instrText xml:space="preserve"> PAGEREF _Toc229474785 \h </w:instrText>
          </w:r>
          <w:r>
            <w:fldChar w:fldCharType="separate"/>
          </w:r>
          <w:r>
            <w:t>13</w:t>
          </w:r>
          <w:r>
            <w:fldChar w:fldCharType="end"/>
          </w:r>
          <w:r>
            <w:fldChar w:fldCharType="end"/>
          </w:r>
        </w:p>
        <w:p w14:paraId="29DC5C36">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"_Toc229474786" </w:instrText>
          </w:r>
          <w:r>
            <w:fldChar w:fldCharType="separate"/>
          </w:r>
          <w:r>
            <w:rPr>
              <w:rStyle w:val="21"/>
              <w:rFonts w:eastAsia="Times New Roman"/>
            </w:rPr>
            <w:t>5.5</w:t>
          </w:r>
          <w:r>
            <w:rPr>
              <w:rFonts w:asciiTheme="minorHAnsi" w:hAnsiTheme="minorHAnsi"/>
              <w:kern w:val="2"/>
              <w:szCs w:val="24"/>
              <w:lang w:eastAsia="en-AU"/>
              <w14:ligatures w14:val="standardContextual"/>
            </w:rPr>
            <w:tab/>
          </w:r>
          <w:r>
            <w:rPr>
              <w:rStyle w:val="21"/>
              <w:rFonts w:eastAsia="Times New Roman"/>
            </w:rPr>
            <w:t>Data-Driven Decision-Making in Monitoring and Control</w:t>
          </w:r>
          <w:r>
            <w:tab/>
          </w:r>
          <w:r>
            <w:fldChar w:fldCharType="begin"/>
          </w:r>
          <w:r>
            <w:instrText xml:space="preserve"> PAGEREF _Toc229474786 \h </w:instrText>
          </w:r>
          <w:r>
            <w:fldChar w:fldCharType="separate"/>
          </w:r>
          <w:r>
            <w:t>13</w:t>
          </w:r>
          <w:r>
            <w:fldChar w:fldCharType="end"/>
          </w:r>
          <w:r>
            <w:fldChar w:fldCharType="end"/>
          </w:r>
        </w:p>
        <w:p w14:paraId="05CA4D0D">
          <w:pPr>
            <w:pStyle w:val="29"/>
            <w:tabs>
              <w:tab w:val="left" w:pos="168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"_Toc229474787" </w:instrText>
          </w:r>
          <w:r>
            <w:fldChar w:fldCharType="separate"/>
          </w:r>
          <w:r>
            <w:rPr>
              <w:rStyle w:val="21"/>
              <w:rFonts w:eastAsia="Times New Roman"/>
            </w:rPr>
            <w:t>5.6</w:t>
          </w:r>
          <w:r>
            <w:rPr>
              <w:rFonts w:asciiTheme="minorHAnsi" w:hAnsiTheme="minorHAnsi"/>
              <w:kern w:val="2"/>
              <w:szCs w:val="24"/>
              <w:lang w:eastAsia="en-AU"/>
              <w14:ligatures w14:val="standardContextual"/>
            </w:rPr>
            <w:tab/>
          </w:r>
          <w:r>
            <w:rPr>
              <w:rStyle w:val="21"/>
              <w:rFonts w:eastAsia="Times New Roman"/>
            </w:rPr>
            <w:t>Limitations, Unintended Consequences, and Ethical Implications</w:t>
          </w:r>
          <w:r>
            <w:tab/>
          </w:r>
          <w:r>
            <w:fldChar w:fldCharType="begin"/>
          </w:r>
          <w:r>
            <w:instrText xml:space="preserve"> PAGEREF _Toc229474787 \h </w:instrText>
          </w:r>
          <w:r>
            <w:fldChar w:fldCharType="separate"/>
          </w:r>
          <w:r>
            <w:t>13</w:t>
          </w:r>
          <w:r>
            <w:fldChar w:fldCharType="end"/>
          </w:r>
          <w:r>
            <w:fldChar w:fldCharType="end"/>
          </w:r>
        </w:p>
        <w:p w14:paraId="3CFA9F80">
          <w:pPr>
            <w:pStyle w:val="28"/>
            <w:tabs>
              <w:tab w:val="left" w:pos="120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"_Toc229474788" </w:instrText>
          </w:r>
          <w:r>
            <w:fldChar w:fldCharType="separate"/>
          </w:r>
          <w:r>
            <w:rPr>
              <w:rStyle w:val="21"/>
              <w:rFonts w:eastAsia="Times New Roman"/>
            </w:rPr>
            <w:t>6</w:t>
          </w:r>
          <w:r>
            <w:rPr>
              <w:rFonts w:asciiTheme="minorHAnsi" w:hAnsiTheme="minorHAnsi"/>
              <w:kern w:val="2"/>
              <w:szCs w:val="24"/>
              <w:lang w:eastAsia="en-AU"/>
              <w14:ligatures w14:val="standardContextual"/>
            </w:rPr>
            <w:tab/>
          </w:r>
          <w:r>
            <w:rPr>
              <w:rStyle w:val="21"/>
              <w:rFonts w:eastAsia="Times New Roman"/>
            </w:rPr>
            <w:t>Conclusion</w:t>
          </w:r>
          <w:r>
            <w:tab/>
          </w:r>
          <w:r>
            <w:fldChar w:fldCharType="begin"/>
          </w:r>
          <w:r>
            <w:instrText xml:space="preserve"> PAGEREF _Toc229474788 \h </w:instrText>
          </w:r>
          <w:r>
            <w:fldChar w:fldCharType="separate"/>
          </w:r>
          <w:r>
            <w:t>14</w:t>
          </w:r>
          <w:r>
            <w:fldChar w:fldCharType="end"/>
          </w:r>
          <w:r>
            <w:fldChar w:fldCharType="end"/>
          </w:r>
        </w:p>
        <w:p w14:paraId="75C5B8AE">
          <w:pPr>
            <w:pStyle w:val="28"/>
            <w:tabs>
              <w:tab w:val="left" w:pos="1200"/>
              <w:tab w:val="right" w:leader="dot" w:pos="9350"/>
            </w:tabs>
            <w:rPr>
              <w:rFonts w:asciiTheme="minorHAnsi" w:hAnsiTheme="minorHAnsi"/>
              <w:kern w:val="2"/>
              <w:szCs w:val="24"/>
              <w:lang w:eastAsia="en-AU"/>
              <w14:ligatures w14:val="standardContextual"/>
            </w:rPr>
          </w:pPr>
          <w:r>
            <w:fldChar w:fldCharType="begin"/>
          </w:r>
          <w:r>
            <w:instrText xml:space="preserve"> HYPERLINK \l "_Toc229474789" </w:instrText>
          </w:r>
          <w:r>
            <w:fldChar w:fldCharType="separate"/>
          </w:r>
          <w:r>
            <w:rPr>
              <w:rStyle w:val="21"/>
              <w:rFonts w:eastAsia="Times New Roman"/>
            </w:rPr>
            <w:t>7</w:t>
          </w:r>
          <w:r>
            <w:rPr>
              <w:rFonts w:asciiTheme="minorHAnsi" w:hAnsiTheme="minorHAnsi"/>
              <w:kern w:val="2"/>
              <w:szCs w:val="24"/>
              <w:lang w:eastAsia="en-AU"/>
              <w14:ligatures w14:val="standardContextual"/>
            </w:rPr>
            <w:tab/>
          </w:r>
          <w:r>
            <w:rPr>
              <w:rStyle w:val="21"/>
              <w:rFonts w:eastAsia="Times New Roman"/>
            </w:rPr>
            <w:t>References</w:t>
          </w:r>
          <w:r>
            <w:tab/>
          </w:r>
          <w:r>
            <w:fldChar w:fldCharType="begin"/>
          </w:r>
          <w:r>
            <w:instrText xml:space="preserve"> PAGEREF _Toc229474789 \h </w:instrText>
          </w:r>
          <w:r>
            <w:fldChar w:fldCharType="separate"/>
          </w:r>
          <w:r>
            <w:t>15</w:t>
          </w:r>
          <w:r>
            <w:fldChar w:fldCharType="end"/>
          </w:r>
          <w:r>
            <w:fldChar w:fldCharType="end"/>
          </w:r>
        </w:p>
        <w:p w14:paraId="3D4ADA7B">
          <w:r>
            <w:rPr>
              <w:b/>
              <w:bCs/>
            </w:rPr>
            <w:fldChar w:fldCharType="end"/>
          </w:r>
        </w:p>
      </w:sdtContent>
    </w:sdt>
    <w:p w14:paraId="7BAC707B">
      <w:pPr>
        <w:rPr>
          <w:rFonts w:eastAsia="Times New Roman"/>
        </w:rPr>
      </w:pPr>
    </w:p>
    <w:p w14:paraId="216409AF">
      <w:pPr>
        <w:rPr>
          <w:rFonts w:eastAsia="Times New Roman"/>
        </w:rPr>
      </w:pPr>
    </w:p>
    <w:p w14:paraId="15D440BD">
      <w:pPr>
        <w:rPr>
          <w:rFonts w:eastAsia="Times New Roman"/>
        </w:rPr>
      </w:pPr>
    </w:p>
    <w:p w14:paraId="0AC4550D">
      <w:pPr>
        <w:rPr>
          <w:rFonts w:eastAsia="Times New Roman"/>
        </w:rPr>
      </w:pPr>
    </w:p>
    <w:p w14:paraId="28FF84A7">
      <w:pPr>
        <w:rPr>
          <w:rFonts w:eastAsia="Times New Roman"/>
        </w:rPr>
      </w:pPr>
    </w:p>
    <w:p w14:paraId="6D90C598">
      <w:pPr>
        <w:rPr>
          <w:rFonts w:eastAsia="Times New Roman"/>
        </w:rPr>
      </w:pPr>
    </w:p>
    <w:p w14:paraId="65F94AA2">
      <w:pPr>
        <w:rPr>
          <w:rFonts w:eastAsia="Times New Roman"/>
        </w:rPr>
      </w:pPr>
    </w:p>
    <w:p w14:paraId="27B110C7">
      <w:pPr>
        <w:rPr>
          <w:rFonts w:eastAsia="Times New Roman"/>
        </w:rPr>
      </w:pPr>
    </w:p>
    <w:p w14:paraId="4EDD79A9">
      <w:pPr>
        <w:rPr>
          <w:rFonts w:eastAsia="Times New Roman"/>
        </w:rPr>
      </w:pPr>
    </w:p>
    <w:p w14:paraId="21911A4B">
      <w:pPr>
        <w:rPr>
          <w:rFonts w:eastAsia="Times New Roman"/>
        </w:rPr>
      </w:pPr>
    </w:p>
    <w:p w14:paraId="56AA772D">
      <w:pPr>
        <w:rPr>
          <w:rFonts w:eastAsia="Times New Roman"/>
        </w:rPr>
      </w:pPr>
    </w:p>
    <w:p w14:paraId="64AAE192">
      <w:pPr>
        <w:rPr>
          <w:rFonts w:eastAsia="Times New Roman"/>
        </w:rPr>
      </w:pPr>
    </w:p>
    <w:p w14:paraId="1BCFB8E7">
      <w:pPr>
        <w:ind w:firstLine="0"/>
        <w:rPr>
          <w:rFonts w:eastAsia="Times New Roman"/>
        </w:rPr>
      </w:pPr>
    </w:p>
    <w:p w14:paraId="241DA847">
      <w:pPr>
        <w:pStyle w:val="2"/>
        <w:jc w:val="both"/>
        <w:rPr>
          <w:rFonts w:eastAsia="Times New Roman"/>
          <w:color w:val="0000FF"/>
          <w:sz w:val="32"/>
          <w:szCs w:val="44"/>
        </w:rPr>
      </w:pPr>
      <w:bookmarkStart w:id="1" w:name="_Toc229474759"/>
      <w:r>
        <w:rPr>
          <w:rFonts w:eastAsia="Times New Roman"/>
          <w:color w:val="0000FF"/>
          <w:sz w:val="32"/>
          <w:szCs w:val="44"/>
        </w:rPr>
        <w:t>Introduction</w:t>
      </w:r>
      <w:bookmarkEnd w:id="1"/>
    </w:p>
    <w:p w14:paraId="0D96E659">
      <w:pPr>
        <w:ind w:left="0" w:leftChars="0" w:firstLine="0" w:firstLineChars="0"/>
        <w:jc w:val="both"/>
        <w:rPr>
          <w:rFonts w:eastAsia="Times New Roman"/>
        </w:rPr>
      </w:pPr>
      <w:r>
        <w:rPr>
          <w:rFonts w:eastAsia="Times New Roman"/>
        </w:rPr>
        <w:t>Amazon.com, Inc. is a highly analytically advanced organisation that is present in the e-commerce, cloud computing, digital streaming, and artificial intelligence sectors. Since its inception in 1994 as a bookstore on the internet, Amazon has become a technology-driven force worldwide through the use of data to drive decisions, a culture that has evolved over time and a focus on performance measurement. In this report, four important organisational dimensions are analysed including decision-making, cultural change, team effectiveness, and performance monitoring. Both scenarios rely on a particular management theory and combine the business analytics insights, backed by modern academic sources and practical experience related to the operations of Amazon as of 2024-2025.</w:t>
      </w:r>
    </w:p>
    <w:p w14:paraId="3C662BA9">
      <w:pPr>
        <w:rPr>
          <w:rFonts w:eastAsia="Times New Roman"/>
        </w:rPr>
      </w:pPr>
      <w:bookmarkStart w:id="2" w:name="_Toc229474760"/>
      <w:r>
        <w:rPr>
          <w:rFonts w:eastAsia="Times New Roman"/>
        </w:rPr>
        <w:br w:type="page"/>
      </w:r>
    </w:p>
    <w:p w14:paraId="710F9495">
      <w:pPr>
        <w:pStyle w:val="2"/>
        <w:rPr>
          <w:rFonts w:eastAsia="Times New Roman"/>
          <w:color w:val="0000FF"/>
          <w:sz w:val="32"/>
          <w:szCs w:val="44"/>
        </w:rPr>
      </w:pPr>
      <w:r>
        <w:rPr>
          <w:rFonts w:eastAsia="Times New Roman"/>
          <w:color w:val="0000FF"/>
          <w:sz w:val="32"/>
          <w:szCs w:val="44"/>
        </w:rPr>
        <w:t>Scenario 1: Advanced Decision-Making Analysis</w:t>
      </w:r>
      <w:bookmarkEnd w:id="2"/>
    </w:p>
    <w:p w14:paraId="7FE351DE">
      <w:pPr>
        <w:pStyle w:val="3"/>
        <w:rPr>
          <w:rFonts w:eastAsia="Times New Roman"/>
          <w:color w:val="0000FF"/>
          <w:sz w:val="28"/>
          <w:szCs w:val="32"/>
        </w:rPr>
      </w:pPr>
      <w:bookmarkStart w:id="3" w:name="_Toc229474761"/>
      <w:r>
        <w:rPr>
          <w:rFonts w:eastAsia="Times New Roman"/>
          <w:color w:val="0000FF"/>
          <w:sz w:val="28"/>
          <w:szCs w:val="32"/>
        </w:rPr>
        <w:t>The Organisational Decision: Launch of Amazon Web Services (AWS)</w:t>
      </w:r>
      <w:bookmarkEnd w:id="3"/>
    </w:p>
    <w:p w14:paraId="0433E015">
      <w:pPr>
        <w:ind w:left="0" w:leftChars="0" w:firstLine="0" w:firstLineChars="0"/>
        <w:rPr>
          <w:rFonts w:eastAsia="Times New Roman"/>
        </w:rPr>
      </w:pPr>
      <w:r>
        <w:rPr>
          <w:rFonts w:eastAsia="Times New Roman"/>
        </w:rPr>
        <w:t>Amazon with its 2002-2006 decision to develop and launch Amazon Web Services (AWS) has made one of the most significant strategic decisions in the history of technology. The project originated as a way to address the internal infrastructure efficiency issues at Amazon, but shortly thereafter had become a massively popular public cloud computing platform, which transformed whole industries. This is a critical analysis of the decision based on the Rational Decision-Making Model and how business analytics can be applied to enhance quality of the decisions.</w:t>
      </w:r>
    </w:p>
    <w:p w14:paraId="55282912">
      <w:pPr>
        <w:pStyle w:val="3"/>
        <w:rPr>
          <w:rFonts w:eastAsia="Times New Roman"/>
          <w:color w:val="0000FF"/>
          <w:sz w:val="28"/>
          <w:szCs w:val="32"/>
        </w:rPr>
      </w:pPr>
      <w:bookmarkStart w:id="4" w:name="_Toc229474762"/>
      <w:r>
        <w:rPr>
          <w:rFonts w:eastAsia="Times New Roman"/>
          <w:color w:val="0000FF"/>
          <w:sz w:val="28"/>
          <w:szCs w:val="32"/>
        </w:rPr>
        <w:t>Rational Decision-Making Model</w:t>
      </w:r>
      <w:bookmarkEnd w:id="4"/>
    </w:p>
    <w:p w14:paraId="00BC6E29">
      <w:pPr>
        <w:ind w:left="0" w:leftChars="0" w:firstLine="0" w:firstLineChars="0"/>
        <w:rPr>
          <w:rFonts w:eastAsia="Times New Roman"/>
        </w:rPr>
      </w:pPr>
      <w:r>
        <w:rPr>
          <w:rFonts w:eastAsia="Times New Roman"/>
        </w:rPr>
        <w:t xml:space="preserve">Rational Decision-Making Model (Simon, 1977) recommends a step-by-step approach: defining the problem, setting criteria, weighing options, generating alternatives, comparing them with criteria and choosing the best alternative. The issue with Amazon was two-fold in that the internal infrastructure was expensive, disjointed, and had a slow deployment time. Scalability, cost efficiency, and developer agility were some of the decision criteria set by leadership. Solutions included outsourcing infrastructure, construction of a proprietary internal platform, and so on. Bezos and his team chose to design </w:t>
      </w:r>
      <w:r>
        <w:rPr>
          <w:rFonts w:eastAsia="Times New Roman"/>
          <w:i/>
          <w:iCs/>
        </w:rPr>
        <w:t>standardized internal platform</w:t>
      </w:r>
      <w:r>
        <w:rPr>
          <w:rFonts w:eastAsia="Times New Roman"/>
        </w:rPr>
        <w:t xml:space="preserve"> which could then be commercialised outside, analytically good choice that was based on longer-term market leadership (Amazon SEC Filing, 2025). This goes along with the philosophy of Bezos, as published since 1997, of making daring and not timid investment choices in areas where the benefits of market leadership are possible.</w:t>
      </w:r>
    </w:p>
    <w:p w14:paraId="4CE95CD6">
      <w:pPr>
        <w:pStyle w:val="3"/>
        <w:rPr>
          <w:rFonts w:eastAsia="Times New Roman"/>
          <w:color w:val="0000FF"/>
          <w:sz w:val="28"/>
          <w:szCs w:val="32"/>
        </w:rPr>
      </w:pPr>
      <w:bookmarkStart w:id="5" w:name="_Toc229474763"/>
      <w:r>
        <w:rPr>
          <w:rFonts w:eastAsia="Times New Roman"/>
          <w:color w:val="0000FF"/>
          <w:sz w:val="28"/>
          <w:szCs w:val="32"/>
        </w:rPr>
        <w:t>Critical Assessment: Limitations, Biases, and Missed Opportunities</w:t>
      </w:r>
      <w:bookmarkEnd w:id="5"/>
      <w:r>
        <w:rPr>
          <w:rFonts w:eastAsia="Times New Roman"/>
          <w:color w:val="0000FF"/>
          <w:sz w:val="28"/>
          <w:szCs w:val="32"/>
        </w:rPr>
        <w:t xml:space="preserve"> </w:t>
      </w:r>
    </w:p>
    <w:p w14:paraId="000965BE">
      <w:pPr>
        <w:ind w:left="0" w:leftChars="0" w:firstLine="0" w:firstLineChars="0"/>
        <w:rPr>
          <w:rFonts w:eastAsia="Times New Roman"/>
        </w:rPr>
      </w:pPr>
      <w:r>
        <w:rPr>
          <w:rFonts w:eastAsia="Times New Roman"/>
        </w:rPr>
        <w:t>Although this decision was eventually successful, it had significant limitations in its decision-making process. The Rational Model is based on perfect information and objective assessment, but the management at Amazon acted with great uncertainty - the market of cloud services based on the public cloud was yet to be created. The framing of the decision might have been affected by confirmation bias; the belief that customers are obsessed with the company did not allow Bezos to consider the competitive environment properly. Moreover, the model is not linear to reflect the iterative, emergent process of how AWS grew out of an informal internal program into a formal business unit (Ashikuzzaman, 2025). The opportunities that were missed were the previous monetisation and slower initial reaction to the competitor cloud provider. It was also informally risk-modelled without formal risk modelling at the beginning and as such, it was based on intuitive strategic judgement by the top management.</w:t>
      </w:r>
    </w:p>
    <w:p w14:paraId="0390CD3E">
      <w:pPr>
        <w:pStyle w:val="3"/>
        <w:rPr>
          <w:rFonts w:eastAsia="Times New Roman"/>
          <w:color w:val="0000FF"/>
          <w:sz w:val="28"/>
          <w:szCs w:val="32"/>
        </w:rPr>
      </w:pPr>
      <w:bookmarkStart w:id="6" w:name="_Toc229474764"/>
      <w:r>
        <w:rPr>
          <w:rFonts w:eastAsia="Times New Roman"/>
          <w:color w:val="0000FF"/>
          <w:sz w:val="28"/>
          <w:szCs w:val="32"/>
        </w:rPr>
        <w:t>Alternative Approaches</w:t>
      </w:r>
      <w:bookmarkEnd w:id="6"/>
    </w:p>
    <w:p w14:paraId="651E853C">
      <w:pPr>
        <w:ind w:left="0" w:leftChars="0" w:firstLine="0" w:firstLineChars="0"/>
        <w:rPr>
          <w:rFonts w:eastAsia="Times New Roman"/>
        </w:rPr>
      </w:pPr>
      <w:r>
        <w:rPr>
          <w:rFonts w:eastAsia="Times New Roman"/>
        </w:rPr>
        <w:t>A stronger alternative would have included the scenario planning as an addition to the rational analysis, allowing Amazon to simulate the various competitive futures. Actual decision-making under uncertainty would be better represented by bounded rationality (Simon, 1955) which would have facilitated iterative learning over a single assumption of optimal choices. Also, a formalisation of the Type 1 / Type 2 decision framework used by Amazon itself, i.e. differentiating between irreversible high-stakes choices and reversible ones, should have been formalised earlier (Amazon SEC Filing, 2025). The launch of AWS was without any doubts a Type 1 decision that required more deliberate, scenario-conscious approach.</w:t>
      </w:r>
    </w:p>
    <w:p w14:paraId="21E970D1">
      <w:pPr>
        <w:pStyle w:val="3"/>
        <w:rPr>
          <w:rFonts w:eastAsia="Times New Roman"/>
          <w:color w:val="0000FF"/>
          <w:sz w:val="28"/>
          <w:szCs w:val="32"/>
        </w:rPr>
      </w:pPr>
      <w:bookmarkStart w:id="7" w:name="_Toc229474765"/>
      <w:r>
        <w:rPr>
          <w:rFonts w:eastAsia="Times New Roman"/>
          <w:color w:val="0000FF"/>
          <w:sz w:val="28"/>
          <w:szCs w:val="32"/>
        </w:rPr>
        <w:t>Role of Business Analytics</w:t>
      </w:r>
      <w:bookmarkEnd w:id="7"/>
      <w:r>
        <w:rPr>
          <w:rFonts w:eastAsia="Times New Roman"/>
          <w:color w:val="0000FF"/>
          <w:sz w:val="28"/>
          <w:szCs w:val="32"/>
        </w:rPr>
        <w:t xml:space="preserve"> </w:t>
      </w:r>
    </w:p>
    <w:p w14:paraId="26013FBC">
      <w:pPr>
        <w:ind w:left="0" w:leftChars="0" w:firstLine="0" w:firstLineChars="0"/>
        <w:rPr>
          <w:rFonts w:eastAsia="Times New Roman"/>
        </w:rPr>
      </w:pPr>
      <w:r>
        <w:rPr>
          <w:rFonts w:eastAsia="Times New Roman"/>
        </w:rPr>
        <w:t>Descriptive analytics would have provided the leadership with a clear view of the inefficiencies being resolved as it would have quantified the past trends of infrastructure costs of Amazon. Using cloud adoption predictions and data on developer communities, predictive analytics would have enhanced the market-sizing argument. Self AWS now has the power of prescriptive analytics with such tools as Amazon SageMaker and Amazon Forecast, which recommend the best use of resources and demand reactions (AWS, 2025). Prescriptive models would have been available in 2002, which would have made it possible to invest more confidently in AWS infrastructure earlier. The synergistic relationship of the three analytics levels descriptive, predictive, and prescriptive of analytics forms an effective decision support ecosystem, as noted by the most outstanding scholars of analytics (Davenport and Harris, 2017). This maturation is reflected in the next AIs-driven predictive insights of Amazon that were developed into the operational fabric (Amazon Connect, 2025).</w:t>
      </w:r>
    </w:p>
    <w:p w14:paraId="30CD0582">
      <w:pPr>
        <w:ind w:left="0" w:leftChars="0" w:firstLine="0" w:firstLineChars="0"/>
        <w:rPr>
          <w:rFonts w:ascii="Calibri" w:hAnsi="Calibri"/>
          <w:highlight w:val="none"/>
        </w:rPr>
      </w:pPr>
      <w:r>
        <w:rPr>
          <w:rFonts w:ascii="Calibri" w:hAnsi="Calibri"/>
          <w:highlight w:val="none"/>
        </w:rPr>
        <w:t>Critcial assessment of decision models uncovers their shortcomings. The Rational Model suggests perfect information and linear thinking. In Simon’s theory of bounded rationality, Walker shows us operated within their cognitive limits and made do with what they had. In complte contrast to rational planning, AWS would be better described by Mintzberg’s emergent strategy and the evolutionary approach. AWS would develop organically from internal experimentation, again unlike rational planning. In Amazon's internal narrative, the delay in major security investments and the entry of Microsoft and Google were given little consideration, due to the leadership's internal narrative of AWS corporate cost cutting. Amazon chose cost cutting over security. During the early stages of the cloud, analytics were also uncertain. There were no historical case studies in cloud adoption, and as a result the predictions were overly confident. The AWS case illustrates a lack of creativity. There was a lack of humility, in the recognition of AWS, in that there were no observable speculative assumptions in the cloud market.</w:t>
      </w:r>
    </w:p>
    <w:p w14:paraId="6AEC9EA6">
      <w:pPr>
        <w:rPr>
          <w:rFonts w:eastAsia="Times New Roman"/>
        </w:rPr>
      </w:pPr>
      <w:bookmarkStart w:id="8" w:name="_Toc229474766"/>
      <w:r>
        <w:rPr>
          <w:rFonts w:eastAsia="Times New Roman"/>
        </w:rPr>
        <w:br w:type="page"/>
      </w:r>
    </w:p>
    <w:p w14:paraId="191BC862">
      <w:pPr>
        <w:pStyle w:val="2"/>
        <w:rPr>
          <w:rFonts w:eastAsia="Times New Roman"/>
          <w:color w:val="0000FF"/>
          <w:sz w:val="32"/>
          <w:szCs w:val="44"/>
        </w:rPr>
      </w:pPr>
      <w:r>
        <w:rPr>
          <w:rFonts w:eastAsia="Times New Roman"/>
          <w:color w:val="0000FF"/>
          <w:sz w:val="32"/>
          <w:szCs w:val="44"/>
        </w:rPr>
        <w:t>Scenario 2: Organisational Culture and Change Intervention</w:t>
      </w:r>
      <w:bookmarkEnd w:id="8"/>
    </w:p>
    <w:p w14:paraId="02A0D182">
      <w:pPr>
        <w:pStyle w:val="3"/>
        <w:rPr>
          <w:rFonts w:eastAsia="Times New Roman"/>
          <w:color w:val="0000FF"/>
          <w:sz w:val="28"/>
          <w:szCs w:val="32"/>
        </w:rPr>
      </w:pPr>
      <w:bookmarkStart w:id="9" w:name="_Toc229474767"/>
      <w:r>
        <w:rPr>
          <w:rFonts w:eastAsia="Times New Roman"/>
          <w:color w:val="0000FF"/>
          <w:sz w:val="28"/>
          <w:szCs w:val="32"/>
        </w:rPr>
        <w:t>Analysing Amazon's Organisational Culture</w:t>
      </w:r>
      <w:bookmarkEnd w:id="9"/>
    </w:p>
    <w:p w14:paraId="02083074">
      <w:pPr>
        <w:ind w:left="0" w:leftChars="0" w:firstLine="0" w:firstLineChars="0"/>
        <w:rPr>
          <w:rFonts w:eastAsia="Times New Roman"/>
        </w:rPr>
      </w:pPr>
      <w:r>
        <w:rPr>
          <w:rFonts w:eastAsia="Times New Roman"/>
        </w:rPr>
        <w:t>The structure of artefacts, espoused values and underlying assumptions designed by Schein (2010) are the three levels that best describe the culture of Amazon. On the artefact level, the 16 Leadership Principles of Amazon, such as Customer Obsession, Dive Deep, and Deliver Results, are visible in the recruitment and performance appraisals, as well as daily working practices (PerformYard, 2024). On the espoused values plane, Amazon boasts of being the Best Employer on Earth, with a focus on innovativeness and long-term thinking. But at the more fundamentally underlying assumptions level, conflicts between the high-performance culture and employee wellbeing in Amazon have arisen, especially following its 2025 return-to-office (RTO) policy that has mandated that 350,000 corporate workers work 5 days per week in-office (Rebecca, 2025).</w:t>
      </w:r>
    </w:p>
    <w:p w14:paraId="2A8A5463">
      <w:pPr>
        <w:pStyle w:val="3"/>
        <w:rPr>
          <w:rFonts w:eastAsia="Times New Roman"/>
          <w:color w:val="0000FF"/>
          <w:sz w:val="28"/>
          <w:szCs w:val="32"/>
        </w:rPr>
      </w:pPr>
      <w:bookmarkStart w:id="10" w:name="_Toc229474768"/>
      <w:r>
        <w:rPr>
          <w:rFonts w:eastAsia="Times New Roman"/>
          <w:color w:val="0000FF"/>
          <w:sz w:val="28"/>
          <w:szCs w:val="32"/>
        </w:rPr>
        <w:t>Two Core Cultural Elements Requiring Transformation</w:t>
      </w:r>
      <w:bookmarkEnd w:id="10"/>
      <w:r>
        <w:rPr>
          <w:rFonts w:eastAsia="Times New Roman"/>
          <w:color w:val="0000FF"/>
          <w:sz w:val="28"/>
          <w:szCs w:val="32"/>
        </w:rPr>
        <w:t xml:space="preserve"> </w:t>
      </w:r>
    </w:p>
    <w:p w14:paraId="5FB1D436">
      <w:pPr>
        <w:ind w:left="0" w:leftChars="0" w:firstLine="0" w:firstLineChars="0"/>
        <w:rPr>
          <w:rFonts w:eastAsia="Times New Roman"/>
        </w:rPr>
      </w:pPr>
      <w:r>
        <w:rPr>
          <w:rFonts w:eastAsia="Times New Roman"/>
        </w:rPr>
        <w:t>There are two cultural aspects that are in need of immediate strategic intervention. To start with, the bureaucratic creep of Amazon, which is manifested in excessive management levels and prolonged decision-making, is against its defining entrepreneurial self. In 2024, CEO Andy Jassy admitted that management was creating layers that were slowing the company down (Del Rey, 2024). Second, performance culture in lieu of wellbeing has generated much dissatisfaction among employees: a survey conducted internally at Slack found that 91% of the employees were against the RTO requirement and 73% were thinking of quitting the organisation (Work From Anywhere, 2025). These two dysfunctions, bureaucratic inertia and deficit of wellbeing, are systematic cultural weaknesses that need to be possibly addressed in a systematic way.</w:t>
      </w:r>
    </w:p>
    <w:p w14:paraId="11BA0500">
      <w:pPr>
        <w:pStyle w:val="3"/>
        <w:rPr>
          <w:rFonts w:eastAsia="Times New Roman"/>
          <w:color w:val="0000FF"/>
          <w:sz w:val="28"/>
          <w:szCs w:val="32"/>
        </w:rPr>
      </w:pPr>
      <w:bookmarkStart w:id="11" w:name="_Toc229474769"/>
      <w:r>
        <w:rPr>
          <w:rFonts w:eastAsia="Times New Roman"/>
          <w:color w:val="0000FF"/>
          <w:sz w:val="28"/>
          <w:szCs w:val="32"/>
        </w:rPr>
        <w:t>Strategic Interventions Using Lewin's Change Model</w:t>
      </w:r>
      <w:bookmarkEnd w:id="11"/>
      <w:r>
        <w:rPr>
          <w:rFonts w:eastAsia="Times New Roman"/>
          <w:color w:val="0000FF"/>
          <w:sz w:val="28"/>
          <w:szCs w:val="32"/>
        </w:rPr>
        <w:t xml:space="preserve"> </w:t>
      </w:r>
    </w:p>
    <w:p w14:paraId="25C8B97F">
      <w:pPr>
        <w:ind w:left="0" w:leftChars="0" w:firstLine="0" w:firstLineChars="0"/>
        <w:rPr>
          <w:rFonts w:eastAsia="Times New Roman"/>
        </w:rPr>
      </w:pPr>
      <w:r>
        <w:rPr>
          <w:rFonts w:eastAsia="Times New Roman"/>
        </w:rPr>
        <w:t>The three-stage model that is offered by Lewin (1951) free, change, and refreeze gives a psychologically based model of managing this cultural change. Its virtue consists in the fact that it understands that change is not just a structural activity but a human phenomenon that must be well managed with regard to resistance and preparedness (Hussain et al., 2018).</w:t>
      </w:r>
    </w:p>
    <w:p w14:paraId="20810751">
      <w:pPr>
        <w:pStyle w:val="4"/>
        <w:rPr>
          <w:rFonts w:eastAsia="Times New Roman"/>
          <w:color w:val="0000FF"/>
          <w:sz w:val="28"/>
          <w:szCs w:val="24"/>
        </w:rPr>
      </w:pPr>
      <w:bookmarkStart w:id="12" w:name="_Toc229474770"/>
      <w:r>
        <w:rPr>
          <w:rFonts w:eastAsia="Times New Roman"/>
          <w:color w:val="0000FF"/>
          <w:sz w:val="28"/>
          <w:szCs w:val="24"/>
        </w:rPr>
        <w:t>Stage 1: Unfreeze</w:t>
      </w:r>
      <w:bookmarkEnd w:id="12"/>
    </w:p>
    <w:p w14:paraId="11028186">
      <w:pPr>
        <w:ind w:left="0" w:leftChars="0" w:firstLine="0" w:firstLineChars="0"/>
        <w:rPr>
          <w:rFonts w:eastAsia="Times New Roman"/>
        </w:rPr>
      </w:pPr>
      <w:r>
        <w:rPr>
          <w:rFonts w:eastAsia="Times New Roman"/>
        </w:rPr>
        <w:t>Amazon has to make a strong argument of change which breaks the current assumptions. This entails open communication to staff in terms of the strategic purpose of cultural change supported by quantifiable data including the turnover rates, engagement levels, and production figures. The leadership should explain that present direction, in which 73 percent of the employees who participated in the survey are looking to depart, is an existential threat to organisational ability. Destabilising the status quo and equipping employees with change would be achieved with the help of town halls and anonymous online feedback systems and dialogues led by senior leaders (Holistic Training, 2024).</w:t>
      </w:r>
    </w:p>
    <w:p w14:paraId="282FB604">
      <w:pPr>
        <w:pStyle w:val="4"/>
        <w:rPr>
          <w:rFonts w:eastAsia="Times New Roman"/>
          <w:color w:val="0000FF"/>
          <w:sz w:val="28"/>
          <w:szCs w:val="24"/>
        </w:rPr>
      </w:pPr>
      <w:bookmarkStart w:id="13" w:name="_Toc229474771"/>
      <w:r>
        <w:rPr>
          <w:rFonts w:eastAsia="Times New Roman"/>
          <w:color w:val="0000FF"/>
          <w:sz w:val="28"/>
          <w:szCs w:val="24"/>
        </w:rPr>
        <w:t>Stage 2: Change</w:t>
      </w:r>
      <w:bookmarkEnd w:id="13"/>
    </w:p>
    <w:p w14:paraId="4966841B">
      <w:pPr>
        <w:ind w:left="0" w:leftChars="0" w:firstLine="0" w:firstLineChars="0"/>
        <w:rPr>
          <w:rFonts w:eastAsia="Times New Roman"/>
        </w:rPr>
      </w:pPr>
      <w:r>
        <w:rPr>
          <w:rFonts w:eastAsia="Times New Roman"/>
        </w:rPr>
        <w:t>There are two interventions that Amazon must adopt in the change phase. First, a structural de-layering programme needs to decrease management ratios- procedure that Jassy began, by asking individual contributors to increase the ratio of individual contributors to managers 15 percent by Q1 2025 (Del Rey, 2024). Clear role redesigning, accountability based on frequent OKRs, and empowered autonomous teams should support this. Second, a work policy of flexibility needs to be redefined. Instead of a binary remote versus in-office option, Amazon might institute a role-classification system in which flexibility in the role is granted on an output basis, according to type of project and necessary levels of collaboration, but not based on blanket requirements. This would take into account wellbeing issues and still maintain the team spirit of the RTO policy.</w:t>
      </w:r>
    </w:p>
    <w:p w14:paraId="7CE6D2AD">
      <w:pPr>
        <w:pStyle w:val="4"/>
        <w:rPr>
          <w:rFonts w:eastAsia="Times New Roman"/>
          <w:color w:val="0000FF"/>
          <w:sz w:val="28"/>
          <w:szCs w:val="24"/>
        </w:rPr>
      </w:pPr>
      <w:bookmarkStart w:id="14" w:name="_Toc229474772"/>
      <w:r>
        <w:rPr>
          <w:rFonts w:eastAsia="Times New Roman"/>
          <w:color w:val="0000FF"/>
          <w:sz w:val="28"/>
          <w:szCs w:val="24"/>
        </w:rPr>
        <w:t>Stage 3: Refreeze</w:t>
      </w:r>
      <w:bookmarkEnd w:id="14"/>
    </w:p>
    <w:p w14:paraId="3E2D3301">
      <w:pPr>
        <w:rPr>
          <w:rFonts w:eastAsia="Times New Roman"/>
        </w:rPr>
      </w:pPr>
      <w:r>
        <w:rPr>
          <w:rFonts w:eastAsia="Times New Roman"/>
        </w:rPr>
        <w:t>The refreeze phase entails institutionalisation of the new culture. New Leadership Principles ought to explicitly encompass both customer and employee wellbeing. The performance management systems ought to appreciate results rather than attendance. Onboarding programmes, management training, and cultural recognition schemes will need to instil new behaviours. The Lewin model cautions that unless true refreezing is implemented, there is a risk of an organisation returning to old habits (Majka, 2024). Amazon needs to ground cultural shifts in policy, measures and experience.</w:t>
      </w:r>
    </w:p>
    <w:p w14:paraId="498FA3CB">
      <w:pPr>
        <w:pStyle w:val="3"/>
        <w:rPr>
          <w:rFonts w:eastAsia="Times New Roman"/>
          <w:color w:val="1212AE"/>
        </w:rPr>
      </w:pPr>
      <w:bookmarkStart w:id="15" w:name="_Toc229474773"/>
      <w:r>
        <w:rPr>
          <w:rFonts w:eastAsia="Times New Roman"/>
          <w:color w:val="1212AE"/>
          <w:sz w:val="28"/>
          <w:szCs w:val="32"/>
        </w:rPr>
        <w:t>Barriers, Resistance, and Ethical Considerations</w:t>
      </w:r>
      <w:bookmarkEnd w:id="15"/>
      <w:r>
        <w:rPr>
          <w:rFonts w:eastAsia="Times New Roman"/>
          <w:color w:val="1212AE"/>
        </w:rPr>
        <w:t xml:space="preserve"> </w:t>
      </w:r>
    </w:p>
    <w:p w14:paraId="17F5F5CC">
      <w:pPr>
        <w:ind w:left="0" w:leftChars="0" w:firstLine="0" w:firstLineChars="0"/>
        <w:rPr>
          <w:rFonts w:eastAsia="Times New Roman"/>
        </w:rPr>
      </w:pPr>
      <w:r>
        <w:rPr>
          <w:rFonts w:eastAsia="Times New Roman"/>
        </w:rPr>
        <w:t>Much resistance is expected to be created by top leadership, who will be loyal to culture norms that are high-controllability, and middle management whose power might be dissolved by de-layering. Ethically, there is an unequal effect of the RTO requirements on parents, caregivers, and disabled workers- who do not view remote flexibility as a choice, but a need (Rebecca, 2025). Amazon should make sure that the culture change is not biased and that it does not support systemic inequalities unwittingly. The key protections are transparency, co-creation with representatives of the employees, routine ethics audits of change implementation.</w:t>
      </w:r>
    </w:p>
    <w:p w14:paraId="4BA6BAC6">
      <w:pPr>
        <w:ind w:left="0" w:leftChars="0" w:firstLine="0" w:firstLineChars="0"/>
        <w:rPr>
          <w:rFonts w:ascii="Calibri" w:hAnsi="Calibri"/>
        </w:rPr>
      </w:pPr>
      <w:r>
        <w:rPr>
          <w:rFonts w:ascii="Calibri" w:hAnsi="Calibri"/>
          <w:highlight w:val="none"/>
        </w:rPr>
        <w:t>The triangulation of Schein and Hofstede alongside organisational climate theory supports a deeper integration. Deep assumptions are described by Schein, while Hofstede’s dimensions describe high power distance and low uncertainty avoidance. This also describes Amazon’s subcultures, and how they can be described as bordering on hostile during the RTO mandates. There is a divergence between the US headquarters’ values and the regional offices’ collectivist values. Lewin’s model of change is of limited utility and overly descriptive due to the inflexible nature of the “refreeze” stage (Burnes, 2020). This is also the case with Amazon, where constant reorganisation and AI disruption means culture is perpetually in a state of change. Kotter’s eight-step model of change or Beer’s model of emergent change would also describe this better. There is a concern that the automated surveillance of productivity under the newly implemented hybrid model entrenches power asymmetries and disadvantage caregivers, deepening concern for substantive inequity further than concern for equity in the process.</w:t>
      </w:r>
    </w:p>
    <w:p w14:paraId="00B077F0">
      <w:bookmarkStart w:id="16" w:name="_Toc229474774"/>
      <w:r>
        <w:br w:type="page"/>
      </w:r>
    </w:p>
    <w:p w14:paraId="1818651F">
      <w:pPr>
        <w:pStyle w:val="2"/>
        <w:rPr>
          <w:color w:val="0000FF"/>
          <w:sz w:val="32"/>
          <w:szCs w:val="44"/>
        </w:rPr>
      </w:pPr>
      <w:r>
        <w:rPr>
          <w:color w:val="0000FF"/>
          <w:sz w:val="32"/>
          <w:szCs w:val="44"/>
        </w:rPr>
        <w:t>Scenario 3: Team Effectiveness and Development</w:t>
      </w:r>
      <w:bookmarkEnd w:id="16"/>
    </w:p>
    <w:p w14:paraId="373E8787">
      <w:pPr>
        <w:pStyle w:val="3"/>
        <w:rPr>
          <w:color w:val="0000FF"/>
          <w:sz w:val="28"/>
          <w:szCs w:val="32"/>
        </w:rPr>
      </w:pPr>
      <w:bookmarkStart w:id="17" w:name="_Toc229474775"/>
      <w:r>
        <w:rPr>
          <w:color w:val="0000FF"/>
          <w:sz w:val="28"/>
          <w:szCs w:val="32"/>
        </w:rPr>
        <w:t>Theoretical Framework: Tuckman's Team Development Model</w:t>
      </w:r>
      <w:bookmarkEnd w:id="17"/>
    </w:p>
    <w:p w14:paraId="42BEB315">
      <w:pPr>
        <w:ind w:left="0" w:leftChars="0" w:firstLine="0" w:firstLineChars="0"/>
        <w:rPr>
          <w:rFonts w:eastAsia="Times New Roman"/>
        </w:rPr>
      </w:pPr>
      <w:r>
        <w:rPr>
          <w:rFonts w:eastAsia="Times New Roman"/>
        </w:rPr>
        <w:t>One of the most prominent models of analysing group dynamics is the five-stage model of team development created by Tuckman (1965) and includes Forming, Storming, Norming, Performing, and Adjourning (EBSCO, 2024). According to the model, high performance cannot be attained by teams without going through the lower levels of conflict and role negotiation. The famous two-pizza team of Amazon is formed with small, autonomous and cross-functional teams to speed up the teams in the stages of Tuckman by keeping the size manageable, with clear ownership, and direct responsibility (Darkroom Agency, 2025). Yet, in the context of the large-scale and fast changing Amazon, not every team will always conquer the Performing stage, especially with the frequent reorganisation of the organisation, as well as RTO transition.</w:t>
      </w:r>
    </w:p>
    <w:p w14:paraId="0B79E3B4">
      <w:pPr>
        <w:pStyle w:val="3"/>
        <w:rPr>
          <w:rFonts w:eastAsia="Times New Roman"/>
          <w:color w:val="0000FF"/>
          <w:sz w:val="28"/>
          <w:szCs w:val="32"/>
        </w:rPr>
      </w:pPr>
      <w:bookmarkStart w:id="18" w:name="_Toc229474776"/>
      <w:r>
        <w:rPr>
          <w:rFonts w:eastAsia="Times New Roman"/>
          <w:color w:val="0000FF"/>
          <w:sz w:val="28"/>
          <w:szCs w:val="32"/>
        </w:rPr>
        <w:t>Two Key Characteristics of High-Performing Teams</w:t>
      </w:r>
      <w:bookmarkEnd w:id="18"/>
    </w:p>
    <w:p w14:paraId="0CE98F72">
      <w:pPr>
        <w:ind w:left="0" w:leftChars="0" w:firstLine="0" w:firstLineChars="0"/>
        <w:rPr>
          <w:rFonts w:eastAsia="Times New Roman"/>
        </w:rPr>
      </w:pPr>
      <w:r>
        <w:rPr>
          <w:rFonts w:eastAsia="Times New Roman"/>
        </w:rPr>
        <w:t>Based on the model in the writings of Hackman, (2002) that are known as the Input- Process-Output model, and the model proposed by Tuckman, there are always two distinguishing features of high-performing teams: psychological safety and shared accountability.</w:t>
      </w:r>
    </w:p>
    <w:p w14:paraId="7730B225">
      <w:pPr>
        <w:ind w:left="0" w:leftChars="0" w:firstLine="0" w:firstLineChars="0"/>
        <w:rPr>
          <w:rFonts w:eastAsia="Times New Roman"/>
        </w:rPr>
      </w:pPr>
      <w:r>
        <w:rPr>
          <w:rFonts w:eastAsia="Times New Roman"/>
        </w:rPr>
        <w:t>The psychological safety, which, according to Edmondson (1999), is a shared belief that the team is safe to engage in interpersonal risk-taking, allows its members to take up a concern, challenge assumptions, and suggest innovations without the fear of reprisal. The strict Leadership Principles system of evaluation in Amazon undermines psychological safety in the high-stakes performance culture of the company, where 5% of workers would be ranked in the highest 'Role Model' category of employee no matter the level of performance at the team level (PerformYard, 2024). This builds into competition and not collaborations.</w:t>
      </w:r>
    </w:p>
    <w:p w14:paraId="222F3C51">
      <w:pPr>
        <w:ind w:left="0" w:leftChars="0" w:firstLine="0" w:firstLineChars="0"/>
        <w:rPr>
          <w:rFonts w:eastAsia="Times New Roman"/>
        </w:rPr>
      </w:pPr>
      <w:r>
        <w:rPr>
          <w:rFonts w:eastAsia="Times New Roman"/>
        </w:rPr>
        <w:t>Shared accountability means that there is a collective ownership of results and not individualised performance measures. This is partially supported by the current six-pager narrative culture and PR/FAQ process of Amazon, which does not only involve teams to collectively discuss strategic proposals. Yet, as individual performance scores are separated in the performance of teams, personal accountability may destroy the unity in the team.</w:t>
      </w:r>
    </w:p>
    <w:p w14:paraId="0BF675C5">
      <w:pPr>
        <w:pStyle w:val="3"/>
        <w:rPr>
          <w:rFonts w:eastAsia="Times New Roman"/>
          <w:color w:val="0000FF"/>
          <w:sz w:val="32"/>
          <w:szCs w:val="36"/>
        </w:rPr>
      </w:pPr>
      <w:bookmarkStart w:id="19" w:name="_Toc229474777"/>
      <w:r>
        <w:rPr>
          <w:rFonts w:eastAsia="Times New Roman"/>
          <w:color w:val="0000FF"/>
          <w:sz w:val="32"/>
          <w:szCs w:val="36"/>
        </w:rPr>
        <w:t>Innovative Team-Building Interventions</w:t>
      </w:r>
      <w:bookmarkEnd w:id="19"/>
      <w:r>
        <w:rPr>
          <w:rFonts w:eastAsia="Times New Roman"/>
          <w:color w:val="0000FF"/>
          <w:sz w:val="32"/>
          <w:szCs w:val="36"/>
        </w:rPr>
        <w:t xml:space="preserve"> </w:t>
      </w:r>
    </w:p>
    <w:p w14:paraId="44D893A7">
      <w:pPr>
        <w:pStyle w:val="4"/>
        <w:rPr>
          <w:rFonts w:eastAsia="Times New Roman"/>
          <w:color w:val="0000FF"/>
          <w:sz w:val="28"/>
          <w:szCs w:val="24"/>
        </w:rPr>
      </w:pPr>
      <w:bookmarkStart w:id="20" w:name="_Toc229474778"/>
      <w:r>
        <w:rPr>
          <w:rFonts w:eastAsia="Times New Roman"/>
          <w:color w:val="0000FF"/>
          <w:sz w:val="28"/>
          <w:szCs w:val="24"/>
        </w:rPr>
        <w:t>Intervention 1: Psychological Safety Workshops with Real-Data Feedback</w:t>
      </w:r>
      <w:bookmarkEnd w:id="20"/>
    </w:p>
    <w:p w14:paraId="7B8911DE">
      <w:pPr>
        <w:rPr>
          <w:rFonts w:eastAsia="Times New Roman"/>
        </w:rPr>
      </w:pPr>
      <w:r>
        <w:rPr>
          <w:rFonts w:eastAsia="Times New Roman"/>
        </w:rPr>
        <w:t>Amazon ought to apply formal psychological safety testing with validated tools like the Team Learning Survey by Edmondson after which they have team-level workshops. These sessions follow the Storming and Norming stages of Tuckman and they aid in ensuring that teams bring up and diffuse interpersonal tensions before they take root. Facilitators can use evidence-based feedback offered by analysing anonymised engagement data gathered through internal tools, which will relate the team culture with performance outcomes. The knowledge base of the proposed intervention can be explained by the framework of Norming stage of Tuckman model: creating positive norms that will enable the team to move towards Performing.</w:t>
      </w:r>
    </w:p>
    <w:p w14:paraId="40D4C56A">
      <w:pPr>
        <w:pStyle w:val="4"/>
        <w:rPr>
          <w:rFonts w:eastAsia="Times New Roman"/>
          <w:color w:val="0000FF"/>
          <w:sz w:val="28"/>
          <w:szCs w:val="24"/>
        </w:rPr>
      </w:pPr>
      <w:bookmarkStart w:id="21" w:name="_Toc229474779"/>
      <w:r>
        <w:rPr>
          <w:rFonts w:eastAsia="Times New Roman"/>
          <w:color w:val="0000FF"/>
          <w:sz w:val="28"/>
          <w:szCs w:val="24"/>
        </w:rPr>
        <w:t>Intervention 2: Team Working Agreements and Accountability Charters</w:t>
      </w:r>
      <w:bookmarkEnd w:id="21"/>
    </w:p>
    <w:p w14:paraId="35290D6F">
      <w:pPr>
        <w:ind w:left="0" w:leftChars="0" w:firstLine="0" w:firstLineChars="0"/>
        <w:rPr>
          <w:rFonts w:eastAsia="Times New Roman"/>
        </w:rPr>
      </w:pPr>
      <w:r>
        <w:rPr>
          <w:rFonts w:eastAsia="Times New Roman"/>
        </w:rPr>
        <w:t>Team working agreements, written documents that have been co-authored and explicitly define how a team will communicate, decide, conflict, and share work, have become a best practice in managing high-performance teams (Majka, 2024). A working agreement would apply to Amazon teams, particularly in the post-RTO hybrid setting, which would involve: protocols in communication across time zones, decision-rights mapping, guidelines on respectful challenge of assumptions, and an agreed course of escalation. Studies confirm that these agreements greatly strengthen the unity of the team, decrease the ambiguity and improve accountability (Tuckman and Jensen, 1977).</w:t>
      </w:r>
    </w:p>
    <w:p w14:paraId="360A5B03">
      <w:pPr>
        <w:pStyle w:val="3"/>
        <w:rPr>
          <w:rFonts w:eastAsia="Times New Roman"/>
          <w:color w:val="0000FF"/>
          <w:sz w:val="28"/>
          <w:szCs w:val="32"/>
        </w:rPr>
      </w:pPr>
      <w:bookmarkStart w:id="22" w:name="_Toc229474780"/>
      <w:r>
        <w:rPr>
          <w:rFonts w:eastAsia="Times New Roman"/>
          <w:color w:val="0000FF"/>
          <w:sz w:val="28"/>
          <w:szCs w:val="32"/>
        </w:rPr>
        <w:t>Research Synthesis: Best Practices in Team Working Agreements</w:t>
      </w:r>
      <w:bookmarkEnd w:id="22"/>
      <w:r>
        <w:rPr>
          <w:rFonts w:eastAsia="Times New Roman"/>
          <w:color w:val="0000FF"/>
          <w:sz w:val="28"/>
          <w:szCs w:val="32"/>
        </w:rPr>
        <w:t xml:space="preserve"> </w:t>
      </w:r>
    </w:p>
    <w:p w14:paraId="11509D1A">
      <w:pPr>
        <w:ind w:left="0" w:leftChars="0" w:firstLine="0" w:firstLineChars="0"/>
        <w:rPr>
          <w:rFonts w:eastAsia="Times New Roman"/>
        </w:rPr>
      </w:pPr>
      <w:r>
        <w:rPr>
          <w:rFonts w:eastAsia="Times New Roman"/>
        </w:rPr>
        <w:t>A successful team working agreement, based on recent research in practice must comprise: a purpose statement, role definition and decision making, communication protocols and meeting protocols, conflict resolution procedures and performance appraisal schedules (Wellhub, 2025). These elements directly correspond to the Norming stage of Tuckman, where norms and expectations are established between each other. In the case of the two-pizza teams at Amazon, contracts give the structural framework that hastens the progression to the Performing stage without compromising the autonomy that is characteristic of Amazon culture. Most importantly, working agreements should be made as living documents - reviewed quarterly and updated as the team composition or goals change - in order to avoid Refreezing un-productive norms.</w:t>
      </w:r>
    </w:p>
    <w:p w14:paraId="097265A8">
      <w:pPr>
        <w:ind w:left="0" w:leftChars="0" w:firstLine="0" w:firstLineChars="0"/>
        <w:rPr>
          <w:rFonts w:ascii="Calibri" w:hAnsi="Calibri"/>
          <w:highlight w:val="none"/>
        </w:rPr>
      </w:pPr>
      <w:r>
        <w:rPr>
          <w:rFonts w:ascii="Calibri" w:hAnsi="Calibri"/>
          <w:highlight w:val="none"/>
        </w:rPr>
        <w:t>One potential criticism of Tuckman’s model is that it is too rigid and overly linear. Hackman’s (2002) conditions-based framework allows for the building of structures and supportive contexts, and Belbin’s (2010) role typology focuses on behavioral complementarity rather than the developmental stage. When taken altogether, these models show what Tuckman’s model does not: Amazon’s forced-ranking system eliminates midpoints which disrupts role balance and eliminates “Plant” and “Monitor-Evaluator” voices to cut down on conflict and barriers to innovation. If the company doesn’t change the system of rewards, then Edmondson and Bransby (2023) are correct in saying that the behavioral changes are unlikely to sustain. Considering how Amazon’s competitive nature and their growing focus on psychological safety disrupt each other, they are attempting to resolve an underlying contradiction, rather than treat safety as a training intervention for the system.</w:t>
      </w:r>
    </w:p>
    <w:p w14:paraId="589A8613">
      <w:pPr>
        <w:rPr>
          <w:rFonts w:eastAsia="Times New Roman"/>
        </w:rPr>
      </w:pPr>
      <w:bookmarkStart w:id="23" w:name="_Toc229474781"/>
      <w:r>
        <w:rPr>
          <w:rFonts w:eastAsia="Times New Roman"/>
        </w:rPr>
        <w:br w:type="page"/>
      </w:r>
    </w:p>
    <w:p w14:paraId="691013D6">
      <w:pPr>
        <w:pStyle w:val="2"/>
        <w:rPr>
          <w:rFonts w:eastAsia="Times New Roman"/>
          <w:color w:val="0000FF"/>
          <w:sz w:val="32"/>
          <w:szCs w:val="44"/>
        </w:rPr>
      </w:pPr>
      <w:r>
        <w:rPr>
          <w:rFonts w:eastAsia="Times New Roman"/>
          <w:color w:val="0000FF"/>
          <w:sz w:val="32"/>
          <w:szCs w:val="44"/>
        </w:rPr>
        <w:t>Scenario 4: Performance Measurement and Control Systems</w:t>
      </w:r>
      <w:bookmarkEnd w:id="23"/>
    </w:p>
    <w:p w14:paraId="3217D7FC">
      <w:pPr>
        <w:pStyle w:val="3"/>
        <w:rPr>
          <w:rFonts w:eastAsia="Times New Roman"/>
          <w:color w:val="0000FF"/>
          <w:sz w:val="28"/>
          <w:szCs w:val="32"/>
        </w:rPr>
      </w:pPr>
      <w:bookmarkStart w:id="24" w:name="_Toc229474782"/>
      <w:r>
        <w:rPr>
          <w:rFonts w:eastAsia="Times New Roman"/>
          <w:color w:val="0000FF"/>
          <w:sz w:val="28"/>
          <w:szCs w:val="32"/>
        </w:rPr>
        <w:t>Theoretical Framework: Kaplan and Norton's Balanced Scorecard</w:t>
      </w:r>
      <w:bookmarkEnd w:id="24"/>
    </w:p>
    <w:p w14:paraId="2330545C">
      <w:pPr>
        <w:ind w:left="0" w:leftChars="0" w:firstLine="0" w:firstLineChars="0"/>
        <w:rPr>
          <w:rFonts w:eastAsia="Times New Roman"/>
        </w:rPr>
      </w:pPr>
      <w:r>
        <w:rPr>
          <w:rFonts w:eastAsia="Times New Roman"/>
        </w:rPr>
        <w:t>The Balanced Scorecard (BSC) was introduced by Kaplan and Norton (2005) in the Harvard Business Review and transformed performance management by integrating financial and non-financial measures; incorporating both financial and non-financial indicators around four perspectives: Financial, Customer, Internal Processes, and Learning and Growth (Yawson and Paros, 2023). The BSC goes beyond the conventional accounting-oriented control systems by encapsulating the intangible assets such as employee capability, innovation capacity, and customer loyalty that bring long-term value creation (Kumar et al., 2024). The BSC as a manager of the business analytics department offers the best control architecture in the multi-dimensional performance context of Amazon.</w:t>
      </w:r>
    </w:p>
    <w:p w14:paraId="67DE1DC0">
      <w:pPr>
        <w:pStyle w:val="3"/>
        <w:rPr>
          <w:rFonts w:eastAsia="Times New Roman"/>
          <w:color w:val="1212AE"/>
          <w:sz w:val="28"/>
          <w:szCs w:val="32"/>
        </w:rPr>
      </w:pPr>
      <w:bookmarkStart w:id="25" w:name="_Toc229474783"/>
      <w:r>
        <w:rPr>
          <w:rFonts w:eastAsia="Arial"/>
          <w:color w:val="1212AE"/>
          <w:sz w:val="28"/>
          <w:szCs w:val="32"/>
        </w:rPr>
        <w:t>Applying the BSC to Amazon's Performance Measurement</w:t>
      </w:r>
      <w:bookmarkEnd w:id="25"/>
      <w:r>
        <w:rPr>
          <w:rFonts w:eastAsia="Times New Roman"/>
          <w:color w:val="1212AE"/>
          <w:sz w:val="24"/>
          <w:szCs w:val="28"/>
        </w:rPr>
        <w:t xml:space="preserve"> </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2"/>
        <w:gridCol w:w="3353"/>
        <w:gridCol w:w="4511"/>
      </w:tblGrid>
      <w:tr w14:paraId="3EFAF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FFFFFF" w:sz="4" w:space="0"/>
              <w:left w:val="single" w:color="FFFFFF" w:sz="4" w:space="0"/>
              <w:bottom w:val="single" w:color="FFFFFF" w:sz="4" w:space="0"/>
              <w:right w:val="single" w:color="FFFFFF" w:sz="4" w:space="0"/>
              <w:tl2br w:val="nil"/>
            </w:tcBorders>
            <w:shd w:val="clear" w:color="auto" w:fill="ED7D31"/>
          </w:tcPr>
          <w:p w14:paraId="2CE23D7E">
            <w:pPr>
              <w:spacing w:after="0" w:line="240" w:lineRule="auto"/>
              <w:ind w:firstLine="0"/>
              <w:jc w:val="left"/>
              <w:rPr>
                <w:rFonts w:eastAsia="Times New Roman" w:cs="Times New Roman"/>
                <w:b/>
                <w:color w:val="FFFFFF"/>
                <w:szCs w:val="24"/>
                <w:lang w:eastAsia="en-AU"/>
              </w:rPr>
            </w:pPr>
            <w:r>
              <w:rPr>
                <w:rFonts w:eastAsia="Times New Roman" w:cs="Times New Roman"/>
                <w:b/>
                <w:bCs/>
                <w:color w:val="FFFFFF"/>
                <w:szCs w:val="24"/>
                <w:lang w:eastAsia="en-AU"/>
              </w:rPr>
              <w:t>Perspective</w:t>
            </w:r>
          </w:p>
        </w:tc>
        <w:tc>
          <w:tcPr>
            <w:tcW w:w="0" w:type="auto"/>
            <w:tcBorders>
              <w:top w:val="single" w:color="FFFFFF" w:sz="4" w:space="0"/>
              <w:left w:val="single" w:color="FFFFFF" w:sz="4" w:space="0"/>
              <w:bottom w:val="single" w:color="FFFFFF" w:sz="4" w:space="0"/>
              <w:right w:val="single" w:color="FFFFFF" w:sz="4" w:space="0"/>
            </w:tcBorders>
            <w:shd w:val="clear" w:color="auto" w:fill="ED7D31"/>
          </w:tcPr>
          <w:p w14:paraId="7E5DD1F4">
            <w:pPr>
              <w:spacing w:after="0" w:line="240" w:lineRule="auto"/>
              <w:ind w:firstLine="0"/>
              <w:jc w:val="left"/>
              <w:rPr>
                <w:rFonts w:eastAsia="Times New Roman" w:cs="Times New Roman"/>
                <w:b/>
                <w:color w:val="FFFFFF"/>
                <w:szCs w:val="24"/>
                <w:lang w:eastAsia="en-AU"/>
              </w:rPr>
            </w:pPr>
            <w:r>
              <w:rPr>
                <w:rFonts w:eastAsia="Times New Roman" w:cs="Times New Roman"/>
                <w:b/>
                <w:bCs/>
                <w:color w:val="FFFFFF"/>
                <w:szCs w:val="24"/>
                <w:lang w:eastAsia="en-AU"/>
              </w:rPr>
              <w:t>Strategic Objective</w:t>
            </w:r>
          </w:p>
        </w:tc>
        <w:tc>
          <w:tcPr>
            <w:tcW w:w="0" w:type="auto"/>
            <w:tcBorders>
              <w:top w:val="single" w:color="FFFFFF" w:sz="4" w:space="0"/>
              <w:left w:val="single" w:color="FFFFFF" w:sz="4" w:space="0"/>
              <w:bottom w:val="single" w:color="FFFFFF" w:sz="4" w:space="0"/>
              <w:right w:val="single" w:color="FFFFFF" w:sz="4" w:space="0"/>
            </w:tcBorders>
            <w:shd w:val="clear" w:color="auto" w:fill="ED7D31"/>
          </w:tcPr>
          <w:p w14:paraId="704C6CE8">
            <w:pPr>
              <w:spacing w:after="0" w:line="240" w:lineRule="auto"/>
              <w:ind w:firstLine="0"/>
              <w:jc w:val="left"/>
              <w:rPr>
                <w:rFonts w:eastAsia="Times New Roman" w:cs="Times New Roman"/>
                <w:b/>
                <w:color w:val="FFFFFF"/>
                <w:szCs w:val="24"/>
                <w:lang w:eastAsia="en-AU"/>
              </w:rPr>
            </w:pPr>
            <w:r>
              <w:rPr>
                <w:rFonts w:eastAsia="Times New Roman" w:cs="Times New Roman"/>
                <w:b/>
                <w:bCs/>
                <w:color w:val="FFFFFF"/>
                <w:szCs w:val="24"/>
                <w:lang w:eastAsia="en-AU"/>
              </w:rPr>
              <w:t>Key Performance Indicators (KPIs)</w:t>
            </w:r>
          </w:p>
        </w:tc>
      </w:tr>
      <w:tr w14:paraId="010D2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FFFFFF" w:sz="4" w:space="0"/>
              <w:left w:val="single" w:color="FFFFFF" w:sz="4" w:space="0"/>
              <w:bottom w:val="single" w:color="FFFFFF" w:sz="4" w:space="0"/>
              <w:right w:val="single" w:color="FFFFFF" w:sz="4" w:space="0"/>
            </w:tcBorders>
            <w:shd w:val="clear" w:color="auto" w:fill="F8CBAC"/>
          </w:tcPr>
          <w:p w14:paraId="3CCD3820">
            <w:pPr>
              <w:spacing w:after="0" w:line="240" w:lineRule="auto"/>
              <w:ind w:firstLine="0"/>
              <w:jc w:val="left"/>
              <w:rPr>
                <w:rFonts w:eastAsia="Times New Roman" w:cs="Times New Roman"/>
                <w:b w:val="0"/>
                <w:color w:val="000000"/>
                <w:szCs w:val="24"/>
                <w:lang w:eastAsia="en-AU"/>
              </w:rPr>
            </w:pPr>
            <w:r>
              <w:rPr>
                <w:rFonts w:eastAsia="Times New Roman" w:cs="Times New Roman"/>
                <w:b w:val="0"/>
                <w:bCs/>
                <w:color w:val="000000"/>
                <w:szCs w:val="24"/>
                <w:lang w:eastAsia="en-AU"/>
              </w:rPr>
              <w:t>Financial</w:t>
            </w:r>
          </w:p>
        </w:tc>
        <w:tc>
          <w:tcPr>
            <w:tcW w:w="0" w:type="auto"/>
            <w:tcBorders>
              <w:top w:val="single" w:color="FFFFFF" w:sz="4" w:space="0"/>
              <w:left w:val="single" w:color="FFFFFF" w:sz="4" w:space="0"/>
              <w:bottom w:val="single" w:color="FFFFFF" w:sz="4" w:space="0"/>
              <w:right w:val="single" w:color="FFFFFF" w:sz="4" w:space="0"/>
            </w:tcBorders>
            <w:shd w:val="clear" w:color="auto" w:fill="F8CBAC"/>
          </w:tcPr>
          <w:p w14:paraId="27EEECC2">
            <w:pPr>
              <w:spacing w:after="0" w:line="240" w:lineRule="auto"/>
              <w:ind w:firstLine="0"/>
              <w:jc w:val="left"/>
              <w:rPr>
                <w:rFonts w:eastAsia="Times New Roman" w:cs="Times New Roman"/>
                <w:b w:val="0"/>
                <w:color w:val="000000"/>
                <w:szCs w:val="24"/>
                <w:lang w:eastAsia="en-AU"/>
              </w:rPr>
            </w:pPr>
            <w:r>
              <w:rPr>
                <w:rFonts w:eastAsia="Times New Roman" w:cs="Times New Roman"/>
                <w:b w:val="0"/>
                <w:color w:val="000000"/>
                <w:szCs w:val="24"/>
                <w:lang w:eastAsia="en-AU"/>
              </w:rPr>
              <w:t>Maintain profitable growth across business units.</w:t>
            </w:r>
          </w:p>
        </w:tc>
        <w:tc>
          <w:tcPr>
            <w:tcW w:w="0" w:type="auto"/>
            <w:tcBorders>
              <w:top w:val="single" w:color="FFFFFF" w:sz="4" w:space="0"/>
              <w:left w:val="single" w:color="FFFFFF" w:sz="4" w:space="0"/>
              <w:bottom w:val="single" w:color="FFFFFF" w:sz="4" w:space="0"/>
              <w:right w:val="single" w:color="FFFFFF" w:sz="4" w:space="0"/>
            </w:tcBorders>
            <w:shd w:val="clear" w:color="auto" w:fill="F8CBAC"/>
          </w:tcPr>
          <w:p w14:paraId="13FD8CBF">
            <w:pPr>
              <w:spacing w:after="0" w:line="240" w:lineRule="auto"/>
              <w:ind w:firstLine="0"/>
              <w:jc w:val="left"/>
              <w:rPr>
                <w:rFonts w:eastAsia="Times New Roman" w:cs="Times New Roman"/>
                <w:b w:val="0"/>
                <w:color w:val="000000"/>
                <w:szCs w:val="24"/>
                <w:lang w:eastAsia="en-AU"/>
              </w:rPr>
            </w:pPr>
            <w:r>
              <w:rPr>
                <w:rFonts w:eastAsia="Times New Roman" w:cs="Times New Roman"/>
                <w:b w:val="0"/>
                <w:color w:val="000000"/>
                <w:szCs w:val="24"/>
                <w:lang w:eastAsia="en-AU"/>
              </w:rPr>
              <w:t>Revenue growth, AWS operating margin, Cost-per-unit, R&amp;D ROI</w:t>
            </w:r>
          </w:p>
        </w:tc>
      </w:tr>
      <w:tr w14:paraId="0D94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FFFFFF" w:sz="4" w:space="0"/>
              <w:left w:val="single" w:color="FFFFFF" w:sz="4" w:space="0"/>
              <w:bottom w:val="single" w:color="FFFFFF" w:sz="4" w:space="0"/>
              <w:right w:val="single" w:color="FFFFFF" w:sz="4" w:space="0"/>
            </w:tcBorders>
            <w:shd w:val="clear" w:color="auto" w:fill="FCE5D5"/>
          </w:tcPr>
          <w:p w14:paraId="717849B4">
            <w:pPr>
              <w:spacing w:after="0" w:line="240" w:lineRule="auto"/>
              <w:ind w:firstLine="0"/>
              <w:jc w:val="left"/>
              <w:rPr>
                <w:rFonts w:eastAsia="Times New Roman" w:cs="Times New Roman"/>
                <w:b w:val="0"/>
                <w:color w:val="000000"/>
                <w:szCs w:val="24"/>
                <w:lang w:eastAsia="en-AU"/>
              </w:rPr>
            </w:pPr>
            <w:r>
              <w:rPr>
                <w:rFonts w:eastAsia="Times New Roman" w:cs="Times New Roman"/>
                <w:b w:val="0"/>
                <w:bCs/>
                <w:color w:val="000000"/>
                <w:szCs w:val="24"/>
                <w:lang w:eastAsia="en-AU"/>
              </w:rPr>
              <w:t>Customer</w:t>
            </w:r>
          </w:p>
        </w:tc>
        <w:tc>
          <w:tcPr>
            <w:tcW w:w="0" w:type="auto"/>
            <w:tcBorders>
              <w:top w:val="single" w:color="FFFFFF" w:sz="4" w:space="0"/>
              <w:left w:val="single" w:color="FFFFFF" w:sz="4" w:space="0"/>
              <w:bottom w:val="single" w:color="FFFFFF" w:sz="4" w:space="0"/>
              <w:right w:val="single" w:color="FFFFFF" w:sz="4" w:space="0"/>
            </w:tcBorders>
            <w:shd w:val="clear" w:color="auto" w:fill="FCE5D5"/>
          </w:tcPr>
          <w:p w14:paraId="2EB08291">
            <w:pPr>
              <w:spacing w:after="0" w:line="240" w:lineRule="auto"/>
              <w:ind w:firstLine="0"/>
              <w:jc w:val="left"/>
              <w:rPr>
                <w:rFonts w:eastAsia="Times New Roman" w:cs="Times New Roman"/>
                <w:b w:val="0"/>
                <w:color w:val="000000"/>
                <w:szCs w:val="24"/>
                <w:lang w:eastAsia="en-AU"/>
              </w:rPr>
            </w:pPr>
            <w:r>
              <w:rPr>
                <w:rFonts w:eastAsia="Times New Roman" w:cs="Times New Roman"/>
                <w:b w:val="0"/>
                <w:color w:val="000000"/>
                <w:szCs w:val="24"/>
                <w:lang w:eastAsia="en-AU"/>
              </w:rPr>
              <w:t>Remain customer obsessed as competitive differentiator.</w:t>
            </w:r>
          </w:p>
        </w:tc>
        <w:tc>
          <w:tcPr>
            <w:tcW w:w="0" w:type="auto"/>
            <w:tcBorders>
              <w:top w:val="single" w:color="FFFFFF" w:sz="4" w:space="0"/>
              <w:left w:val="single" w:color="FFFFFF" w:sz="4" w:space="0"/>
              <w:bottom w:val="single" w:color="FFFFFF" w:sz="4" w:space="0"/>
              <w:right w:val="single" w:color="FFFFFF" w:sz="4" w:space="0"/>
            </w:tcBorders>
            <w:shd w:val="clear" w:color="auto" w:fill="FCE5D5"/>
          </w:tcPr>
          <w:p w14:paraId="448DC393">
            <w:pPr>
              <w:spacing w:after="0" w:line="240" w:lineRule="auto"/>
              <w:ind w:firstLine="0"/>
              <w:jc w:val="left"/>
              <w:rPr>
                <w:rFonts w:eastAsia="Times New Roman" w:cs="Times New Roman"/>
                <w:b w:val="0"/>
                <w:color w:val="000000"/>
                <w:szCs w:val="24"/>
                <w:lang w:eastAsia="en-AU"/>
              </w:rPr>
            </w:pPr>
            <w:r>
              <w:rPr>
                <w:rFonts w:eastAsia="Times New Roman" w:cs="Times New Roman"/>
                <w:b w:val="0"/>
                <w:color w:val="000000"/>
                <w:szCs w:val="24"/>
                <w:lang w:eastAsia="en-AU"/>
              </w:rPr>
              <w:t>Net Promoter Score (NPS), Customer satisfaction (CSAT), Prime retention rate</w:t>
            </w:r>
          </w:p>
        </w:tc>
      </w:tr>
      <w:tr w14:paraId="0FB2E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FFFFFF" w:sz="4" w:space="0"/>
              <w:left w:val="single" w:color="FFFFFF" w:sz="4" w:space="0"/>
              <w:bottom w:val="single" w:color="FFFFFF" w:sz="4" w:space="0"/>
              <w:right w:val="single" w:color="FFFFFF" w:sz="4" w:space="0"/>
            </w:tcBorders>
            <w:shd w:val="clear" w:color="auto" w:fill="F8CBAC"/>
          </w:tcPr>
          <w:p w14:paraId="1EF6C27B">
            <w:pPr>
              <w:spacing w:after="0" w:line="240" w:lineRule="auto"/>
              <w:ind w:firstLine="0"/>
              <w:jc w:val="left"/>
              <w:rPr>
                <w:rFonts w:eastAsia="Times New Roman" w:cs="Times New Roman"/>
                <w:b w:val="0"/>
                <w:color w:val="000000"/>
                <w:szCs w:val="24"/>
                <w:lang w:eastAsia="en-AU"/>
              </w:rPr>
            </w:pPr>
            <w:r>
              <w:rPr>
                <w:rFonts w:eastAsia="Times New Roman" w:cs="Times New Roman"/>
                <w:b w:val="0"/>
                <w:bCs/>
                <w:color w:val="000000"/>
                <w:szCs w:val="24"/>
                <w:lang w:eastAsia="en-AU"/>
              </w:rPr>
              <w:t>Internal Processes</w:t>
            </w:r>
          </w:p>
        </w:tc>
        <w:tc>
          <w:tcPr>
            <w:tcW w:w="0" w:type="auto"/>
            <w:tcBorders>
              <w:top w:val="single" w:color="FFFFFF" w:sz="4" w:space="0"/>
              <w:left w:val="single" w:color="FFFFFF" w:sz="4" w:space="0"/>
              <w:bottom w:val="single" w:color="FFFFFF" w:sz="4" w:space="0"/>
              <w:right w:val="single" w:color="FFFFFF" w:sz="4" w:space="0"/>
            </w:tcBorders>
            <w:shd w:val="clear" w:color="auto" w:fill="F8CBAC"/>
          </w:tcPr>
          <w:p w14:paraId="7B8FA692">
            <w:pPr>
              <w:spacing w:after="0" w:line="240" w:lineRule="auto"/>
              <w:ind w:firstLine="0"/>
              <w:jc w:val="left"/>
              <w:rPr>
                <w:rFonts w:eastAsia="Times New Roman" w:cs="Times New Roman"/>
                <w:b w:val="0"/>
                <w:color w:val="000000"/>
                <w:szCs w:val="24"/>
                <w:lang w:eastAsia="en-AU"/>
              </w:rPr>
            </w:pPr>
            <w:r>
              <w:rPr>
                <w:rFonts w:eastAsia="Times New Roman" w:cs="Times New Roman"/>
                <w:b w:val="0"/>
                <w:color w:val="000000"/>
                <w:szCs w:val="24"/>
                <w:lang w:eastAsia="en-AU"/>
              </w:rPr>
              <w:t>Operational excellence and engineering velocity.</w:t>
            </w:r>
          </w:p>
        </w:tc>
        <w:tc>
          <w:tcPr>
            <w:tcW w:w="0" w:type="auto"/>
            <w:tcBorders>
              <w:top w:val="single" w:color="FFFFFF" w:sz="4" w:space="0"/>
              <w:left w:val="single" w:color="FFFFFF" w:sz="4" w:space="0"/>
              <w:bottom w:val="single" w:color="FFFFFF" w:sz="4" w:space="0"/>
              <w:right w:val="single" w:color="FFFFFF" w:sz="4" w:space="0"/>
            </w:tcBorders>
            <w:shd w:val="clear" w:color="auto" w:fill="F8CBAC"/>
          </w:tcPr>
          <w:p w14:paraId="50F63097">
            <w:pPr>
              <w:spacing w:after="0" w:line="240" w:lineRule="auto"/>
              <w:ind w:firstLine="0"/>
              <w:jc w:val="left"/>
              <w:rPr>
                <w:rFonts w:eastAsia="Times New Roman" w:cs="Times New Roman"/>
                <w:b w:val="0"/>
                <w:color w:val="000000"/>
                <w:szCs w:val="24"/>
                <w:lang w:eastAsia="en-AU"/>
              </w:rPr>
            </w:pPr>
            <w:r>
              <w:rPr>
                <w:rFonts w:eastAsia="Times New Roman" w:cs="Times New Roman"/>
                <w:b w:val="0"/>
                <w:color w:val="000000"/>
                <w:szCs w:val="24"/>
                <w:lang w:eastAsia="en-AU"/>
              </w:rPr>
              <w:t>Order fulfilment cycle time, Deployment frequency (DORA metrics), Defect rate</w:t>
            </w:r>
          </w:p>
        </w:tc>
      </w:tr>
      <w:tr w14:paraId="13ECC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FFFFFF" w:sz="4" w:space="0"/>
              <w:left w:val="single" w:color="FFFFFF" w:sz="4" w:space="0"/>
              <w:bottom w:val="single" w:color="FFFFFF" w:sz="4" w:space="0"/>
              <w:right w:val="single" w:color="FFFFFF" w:sz="4" w:space="0"/>
            </w:tcBorders>
            <w:shd w:val="clear" w:color="auto" w:fill="FCE5D5"/>
          </w:tcPr>
          <w:p w14:paraId="5E38BC74">
            <w:pPr>
              <w:spacing w:after="0" w:line="240" w:lineRule="auto"/>
              <w:ind w:firstLine="0"/>
              <w:jc w:val="left"/>
              <w:rPr>
                <w:rFonts w:eastAsia="Times New Roman" w:cs="Times New Roman"/>
                <w:b w:val="0"/>
                <w:color w:val="000000"/>
                <w:szCs w:val="24"/>
                <w:lang w:eastAsia="en-AU"/>
              </w:rPr>
            </w:pPr>
            <w:r>
              <w:rPr>
                <w:rFonts w:eastAsia="Times New Roman" w:cs="Times New Roman"/>
                <w:b w:val="0"/>
                <w:bCs/>
                <w:color w:val="000000"/>
                <w:szCs w:val="24"/>
                <w:lang w:eastAsia="en-AU"/>
              </w:rPr>
              <w:t>Learning &amp; Growth</w:t>
            </w:r>
          </w:p>
        </w:tc>
        <w:tc>
          <w:tcPr>
            <w:tcW w:w="0" w:type="auto"/>
            <w:tcBorders>
              <w:top w:val="single" w:color="FFFFFF" w:sz="4" w:space="0"/>
              <w:left w:val="single" w:color="FFFFFF" w:sz="4" w:space="0"/>
              <w:bottom w:val="single" w:color="FFFFFF" w:sz="4" w:space="0"/>
              <w:right w:val="single" w:color="FFFFFF" w:sz="4" w:space="0"/>
            </w:tcBorders>
            <w:shd w:val="clear" w:color="auto" w:fill="FCE5D5"/>
          </w:tcPr>
          <w:p w14:paraId="41A2A55A">
            <w:pPr>
              <w:spacing w:after="0" w:line="240" w:lineRule="auto"/>
              <w:ind w:firstLine="0"/>
              <w:jc w:val="left"/>
              <w:rPr>
                <w:rFonts w:eastAsia="Times New Roman" w:cs="Times New Roman"/>
                <w:b w:val="0"/>
                <w:color w:val="000000"/>
                <w:szCs w:val="24"/>
                <w:lang w:eastAsia="en-AU"/>
              </w:rPr>
            </w:pPr>
            <w:r>
              <w:rPr>
                <w:rFonts w:eastAsia="Times New Roman" w:cs="Times New Roman"/>
                <w:b w:val="0"/>
                <w:color w:val="000000"/>
                <w:szCs w:val="24"/>
                <w:lang w:eastAsia="en-AU"/>
              </w:rPr>
              <w:t>Build capability and have an innovation culture.</w:t>
            </w:r>
          </w:p>
        </w:tc>
        <w:tc>
          <w:tcPr>
            <w:tcW w:w="0" w:type="auto"/>
            <w:tcBorders>
              <w:top w:val="single" w:color="FFFFFF" w:sz="4" w:space="0"/>
              <w:left w:val="single" w:color="FFFFFF" w:sz="4" w:space="0"/>
              <w:bottom w:val="single" w:color="FFFFFF" w:sz="4" w:space="0"/>
              <w:right w:val="single" w:color="FFFFFF" w:sz="4" w:space="0"/>
            </w:tcBorders>
            <w:shd w:val="clear" w:color="auto" w:fill="FCE5D5"/>
          </w:tcPr>
          <w:p w14:paraId="17AE472A">
            <w:pPr>
              <w:spacing w:after="0" w:line="240" w:lineRule="auto"/>
              <w:ind w:firstLine="0"/>
              <w:jc w:val="left"/>
              <w:rPr>
                <w:rFonts w:eastAsia="Times New Roman" w:cs="Times New Roman"/>
                <w:b w:val="0"/>
                <w:color w:val="000000"/>
                <w:szCs w:val="24"/>
                <w:lang w:eastAsia="en-AU"/>
              </w:rPr>
            </w:pPr>
            <w:r>
              <w:rPr>
                <w:rFonts w:eastAsia="Times New Roman" w:cs="Times New Roman"/>
                <w:b w:val="0"/>
                <w:color w:val="000000"/>
                <w:szCs w:val="24"/>
                <w:lang w:eastAsia="en-AU"/>
              </w:rPr>
              <w:t>Employee engagement rating, Training hours per employee, Internal promotion rate</w:t>
            </w:r>
          </w:p>
        </w:tc>
      </w:tr>
    </w:tbl>
    <w:p w14:paraId="0BE74E3E">
      <w:pPr>
        <w:ind w:firstLine="0"/>
        <w:rPr>
          <w:rFonts w:eastAsia="Times New Roman"/>
        </w:rPr>
      </w:pPr>
    </w:p>
    <w:p w14:paraId="3966CF45">
      <w:pPr>
        <w:pStyle w:val="3"/>
        <w:rPr>
          <w:rFonts w:eastAsia="Times New Roman"/>
          <w:color w:val="0000FF"/>
          <w:sz w:val="28"/>
          <w:szCs w:val="32"/>
        </w:rPr>
      </w:pPr>
      <w:bookmarkStart w:id="26" w:name="_Toc229474784"/>
      <w:r>
        <w:rPr>
          <w:rFonts w:eastAsia="Times New Roman"/>
          <w:color w:val="0000FF"/>
          <w:sz w:val="28"/>
          <w:szCs w:val="32"/>
        </w:rPr>
        <w:t>Control Mechanisms for Individual Performance Monitoring</w:t>
      </w:r>
      <w:bookmarkEnd w:id="26"/>
    </w:p>
    <w:p w14:paraId="20BFF85C">
      <w:pPr>
        <w:ind w:left="0" w:leftChars="0" w:firstLine="0" w:firstLineChars="0"/>
        <w:rPr>
          <w:rFonts w:eastAsia="Times New Roman"/>
        </w:rPr>
      </w:pPr>
      <w:r>
        <w:rPr>
          <w:rFonts w:eastAsia="Times New Roman"/>
        </w:rPr>
        <w:t>The performance management system at Amazon combines the BSC and the individual-level KPIs placed in the Forte performance platform that assesses employees in three dimensions, i.e., Job Performance (what was delivered), Leadership Principles adherence (how it was delivered), and Potential (readiness for growth) (PerformYard, 2024). DORA metrics deployment frequency, change lead time, change failure rate, and mean time to recovery are KPIs engineering team-level indicators that balance the technical production to the organisational strategy (PerformYard, 2024). Analytics dashboard gives real time visibility of these indicators and the managers can intervene proactively as opposed to being reactive. Fluidwave (2026) suggests that the operational KPIs should be reviewed monthly and strategic scorecards, once a quarter, which is an appropriate frequency within Amazon.</w:t>
      </w:r>
    </w:p>
    <w:p w14:paraId="3495BE92">
      <w:pPr>
        <w:pStyle w:val="3"/>
        <w:rPr>
          <w:rFonts w:eastAsia="Times New Roman"/>
          <w:color w:val="1212AE"/>
          <w:sz w:val="28"/>
          <w:szCs w:val="32"/>
        </w:rPr>
      </w:pPr>
      <w:bookmarkStart w:id="27" w:name="_Toc229474785"/>
      <w:r>
        <w:rPr>
          <w:rFonts w:eastAsia="Times New Roman"/>
          <w:color w:val="1212AE"/>
          <w:sz w:val="28"/>
          <w:szCs w:val="32"/>
        </w:rPr>
        <w:t>Measuring Team and Organisational Effectiveness</w:t>
      </w:r>
      <w:bookmarkEnd w:id="27"/>
      <w:r>
        <w:rPr>
          <w:rFonts w:eastAsia="Times New Roman"/>
          <w:color w:val="1212AE"/>
          <w:sz w:val="28"/>
          <w:szCs w:val="32"/>
        </w:rPr>
        <w:t xml:space="preserve"> </w:t>
      </w:r>
    </w:p>
    <w:p w14:paraId="5E38687F">
      <w:pPr>
        <w:rPr>
          <w:rFonts w:eastAsia="Times New Roman"/>
        </w:rPr>
      </w:pPr>
      <w:r>
        <w:rPr>
          <w:rFonts w:eastAsia="Times New Roman"/>
        </w:rPr>
        <w:t>In addition to personal KPIs, Amazon uses 360-degree feedback, management-by-objectives (MBO) models, and Learning and Growth perspective of the BSC to gauge team effectiveness (Lutz and Fortune Intelligence, 2025). The criteria of team effectiveness specified by Hackman (2002) as task accomplishment, team capability preservation and member satisfaction are the characteristics of the multi-perspective design of the BSC, which offers a theoretical framework of the multi-level measurement system applied at Amazon. At the organisational level, the ultra-meticulous data and metrics system that is characterised as end-to-end, real-time, input-focused, and powered by artificial intelligence that Amazon has implemented allows detecting anomalies, creating insights, and automated routine decisions (Mathews, 2023). This is a type of prescriptive analytics used in organisational control.</w:t>
      </w:r>
    </w:p>
    <w:p w14:paraId="040C1191">
      <w:pPr>
        <w:pStyle w:val="3"/>
        <w:rPr>
          <w:rFonts w:eastAsia="Times New Roman"/>
          <w:color w:val="1212AE"/>
          <w:sz w:val="28"/>
          <w:szCs w:val="32"/>
        </w:rPr>
      </w:pPr>
      <w:bookmarkStart w:id="28" w:name="_Toc229474786"/>
      <w:r>
        <w:rPr>
          <w:rFonts w:eastAsia="Times New Roman"/>
          <w:color w:val="1212AE"/>
          <w:sz w:val="28"/>
          <w:szCs w:val="32"/>
        </w:rPr>
        <w:t>Data-Driven Decision-Making in Monitoring and Control</w:t>
      </w:r>
      <w:bookmarkEnd w:id="28"/>
    </w:p>
    <w:p w14:paraId="6B078D6B">
      <w:pPr>
        <w:ind w:left="0" w:leftChars="0" w:firstLine="0" w:firstLineChars="0"/>
        <w:rPr>
          <w:rFonts w:eastAsia="Times New Roman"/>
        </w:rPr>
      </w:pPr>
      <w:r>
        <w:rPr>
          <w:rFonts w:eastAsia="Times New Roman"/>
        </w:rPr>
        <w:t>Business analytics boosts monitoring and control through is transformation of raw operational data to actionable intelligence. Descriptive analytics, using Amazon Brand Analytics and in-house dashboards, reveal past performance trends. Through Amazon SageMaker, predictive analytics can be used to predict future performance paths to allow pre-emptive allocation of resources. Prescriptive analytics suggests the best managerial choices- such as what the most effective team structure is likely to achieve the greatest engineering velocity, or what training programs are most reliably anticipative of promotion readiness. Bringing all three levels of analytics into the performance management cycle is the analytical ideal, which will transform BSC as the fixed scorecard into the dynamic decision-support system.</w:t>
      </w:r>
    </w:p>
    <w:p w14:paraId="3291EA24">
      <w:pPr>
        <w:pStyle w:val="3"/>
        <w:rPr>
          <w:rFonts w:eastAsia="Times New Roman"/>
          <w:color w:val="1212AE"/>
          <w:sz w:val="28"/>
          <w:szCs w:val="32"/>
        </w:rPr>
      </w:pPr>
      <w:bookmarkStart w:id="29" w:name="_Toc229474787"/>
      <w:r>
        <w:rPr>
          <w:rFonts w:eastAsia="Times New Roman"/>
          <w:color w:val="1212AE"/>
          <w:sz w:val="28"/>
          <w:szCs w:val="32"/>
        </w:rPr>
        <w:t>Limitations, Unintended Consequences, and Ethical Implications</w:t>
      </w:r>
      <w:bookmarkEnd w:id="29"/>
      <w:r>
        <w:rPr>
          <w:rFonts w:eastAsia="Times New Roman"/>
          <w:color w:val="1212AE"/>
          <w:sz w:val="28"/>
          <w:szCs w:val="32"/>
        </w:rPr>
        <w:t xml:space="preserve"> </w:t>
      </w:r>
    </w:p>
    <w:p w14:paraId="07F32D2F">
      <w:pPr>
        <w:ind w:left="0" w:leftChars="0" w:firstLine="0" w:firstLineChars="0"/>
        <w:rPr>
          <w:rFonts w:eastAsia="Times New Roman"/>
        </w:rPr>
      </w:pPr>
      <w:r>
        <w:rPr>
          <w:rFonts w:eastAsia="Times New Roman"/>
        </w:rPr>
        <w:t>The performance measurement system used by Amazon has huge risks but is very sophisticated analytically. Goodhart Law - When a measure becomes a target, it is no longer a good measure - is very much applicable here: forced-distribution rating system of Amazon (only 5% became Role Model) is incentivising perversities, in which employees maximize visibility, not meaningful contribution (PerformYard, 2024). The paternalistic tracking of engineering performance through the DORA metrics and AI-driven surveillance are very serious ethical issues related to employee privacy and control. Studies have shown that when metrics are applied excessively punitively, it leads to the undermining of a psychologically safe environment, as well as longer-term innovation (Fluidwave, 2026). Performance systems need to be geared towards coaching and developing rather than ranking and eradicating, ethically. To ensure employee trust and organisational legitimacy, transparency regarding what is being measured, the reasons, and how it is used to make decisions are preconditions.</w:t>
      </w:r>
    </w:p>
    <w:p w14:paraId="61FFBE08">
      <w:pPr>
        <w:rPr>
          <w:rFonts w:ascii="Calibri" w:hAnsi="Calibri"/>
          <w:highlight w:val="none"/>
        </w:rPr>
      </w:pPr>
      <w:r>
        <w:rPr>
          <w:rFonts w:ascii="Calibri" w:hAnsi="Calibri"/>
          <w:highlight w:val="none"/>
        </w:rPr>
        <w:t>The BSC system has also been critiqued because it has a rigid and overly top-down managerial style (Nørreklit, 2003). Amazon enforces casual links between learning, growth, and financial outcome in their model, but even from a design point of view, this can “freeze” the company’s strategy. The framework gives an unavoidable the balance between control and innovation: overly tight KPIs can suppress the kind of experimental innovation that was responsible for the development of the AWS, and then privilege an exploitive imbalance over March’s (1991) framework of balance. The deeper critique of this model shows that it has daunting risks related to over-measurement and the growth of an invasive surveillance system, and also algorithmic bias can create inequities that ultimately harm the most marginalized. Amazon’s issue is not the lack of measures; it is the lack of wise measures. The BSC should be supplemented with measures that are adpative, qualitative, and co-designed with employees to protect innovative capacity.</w:t>
      </w:r>
      <w:bookmarkStart w:id="30" w:name="_Toc229474788"/>
    </w:p>
    <w:p w14:paraId="7ECA7923">
      <w:pPr>
        <w:rPr>
          <w:rFonts w:ascii="Calibri" w:hAnsi="Calibri"/>
          <w:highlight w:val="none"/>
        </w:rPr>
      </w:pPr>
      <w:r>
        <w:rPr>
          <w:rFonts w:ascii="Calibri" w:hAnsi="Calibri"/>
          <w:highlight w:val="none"/>
        </w:rPr>
        <w:br w:type="page"/>
      </w:r>
    </w:p>
    <w:p w14:paraId="702659C5">
      <w:pPr>
        <w:rPr>
          <w:rFonts w:ascii="Calibri" w:hAnsi="Calibri"/>
          <w:highlight w:val="none"/>
        </w:rPr>
      </w:pPr>
    </w:p>
    <w:p w14:paraId="17192424">
      <w:pPr>
        <w:pStyle w:val="2"/>
        <w:jc w:val="both"/>
        <w:rPr>
          <w:rFonts w:eastAsia="Times New Roman"/>
          <w:color w:val="1212AE"/>
          <w:sz w:val="32"/>
          <w:szCs w:val="44"/>
        </w:rPr>
      </w:pPr>
      <w:r>
        <w:rPr>
          <w:rFonts w:eastAsia="Times New Roman"/>
          <w:color w:val="1212AE"/>
          <w:sz w:val="32"/>
          <w:szCs w:val="44"/>
        </w:rPr>
        <w:t>Conclusion</w:t>
      </w:r>
      <w:bookmarkEnd w:id="30"/>
    </w:p>
    <w:p w14:paraId="3A8C382B">
      <w:pPr>
        <w:ind w:left="0" w:leftChars="0" w:firstLine="0" w:firstLineChars="0"/>
        <w:jc w:val="both"/>
        <w:rPr>
          <w:rFonts w:eastAsia="Times New Roman"/>
        </w:rPr>
      </w:pPr>
      <w:r>
        <w:rPr>
          <w:rFonts w:eastAsia="Times New Roman"/>
        </w:rPr>
        <w:t>The four dimensions of organisational management examined at Amazon critically in this report have been applied using the known theoretical frameworks and business analytics perspectives. The Rational Decision-Making Model helped shed light on the advantages and the shortcomings of the historic decision of AWS made by Amazon. The Unfreeze-Change-Refreeze Model created by Lewin offered a systematic course on how to remedy the cultural dysfunctions in Amazon, especially the conflict between performance and wellbeing. The model of team development created by Tuckman informed specific interventions to develop psychological safety and shared accountability in Amazon two-pizza teams. Lastly, the Balanced Scorecard created by Kaplan and Norton provided a holistic design of performance measurement and control, and also pointed out the moral dangers of excessive dependence on quantitative monitoring. Combined, these studies indicate that successful management of a diverse organisation like Amazon needs to combine strict theory, situational decision-making, and ethically based analytics.</w:t>
      </w:r>
    </w:p>
    <w:p w14:paraId="146D4F42">
      <w:pPr>
        <w:rPr>
          <w:rFonts w:eastAsia="Times New Roman"/>
        </w:rPr>
      </w:pPr>
    </w:p>
    <w:p w14:paraId="7C72A3D5">
      <w:pPr>
        <w:rPr>
          <w:rFonts w:eastAsia="Times New Roman"/>
        </w:rPr>
      </w:pPr>
    </w:p>
    <w:p w14:paraId="1B02DC0E">
      <w:pPr>
        <w:rPr>
          <w:rFonts w:eastAsia="Times New Roman"/>
        </w:rPr>
      </w:pPr>
    </w:p>
    <w:p w14:paraId="3FDCAA6F">
      <w:pPr>
        <w:rPr>
          <w:rFonts w:eastAsia="Times New Roman"/>
        </w:rPr>
      </w:pPr>
      <w:bookmarkStart w:id="31" w:name="_Toc229474789"/>
      <w:r>
        <w:rPr>
          <w:rFonts w:eastAsia="Times New Roman"/>
        </w:rPr>
        <w:br w:type="page"/>
      </w:r>
    </w:p>
    <w:p w14:paraId="07F6E30C">
      <w:pPr>
        <w:pStyle w:val="2"/>
        <w:jc w:val="both"/>
        <w:rPr>
          <w:rFonts w:eastAsia="Times New Roman"/>
          <w:color w:val="1212AE"/>
          <w:sz w:val="32"/>
          <w:szCs w:val="44"/>
        </w:rPr>
      </w:pPr>
      <w:r>
        <w:rPr>
          <w:rFonts w:eastAsia="Times New Roman"/>
          <w:color w:val="1212AE"/>
          <w:sz w:val="32"/>
          <w:szCs w:val="44"/>
        </w:rPr>
        <w:t>References</w:t>
      </w:r>
      <w:bookmarkEnd w:id="31"/>
    </w:p>
    <w:p w14:paraId="2570F93C">
      <w:pPr>
        <w:ind w:left="810" w:hanging="810"/>
        <w:jc w:val="both"/>
        <w:rPr>
          <w:rFonts w:eastAsia="Times New Roman"/>
        </w:rPr>
      </w:pPr>
      <w:r>
        <w:rPr>
          <w:rFonts w:eastAsia="Times New Roman"/>
        </w:rPr>
        <w:t>Amazon (2025) Amazon.com, Inc. Annual Shareholder Letter and 8-K SEC Filing, FY2025. Available at: https://www.sec.gov/Archives/edgar/data/0001018724/000110465925033450/tm254123d3_ex99-1.htm (Accessed: 10 May 2026).</w:t>
      </w:r>
    </w:p>
    <w:p w14:paraId="7A163D46">
      <w:pPr>
        <w:ind w:left="810" w:hanging="810"/>
        <w:jc w:val="both"/>
        <w:rPr>
          <w:rFonts w:eastAsia="Times New Roman"/>
        </w:rPr>
      </w:pPr>
      <w:r>
        <w:rPr>
          <w:rFonts w:eastAsia="Times New Roman"/>
        </w:rPr>
        <w:t>Ashikuzzaman, M. (2025) 'Amazon's Type 1 vs Type 2 decisions: a framework for effective decision-making', ashikuzzaman.com, 3 March. Available at: https://ashikuzzaman.com/2025/03/03/amazons-type-1-vs-type-2-decisions-a-framework-for-effective-decision-making/ (Accessed: 10 May 2026).</w:t>
      </w:r>
    </w:p>
    <w:p w14:paraId="42399566">
      <w:pPr>
        <w:ind w:left="810" w:hanging="810"/>
        <w:jc w:val="both"/>
        <w:rPr>
          <w:rFonts w:eastAsia="Times New Roman"/>
        </w:rPr>
      </w:pPr>
      <w:r>
        <w:rPr>
          <w:rFonts w:eastAsia="Times New Roman"/>
        </w:rPr>
        <w:t>AWS (2025) What is Predictive Analytics? Amazon Web Services. Available at: https://aws.amazon.com/what-is/predictive-analytics/ (Accessed: 10 May 2026).</w:t>
      </w:r>
    </w:p>
    <w:p w14:paraId="36254458">
      <w:pPr>
        <w:ind w:left="810" w:hanging="810"/>
        <w:jc w:val="both"/>
        <w:rPr>
          <w:rFonts w:eastAsia="Times New Roman"/>
        </w:rPr>
      </w:pPr>
      <w:r>
        <w:rPr>
          <w:rFonts w:eastAsia="Times New Roman"/>
        </w:rPr>
        <w:t>Cianos, C., 2025. Transformational Leadership and Organizational Change: Adapting to a Digitized World. </w:t>
      </w:r>
      <w:r>
        <w:rPr>
          <w:rFonts w:eastAsia="Times New Roman"/>
          <w:i/>
          <w:iCs/>
        </w:rPr>
        <w:t>Available at SSRN 5228334</w:t>
      </w:r>
      <w:r>
        <w:rPr>
          <w:rFonts w:eastAsia="Times New Roman"/>
        </w:rPr>
        <w:t>.</w:t>
      </w:r>
    </w:p>
    <w:p w14:paraId="4EBBB916">
      <w:pPr>
        <w:ind w:left="810" w:hanging="810"/>
        <w:jc w:val="both"/>
        <w:rPr>
          <w:rFonts w:eastAsia="Times New Roman"/>
        </w:rPr>
      </w:pPr>
      <w:r>
        <w:rPr>
          <w:rFonts w:eastAsia="Times New Roman"/>
        </w:rPr>
        <w:t>Davenport, T. and Harris, J., 2017. </w:t>
      </w:r>
      <w:r>
        <w:rPr>
          <w:rFonts w:eastAsia="Times New Roman"/>
          <w:i/>
          <w:iCs/>
        </w:rPr>
        <w:t>Competing on analytics: Updated, with a new introduction: The new science of winning</w:t>
      </w:r>
      <w:r>
        <w:rPr>
          <w:rFonts w:eastAsia="Times New Roman"/>
        </w:rPr>
        <w:t>. Harvard Business Press.</w:t>
      </w:r>
    </w:p>
    <w:p w14:paraId="12B86806">
      <w:pPr>
        <w:ind w:left="810" w:hanging="810"/>
        <w:jc w:val="both"/>
        <w:rPr>
          <w:rFonts w:eastAsia="Times New Roman"/>
        </w:rPr>
      </w:pPr>
      <w:r>
        <w:rPr>
          <w:rFonts w:eastAsia="Times New Roman"/>
        </w:rPr>
        <w:t>Darkroom Agency (2025) Amazon management framework: leadership and decision-making. Available at: https://www.darkroomagency.com/observatory/amazon-management-framework-how-the-e-commerce-giant-operates (Accessed: 10 May 2026).</w:t>
      </w:r>
    </w:p>
    <w:p w14:paraId="477B584A">
      <w:pPr>
        <w:ind w:left="810" w:hanging="810"/>
        <w:jc w:val="both"/>
        <w:rPr>
          <w:rFonts w:eastAsia="Times New Roman"/>
        </w:rPr>
      </w:pPr>
      <w:r>
        <w:rPr>
          <w:rFonts w:eastAsia="Times New Roman"/>
        </w:rPr>
        <w:t xml:space="preserve">Del Rey, J. (2024) ‘Andy Jassy’s return-to-office mandate shows how serious the Amazon culture mid-life crisis has gotten’, </w:t>
      </w:r>
      <w:r>
        <w:rPr>
          <w:rFonts w:eastAsia="Times New Roman"/>
          <w:i/>
          <w:iCs/>
        </w:rPr>
        <w:t>Fortune</w:t>
      </w:r>
      <w:r>
        <w:rPr>
          <w:rFonts w:eastAsia="Times New Roman"/>
        </w:rPr>
        <w:t xml:space="preserve">, 16 September. Available at: </w:t>
      </w:r>
      <w:r>
        <w:fldChar w:fldCharType="begin"/>
      </w:r>
      <w:r>
        <w:instrText xml:space="preserve"> HYPERLINK "https://fortune.com/2024/09/16/andy-jassy-5-days-return-to-office-order-amazon-work-culture-concerns/" </w:instrText>
      </w:r>
      <w:r>
        <w:fldChar w:fldCharType="separate"/>
      </w:r>
      <w:r>
        <w:rPr>
          <w:rStyle w:val="21"/>
          <w:rFonts w:eastAsia="Times New Roman"/>
        </w:rPr>
        <w:t>https://fortune.com/2024/09/16/andy-jassy-5-days-return-to-office-order-amazon-work-culture-concerns/</w:t>
      </w:r>
      <w:r>
        <w:rPr>
          <w:rStyle w:val="21"/>
          <w:rFonts w:eastAsia="Times New Roman"/>
        </w:rPr>
        <w:fldChar w:fldCharType="end"/>
      </w:r>
      <w:r>
        <w:rPr>
          <w:rFonts w:eastAsia="Times New Roman"/>
        </w:rPr>
        <w:t xml:space="preserve"> (Accessed: 10 May 2026).</w:t>
      </w:r>
    </w:p>
    <w:p w14:paraId="61F6EBDE">
      <w:pPr>
        <w:ind w:left="810" w:hanging="810"/>
        <w:jc w:val="both"/>
        <w:rPr>
          <w:rFonts w:eastAsia="Times New Roman"/>
        </w:rPr>
      </w:pPr>
      <w:r>
        <w:rPr>
          <w:rFonts w:eastAsia="Times New Roman"/>
        </w:rPr>
        <w:t>Edmondson, A.C., 1999. Psychological Safety and Learning Behavior in Work Teams. </w:t>
      </w:r>
      <w:r>
        <w:rPr>
          <w:rFonts w:eastAsia="Times New Roman"/>
          <w:i/>
          <w:iCs/>
        </w:rPr>
        <w:t>Administrative Science Quarterly</w:t>
      </w:r>
      <w:r>
        <w:rPr>
          <w:rFonts w:eastAsia="Times New Roman"/>
        </w:rPr>
        <w:t>, </w:t>
      </w:r>
      <w:r>
        <w:rPr>
          <w:rFonts w:eastAsia="Times New Roman"/>
          <w:i/>
          <w:iCs/>
        </w:rPr>
        <w:t>44</w:t>
      </w:r>
      <w:r>
        <w:rPr>
          <w:rFonts w:eastAsia="Times New Roman"/>
        </w:rPr>
        <w:t>(2), pp.350-383.</w:t>
      </w:r>
    </w:p>
    <w:p w14:paraId="58C38D72">
      <w:pPr>
        <w:ind w:left="810" w:hanging="810"/>
        <w:jc w:val="both"/>
        <w:rPr>
          <w:rFonts w:eastAsia="Times New Roman"/>
        </w:rPr>
      </w:pPr>
      <w:r>
        <w:rPr>
          <w:rFonts w:eastAsia="Times New Roman"/>
        </w:rPr>
        <w:t>Fluidwave (2026) 'Measure team performance: 7 proven methods', fluidwave.com. Available at: https://fluidwave.com/blog/measuring-team-performance (Accessed: 10 May 2026).</w:t>
      </w:r>
    </w:p>
    <w:p w14:paraId="61163A89">
      <w:pPr>
        <w:ind w:left="810" w:hanging="810"/>
        <w:jc w:val="both"/>
        <w:rPr>
          <w:rFonts w:eastAsia="Times New Roman"/>
        </w:rPr>
      </w:pPr>
      <w:r>
        <w:rPr>
          <w:rFonts w:eastAsia="Times New Roman"/>
        </w:rPr>
        <w:t>Hackman, J.R., 2002. </w:t>
      </w:r>
      <w:r>
        <w:rPr>
          <w:rFonts w:eastAsia="Times New Roman"/>
          <w:i/>
          <w:iCs/>
        </w:rPr>
        <w:t>Leading teams: Setting the stage for great performances</w:t>
      </w:r>
      <w:r>
        <w:rPr>
          <w:rFonts w:eastAsia="Times New Roman"/>
        </w:rPr>
        <w:t>. Harvard Business Press.</w:t>
      </w:r>
    </w:p>
    <w:p w14:paraId="2CD077BB">
      <w:pPr>
        <w:ind w:left="810" w:hanging="810"/>
        <w:jc w:val="both"/>
        <w:rPr>
          <w:rFonts w:eastAsia="Times New Roman"/>
        </w:rPr>
      </w:pPr>
      <w:r>
        <w:rPr>
          <w:rFonts w:eastAsia="Times New Roman"/>
        </w:rPr>
        <w:t>Holistic Training (2024) 'Lewin's change management model for organizational transformation', holistiquetraining.com, 19 October. Available at: https://holistiquetraining.com/en/news/lewins-change-management-model (Accessed: 10 May 2026).</w:t>
      </w:r>
    </w:p>
    <w:p w14:paraId="548E123B">
      <w:pPr>
        <w:ind w:left="810" w:hanging="810"/>
        <w:jc w:val="both"/>
        <w:rPr>
          <w:rFonts w:eastAsia="Times New Roman"/>
        </w:rPr>
      </w:pPr>
      <w:r>
        <w:rPr>
          <w:rFonts w:eastAsia="Times New Roman"/>
        </w:rPr>
        <w:t>Hussain, S.T., Lei, S., Akram, T., Haider, M.J., Hussain, S.H. and Ali, M., 2018. Kurt Lewin's change model: A critical review of the role of leadership and employee involvement in organizational change. </w:t>
      </w:r>
      <w:r>
        <w:rPr>
          <w:rFonts w:eastAsia="Times New Roman"/>
          <w:i/>
          <w:iCs/>
        </w:rPr>
        <w:t>Journal of innovation &amp; knowledge</w:t>
      </w:r>
      <w:r>
        <w:rPr>
          <w:rFonts w:eastAsia="Times New Roman"/>
        </w:rPr>
        <w:t>, </w:t>
      </w:r>
      <w:r>
        <w:rPr>
          <w:rFonts w:eastAsia="Times New Roman"/>
          <w:i/>
          <w:iCs/>
        </w:rPr>
        <w:t>3</w:t>
      </w:r>
      <w:r>
        <w:rPr>
          <w:rFonts w:eastAsia="Times New Roman"/>
        </w:rPr>
        <w:t>(3), pp.123-127.</w:t>
      </w:r>
    </w:p>
    <w:p w14:paraId="695E3E58">
      <w:pPr>
        <w:ind w:left="810" w:hanging="810"/>
        <w:jc w:val="both"/>
        <w:rPr>
          <w:rFonts w:eastAsia="Times New Roman"/>
        </w:rPr>
      </w:pPr>
      <w:r>
        <w:rPr>
          <w:rFonts w:eastAsia="Times New Roman"/>
        </w:rPr>
        <w:t>Kaplan, R.S. and Norton, D.P., 2005. </w:t>
      </w:r>
      <w:r>
        <w:rPr>
          <w:rFonts w:eastAsia="Times New Roman"/>
          <w:i/>
          <w:iCs/>
        </w:rPr>
        <w:t>The balanced scorecard: measures that drive performance</w:t>
      </w:r>
      <w:r>
        <w:rPr>
          <w:rFonts w:eastAsia="Times New Roman"/>
        </w:rPr>
        <w:t> (Vol. 70, pp. 71-79). Boston, MA, USA: Harvard Business Review.</w:t>
      </w:r>
    </w:p>
    <w:p w14:paraId="5F8A98CC">
      <w:pPr>
        <w:ind w:left="810" w:hanging="810"/>
        <w:jc w:val="both"/>
        <w:rPr>
          <w:rFonts w:eastAsia="Times New Roman"/>
        </w:rPr>
      </w:pPr>
      <w:r>
        <w:rPr>
          <w:rFonts w:eastAsia="Times New Roman"/>
        </w:rPr>
        <w:t>Kumar, S., Lim, W.M., Sureka, R., Jabbour, C.J.C. and Bamel, U., 2024. Balanced scorecard: trends, developments, and future directions. </w:t>
      </w:r>
      <w:r>
        <w:rPr>
          <w:rFonts w:eastAsia="Times New Roman"/>
          <w:i/>
          <w:iCs/>
        </w:rPr>
        <w:t>Review of managerial science</w:t>
      </w:r>
      <w:r>
        <w:rPr>
          <w:rFonts w:eastAsia="Times New Roman"/>
        </w:rPr>
        <w:t>, </w:t>
      </w:r>
      <w:r>
        <w:rPr>
          <w:rFonts w:eastAsia="Times New Roman"/>
          <w:i/>
          <w:iCs/>
        </w:rPr>
        <w:t>18</w:t>
      </w:r>
      <w:r>
        <w:rPr>
          <w:rFonts w:eastAsia="Times New Roman"/>
        </w:rPr>
        <w:t>(8), pp.2397-2439.</w:t>
      </w:r>
    </w:p>
    <w:p w14:paraId="6314BA5A">
      <w:pPr>
        <w:ind w:left="810" w:hanging="810"/>
        <w:jc w:val="both"/>
        <w:rPr>
          <w:rFonts w:eastAsia="Times New Roman"/>
        </w:rPr>
      </w:pPr>
      <w:r>
        <w:rPr>
          <w:rFonts w:eastAsia="Times New Roman"/>
        </w:rPr>
        <w:t>Lewin, K., 1951. Field theory in social science: selected theoretical papers (Edited by Dorwin Cartwright.).</w:t>
      </w:r>
    </w:p>
    <w:p w14:paraId="2D3DEC48">
      <w:pPr>
        <w:ind w:left="810" w:hanging="810"/>
        <w:jc w:val="both"/>
        <w:rPr>
          <w:rFonts w:eastAsia="Times New Roman"/>
        </w:rPr>
      </w:pPr>
      <w:r>
        <w:rPr>
          <w:rFonts w:eastAsia="Times New Roman"/>
        </w:rPr>
        <w:t xml:space="preserve">Lutz, A. and Fortune Intelligence (2025) ‘Amazon’s new performance review system’, </w:t>
      </w:r>
      <w:r>
        <w:rPr>
          <w:rFonts w:eastAsia="Times New Roman"/>
          <w:i/>
          <w:iCs/>
        </w:rPr>
        <w:t>Fortune</w:t>
      </w:r>
      <w:r>
        <w:rPr>
          <w:rFonts w:eastAsia="Times New Roman"/>
        </w:rPr>
        <w:t xml:space="preserve">, 3 July. Available at: </w:t>
      </w:r>
      <w:r>
        <w:fldChar w:fldCharType="begin"/>
      </w:r>
      <w:r>
        <w:instrText xml:space="preserve"> HYPERLINK "https://fortune.com/2025/07/03/amazons-new-performance-review-system/" \t "_new" </w:instrText>
      </w:r>
      <w:r>
        <w:fldChar w:fldCharType="separate"/>
      </w:r>
      <w:r>
        <w:rPr>
          <w:rStyle w:val="21"/>
          <w:rFonts w:eastAsia="Times New Roman"/>
        </w:rPr>
        <w:t>https://fortune.com/2025/07/03/amazons-new-performance-review-system/</w:t>
      </w:r>
      <w:r>
        <w:rPr>
          <w:rStyle w:val="21"/>
          <w:rFonts w:eastAsia="Times New Roman"/>
        </w:rPr>
        <w:fldChar w:fldCharType="end"/>
      </w:r>
      <w:r>
        <w:rPr>
          <w:rFonts w:eastAsia="Times New Roman"/>
        </w:rPr>
        <w:t xml:space="preserve"> (Accessed: 10 May 2026)</w:t>
      </w:r>
    </w:p>
    <w:p w14:paraId="3B9E5AFA">
      <w:pPr>
        <w:ind w:left="810" w:hanging="810"/>
        <w:jc w:val="both"/>
        <w:rPr>
          <w:rFonts w:eastAsia="Times New Roman"/>
        </w:rPr>
      </w:pPr>
      <w:r>
        <w:rPr>
          <w:rFonts w:eastAsia="Times New Roman"/>
        </w:rPr>
        <w:t>Majka, M., 2024. Navigating Change with Precision: Unpacking Lewin's Change Management Model.</w:t>
      </w:r>
    </w:p>
    <w:p w14:paraId="4514F3F9">
      <w:pPr>
        <w:ind w:left="810" w:hanging="810"/>
        <w:jc w:val="both"/>
        <w:rPr>
          <w:rFonts w:eastAsia="Times New Roman"/>
        </w:rPr>
      </w:pPr>
      <w:r>
        <w:rPr>
          <w:rFonts w:eastAsia="Times New Roman"/>
        </w:rPr>
        <w:t xml:space="preserve">Mathews, S. (2023) ‘The Amazon Management and Decision Making System’, </w:t>
      </w:r>
      <w:r>
        <w:rPr>
          <w:rFonts w:eastAsia="Times New Roman"/>
          <w:i/>
          <w:iCs/>
        </w:rPr>
        <w:t>Leading Sapiens</w:t>
      </w:r>
      <w:r>
        <w:rPr>
          <w:rFonts w:eastAsia="Times New Roman"/>
        </w:rPr>
        <w:t xml:space="preserve">, 11 May. Available at: </w:t>
      </w:r>
      <w:r>
        <w:fldChar w:fldCharType="begin"/>
      </w:r>
      <w:r>
        <w:instrText xml:space="preserve"> HYPERLINK "https://www.leadingsapiens.com/amazon-management-and-decision-making-system/" \t "_new" </w:instrText>
      </w:r>
      <w:r>
        <w:fldChar w:fldCharType="separate"/>
      </w:r>
      <w:r>
        <w:rPr>
          <w:rStyle w:val="21"/>
          <w:rFonts w:eastAsia="Times New Roman"/>
        </w:rPr>
        <w:t>https://www.leadingsapiens.com/amazon-management-and-decision-making-system/</w:t>
      </w:r>
      <w:r>
        <w:rPr>
          <w:rStyle w:val="21"/>
          <w:rFonts w:eastAsia="Times New Roman"/>
        </w:rPr>
        <w:fldChar w:fldCharType="end"/>
      </w:r>
      <w:r>
        <w:rPr>
          <w:rFonts w:eastAsia="Times New Roman"/>
        </w:rPr>
        <w:t xml:space="preserve"> (Accessed: 10 May 2026).</w:t>
      </w:r>
    </w:p>
    <w:p w14:paraId="4FE0786A">
      <w:pPr>
        <w:ind w:left="810" w:hanging="810"/>
        <w:jc w:val="both"/>
        <w:rPr>
          <w:rFonts w:eastAsia="Times New Roman"/>
        </w:rPr>
      </w:pPr>
      <w:r>
        <w:rPr>
          <w:rFonts w:eastAsia="Times New Roman"/>
        </w:rPr>
        <w:t xml:space="preserve">PerformYard (2024) ‘How Does Amazon Do Performance Management? [Free PDF]’, </w:t>
      </w:r>
      <w:r>
        <w:rPr>
          <w:rFonts w:eastAsia="Times New Roman"/>
          <w:i/>
          <w:iCs/>
        </w:rPr>
        <w:t>PerformYard</w:t>
      </w:r>
      <w:r>
        <w:rPr>
          <w:rFonts w:eastAsia="Times New Roman"/>
        </w:rPr>
        <w:t xml:space="preserve">. Available at: </w:t>
      </w:r>
      <w:r>
        <w:fldChar w:fldCharType="begin"/>
      </w:r>
      <w:r>
        <w:instrText xml:space="preserve"> HYPERLINK "https://www.performyard.com/articles/how-does-amazon-do-performance-management" \t "_new" </w:instrText>
      </w:r>
      <w:r>
        <w:fldChar w:fldCharType="separate"/>
      </w:r>
      <w:r>
        <w:rPr>
          <w:rStyle w:val="21"/>
          <w:rFonts w:eastAsia="Times New Roman"/>
        </w:rPr>
        <w:t>https://www.performyard.com/articles/how-does-amazon-do-performance-management</w:t>
      </w:r>
      <w:r>
        <w:rPr>
          <w:rStyle w:val="21"/>
          <w:rFonts w:eastAsia="Times New Roman"/>
        </w:rPr>
        <w:fldChar w:fldCharType="end"/>
      </w:r>
      <w:r>
        <w:rPr>
          <w:rFonts w:eastAsia="Times New Roman"/>
        </w:rPr>
        <w:t xml:space="preserve"> (Accessed: 10 May 2026).</w:t>
      </w:r>
    </w:p>
    <w:p w14:paraId="717855FE">
      <w:pPr>
        <w:ind w:left="810" w:hanging="810"/>
        <w:jc w:val="both"/>
        <w:rPr>
          <w:rFonts w:eastAsia="Times New Roman"/>
        </w:rPr>
      </w:pPr>
      <w:r>
        <w:rPr>
          <w:rFonts w:eastAsia="Times New Roman"/>
        </w:rPr>
        <w:t xml:space="preserve">Rebecca (2025) ‘Amazon’s office mandate: a bold move or a risk to workforce resilience?’, </w:t>
      </w:r>
      <w:r>
        <w:rPr>
          <w:rFonts w:eastAsia="Times New Roman"/>
          <w:i/>
          <w:iCs/>
        </w:rPr>
        <w:t>BCI — Business Continuity Institute</w:t>
      </w:r>
      <w:r>
        <w:rPr>
          <w:rFonts w:eastAsia="Times New Roman"/>
        </w:rPr>
        <w:t xml:space="preserve">, 10 January. Available at: </w:t>
      </w:r>
      <w:r>
        <w:fldChar w:fldCharType="begin"/>
      </w:r>
      <w:r>
        <w:instrText xml:space="preserve"> HYPERLINK "https://www.thebci.org/news/amazon-s-office-mandate-a-bold-move-or-a-risk-to-workforce-resilience.html" \t "_new" </w:instrText>
      </w:r>
      <w:r>
        <w:fldChar w:fldCharType="separate"/>
      </w:r>
      <w:r>
        <w:rPr>
          <w:rStyle w:val="21"/>
          <w:rFonts w:eastAsia="Times New Roman"/>
        </w:rPr>
        <w:t>https://www.thebci.org/news/amazon-s-office-mandate-a-bold-move-or-a-risk-to-workforce-resilience.html</w:t>
      </w:r>
      <w:r>
        <w:rPr>
          <w:rStyle w:val="21"/>
          <w:rFonts w:eastAsia="Times New Roman"/>
        </w:rPr>
        <w:fldChar w:fldCharType="end"/>
      </w:r>
      <w:r>
        <w:rPr>
          <w:rFonts w:eastAsia="Times New Roman"/>
        </w:rPr>
        <w:t xml:space="preserve"> (Accessed: 10 May 2026).</w:t>
      </w:r>
    </w:p>
    <w:p w14:paraId="3087E929">
      <w:pPr>
        <w:ind w:left="810" w:hanging="810"/>
        <w:jc w:val="both"/>
        <w:rPr>
          <w:rFonts w:eastAsia="Times New Roman"/>
        </w:rPr>
      </w:pPr>
      <w:r>
        <w:rPr>
          <w:rFonts w:eastAsia="Times New Roman"/>
        </w:rPr>
        <w:t>Schein, E.H., 2010. </w:t>
      </w:r>
      <w:r>
        <w:rPr>
          <w:rFonts w:eastAsia="Times New Roman"/>
          <w:i/>
          <w:iCs/>
        </w:rPr>
        <w:t>Organizational culture and leadership</w:t>
      </w:r>
      <w:r>
        <w:rPr>
          <w:rFonts w:eastAsia="Times New Roman"/>
        </w:rPr>
        <w:t> (Vol. 2). John Wiley &amp; Sons.</w:t>
      </w:r>
    </w:p>
    <w:p w14:paraId="69089558">
      <w:pPr>
        <w:ind w:left="810" w:hanging="810"/>
        <w:jc w:val="both"/>
        <w:rPr>
          <w:rFonts w:eastAsia="Times New Roman"/>
        </w:rPr>
      </w:pPr>
      <w:r>
        <w:rPr>
          <w:rFonts w:eastAsia="Times New Roman"/>
        </w:rPr>
        <w:t>Simon, H.A. (1977) The New Science of Management Decision. Revised edn. Englewood Cliffs, NJ: Prentice Hall.</w:t>
      </w:r>
    </w:p>
    <w:p w14:paraId="09564DCE">
      <w:pPr>
        <w:ind w:left="810" w:hanging="810"/>
        <w:jc w:val="both"/>
        <w:rPr>
          <w:rFonts w:eastAsia="Times New Roman"/>
        </w:rPr>
      </w:pPr>
      <w:r>
        <w:rPr>
          <w:rFonts w:eastAsia="Times New Roman"/>
        </w:rPr>
        <w:t>Tuckman, B.W., 1965. Developmental sequence in small groups. </w:t>
      </w:r>
      <w:r>
        <w:rPr>
          <w:rFonts w:eastAsia="Times New Roman"/>
          <w:i/>
          <w:iCs/>
        </w:rPr>
        <w:t>Psychological bulletin</w:t>
      </w:r>
      <w:r>
        <w:rPr>
          <w:rFonts w:eastAsia="Times New Roman"/>
        </w:rPr>
        <w:t>, </w:t>
      </w:r>
      <w:r>
        <w:rPr>
          <w:rFonts w:eastAsia="Times New Roman"/>
          <w:i/>
          <w:iCs/>
        </w:rPr>
        <w:t>63</w:t>
      </w:r>
      <w:r>
        <w:rPr>
          <w:rFonts w:eastAsia="Times New Roman"/>
        </w:rPr>
        <w:t>(6), p.384.</w:t>
      </w:r>
    </w:p>
    <w:p w14:paraId="4EF37C7A">
      <w:pPr>
        <w:ind w:left="810" w:hanging="810"/>
        <w:jc w:val="both"/>
        <w:rPr>
          <w:rFonts w:eastAsia="Times New Roman"/>
        </w:rPr>
      </w:pPr>
      <w:r>
        <w:rPr>
          <w:rFonts w:eastAsia="Times New Roman"/>
        </w:rPr>
        <w:t>Tuckman, B.W. and Jensen, M.A.C. (1977) 'Stages of small group development revisited', Group and Organization Studies, 2(4), pp. 419–427.</w:t>
      </w:r>
    </w:p>
    <w:p w14:paraId="6DFB2757">
      <w:pPr>
        <w:ind w:left="810" w:hanging="810"/>
        <w:jc w:val="both"/>
        <w:rPr>
          <w:rFonts w:eastAsia="Times New Roman"/>
        </w:rPr>
      </w:pPr>
      <w:r>
        <w:rPr>
          <w:rFonts w:eastAsia="Times New Roman"/>
        </w:rPr>
        <w:t>Wellhub (2025) 'Maximizing team potential: an exploration of team effectiveness models', wellhub.com, 9 May. Available at: https://wellhub.com/en-us/blog/organizational-development/team-effectiveness-models/ (Accessed: 10 May 2026).</w:t>
      </w:r>
    </w:p>
    <w:p w14:paraId="57211855">
      <w:pPr>
        <w:ind w:left="810" w:hanging="810"/>
        <w:jc w:val="both"/>
        <w:rPr>
          <w:rFonts w:eastAsia="Times New Roman"/>
        </w:rPr>
      </w:pPr>
      <w:r>
        <w:rPr>
          <w:rFonts w:eastAsia="Times New Roman"/>
        </w:rPr>
        <w:t>Work From Anywhere (2025) 'Amazon's RTO push: culture-driven or control-driven?', wfa.team, August. Available at: https://wfa.team/blog/amazons-rto-push-culture-driven-or-control-driven/ (Accessed: 10 May 2026).</w:t>
      </w:r>
    </w:p>
    <w:p w14:paraId="2BAF6C17">
      <w:pPr>
        <w:ind w:left="810" w:hanging="810"/>
        <w:jc w:val="both"/>
        <w:rPr>
          <w:rFonts w:eastAsia="Times New Roman"/>
        </w:rPr>
      </w:pPr>
      <w:r>
        <w:rPr>
          <w:rFonts w:eastAsia="Times New Roman"/>
        </w:rPr>
        <w:t>Yawson, R.M. and Paros, A.K.B. (2023) 'Systems perspective of the use of the balanced scorecard for organization development and change', SAGE Open, 13(4).</w:t>
      </w:r>
    </w:p>
    <w:p w14:paraId="16BA6665">
      <w:pPr>
        <w:rPr>
          <w:rFonts w:eastAsia="Times New Roman"/>
        </w:rPr>
      </w:pPr>
    </w:p>
    <w:sectPr>
      <w:headerReference r:id="rId5" w:type="default"/>
      <w:footerReference r:id="rId6" w:type="default"/>
      <w:pgSz w:w="12240" w:h="15840"/>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Calibri">
    <w:panose1 w:val="020F0502020204030204"/>
    <w:charset w:val="86"/>
    <w:family w:val="swiss"/>
    <w:pitch w:val="default"/>
    <w:sig w:usb0="E4002EFF" w:usb1="C2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4031667"/>
      <w:docPartObj>
        <w:docPartGallery w:val="AutoText"/>
      </w:docPartObj>
    </w:sdtPr>
    <w:sdtContent>
      <w:p w14:paraId="506E75F3">
        <w:pPr>
          <w:pStyle w:val="17"/>
          <w:jc w:val="right"/>
        </w:pPr>
        <w:r>
          <w:fldChar w:fldCharType="begin"/>
        </w:r>
        <w:r>
          <w:instrText xml:space="preserve"> PAGE   \* MERGEFORMAT </w:instrText>
        </w:r>
        <w:r>
          <w:fldChar w:fldCharType="separate"/>
        </w:r>
        <w:r>
          <w:t>2</w:t>
        </w:r>
        <w:r>
          <w:fldChar w:fldCharType="end"/>
        </w:r>
      </w:p>
    </w:sdtContent>
  </w:sdt>
  <w:p w14:paraId="7C1A56E5">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1A196">
    <w:pPr>
      <w:pStyle w:val="20"/>
      <w:ind w:firstLine="0"/>
    </w:pPr>
    <w:r>
      <w:rPr>
        <w:caps/>
      </w:rPr>
      <w:t>Business Analytics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82775B"/>
    <w:multiLevelType w:val="multilevel"/>
    <w:tmpl w:val="1482775B"/>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rPr>
        <w:rFonts w:hint="default" w:ascii="Times New Roman" w:hAnsi="Times New Roman" w:cs="Times New Roman"/>
        <w:sz w:val="24"/>
        <w:szCs w:val="24"/>
      </w:rPr>
    </w:lvl>
    <w:lvl w:ilvl="3" w:tentative="0">
      <w:start w:val="1"/>
      <w:numFmt w:val="decimal"/>
      <w:pStyle w:val="5"/>
      <w:lvlText w:val="%1.%2.%3.%4"/>
      <w:lvlJc w:val="left"/>
      <w:pPr>
        <w:ind w:left="86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95C"/>
    <w:rsid w:val="000042FD"/>
    <w:rsid w:val="0000612B"/>
    <w:rsid w:val="00010B0B"/>
    <w:rsid w:val="00011ADA"/>
    <w:rsid w:val="00012FB1"/>
    <w:rsid w:val="00013E36"/>
    <w:rsid w:val="0001486B"/>
    <w:rsid w:val="000158F4"/>
    <w:rsid w:val="000203BD"/>
    <w:rsid w:val="000205E7"/>
    <w:rsid w:val="00022D71"/>
    <w:rsid w:val="00023C33"/>
    <w:rsid w:val="00024506"/>
    <w:rsid w:val="00026B06"/>
    <w:rsid w:val="00027493"/>
    <w:rsid w:val="000278B3"/>
    <w:rsid w:val="00027F98"/>
    <w:rsid w:val="0003078E"/>
    <w:rsid w:val="000341BA"/>
    <w:rsid w:val="00036FB0"/>
    <w:rsid w:val="00037D32"/>
    <w:rsid w:val="00040352"/>
    <w:rsid w:val="00041790"/>
    <w:rsid w:val="000427CC"/>
    <w:rsid w:val="00044291"/>
    <w:rsid w:val="000444FB"/>
    <w:rsid w:val="00045B16"/>
    <w:rsid w:val="00047FA2"/>
    <w:rsid w:val="0005018E"/>
    <w:rsid w:val="00051447"/>
    <w:rsid w:val="000514FB"/>
    <w:rsid w:val="00051AE6"/>
    <w:rsid w:val="00051E58"/>
    <w:rsid w:val="00054E76"/>
    <w:rsid w:val="00055AC5"/>
    <w:rsid w:val="00056B76"/>
    <w:rsid w:val="00057159"/>
    <w:rsid w:val="0005744F"/>
    <w:rsid w:val="00062183"/>
    <w:rsid w:val="00063A46"/>
    <w:rsid w:val="00067313"/>
    <w:rsid w:val="00072666"/>
    <w:rsid w:val="000763EE"/>
    <w:rsid w:val="00080B70"/>
    <w:rsid w:val="00081224"/>
    <w:rsid w:val="00084A1A"/>
    <w:rsid w:val="00090B76"/>
    <w:rsid w:val="00090DE5"/>
    <w:rsid w:val="00091858"/>
    <w:rsid w:val="0009401C"/>
    <w:rsid w:val="00096B19"/>
    <w:rsid w:val="000A06CD"/>
    <w:rsid w:val="000A0F17"/>
    <w:rsid w:val="000A0FC2"/>
    <w:rsid w:val="000A1650"/>
    <w:rsid w:val="000A174C"/>
    <w:rsid w:val="000A3799"/>
    <w:rsid w:val="000B08B2"/>
    <w:rsid w:val="000B1141"/>
    <w:rsid w:val="000B18F8"/>
    <w:rsid w:val="000B33B7"/>
    <w:rsid w:val="000B426C"/>
    <w:rsid w:val="000B48E8"/>
    <w:rsid w:val="000B5548"/>
    <w:rsid w:val="000B5E1E"/>
    <w:rsid w:val="000C2F17"/>
    <w:rsid w:val="000C3A93"/>
    <w:rsid w:val="000C5277"/>
    <w:rsid w:val="000C5B35"/>
    <w:rsid w:val="000C6F10"/>
    <w:rsid w:val="000C7153"/>
    <w:rsid w:val="000D2DF7"/>
    <w:rsid w:val="000D4E1F"/>
    <w:rsid w:val="000D607E"/>
    <w:rsid w:val="000D7253"/>
    <w:rsid w:val="000E0599"/>
    <w:rsid w:val="000E11E2"/>
    <w:rsid w:val="000E1AA2"/>
    <w:rsid w:val="000E482E"/>
    <w:rsid w:val="000E497A"/>
    <w:rsid w:val="000E4F8E"/>
    <w:rsid w:val="000E6320"/>
    <w:rsid w:val="000F2361"/>
    <w:rsid w:val="000F3C6C"/>
    <w:rsid w:val="000F552E"/>
    <w:rsid w:val="000F5B95"/>
    <w:rsid w:val="000F6419"/>
    <w:rsid w:val="000F6DD2"/>
    <w:rsid w:val="000F7177"/>
    <w:rsid w:val="000F7BC2"/>
    <w:rsid w:val="00101458"/>
    <w:rsid w:val="00105213"/>
    <w:rsid w:val="0010565F"/>
    <w:rsid w:val="00105E17"/>
    <w:rsid w:val="00105EAE"/>
    <w:rsid w:val="00111E91"/>
    <w:rsid w:val="00112E1F"/>
    <w:rsid w:val="00113714"/>
    <w:rsid w:val="00115198"/>
    <w:rsid w:val="00115272"/>
    <w:rsid w:val="001158E4"/>
    <w:rsid w:val="001216E6"/>
    <w:rsid w:val="001239A8"/>
    <w:rsid w:val="001252BE"/>
    <w:rsid w:val="00134EF6"/>
    <w:rsid w:val="0013570F"/>
    <w:rsid w:val="0013618C"/>
    <w:rsid w:val="00146665"/>
    <w:rsid w:val="001468EF"/>
    <w:rsid w:val="00146F19"/>
    <w:rsid w:val="00150440"/>
    <w:rsid w:val="00150B1C"/>
    <w:rsid w:val="0015395D"/>
    <w:rsid w:val="00153988"/>
    <w:rsid w:val="00157039"/>
    <w:rsid w:val="00161825"/>
    <w:rsid w:val="00161FAB"/>
    <w:rsid w:val="001629AD"/>
    <w:rsid w:val="00166E4C"/>
    <w:rsid w:val="0016718D"/>
    <w:rsid w:val="001674D2"/>
    <w:rsid w:val="00171A84"/>
    <w:rsid w:val="00171C5D"/>
    <w:rsid w:val="001729FF"/>
    <w:rsid w:val="00173683"/>
    <w:rsid w:val="00173EA6"/>
    <w:rsid w:val="00174D34"/>
    <w:rsid w:val="00175C82"/>
    <w:rsid w:val="00177918"/>
    <w:rsid w:val="00177CE8"/>
    <w:rsid w:val="00177F18"/>
    <w:rsid w:val="00181112"/>
    <w:rsid w:val="00181243"/>
    <w:rsid w:val="00181CBE"/>
    <w:rsid w:val="001833E3"/>
    <w:rsid w:val="00184395"/>
    <w:rsid w:val="00185A04"/>
    <w:rsid w:val="00185CCC"/>
    <w:rsid w:val="00185F15"/>
    <w:rsid w:val="00186033"/>
    <w:rsid w:val="00187C28"/>
    <w:rsid w:val="00187EAC"/>
    <w:rsid w:val="001909FA"/>
    <w:rsid w:val="00191000"/>
    <w:rsid w:val="001926DC"/>
    <w:rsid w:val="001948B0"/>
    <w:rsid w:val="00197B61"/>
    <w:rsid w:val="00197DD0"/>
    <w:rsid w:val="001A0970"/>
    <w:rsid w:val="001A3525"/>
    <w:rsid w:val="001B0136"/>
    <w:rsid w:val="001B1F90"/>
    <w:rsid w:val="001B3B1C"/>
    <w:rsid w:val="001B5120"/>
    <w:rsid w:val="001B6607"/>
    <w:rsid w:val="001B7491"/>
    <w:rsid w:val="001C3722"/>
    <w:rsid w:val="001C43A1"/>
    <w:rsid w:val="001C5AF2"/>
    <w:rsid w:val="001C7774"/>
    <w:rsid w:val="001D02A7"/>
    <w:rsid w:val="001D0633"/>
    <w:rsid w:val="001D0A8A"/>
    <w:rsid w:val="001D2E26"/>
    <w:rsid w:val="001D5B10"/>
    <w:rsid w:val="001D5E30"/>
    <w:rsid w:val="001D6534"/>
    <w:rsid w:val="001D6648"/>
    <w:rsid w:val="001E2525"/>
    <w:rsid w:val="001E2FAE"/>
    <w:rsid w:val="001E4D7E"/>
    <w:rsid w:val="001E787B"/>
    <w:rsid w:val="001E7E8C"/>
    <w:rsid w:val="001F15CB"/>
    <w:rsid w:val="001F3DC2"/>
    <w:rsid w:val="001F77C6"/>
    <w:rsid w:val="002038D0"/>
    <w:rsid w:val="002069B6"/>
    <w:rsid w:val="00206AB7"/>
    <w:rsid w:val="0020744B"/>
    <w:rsid w:val="00211531"/>
    <w:rsid w:val="00212B3D"/>
    <w:rsid w:val="00212D5D"/>
    <w:rsid w:val="00214A49"/>
    <w:rsid w:val="00216AB3"/>
    <w:rsid w:val="002209E6"/>
    <w:rsid w:val="00221128"/>
    <w:rsid w:val="00221882"/>
    <w:rsid w:val="00222F2B"/>
    <w:rsid w:val="002255C0"/>
    <w:rsid w:val="00231B3E"/>
    <w:rsid w:val="002320FD"/>
    <w:rsid w:val="002342BF"/>
    <w:rsid w:val="002347D5"/>
    <w:rsid w:val="00235231"/>
    <w:rsid w:val="00235FF1"/>
    <w:rsid w:val="00236BD6"/>
    <w:rsid w:val="00236C46"/>
    <w:rsid w:val="002376F0"/>
    <w:rsid w:val="00240F3A"/>
    <w:rsid w:val="0024217A"/>
    <w:rsid w:val="00243083"/>
    <w:rsid w:val="00245533"/>
    <w:rsid w:val="00245C16"/>
    <w:rsid w:val="00247627"/>
    <w:rsid w:val="00250080"/>
    <w:rsid w:val="002542C8"/>
    <w:rsid w:val="00255250"/>
    <w:rsid w:val="002554A2"/>
    <w:rsid w:val="00256372"/>
    <w:rsid w:val="00260220"/>
    <w:rsid w:val="0026240F"/>
    <w:rsid w:val="00264F46"/>
    <w:rsid w:val="00267F0D"/>
    <w:rsid w:val="00270310"/>
    <w:rsid w:val="0027163C"/>
    <w:rsid w:val="002745A8"/>
    <w:rsid w:val="00276374"/>
    <w:rsid w:val="00276EFF"/>
    <w:rsid w:val="0027729B"/>
    <w:rsid w:val="002779F0"/>
    <w:rsid w:val="00281A26"/>
    <w:rsid w:val="0028476C"/>
    <w:rsid w:val="002904C8"/>
    <w:rsid w:val="002917EF"/>
    <w:rsid w:val="002919E3"/>
    <w:rsid w:val="002933EA"/>
    <w:rsid w:val="00293E23"/>
    <w:rsid w:val="00295A00"/>
    <w:rsid w:val="00295D34"/>
    <w:rsid w:val="0029601D"/>
    <w:rsid w:val="00296831"/>
    <w:rsid w:val="002972DB"/>
    <w:rsid w:val="00297311"/>
    <w:rsid w:val="002A186D"/>
    <w:rsid w:val="002A26E8"/>
    <w:rsid w:val="002A3146"/>
    <w:rsid w:val="002A5FC6"/>
    <w:rsid w:val="002A7A57"/>
    <w:rsid w:val="002B176A"/>
    <w:rsid w:val="002B1FAF"/>
    <w:rsid w:val="002B23A2"/>
    <w:rsid w:val="002B2719"/>
    <w:rsid w:val="002B41C2"/>
    <w:rsid w:val="002B5715"/>
    <w:rsid w:val="002B5C52"/>
    <w:rsid w:val="002B634C"/>
    <w:rsid w:val="002B645B"/>
    <w:rsid w:val="002B76E6"/>
    <w:rsid w:val="002C4C49"/>
    <w:rsid w:val="002C68CE"/>
    <w:rsid w:val="002C7069"/>
    <w:rsid w:val="002C7A44"/>
    <w:rsid w:val="002D1619"/>
    <w:rsid w:val="002D304B"/>
    <w:rsid w:val="002D3554"/>
    <w:rsid w:val="002D3971"/>
    <w:rsid w:val="002D6FA3"/>
    <w:rsid w:val="002D7F1C"/>
    <w:rsid w:val="002E214C"/>
    <w:rsid w:val="002E27A0"/>
    <w:rsid w:val="002E2F3D"/>
    <w:rsid w:val="002F13A7"/>
    <w:rsid w:val="002F2A0B"/>
    <w:rsid w:val="002F4AE0"/>
    <w:rsid w:val="002F6D27"/>
    <w:rsid w:val="002F76AE"/>
    <w:rsid w:val="00301E99"/>
    <w:rsid w:val="0030303B"/>
    <w:rsid w:val="0030441F"/>
    <w:rsid w:val="003048E7"/>
    <w:rsid w:val="00310699"/>
    <w:rsid w:val="0031417C"/>
    <w:rsid w:val="003142F4"/>
    <w:rsid w:val="00314C83"/>
    <w:rsid w:val="0031502A"/>
    <w:rsid w:val="003153BD"/>
    <w:rsid w:val="003161FA"/>
    <w:rsid w:val="003166A6"/>
    <w:rsid w:val="003232E7"/>
    <w:rsid w:val="00326DCB"/>
    <w:rsid w:val="00327FEE"/>
    <w:rsid w:val="0033007F"/>
    <w:rsid w:val="00330FA5"/>
    <w:rsid w:val="003320BC"/>
    <w:rsid w:val="00332C4A"/>
    <w:rsid w:val="00333AC2"/>
    <w:rsid w:val="00335DC6"/>
    <w:rsid w:val="00335F31"/>
    <w:rsid w:val="00341265"/>
    <w:rsid w:val="003432CF"/>
    <w:rsid w:val="003439B7"/>
    <w:rsid w:val="00345666"/>
    <w:rsid w:val="00347AFC"/>
    <w:rsid w:val="00350594"/>
    <w:rsid w:val="00350D01"/>
    <w:rsid w:val="0035109D"/>
    <w:rsid w:val="00353D96"/>
    <w:rsid w:val="00356413"/>
    <w:rsid w:val="00357036"/>
    <w:rsid w:val="00360B8B"/>
    <w:rsid w:val="00360EC0"/>
    <w:rsid w:val="00361948"/>
    <w:rsid w:val="003627CC"/>
    <w:rsid w:val="00362DD8"/>
    <w:rsid w:val="0036322E"/>
    <w:rsid w:val="00363B83"/>
    <w:rsid w:val="00364CAC"/>
    <w:rsid w:val="003651AB"/>
    <w:rsid w:val="00365EF5"/>
    <w:rsid w:val="003665E3"/>
    <w:rsid w:val="00371FB0"/>
    <w:rsid w:val="00373078"/>
    <w:rsid w:val="0037436A"/>
    <w:rsid w:val="003778AB"/>
    <w:rsid w:val="003802B8"/>
    <w:rsid w:val="003807BE"/>
    <w:rsid w:val="00383DE7"/>
    <w:rsid w:val="00385332"/>
    <w:rsid w:val="00390BF6"/>
    <w:rsid w:val="003940C6"/>
    <w:rsid w:val="0039442F"/>
    <w:rsid w:val="003945FC"/>
    <w:rsid w:val="003946C3"/>
    <w:rsid w:val="003973FF"/>
    <w:rsid w:val="003A133C"/>
    <w:rsid w:val="003A24F6"/>
    <w:rsid w:val="003A3F48"/>
    <w:rsid w:val="003A6652"/>
    <w:rsid w:val="003A6DE6"/>
    <w:rsid w:val="003A7A41"/>
    <w:rsid w:val="003A7E55"/>
    <w:rsid w:val="003B1755"/>
    <w:rsid w:val="003B384A"/>
    <w:rsid w:val="003B5906"/>
    <w:rsid w:val="003B65E3"/>
    <w:rsid w:val="003B6EDA"/>
    <w:rsid w:val="003C20FE"/>
    <w:rsid w:val="003C2D09"/>
    <w:rsid w:val="003C34A0"/>
    <w:rsid w:val="003D1575"/>
    <w:rsid w:val="003D19BE"/>
    <w:rsid w:val="003D7790"/>
    <w:rsid w:val="003E12F2"/>
    <w:rsid w:val="003E2180"/>
    <w:rsid w:val="003E2C4E"/>
    <w:rsid w:val="003E6C6C"/>
    <w:rsid w:val="003E6D11"/>
    <w:rsid w:val="003F03B2"/>
    <w:rsid w:val="003F35FF"/>
    <w:rsid w:val="003F3CDB"/>
    <w:rsid w:val="003F5195"/>
    <w:rsid w:val="003F5AF2"/>
    <w:rsid w:val="003F5D0C"/>
    <w:rsid w:val="003F7C15"/>
    <w:rsid w:val="00402274"/>
    <w:rsid w:val="00402501"/>
    <w:rsid w:val="00402A55"/>
    <w:rsid w:val="00403937"/>
    <w:rsid w:val="00403954"/>
    <w:rsid w:val="004046A2"/>
    <w:rsid w:val="00404B88"/>
    <w:rsid w:val="00404C62"/>
    <w:rsid w:val="00406081"/>
    <w:rsid w:val="00406394"/>
    <w:rsid w:val="0040694A"/>
    <w:rsid w:val="004076CE"/>
    <w:rsid w:val="00410424"/>
    <w:rsid w:val="00410D54"/>
    <w:rsid w:val="00411F44"/>
    <w:rsid w:val="00413039"/>
    <w:rsid w:val="00413F80"/>
    <w:rsid w:val="00414067"/>
    <w:rsid w:val="00416F74"/>
    <w:rsid w:val="0042036E"/>
    <w:rsid w:val="004235F2"/>
    <w:rsid w:val="00425CA2"/>
    <w:rsid w:val="004262C0"/>
    <w:rsid w:val="00427062"/>
    <w:rsid w:val="00427077"/>
    <w:rsid w:val="00431DE1"/>
    <w:rsid w:val="004321CC"/>
    <w:rsid w:val="004325BD"/>
    <w:rsid w:val="00432CF0"/>
    <w:rsid w:val="0043324D"/>
    <w:rsid w:val="0043551D"/>
    <w:rsid w:val="004365A2"/>
    <w:rsid w:val="0043680F"/>
    <w:rsid w:val="004376A2"/>
    <w:rsid w:val="00437CE5"/>
    <w:rsid w:val="00442861"/>
    <w:rsid w:val="00442C7D"/>
    <w:rsid w:val="00444BAC"/>
    <w:rsid w:val="00445A96"/>
    <w:rsid w:val="004463F0"/>
    <w:rsid w:val="004471E4"/>
    <w:rsid w:val="004475E3"/>
    <w:rsid w:val="00451048"/>
    <w:rsid w:val="00452730"/>
    <w:rsid w:val="00452A59"/>
    <w:rsid w:val="00452C09"/>
    <w:rsid w:val="00453765"/>
    <w:rsid w:val="00454102"/>
    <w:rsid w:val="004548A0"/>
    <w:rsid w:val="004552FE"/>
    <w:rsid w:val="004555BE"/>
    <w:rsid w:val="004555FF"/>
    <w:rsid w:val="00456CE6"/>
    <w:rsid w:val="00461404"/>
    <w:rsid w:val="004627CB"/>
    <w:rsid w:val="00463D0C"/>
    <w:rsid w:val="00463D29"/>
    <w:rsid w:val="0046437D"/>
    <w:rsid w:val="00464B07"/>
    <w:rsid w:val="00465541"/>
    <w:rsid w:val="0046565E"/>
    <w:rsid w:val="00466C79"/>
    <w:rsid w:val="0047106A"/>
    <w:rsid w:val="00471B91"/>
    <w:rsid w:val="00473ECC"/>
    <w:rsid w:val="00474204"/>
    <w:rsid w:val="0047470A"/>
    <w:rsid w:val="00474874"/>
    <w:rsid w:val="0047497A"/>
    <w:rsid w:val="00476D8F"/>
    <w:rsid w:val="00477025"/>
    <w:rsid w:val="0047776F"/>
    <w:rsid w:val="004804B0"/>
    <w:rsid w:val="004810C4"/>
    <w:rsid w:val="004813FF"/>
    <w:rsid w:val="00481DFE"/>
    <w:rsid w:val="004825CD"/>
    <w:rsid w:val="0048299E"/>
    <w:rsid w:val="00483980"/>
    <w:rsid w:val="00484CB2"/>
    <w:rsid w:val="00484D7C"/>
    <w:rsid w:val="004853D8"/>
    <w:rsid w:val="004866B0"/>
    <w:rsid w:val="00490389"/>
    <w:rsid w:val="00492BFB"/>
    <w:rsid w:val="00493A43"/>
    <w:rsid w:val="00494A52"/>
    <w:rsid w:val="004A1D39"/>
    <w:rsid w:val="004A4D9A"/>
    <w:rsid w:val="004A5586"/>
    <w:rsid w:val="004A5752"/>
    <w:rsid w:val="004A6015"/>
    <w:rsid w:val="004A7A6B"/>
    <w:rsid w:val="004B2356"/>
    <w:rsid w:val="004B3B44"/>
    <w:rsid w:val="004B54CA"/>
    <w:rsid w:val="004B7750"/>
    <w:rsid w:val="004C4CAE"/>
    <w:rsid w:val="004C50C2"/>
    <w:rsid w:val="004C59E6"/>
    <w:rsid w:val="004C6F40"/>
    <w:rsid w:val="004D0889"/>
    <w:rsid w:val="004D0AF2"/>
    <w:rsid w:val="004D1127"/>
    <w:rsid w:val="004D363E"/>
    <w:rsid w:val="004D41C3"/>
    <w:rsid w:val="004D6B02"/>
    <w:rsid w:val="004D7F67"/>
    <w:rsid w:val="004E2AFD"/>
    <w:rsid w:val="004E2D3A"/>
    <w:rsid w:val="004E383E"/>
    <w:rsid w:val="004E454B"/>
    <w:rsid w:val="004E57D0"/>
    <w:rsid w:val="004E75C7"/>
    <w:rsid w:val="004F089C"/>
    <w:rsid w:val="004F0B24"/>
    <w:rsid w:val="004F0C41"/>
    <w:rsid w:val="004F1503"/>
    <w:rsid w:val="004F1BBE"/>
    <w:rsid w:val="004F3023"/>
    <w:rsid w:val="004F5979"/>
    <w:rsid w:val="004F5C22"/>
    <w:rsid w:val="004F6741"/>
    <w:rsid w:val="005041DE"/>
    <w:rsid w:val="00505429"/>
    <w:rsid w:val="005065EC"/>
    <w:rsid w:val="005065EF"/>
    <w:rsid w:val="00506D70"/>
    <w:rsid w:val="00507D41"/>
    <w:rsid w:val="00520207"/>
    <w:rsid w:val="00520E8A"/>
    <w:rsid w:val="005221D5"/>
    <w:rsid w:val="00526374"/>
    <w:rsid w:val="00527DA7"/>
    <w:rsid w:val="00531D71"/>
    <w:rsid w:val="00531D8D"/>
    <w:rsid w:val="00532B7E"/>
    <w:rsid w:val="00532F66"/>
    <w:rsid w:val="0053317D"/>
    <w:rsid w:val="00533588"/>
    <w:rsid w:val="00533723"/>
    <w:rsid w:val="00533C6F"/>
    <w:rsid w:val="00536234"/>
    <w:rsid w:val="005368F1"/>
    <w:rsid w:val="00537CB6"/>
    <w:rsid w:val="00537E07"/>
    <w:rsid w:val="00541192"/>
    <w:rsid w:val="0054228E"/>
    <w:rsid w:val="00542684"/>
    <w:rsid w:val="0054495D"/>
    <w:rsid w:val="00544C06"/>
    <w:rsid w:val="00545853"/>
    <w:rsid w:val="00546DD3"/>
    <w:rsid w:val="00547D2A"/>
    <w:rsid w:val="00550A5C"/>
    <w:rsid w:val="00550DDE"/>
    <w:rsid w:val="00553309"/>
    <w:rsid w:val="0055350B"/>
    <w:rsid w:val="00561075"/>
    <w:rsid w:val="005611F4"/>
    <w:rsid w:val="00561803"/>
    <w:rsid w:val="00562CD8"/>
    <w:rsid w:val="005630F4"/>
    <w:rsid w:val="00563544"/>
    <w:rsid w:val="00564AD6"/>
    <w:rsid w:val="00564C81"/>
    <w:rsid w:val="0056502C"/>
    <w:rsid w:val="00565477"/>
    <w:rsid w:val="00566627"/>
    <w:rsid w:val="00567443"/>
    <w:rsid w:val="00570B3B"/>
    <w:rsid w:val="00571D2F"/>
    <w:rsid w:val="00572768"/>
    <w:rsid w:val="00573911"/>
    <w:rsid w:val="00573EF5"/>
    <w:rsid w:val="00575B7F"/>
    <w:rsid w:val="00575C32"/>
    <w:rsid w:val="00580703"/>
    <w:rsid w:val="00581600"/>
    <w:rsid w:val="005816B5"/>
    <w:rsid w:val="00581D42"/>
    <w:rsid w:val="00581EBE"/>
    <w:rsid w:val="00582B78"/>
    <w:rsid w:val="0058374C"/>
    <w:rsid w:val="00584932"/>
    <w:rsid w:val="0058682E"/>
    <w:rsid w:val="00587BA6"/>
    <w:rsid w:val="005916B1"/>
    <w:rsid w:val="00592B5D"/>
    <w:rsid w:val="0059715C"/>
    <w:rsid w:val="005976B1"/>
    <w:rsid w:val="0059795E"/>
    <w:rsid w:val="00597CC0"/>
    <w:rsid w:val="00597EBB"/>
    <w:rsid w:val="005A1904"/>
    <w:rsid w:val="005A2116"/>
    <w:rsid w:val="005A4FB2"/>
    <w:rsid w:val="005A5DF0"/>
    <w:rsid w:val="005A7335"/>
    <w:rsid w:val="005A7644"/>
    <w:rsid w:val="005B1B29"/>
    <w:rsid w:val="005B1C4A"/>
    <w:rsid w:val="005B45F4"/>
    <w:rsid w:val="005B4EEC"/>
    <w:rsid w:val="005B58C5"/>
    <w:rsid w:val="005B5AE3"/>
    <w:rsid w:val="005B6A72"/>
    <w:rsid w:val="005B730D"/>
    <w:rsid w:val="005B7D3D"/>
    <w:rsid w:val="005B7EA1"/>
    <w:rsid w:val="005C0E30"/>
    <w:rsid w:val="005C1C66"/>
    <w:rsid w:val="005C54DE"/>
    <w:rsid w:val="005C6570"/>
    <w:rsid w:val="005C7386"/>
    <w:rsid w:val="005D0C57"/>
    <w:rsid w:val="005D0DED"/>
    <w:rsid w:val="005D2B76"/>
    <w:rsid w:val="005D629A"/>
    <w:rsid w:val="005D6C3D"/>
    <w:rsid w:val="005D75AA"/>
    <w:rsid w:val="005E082C"/>
    <w:rsid w:val="005E19F0"/>
    <w:rsid w:val="005E20A8"/>
    <w:rsid w:val="005E2BA5"/>
    <w:rsid w:val="005E2C58"/>
    <w:rsid w:val="005E3CC5"/>
    <w:rsid w:val="005E48A5"/>
    <w:rsid w:val="005E61C1"/>
    <w:rsid w:val="005E69B9"/>
    <w:rsid w:val="005E6DC6"/>
    <w:rsid w:val="005F0666"/>
    <w:rsid w:val="005F28F8"/>
    <w:rsid w:val="005F4997"/>
    <w:rsid w:val="005F6BD1"/>
    <w:rsid w:val="005F7E10"/>
    <w:rsid w:val="006011A8"/>
    <w:rsid w:val="006012EB"/>
    <w:rsid w:val="00601BDB"/>
    <w:rsid w:val="00601D1F"/>
    <w:rsid w:val="00602E46"/>
    <w:rsid w:val="006034A7"/>
    <w:rsid w:val="006054FE"/>
    <w:rsid w:val="00605C43"/>
    <w:rsid w:val="00606634"/>
    <w:rsid w:val="00607F70"/>
    <w:rsid w:val="006103CD"/>
    <w:rsid w:val="006104B5"/>
    <w:rsid w:val="006115D3"/>
    <w:rsid w:val="006116B1"/>
    <w:rsid w:val="00612351"/>
    <w:rsid w:val="00612584"/>
    <w:rsid w:val="00614EFF"/>
    <w:rsid w:val="00615E97"/>
    <w:rsid w:val="00616F7D"/>
    <w:rsid w:val="006175B8"/>
    <w:rsid w:val="006204E5"/>
    <w:rsid w:val="0062069D"/>
    <w:rsid w:val="00621321"/>
    <w:rsid w:val="00622707"/>
    <w:rsid w:val="00624E5F"/>
    <w:rsid w:val="006261DF"/>
    <w:rsid w:val="0062681F"/>
    <w:rsid w:val="00626EB1"/>
    <w:rsid w:val="00627B99"/>
    <w:rsid w:val="00630654"/>
    <w:rsid w:val="00631AD5"/>
    <w:rsid w:val="00632147"/>
    <w:rsid w:val="00634E39"/>
    <w:rsid w:val="00637863"/>
    <w:rsid w:val="00641486"/>
    <w:rsid w:val="00643196"/>
    <w:rsid w:val="00643C1A"/>
    <w:rsid w:val="00652024"/>
    <w:rsid w:val="00653A42"/>
    <w:rsid w:val="00654D57"/>
    <w:rsid w:val="00654E70"/>
    <w:rsid w:val="00656681"/>
    <w:rsid w:val="0065762C"/>
    <w:rsid w:val="00661A78"/>
    <w:rsid w:val="00665340"/>
    <w:rsid w:val="00665B26"/>
    <w:rsid w:val="00670106"/>
    <w:rsid w:val="00670E4E"/>
    <w:rsid w:val="0067434C"/>
    <w:rsid w:val="00677DB1"/>
    <w:rsid w:val="006814C0"/>
    <w:rsid w:val="006819DA"/>
    <w:rsid w:val="00682560"/>
    <w:rsid w:val="00684673"/>
    <w:rsid w:val="00684EEC"/>
    <w:rsid w:val="0068580C"/>
    <w:rsid w:val="00685C9E"/>
    <w:rsid w:val="00687D8B"/>
    <w:rsid w:val="00690BC7"/>
    <w:rsid w:val="00692717"/>
    <w:rsid w:val="00692F61"/>
    <w:rsid w:val="00694211"/>
    <w:rsid w:val="00694462"/>
    <w:rsid w:val="006957BE"/>
    <w:rsid w:val="0069757B"/>
    <w:rsid w:val="006A06D1"/>
    <w:rsid w:val="006A2279"/>
    <w:rsid w:val="006A2995"/>
    <w:rsid w:val="006A3C15"/>
    <w:rsid w:val="006B3481"/>
    <w:rsid w:val="006B3963"/>
    <w:rsid w:val="006B3DA9"/>
    <w:rsid w:val="006B495E"/>
    <w:rsid w:val="006B4BB6"/>
    <w:rsid w:val="006B4D36"/>
    <w:rsid w:val="006C0F28"/>
    <w:rsid w:val="006C199D"/>
    <w:rsid w:val="006C2DFA"/>
    <w:rsid w:val="006C44E1"/>
    <w:rsid w:val="006C4985"/>
    <w:rsid w:val="006C4E22"/>
    <w:rsid w:val="006C7D44"/>
    <w:rsid w:val="006D1E1B"/>
    <w:rsid w:val="006D3F9E"/>
    <w:rsid w:val="006D506E"/>
    <w:rsid w:val="006D6298"/>
    <w:rsid w:val="006D7C4F"/>
    <w:rsid w:val="006E0813"/>
    <w:rsid w:val="006E0F4D"/>
    <w:rsid w:val="006E1192"/>
    <w:rsid w:val="006E22A4"/>
    <w:rsid w:val="006E24D8"/>
    <w:rsid w:val="006E7349"/>
    <w:rsid w:val="006F0237"/>
    <w:rsid w:val="006F1ABD"/>
    <w:rsid w:val="006F1BF4"/>
    <w:rsid w:val="006F2CC8"/>
    <w:rsid w:val="006F2EA2"/>
    <w:rsid w:val="006F3637"/>
    <w:rsid w:val="006F44C2"/>
    <w:rsid w:val="006F75C3"/>
    <w:rsid w:val="00700B40"/>
    <w:rsid w:val="0070160D"/>
    <w:rsid w:val="00705319"/>
    <w:rsid w:val="007106AC"/>
    <w:rsid w:val="00711200"/>
    <w:rsid w:val="007126B7"/>
    <w:rsid w:val="007153DC"/>
    <w:rsid w:val="007153F5"/>
    <w:rsid w:val="0072479D"/>
    <w:rsid w:val="007255B6"/>
    <w:rsid w:val="007260D0"/>
    <w:rsid w:val="00730A86"/>
    <w:rsid w:val="00730DD1"/>
    <w:rsid w:val="00731CDF"/>
    <w:rsid w:val="0073272B"/>
    <w:rsid w:val="00733C94"/>
    <w:rsid w:val="00734825"/>
    <w:rsid w:val="00737D51"/>
    <w:rsid w:val="00742F0E"/>
    <w:rsid w:val="007437E7"/>
    <w:rsid w:val="007438E5"/>
    <w:rsid w:val="007454D9"/>
    <w:rsid w:val="00747EFA"/>
    <w:rsid w:val="00751459"/>
    <w:rsid w:val="00751E77"/>
    <w:rsid w:val="00752D99"/>
    <w:rsid w:val="007532DB"/>
    <w:rsid w:val="00753423"/>
    <w:rsid w:val="00753BE3"/>
    <w:rsid w:val="007545BD"/>
    <w:rsid w:val="00755584"/>
    <w:rsid w:val="007562B8"/>
    <w:rsid w:val="00756611"/>
    <w:rsid w:val="00756B73"/>
    <w:rsid w:val="00756F5C"/>
    <w:rsid w:val="0075710F"/>
    <w:rsid w:val="0075757C"/>
    <w:rsid w:val="00762608"/>
    <w:rsid w:val="007627E4"/>
    <w:rsid w:val="00764EA8"/>
    <w:rsid w:val="007664FD"/>
    <w:rsid w:val="00767B04"/>
    <w:rsid w:val="00771F76"/>
    <w:rsid w:val="00775FBF"/>
    <w:rsid w:val="007774BB"/>
    <w:rsid w:val="00777BB8"/>
    <w:rsid w:val="007810CD"/>
    <w:rsid w:val="0078248B"/>
    <w:rsid w:val="00782EEF"/>
    <w:rsid w:val="007838B2"/>
    <w:rsid w:val="00790646"/>
    <w:rsid w:val="007909BD"/>
    <w:rsid w:val="00790BD0"/>
    <w:rsid w:val="00794A0F"/>
    <w:rsid w:val="007950BC"/>
    <w:rsid w:val="007A054C"/>
    <w:rsid w:val="007A0985"/>
    <w:rsid w:val="007A0F19"/>
    <w:rsid w:val="007A18BC"/>
    <w:rsid w:val="007A6EEA"/>
    <w:rsid w:val="007B31FD"/>
    <w:rsid w:val="007B670A"/>
    <w:rsid w:val="007B7868"/>
    <w:rsid w:val="007B7952"/>
    <w:rsid w:val="007B7B15"/>
    <w:rsid w:val="007C00E5"/>
    <w:rsid w:val="007C07E5"/>
    <w:rsid w:val="007C1879"/>
    <w:rsid w:val="007C6114"/>
    <w:rsid w:val="007C6754"/>
    <w:rsid w:val="007D060D"/>
    <w:rsid w:val="007D23E0"/>
    <w:rsid w:val="007D2C92"/>
    <w:rsid w:val="007D34F5"/>
    <w:rsid w:val="007D48E9"/>
    <w:rsid w:val="007D52B2"/>
    <w:rsid w:val="007D77CD"/>
    <w:rsid w:val="007E2463"/>
    <w:rsid w:val="007E3F96"/>
    <w:rsid w:val="007E4B57"/>
    <w:rsid w:val="007E646A"/>
    <w:rsid w:val="007F1091"/>
    <w:rsid w:val="007F3650"/>
    <w:rsid w:val="007F646B"/>
    <w:rsid w:val="007F6E94"/>
    <w:rsid w:val="007F7995"/>
    <w:rsid w:val="008011FC"/>
    <w:rsid w:val="008018BA"/>
    <w:rsid w:val="008033BB"/>
    <w:rsid w:val="00803D33"/>
    <w:rsid w:val="00804423"/>
    <w:rsid w:val="00805843"/>
    <w:rsid w:val="008114D6"/>
    <w:rsid w:val="00812A0B"/>
    <w:rsid w:val="00814AB9"/>
    <w:rsid w:val="00815C02"/>
    <w:rsid w:val="00816A6B"/>
    <w:rsid w:val="008212FC"/>
    <w:rsid w:val="0082252E"/>
    <w:rsid w:val="0082270A"/>
    <w:rsid w:val="00823F96"/>
    <w:rsid w:val="008276B2"/>
    <w:rsid w:val="00827798"/>
    <w:rsid w:val="00830E25"/>
    <w:rsid w:val="00832671"/>
    <w:rsid w:val="008341F5"/>
    <w:rsid w:val="00836E31"/>
    <w:rsid w:val="00840E5D"/>
    <w:rsid w:val="00841B8F"/>
    <w:rsid w:val="008429B0"/>
    <w:rsid w:val="00844941"/>
    <w:rsid w:val="00845DE8"/>
    <w:rsid w:val="008472C3"/>
    <w:rsid w:val="00847559"/>
    <w:rsid w:val="008501D3"/>
    <w:rsid w:val="0085123B"/>
    <w:rsid w:val="0085249A"/>
    <w:rsid w:val="00852B75"/>
    <w:rsid w:val="00852BCC"/>
    <w:rsid w:val="00852C70"/>
    <w:rsid w:val="0085381E"/>
    <w:rsid w:val="008539BF"/>
    <w:rsid w:val="00856A30"/>
    <w:rsid w:val="008578A2"/>
    <w:rsid w:val="00860153"/>
    <w:rsid w:val="00860303"/>
    <w:rsid w:val="00861031"/>
    <w:rsid w:val="00861614"/>
    <w:rsid w:val="008626E3"/>
    <w:rsid w:val="00863070"/>
    <w:rsid w:val="00865D05"/>
    <w:rsid w:val="008702A4"/>
    <w:rsid w:val="00872E46"/>
    <w:rsid w:val="00877FD3"/>
    <w:rsid w:val="00880E26"/>
    <w:rsid w:val="00881079"/>
    <w:rsid w:val="00882062"/>
    <w:rsid w:val="0088298D"/>
    <w:rsid w:val="008919C1"/>
    <w:rsid w:val="00891F08"/>
    <w:rsid w:val="0089219C"/>
    <w:rsid w:val="00893075"/>
    <w:rsid w:val="0089475D"/>
    <w:rsid w:val="00894E1B"/>
    <w:rsid w:val="008955AE"/>
    <w:rsid w:val="008967D3"/>
    <w:rsid w:val="00896F73"/>
    <w:rsid w:val="008A0845"/>
    <w:rsid w:val="008A2F06"/>
    <w:rsid w:val="008A37B4"/>
    <w:rsid w:val="008A511D"/>
    <w:rsid w:val="008A5B24"/>
    <w:rsid w:val="008A6CBF"/>
    <w:rsid w:val="008B20A8"/>
    <w:rsid w:val="008C2613"/>
    <w:rsid w:val="008C3F4A"/>
    <w:rsid w:val="008C65B1"/>
    <w:rsid w:val="008C780E"/>
    <w:rsid w:val="008C78A7"/>
    <w:rsid w:val="008D1D5D"/>
    <w:rsid w:val="008D2C9D"/>
    <w:rsid w:val="008D49CE"/>
    <w:rsid w:val="008D4FEF"/>
    <w:rsid w:val="008D559C"/>
    <w:rsid w:val="008D6B93"/>
    <w:rsid w:val="008E0032"/>
    <w:rsid w:val="008E03D6"/>
    <w:rsid w:val="008E3639"/>
    <w:rsid w:val="008E60DA"/>
    <w:rsid w:val="008E6126"/>
    <w:rsid w:val="008E7BDA"/>
    <w:rsid w:val="008E7F16"/>
    <w:rsid w:val="008F0891"/>
    <w:rsid w:val="008F120F"/>
    <w:rsid w:val="008F4966"/>
    <w:rsid w:val="008F6EDD"/>
    <w:rsid w:val="008F7609"/>
    <w:rsid w:val="00901936"/>
    <w:rsid w:val="00906025"/>
    <w:rsid w:val="00907173"/>
    <w:rsid w:val="0090791B"/>
    <w:rsid w:val="009133EA"/>
    <w:rsid w:val="009154DE"/>
    <w:rsid w:val="00915C85"/>
    <w:rsid w:val="009160EA"/>
    <w:rsid w:val="00917CEA"/>
    <w:rsid w:val="00917EB1"/>
    <w:rsid w:val="0092061B"/>
    <w:rsid w:val="00920D11"/>
    <w:rsid w:val="00921B6E"/>
    <w:rsid w:val="009220A0"/>
    <w:rsid w:val="0092376D"/>
    <w:rsid w:val="009249B2"/>
    <w:rsid w:val="00924AEA"/>
    <w:rsid w:val="0092580B"/>
    <w:rsid w:val="009262F8"/>
    <w:rsid w:val="00927287"/>
    <w:rsid w:val="00927724"/>
    <w:rsid w:val="009336F5"/>
    <w:rsid w:val="00936ABA"/>
    <w:rsid w:val="00941530"/>
    <w:rsid w:val="00942B48"/>
    <w:rsid w:val="0094350A"/>
    <w:rsid w:val="00947E7E"/>
    <w:rsid w:val="00950B98"/>
    <w:rsid w:val="00951EB7"/>
    <w:rsid w:val="00952178"/>
    <w:rsid w:val="00954B73"/>
    <w:rsid w:val="009566EA"/>
    <w:rsid w:val="00957A13"/>
    <w:rsid w:val="009611F6"/>
    <w:rsid w:val="00961B0B"/>
    <w:rsid w:val="009629B8"/>
    <w:rsid w:val="009645BE"/>
    <w:rsid w:val="00966AEF"/>
    <w:rsid w:val="00967A7C"/>
    <w:rsid w:val="00971A4D"/>
    <w:rsid w:val="00972476"/>
    <w:rsid w:val="009735A0"/>
    <w:rsid w:val="009738AE"/>
    <w:rsid w:val="00973F7C"/>
    <w:rsid w:val="00974316"/>
    <w:rsid w:val="00975204"/>
    <w:rsid w:val="009756EC"/>
    <w:rsid w:val="00976568"/>
    <w:rsid w:val="00976D03"/>
    <w:rsid w:val="009774EA"/>
    <w:rsid w:val="0097794F"/>
    <w:rsid w:val="00980947"/>
    <w:rsid w:val="00983055"/>
    <w:rsid w:val="0098330A"/>
    <w:rsid w:val="00985924"/>
    <w:rsid w:val="00990883"/>
    <w:rsid w:val="009914BA"/>
    <w:rsid w:val="00992482"/>
    <w:rsid w:val="00992BED"/>
    <w:rsid w:val="0099370F"/>
    <w:rsid w:val="0099549F"/>
    <w:rsid w:val="00996442"/>
    <w:rsid w:val="00996493"/>
    <w:rsid w:val="00996A55"/>
    <w:rsid w:val="0099738A"/>
    <w:rsid w:val="009977E9"/>
    <w:rsid w:val="00997FE1"/>
    <w:rsid w:val="009A0E6B"/>
    <w:rsid w:val="009A139F"/>
    <w:rsid w:val="009A26D6"/>
    <w:rsid w:val="009A422F"/>
    <w:rsid w:val="009A47D5"/>
    <w:rsid w:val="009A76F4"/>
    <w:rsid w:val="009B0129"/>
    <w:rsid w:val="009B1F23"/>
    <w:rsid w:val="009B38BD"/>
    <w:rsid w:val="009B3F46"/>
    <w:rsid w:val="009B4125"/>
    <w:rsid w:val="009B5554"/>
    <w:rsid w:val="009B6BC4"/>
    <w:rsid w:val="009B6C49"/>
    <w:rsid w:val="009B72E6"/>
    <w:rsid w:val="009C0034"/>
    <w:rsid w:val="009C03C7"/>
    <w:rsid w:val="009C0C1A"/>
    <w:rsid w:val="009C1D74"/>
    <w:rsid w:val="009C564E"/>
    <w:rsid w:val="009C56C4"/>
    <w:rsid w:val="009C70EB"/>
    <w:rsid w:val="009C743D"/>
    <w:rsid w:val="009D148C"/>
    <w:rsid w:val="009D72DC"/>
    <w:rsid w:val="009D7FB9"/>
    <w:rsid w:val="009E067F"/>
    <w:rsid w:val="009E3DCA"/>
    <w:rsid w:val="009E543B"/>
    <w:rsid w:val="009E78A0"/>
    <w:rsid w:val="009F022D"/>
    <w:rsid w:val="009F0EF2"/>
    <w:rsid w:val="009F2CEC"/>
    <w:rsid w:val="009F3FD3"/>
    <w:rsid w:val="009F5750"/>
    <w:rsid w:val="00A00156"/>
    <w:rsid w:val="00A02290"/>
    <w:rsid w:val="00A06033"/>
    <w:rsid w:val="00A061ED"/>
    <w:rsid w:val="00A06D33"/>
    <w:rsid w:val="00A07E40"/>
    <w:rsid w:val="00A1428E"/>
    <w:rsid w:val="00A15021"/>
    <w:rsid w:val="00A15F89"/>
    <w:rsid w:val="00A15F8E"/>
    <w:rsid w:val="00A17441"/>
    <w:rsid w:val="00A176D6"/>
    <w:rsid w:val="00A20D1A"/>
    <w:rsid w:val="00A21356"/>
    <w:rsid w:val="00A213BE"/>
    <w:rsid w:val="00A25152"/>
    <w:rsid w:val="00A26ED3"/>
    <w:rsid w:val="00A317F8"/>
    <w:rsid w:val="00A31F1B"/>
    <w:rsid w:val="00A32A89"/>
    <w:rsid w:val="00A34B6B"/>
    <w:rsid w:val="00A34C38"/>
    <w:rsid w:val="00A359B0"/>
    <w:rsid w:val="00A36FED"/>
    <w:rsid w:val="00A40806"/>
    <w:rsid w:val="00A41672"/>
    <w:rsid w:val="00A4185E"/>
    <w:rsid w:val="00A4198C"/>
    <w:rsid w:val="00A43E02"/>
    <w:rsid w:val="00A44313"/>
    <w:rsid w:val="00A479B3"/>
    <w:rsid w:val="00A50368"/>
    <w:rsid w:val="00A545C0"/>
    <w:rsid w:val="00A54CC6"/>
    <w:rsid w:val="00A57147"/>
    <w:rsid w:val="00A575CB"/>
    <w:rsid w:val="00A57B04"/>
    <w:rsid w:val="00A60F20"/>
    <w:rsid w:val="00A616F1"/>
    <w:rsid w:val="00A61BFF"/>
    <w:rsid w:val="00A6202A"/>
    <w:rsid w:val="00A64863"/>
    <w:rsid w:val="00A64DDD"/>
    <w:rsid w:val="00A651E0"/>
    <w:rsid w:val="00A70191"/>
    <w:rsid w:val="00A704A0"/>
    <w:rsid w:val="00A73141"/>
    <w:rsid w:val="00A7591D"/>
    <w:rsid w:val="00A7679C"/>
    <w:rsid w:val="00A76B4F"/>
    <w:rsid w:val="00A7731F"/>
    <w:rsid w:val="00A80332"/>
    <w:rsid w:val="00A80E67"/>
    <w:rsid w:val="00A81312"/>
    <w:rsid w:val="00A81342"/>
    <w:rsid w:val="00A82686"/>
    <w:rsid w:val="00A83F3F"/>
    <w:rsid w:val="00A85196"/>
    <w:rsid w:val="00A85705"/>
    <w:rsid w:val="00A85FBD"/>
    <w:rsid w:val="00A864CC"/>
    <w:rsid w:val="00A876EC"/>
    <w:rsid w:val="00A90E95"/>
    <w:rsid w:val="00A91E6E"/>
    <w:rsid w:val="00A93803"/>
    <w:rsid w:val="00A96BDE"/>
    <w:rsid w:val="00A971B3"/>
    <w:rsid w:val="00AA3344"/>
    <w:rsid w:val="00AA42F1"/>
    <w:rsid w:val="00AA444C"/>
    <w:rsid w:val="00AA4CC2"/>
    <w:rsid w:val="00AA6389"/>
    <w:rsid w:val="00AA6897"/>
    <w:rsid w:val="00AA6BE9"/>
    <w:rsid w:val="00AB07B2"/>
    <w:rsid w:val="00AB34A8"/>
    <w:rsid w:val="00AB3623"/>
    <w:rsid w:val="00AB417C"/>
    <w:rsid w:val="00AB4304"/>
    <w:rsid w:val="00AB4D8E"/>
    <w:rsid w:val="00AC0473"/>
    <w:rsid w:val="00AD04E0"/>
    <w:rsid w:val="00AD41C9"/>
    <w:rsid w:val="00AD5CBC"/>
    <w:rsid w:val="00AE3886"/>
    <w:rsid w:val="00AE398B"/>
    <w:rsid w:val="00AE4586"/>
    <w:rsid w:val="00AE4655"/>
    <w:rsid w:val="00AE46D7"/>
    <w:rsid w:val="00AE5E4E"/>
    <w:rsid w:val="00AE6071"/>
    <w:rsid w:val="00AE66B6"/>
    <w:rsid w:val="00AE6757"/>
    <w:rsid w:val="00AE6F18"/>
    <w:rsid w:val="00AE76A2"/>
    <w:rsid w:val="00AE7CB1"/>
    <w:rsid w:val="00AE7F35"/>
    <w:rsid w:val="00AF04CD"/>
    <w:rsid w:val="00AF2FF1"/>
    <w:rsid w:val="00AF32EA"/>
    <w:rsid w:val="00AF5950"/>
    <w:rsid w:val="00AF72A6"/>
    <w:rsid w:val="00B00A0A"/>
    <w:rsid w:val="00B00A56"/>
    <w:rsid w:val="00B06F99"/>
    <w:rsid w:val="00B06FBB"/>
    <w:rsid w:val="00B07662"/>
    <w:rsid w:val="00B10184"/>
    <w:rsid w:val="00B10893"/>
    <w:rsid w:val="00B1214A"/>
    <w:rsid w:val="00B16177"/>
    <w:rsid w:val="00B200F2"/>
    <w:rsid w:val="00B229B5"/>
    <w:rsid w:val="00B23D8E"/>
    <w:rsid w:val="00B24536"/>
    <w:rsid w:val="00B25269"/>
    <w:rsid w:val="00B25306"/>
    <w:rsid w:val="00B25F2F"/>
    <w:rsid w:val="00B2602F"/>
    <w:rsid w:val="00B26BD0"/>
    <w:rsid w:val="00B307C5"/>
    <w:rsid w:val="00B31BD2"/>
    <w:rsid w:val="00B325E2"/>
    <w:rsid w:val="00B3447A"/>
    <w:rsid w:val="00B3507C"/>
    <w:rsid w:val="00B432E2"/>
    <w:rsid w:val="00B435E5"/>
    <w:rsid w:val="00B505EE"/>
    <w:rsid w:val="00B51762"/>
    <w:rsid w:val="00B51FBC"/>
    <w:rsid w:val="00B52028"/>
    <w:rsid w:val="00B548F2"/>
    <w:rsid w:val="00B57B0E"/>
    <w:rsid w:val="00B61149"/>
    <w:rsid w:val="00B617F1"/>
    <w:rsid w:val="00B62E52"/>
    <w:rsid w:val="00B630B1"/>
    <w:rsid w:val="00B630F3"/>
    <w:rsid w:val="00B666F7"/>
    <w:rsid w:val="00B718FF"/>
    <w:rsid w:val="00B73098"/>
    <w:rsid w:val="00B74527"/>
    <w:rsid w:val="00B75FFA"/>
    <w:rsid w:val="00B765FA"/>
    <w:rsid w:val="00B76F17"/>
    <w:rsid w:val="00B7724E"/>
    <w:rsid w:val="00B81B77"/>
    <w:rsid w:val="00B83ED2"/>
    <w:rsid w:val="00B84824"/>
    <w:rsid w:val="00B86CCA"/>
    <w:rsid w:val="00B901A7"/>
    <w:rsid w:val="00B90367"/>
    <w:rsid w:val="00B90628"/>
    <w:rsid w:val="00B907B4"/>
    <w:rsid w:val="00B93745"/>
    <w:rsid w:val="00B941EE"/>
    <w:rsid w:val="00B95573"/>
    <w:rsid w:val="00B95F8A"/>
    <w:rsid w:val="00BA1018"/>
    <w:rsid w:val="00BA1764"/>
    <w:rsid w:val="00BA3DCE"/>
    <w:rsid w:val="00BA6C1E"/>
    <w:rsid w:val="00BA7F2A"/>
    <w:rsid w:val="00BB0BF2"/>
    <w:rsid w:val="00BB0DDD"/>
    <w:rsid w:val="00BB1F5E"/>
    <w:rsid w:val="00BB23A1"/>
    <w:rsid w:val="00BB509A"/>
    <w:rsid w:val="00BB6C1F"/>
    <w:rsid w:val="00BB7642"/>
    <w:rsid w:val="00BC0E97"/>
    <w:rsid w:val="00BC2AFA"/>
    <w:rsid w:val="00BC3053"/>
    <w:rsid w:val="00BC496E"/>
    <w:rsid w:val="00BC4CB2"/>
    <w:rsid w:val="00BC5644"/>
    <w:rsid w:val="00BC5F06"/>
    <w:rsid w:val="00BD0345"/>
    <w:rsid w:val="00BD0765"/>
    <w:rsid w:val="00BD07C2"/>
    <w:rsid w:val="00BD0DD7"/>
    <w:rsid w:val="00BD5906"/>
    <w:rsid w:val="00BD5C2B"/>
    <w:rsid w:val="00BE0287"/>
    <w:rsid w:val="00BE59BE"/>
    <w:rsid w:val="00BE62FA"/>
    <w:rsid w:val="00BE7CE2"/>
    <w:rsid w:val="00BE7D7F"/>
    <w:rsid w:val="00BF5ECD"/>
    <w:rsid w:val="00BF6571"/>
    <w:rsid w:val="00BF69A5"/>
    <w:rsid w:val="00BF72EA"/>
    <w:rsid w:val="00C00FF7"/>
    <w:rsid w:val="00C01C91"/>
    <w:rsid w:val="00C039D1"/>
    <w:rsid w:val="00C0481F"/>
    <w:rsid w:val="00C04A35"/>
    <w:rsid w:val="00C0689C"/>
    <w:rsid w:val="00C07396"/>
    <w:rsid w:val="00C106D9"/>
    <w:rsid w:val="00C1077B"/>
    <w:rsid w:val="00C10ED8"/>
    <w:rsid w:val="00C11699"/>
    <w:rsid w:val="00C120DC"/>
    <w:rsid w:val="00C128E6"/>
    <w:rsid w:val="00C12F32"/>
    <w:rsid w:val="00C13508"/>
    <w:rsid w:val="00C13834"/>
    <w:rsid w:val="00C139ED"/>
    <w:rsid w:val="00C2009B"/>
    <w:rsid w:val="00C23045"/>
    <w:rsid w:val="00C239C5"/>
    <w:rsid w:val="00C306E2"/>
    <w:rsid w:val="00C34444"/>
    <w:rsid w:val="00C3755E"/>
    <w:rsid w:val="00C37A85"/>
    <w:rsid w:val="00C4088E"/>
    <w:rsid w:val="00C40EB7"/>
    <w:rsid w:val="00C412F2"/>
    <w:rsid w:val="00C41E9B"/>
    <w:rsid w:val="00C4279A"/>
    <w:rsid w:val="00C46959"/>
    <w:rsid w:val="00C47B95"/>
    <w:rsid w:val="00C5303B"/>
    <w:rsid w:val="00C5303E"/>
    <w:rsid w:val="00C5357C"/>
    <w:rsid w:val="00C5377A"/>
    <w:rsid w:val="00C548E2"/>
    <w:rsid w:val="00C556A6"/>
    <w:rsid w:val="00C565D1"/>
    <w:rsid w:val="00C60825"/>
    <w:rsid w:val="00C60C3B"/>
    <w:rsid w:val="00C62CDB"/>
    <w:rsid w:val="00C63FCC"/>
    <w:rsid w:val="00C64460"/>
    <w:rsid w:val="00C64CA8"/>
    <w:rsid w:val="00C66FDA"/>
    <w:rsid w:val="00C67157"/>
    <w:rsid w:val="00C70F0D"/>
    <w:rsid w:val="00C7105F"/>
    <w:rsid w:val="00C71416"/>
    <w:rsid w:val="00C731E4"/>
    <w:rsid w:val="00C742FB"/>
    <w:rsid w:val="00C74DC5"/>
    <w:rsid w:val="00C77A14"/>
    <w:rsid w:val="00C77CCF"/>
    <w:rsid w:val="00C8007D"/>
    <w:rsid w:val="00C8084B"/>
    <w:rsid w:val="00C80B5C"/>
    <w:rsid w:val="00C8118A"/>
    <w:rsid w:val="00C81AE2"/>
    <w:rsid w:val="00C83765"/>
    <w:rsid w:val="00C86440"/>
    <w:rsid w:val="00C864F6"/>
    <w:rsid w:val="00C86E37"/>
    <w:rsid w:val="00C924E9"/>
    <w:rsid w:val="00C928C5"/>
    <w:rsid w:val="00C93A43"/>
    <w:rsid w:val="00CA044A"/>
    <w:rsid w:val="00CA0BA4"/>
    <w:rsid w:val="00CA0F38"/>
    <w:rsid w:val="00CA1CAE"/>
    <w:rsid w:val="00CA1DF7"/>
    <w:rsid w:val="00CA2C97"/>
    <w:rsid w:val="00CA54EA"/>
    <w:rsid w:val="00CA6F08"/>
    <w:rsid w:val="00CA7DF6"/>
    <w:rsid w:val="00CB0549"/>
    <w:rsid w:val="00CB0DA0"/>
    <w:rsid w:val="00CB14F9"/>
    <w:rsid w:val="00CB2970"/>
    <w:rsid w:val="00CB4EB7"/>
    <w:rsid w:val="00CB5CFB"/>
    <w:rsid w:val="00CB6067"/>
    <w:rsid w:val="00CB6C27"/>
    <w:rsid w:val="00CC1488"/>
    <w:rsid w:val="00CC46E7"/>
    <w:rsid w:val="00CC5297"/>
    <w:rsid w:val="00CC5F3B"/>
    <w:rsid w:val="00CD28E4"/>
    <w:rsid w:val="00CD2F03"/>
    <w:rsid w:val="00CD3322"/>
    <w:rsid w:val="00CD3DDF"/>
    <w:rsid w:val="00CD426B"/>
    <w:rsid w:val="00CD44BC"/>
    <w:rsid w:val="00CD52C2"/>
    <w:rsid w:val="00CE0B1C"/>
    <w:rsid w:val="00CE3580"/>
    <w:rsid w:val="00CE3F6A"/>
    <w:rsid w:val="00CE403D"/>
    <w:rsid w:val="00CE405E"/>
    <w:rsid w:val="00CF105E"/>
    <w:rsid w:val="00CF30C5"/>
    <w:rsid w:val="00CF4069"/>
    <w:rsid w:val="00CF4E09"/>
    <w:rsid w:val="00CF5AD3"/>
    <w:rsid w:val="00CF6E52"/>
    <w:rsid w:val="00D005A8"/>
    <w:rsid w:val="00D0158D"/>
    <w:rsid w:val="00D03EF8"/>
    <w:rsid w:val="00D0528F"/>
    <w:rsid w:val="00D0609C"/>
    <w:rsid w:val="00D06622"/>
    <w:rsid w:val="00D06809"/>
    <w:rsid w:val="00D07871"/>
    <w:rsid w:val="00D12405"/>
    <w:rsid w:val="00D17ED9"/>
    <w:rsid w:val="00D214AC"/>
    <w:rsid w:val="00D21B28"/>
    <w:rsid w:val="00D25269"/>
    <w:rsid w:val="00D26BDB"/>
    <w:rsid w:val="00D31AAF"/>
    <w:rsid w:val="00D33226"/>
    <w:rsid w:val="00D3670D"/>
    <w:rsid w:val="00D40D19"/>
    <w:rsid w:val="00D4118D"/>
    <w:rsid w:val="00D41D0E"/>
    <w:rsid w:val="00D43648"/>
    <w:rsid w:val="00D436BE"/>
    <w:rsid w:val="00D44FE0"/>
    <w:rsid w:val="00D45F2D"/>
    <w:rsid w:val="00D46B6C"/>
    <w:rsid w:val="00D473DE"/>
    <w:rsid w:val="00D47500"/>
    <w:rsid w:val="00D529B7"/>
    <w:rsid w:val="00D52C78"/>
    <w:rsid w:val="00D52F4D"/>
    <w:rsid w:val="00D53B28"/>
    <w:rsid w:val="00D55882"/>
    <w:rsid w:val="00D55F5C"/>
    <w:rsid w:val="00D56703"/>
    <w:rsid w:val="00D56D0E"/>
    <w:rsid w:val="00D5700B"/>
    <w:rsid w:val="00D571FA"/>
    <w:rsid w:val="00D6223D"/>
    <w:rsid w:val="00D6256E"/>
    <w:rsid w:val="00D63D29"/>
    <w:rsid w:val="00D640E8"/>
    <w:rsid w:val="00D64A16"/>
    <w:rsid w:val="00D65544"/>
    <w:rsid w:val="00D6563A"/>
    <w:rsid w:val="00D6569A"/>
    <w:rsid w:val="00D6601F"/>
    <w:rsid w:val="00D6673C"/>
    <w:rsid w:val="00D66C16"/>
    <w:rsid w:val="00D707C5"/>
    <w:rsid w:val="00D70C07"/>
    <w:rsid w:val="00D737C7"/>
    <w:rsid w:val="00D755B9"/>
    <w:rsid w:val="00D77C87"/>
    <w:rsid w:val="00D829B6"/>
    <w:rsid w:val="00D83019"/>
    <w:rsid w:val="00D858C3"/>
    <w:rsid w:val="00D85EDA"/>
    <w:rsid w:val="00D90984"/>
    <w:rsid w:val="00D94700"/>
    <w:rsid w:val="00D95E2C"/>
    <w:rsid w:val="00D974D9"/>
    <w:rsid w:val="00DA09DE"/>
    <w:rsid w:val="00DA212B"/>
    <w:rsid w:val="00DA35AC"/>
    <w:rsid w:val="00DA4738"/>
    <w:rsid w:val="00DA4C8A"/>
    <w:rsid w:val="00DA63AC"/>
    <w:rsid w:val="00DA7133"/>
    <w:rsid w:val="00DA73BB"/>
    <w:rsid w:val="00DB0662"/>
    <w:rsid w:val="00DB1F70"/>
    <w:rsid w:val="00DB1FA0"/>
    <w:rsid w:val="00DB2060"/>
    <w:rsid w:val="00DB2B81"/>
    <w:rsid w:val="00DB3B37"/>
    <w:rsid w:val="00DB5DD8"/>
    <w:rsid w:val="00DC43BD"/>
    <w:rsid w:val="00DC595E"/>
    <w:rsid w:val="00DC716B"/>
    <w:rsid w:val="00DD0549"/>
    <w:rsid w:val="00DD1B0F"/>
    <w:rsid w:val="00DD2F24"/>
    <w:rsid w:val="00DD4C97"/>
    <w:rsid w:val="00DD5044"/>
    <w:rsid w:val="00DD5CE9"/>
    <w:rsid w:val="00DD69D0"/>
    <w:rsid w:val="00DD6B89"/>
    <w:rsid w:val="00DE1CC8"/>
    <w:rsid w:val="00DE3458"/>
    <w:rsid w:val="00DE5B00"/>
    <w:rsid w:val="00DE5DF9"/>
    <w:rsid w:val="00DE7752"/>
    <w:rsid w:val="00DF1FA6"/>
    <w:rsid w:val="00DF542D"/>
    <w:rsid w:val="00DF54DC"/>
    <w:rsid w:val="00DF704A"/>
    <w:rsid w:val="00DF705C"/>
    <w:rsid w:val="00E01358"/>
    <w:rsid w:val="00E01D94"/>
    <w:rsid w:val="00E025D5"/>
    <w:rsid w:val="00E03D9D"/>
    <w:rsid w:val="00E06AFB"/>
    <w:rsid w:val="00E10F9D"/>
    <w:rsid w:val="00E12986"/>
    <w:rsid w:val="00E12BC9"/>
    <w:rsid w:val="00E12E04"/>
    <w:rsid w:val="00E13EA5"/>
    <w:rsid w:val="00E16148"/>
    <w:rsid w:val="00E176F9"/>
    <w:rsid w:val="00E17B89"/>
    <w:rsid w:val="00E2113C"/>
    <w:rsid w:val="00E213D1"/>
    <w:rsid w:val="00E213F6"/>
    <w:rsid w:val="00E218E8"/>
    <w:rsid w:val="00E23CFA"/>
    <w:rsid w:val="00E23D5E"/>
    <w:rsid w:val="00E2593F"/>
    <w:rsid w:val="00E25ED1"/>
    <w:rsid w:val="00E26C72"/>
    <w:rsid w:val="00E30285"/>
    <w:rsid w:val="00E3337A"/>
    <w:rsid w:val="00E3447C"/>
    <w:rsid w:val="00E35DDD"/>
    <w:rsid w:val="00E375FE"/>
    <w:rsid w:val="00E5086C"/>
    <w:rsid w:val="00E50A1F"/>
    <w:rsid w:val="00E52544"/>
    <w:rsid w:val="00E536B7"/>
    <w:rsid w:val="00E5455B"/>
    <w:rsid w:val="00E57BB9"/>
    <w:rsid w:val="00E60C81"/>
    <w:rsid w:val="00E63AC1"/>
    <w:rsid w:val="00E642AD"/>
    <w:rsid w:val="00E646E2"/>
    <w:rsid w:val="00E653FD"/>
    <w:rsid w:val="00E65588"/>
    <w:rsid w:val="00E65AA4"/>
    <w:rsid w:val="00E663F9"/>
    <w:rsid w:val="00E665FF"/>
    <w:rsid w:val="00E71B15"/>
    <w:rsid w:val="00E72F41"/>
    <w:rsid w:val="00E73EB1"/>
    <w:rsid w:val="00E771DA"/>
    <w:rsid w:val="00E7782F"/>
    <w:rsid w:val="00E77B2D"/>
    <w:rsid w:val="00E80A7C"/>
    <w:rsid w:val="00E8162E"/>
    <w:rsid w:val="00E81A2A"/>
    <w:rsid w:val="00E84FCD"/>
    <w:rsid w:val="00E85C75"/>
    <w:rsid w:val="00E86224"/>
    <w:rsid w:val="00E865E9"/>
    <w:rsid w:val="00E872ED"/>
    <w:rsid w:val="00E878A5"/>
    <w:rsid w:val="00E87C2F"/>
    <w:rsid w:val="00E9003D"/>
    <w:rsid w:val="00E92958"/>
    <w:rsid w:val="00E9355D"/>
    <w:rsid w:val="00E958F8"/>
    <w:rsid w:val="00E9591A"/>
    <w:rsid w:val="00E97D3A"/>
    <w:rsid w:val="00EA0488"/>
    <w:rsid w:val="00EA0496"/>
    <w:rsid w:val="00EA6174"/>
    <w:rsid w:val="00EA6B81"/>
    <w:rsid w:val="00EA7B0D"/>
    <w:rsid w:val="00EB0276"/>
    <w:rsid w:val="00EB027D"/>
    <w:rsid w:val="00EB2A62"/>
    <w:rsid w:val="00EB2EF2"/>
    <w:rsid w:val="00EB3E37"/>
    <w:rsid w:val="00EB4886"/>
    <w:rsid w:val="00EB53EC"/>
    <w:rsid w:val="00EB582F"/>
    <w:rsid w:val="00EB7208"/>
    <w:rsid w:val="00EC07AA"/>
    <w:rsid w:val="00EC1E9C"/>
    <w:rsid w:val="00EC2339"/>
    <w:rsid w:val="00EC2541"/>
    <w:rsid w:val="00EC390A"/>
    <w:rsid w:val="00EC3EB4"/>
    <w:rsid w:val="00EC71D2"/>
    <w:rsid w:val="00EC773B"/>
    <w:rsid w:val="00ED3961"/>
    <w:rsid w:val="00ED5C9A"/>
    <w:rsid w:val="00ED61CD"/>
    <w:rsid w:val="00ED67AE"/>
    <w:rsid w:val="00ED6955"/>
    <w:rsid w:val="00EE2581"/>
    <w:rsid w:val="00EE78E8"/>
    <w:rsid w:val="00EF05B3"/>
    <w:rsid w:val="00EF12C2"/>
    <w:rsid w:val="00EF2AFA"/>
    <w:rsid w:val="00EF428F"/>
    <w:rsid w:val="00EF475B"/>
    <w:rsid w:val="00EF6AD0"/>
    <w:rsid w:val="00EF6FAA"/>
    <w:rsid w:val="00EF7F2D"/>
    <w:rsid w:val="00F00078"/>
    <w:rsid w:val="00F03249"/>
    <w:rsid w:val="00F04A0C"/>
    <w:rsid w:val="00F054D7"/>
    <w:rsid w:val="00F06598"/>
    <w:rsid w:val="00F070FD"/>
    <w:rsid w:val="00F12CFF"/>
    <w:rsid w:val="00F13373"/>
    <w:rsid w:val="00F14160"/>
    <w:rsid w:val="00F15D5F"/>
    <w:rsid w:val="00F16FA1"/>
    <w:rsid w:val="00F17587"/>
    <w:rsid w:val="00F2057A"/>
    <w:rsid w:val="00F246FA"/>
    <w:rsid w:val="00F27408"/>
    <w:rsid w:val="00F32D2E"/>
    <w:rsid w:val="00F357B0"/>
    <w:rsid w:val="00F40A23"/>
    <w:rsid w:val="00F4119E"/>
    <w:rsid w:val="00F43361"/>
    <w:rsid w:val="00F5006B"/>
    <w:rsid w:val="00F51C01"/>
    <w:rsid w:val="00F5766D"/>
    <w:rsid w:val="00F618CB"/>
    <w:rsid w:val="00F61A1A"/>
    <w:rsid w:val="00F630F0"/>
    <w:rsid w:val="00F63EA2"/>
    <w:rsid w:val="00F63EC9"/>
    <w:rsid w:val="00F6503E"/>
    <w:rsid w:val="00F65730"/>
    <w:rsid w:val="00F65A0A"/>
    <w:rsid w:val="00F70683"/>
    <w:rsid w:val="00F70AB1"/>
    <w:rsid w:val="00F7395C"/>
    <w:rsid w:val="00F746BF"/>
    <w:rsid w:val="00F77239"/>
    <w:rsid w:val="00F821E6"/>
    <w:rsid w:val="00F83051"/>
    <w:rsid w:val="00F84320"/>
    <w:rsid w:val="00F8440F"/>
    <w:rsid w:val="00F859F5"/>
    <w:rsid w:val="00F8784B"/>
    <w:rsid w:val="00F87C2C"/>
    <w:rsid w:val="00F902C5"/>
    <w:rsid w:val="00F929F3"/>
    <w:rsid w:val="00F92D99"/>
    <w:rsid w:val="00F93C94"/>
    <w:rsid w:val="00F947D8"/>
    <w:rsid w:val="00F97DCE"/>
    <w:rsid w:val="00FA39E7"/>
    <w:rsid w:val="00FA57A4"/>
    <w:rsid w:val="00FA68A1"/>
    <w:rsid w:val="00FA73B0"/>
    <w:rsid w:val="00FA7E35"/>
    <w:rsid w:val="00FB4715"/>
    <w:rsid w:val="00FB56E9"/>
    <w:rsid w:val="00FB5C8A"/>
    <w:rsid w:val="00FB75D2"/>
    <w:rsid w:val="00FB7A37"/>
    <w:rsid w:val="00FC37C7"/>
    <w:rsid w:val="00FC387E"/>
    <w:rsid w:val="00FC3CFC"/>
    <w:rsid w:val="00FC5770"/>
    <w:rsid w:val="00FC78DA"/>
    <w:rsid w:val="00FD0981"/>
    <w:rsid w:val="00FD158E"/>
    <w:rsid w:val="00FD329A"/>
    <w:rsid w:val="00FD5169"/>
    <w:rsid w:val="00FD521A"/>
    <w:rsid w:val="00FD5436"/>
    <w:rsid w:val="00FD61B2"/>
    <w:rsid w:val="00FD666B"/>
    <w:rsid w:val="00FD7190"/>
    <w:rsid w:val="00FE02D5"/>
    <w:rsid w:val="00FE1233"/>
    <w:rsid w:val="00FE20F1"/>
    <w:rsid w:val="00FE31EE"/>
    <w:rsid w:val="00FE57C5"/>
    <w:rsid w:val="00FE5ADF"/>
    <w:rsid w:val="00FE7C6B"/>
    <w:rsid w:val="00FE7E17"/>
    <w:rsid w:val="00FF0146"/>
    <w:rsid w:val="00FF0BBB"/>
    <w:rsid w:val="00FF20B4"/>
    <w:rsid w:val="549462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ind w:firstLine="720"/>
      <w:jc w:val="both"/>
    </w:pPr>
    <w:rPr>
      <w:rFonts w:ascii="Times New Roman" w:hAnsi="Times New Roman" w:eastAsiaTheme="minorEastAsia" w:cstheme="minorBidi"/>
      <w:sz w:val="24"/>
      <w:szCs w:val="22"/>
      <w:lang w:val="en-AU" w:eastAsia="en-US" w:bidi="ar-SA"/>
    </w:rPr>
  </w:style>
  <w:style w:type="paragraph" w:styleId="2">
    <w:name w:val="heading 1"/>
    <w:basedOn w:val="1"/>
    <w:next w:val="1"/>
    <w:link w:val="32"/>
    <w:qFormat/>
    <w:uiPriority w:val="9"/>
    <w:pPr>
      <w:keepNext/>
      <w:keepLines/>
      <w:numPr>
        <w:ilvl w:val="0"/>
        <w:numId w:val="1"/>
      </w:numPr>
      <w:spacing w:before="360"/>
      <w:jc w:val="center"/>
      <w:outlineLvl w:val="0"/>
    </w:pPr>
    <w:rPr>
      <w:rFonts w:eastAsiaTheme="majorEastAsia" w:cstheme="majorBidi"/>
      <w:b/>
      <w:bCs/>
      <w:color w:val="000000" w:themeColor="text1"/>
      <w:szCs w:val="36"/>
      <w14:textFill>
        <w14:solidFill>
          <w14:schemeClr w14:val="tx1"/>
        </w14:solidFill>
      </w14:textFill>
    </w:rPr>
  </w:style>
  <w:style w:type="paragraph" w:styleId="3">
    <w:name w:val="heading 2"/>
    <w:basedOn w:val="1"/>
    <w:next w:val="1"/>
    <w:link w:val="36"/>
    <w:unhideWhenUsed/>
    <w:qFormat/>
    <w:uiPriority w:val="9"/>
    <w:pPr>
      <w:keepNext/>
      <w:keepLines/>
      <w:numPr>
        <w:ilvl w:val="1"/>
        <w:numId w:val="1"/>
      </w:numPr>
      <w:spacing w:before="360" w:after="0"/>
      <w:outlineLvl w:val="1"/>
    </w:pPr>
    <w:rPr>
      <w:rFonts w:eastAsiaTheme="majorEastAsia" w:cstheme="majorBidi"/>
      <w:b/>
      <w:bCs/>
      <w:color w:val="000000" w:themeColor="text1"/>
      <w:szCs w:val="28"/>
      <w14:textFill>
        <w14:solidFill>
          <w14:schemeClr w14:val="tx1"/>
        </w14:solidFill>
      </w14:textFill>
    </w:rPr>
  </w:style>
  <w:style w:type="paragraph" w:styleId="4">
    <w:name w:val="heading 3"/>
    <w:basedOn w:val="1"/>
    <w:next w:val="1"/>
    <w:link w:val="37"/>
    <w:unhideWhenUsed/>
    <w:qFormat/>
    <w:uiPriority w:val="9"/>
    <w:pPr>
      <w:keepNext/>
      <w:keepLines/>
      <w:numPr>
        <w:ilvl w:val="2"/>
        <w:numId w:val="1"/>
      </w:numPr>
      <w:spacing w:before="200" w:after="0"/>
      <w:outlineLvl w:val="2"/>
    </w:pPr>
    <w:rPr>
      <w:rFonts w:eastAsiaTheme="majorEastAsia" w:cstheme="majorBidi"/>
      <w:b/>
      <w:bCs/>
      <w:i/>
      <w:color w:val="000000" w:themeColor="text1"/>
      <w14:textFill>
        <w14:solidFill>
          <w14:schemeClr w14:val="tx1"/>
        </w14:solidFill>
      </w14:textFill>
    </w:rPr>
  </w:style>
  <w:style w:type="paragraph" w:styleId="5">
    <w:name w:val="heading 4"/>
    <w:basedOn w:val="1"/>
    <w:next w:val="1"/>
    <w:link w:val="39"/>
    <w:unhideWhenUsed/>
    <w:qFormat/>
    <w:uiPriority w:val="9"/>
    <w:pPr>
      <w:keepNext/>
      <w:keepLines/>
      <w:numPr>
        <w:ilvl w:val="3"/>
        <w:numId w:val="1"/>
      </w:numPr>
      <w:spacing w:before="200" w:after="0"/>
      <w:outlineLvl w:val="3"/>
    </w:pPr>
    <w:rPr>
      <w:rFonts w:eastAsiaTheme="majorEastAsia" w:cstheme="majorBidi"/>
      <w:b/>
      <w:bCs/>
      <w:i/>
      <w:iCs/>
      <w:color w:val="000000" w:themeColor="text1"/>
      <w14:textFill>
        <w14:solidFill>
          <w14:schemeClr w14:val="tx1"/>
        </w14:solidFill>
      </w14:textFill>
    </w:rPr>
  </w:style>
  <w:style w:type="paragraph" w:styleId="6">
    <w:name w:val="heading 5"/>
    <w:basedOn w:val="1"/>
    <w:next w:val="1"/>
    <w:link w:val="40"/>
    <w:semiHidden/>
    <w:unhideWhenUsed/>
    <w:qFormat/>
    <w:uiPriority w:val="9"/>
    <w:pPr>
      <w:keepNext/>
      <w:keepLines/>
      <w:numPr>
        <w:ilvl w:val="4"/>
        <w:numId w:val="1"/>
      </w:numPr>
      <w:spacing w:before="200" w:after="0"/>
      <w:outlineLvl w:val="4"/>
    </w:pPr>
    <w:rPr>
      <w:rFonts w:eastAsiaTheme="majorEastAsia" w:cstheme="majorBidi"/>
      <w:color w:val="333F50" w:themeColor="text2" w:themeShade="BF"/>
    </w:rPr>
  </w:style>
  <w:style w:type="paragraph" w:styleId="7">
    <w:name w:val="heading 6"/>
    <w:basedOn w:val="1"/>
    <w:next w:val="1"/>
    <w:link w:val="41"/>
    <w:semiHidden/>
    <w:unhideWhenUsed/>
    <w:qFormat/>
    <w:uiPriority w:val="9"/>
    <w:pPr>
      <w:keepNext/>
      <w:keepLines/>
      <w:numPr>
        <w:ilvl w:val="5"/>
        <w:numId w:val="1"/>
      </w:numPr>
      <w:spacing w:before="200" w:after="0"/>
      <w:outlineLvl w:val="5"/>
    </w:pPr>
    <w:rPr>
      <w:rFonts w:eastAsiaTheme="majorEastAsia" w:cstheme="majorBidi"/>
      <w:i/>
      <w:iCs/>
      <w:color w:val="333F50" w:themeColor="text2" w:themeShade="BF"/>
    </w:rPr>
  </w:style>
  <w:style w:type="paragraph" w:styleId="8">
    <w:name w:val="heading 7"/>
    <w:basedOn w:val="1"/>
    <w:next w:val="1"/>
    <w:link w:val="42"/>
    <w:semiHidden/>
    <w:unhideWhenUsed/>
    <w:qFormat/>
    <w:uiPriority w:val="9"/>
    <w:pPr>
      <w:keepNext/>
      <w:keepLines/>
      <w:numPr>
        <w:ilvl w:val="6"/>
        <w:numId w:val="1"/>
      </w:numPr>
      <w:spacing w:before="200" w:after="0"/>
      <w:outlineLvl w:val="6"/>
    </w:pPr>
    <w:rPr>
      <w:rFonts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43"/>
    <w:semiHidden/>
    <w:unhideWhenUsed/>
    <w:qFormat/>
    <w:uiPriority w:val="9"/>
    <w:pPr>
      <w:keepNext/>
      <w:keepLines/>
      <w:numPr>
        <w:ilvl w:val="7"/>
        <w:numId w:val="1"/>
      </w:numPr>
      <w:spacing w:before="200" w:after="0"/>
      <w:outlineLvl w:val="7"/>
    </w:pPr>
    <w:rPr>
      <w:rFonts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44"/>
    <w:semiHidden/>
    <w:unhideWhenUsed/>
    <w:qFormat/>
    <w:uiPriority w:val="9"/>
    <w:pPr>
      <w:keepNext/>
      <w:keepLines/>
      <w:numPr>
        <w:ilvl w:val="8"/>
        <w:numId w:val="1"/>
      </w:numPr>
      <w:spacing w:before="200" w:after="0"/>
      <w:outlineLvl w:val="8"/>
    </w:pPr>
    <w:rPr>
      <w:rFonts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38"/>
    <w:semiHidden/>
    <w:unhideWhenUsed/>
    <w:qFormat/>
    <w:uiPriority w:val="99"/>
    <w:pPr>
      <w:spacing w:after="0" w:line="240" w:lineRule="auto"/>
    </w:pPr>
    <w:rPr>
      <w:rFonts w:ascii="Segoe UI" w:hAnsi="Segoe UI" w:cs="Segoe UI"/>
      <w:sz w:val="18"/>
      <w:szCs w:val="18"/>
    </w:rPr>
  </w:style>
  <w:style w:type="paragraph" w:styleId="14">
    <w:name w:val="caption"/>
    <w:basedOn w:val="1"/>
    <w:next w:val="1"/>
    <w:semiHidden/>
    <w:unhideWhenUsed/>
    <w:qFormat/>
    <w:uiPriority w:val="35"/>
    <w:pPr>
      <w:spacing w:after="200" w:line="240" w:lineRule="auto"/>
    </w:pPr>
    <w:rPr>
      <w:i/>
      <w:iCs/>
      <w:color w:val="44546A" w:themeColor="text2"/>
      <w:sz w:val="18"/>
      <w:szCs w:val="18"/>
      <w14:textFill>
        <w14:solidFill>
          <w14:schemeClr w14:val="tx2"/>
        </w14:solidFill>
      </w14:textFill>
    </w:rPr>
  </w:style>
  <w:style w:type="character" w:styleId="15">
    <w:name w:val="Emphasis"/>
    <w:basedOn w:val="11"/>
    <w:qFormat/>
    <w:uiPriority w:val="20"/>
    <w:rPr>
      <w:i/>
      <w:iCs/>
      <w:color w:val="auto"/>
    </w:rPr>
  </w:style>
  <w:style w:type="character" w:styleId="16">
    <w:name w:val="FollowedHyperlink"/>
    <w:basedOn w:val="11"/>
    <w:semiHidden/>
    <w:unhideWhenUsed/>
    <w:qFormat/>
    <w:uiPriority w:val="99"/>
    <w:rPr>
      <w:color w:val="954F72" w:themeColor="followedHyperlink"/>
      <w:u w:val="single"/>
      <w14:textFill>
        <w14:solidFill>
          <w14:schemeClr w14:val="folHlink"/>
        </w14:solidFill>
      </w14:textFill>
    </w:rPr>
  </w:style>
  <w:style w:type="paragraph" w:styleId="17">
    <w:name w:val="footer"/>
    <w:basedOn w:val="1"/>
    <w:link w:val="62"/>
    <w:unhideWhenUsed/>
    <w:qFormat/>
    <w:uiPriority w:val="99"/>
    <w:pPr>
      <w:tabs>
        <w:tab w:val="center" w:pos="4513"/>
        <w:tab w:val="right" w:pos="9026"/>
      </w:tabs>
      <w:spacing w:after="0" w:line="240" w:lineRule="auto"/>
    </w:pPr>
  </w:style>
  <w:style w:type="character" w:styleId="18">
    <w:name w:val="footnote reference"/>
    <w:basedOn w:val="11"/>
    <w:semiHidden/>
    <w:unhideWhenUsed/>
    <w:qFormat/>
    <w:uiPriority w:val="99"/>
    <w:rPr>
      <w:vertAlign w:val="superscript"/>
    </w:rPr>
  </w:style>
  <w:style w:type="paragraph" w:styleId="19">
    <w:name w:val="footnote text"/>
    <w:basedOn w:val="1"/>
    <w:link w:val="60"/>
    <w:unhideWhenUsed/>
    <w:qFormat/>
    <w:uiPriority w:val="99"/>
    <w:pPr>
      <w:spacing w:after="0" w:line="240" w:lineRule="auto"/>
    </w:pPr>
    <w:rPr>
      <w:sz w:val="20"/>
      <w:szCs w:val="20"/>
    </w:rPr>
  </w:style>
  <w:style w:type="paragraph" w:styleId="20">
    <w:name w:val="header"/>
    <w:basedOn w:val="1"/>
    <w:link w:val="61"/>
    <w:unhideWhenUsed/>
    <w:qFormat/>
    <w:uiPriority w:val="99"/>
    <w:pPr>
      <w:tabs>
        <w:tab w:val="center" w:pos="4513"/>
        <w:tab w:val="right" w:pos="9026"/>
      </w:tabs>
      <w:spacing w:after="0" w:line="240" w:lineRule="auto"/>
    </w:pPr>
  </w:style>
  <w:style w:type="character" w:styleId="21">
    <w:name w:val="Hyperlink"/>
    <w:basedOn w:val="11"/>
    <w:unhideWhenUsed/>
    <w:qFormat/>
    <w:uiPriority w:val="99"/>
    <w:rPr>
      <w:color w:val="0000FF"/>
      <w:u w:val="single"/>
    </w:rPr>
  </w:style>
  <w:style w:type="paragraph" w:styleId="22">
    <w:name w:val="Normal (Web)"/>
    <w:basedOn w:val="1"/>
    <w:unhideWhenUsed/>
    <w:qFormat/>
    <w:uiPriority w:val="99"/>
    <w:pPr>
      <w:spacing w:before="100" w:beforeAutospacing="1" w:after="100" w:afterAutospacing="1" w:line="240" w:lineRule="auto"/>
    </w:pPr>
    <w:rPr>
      <w:rFonts w:eastAsia="Times New Roman" w:cs="Times New Roman"/>
      <w:szCs w:val="24"/>
      <w:lang w:eastAsia="en-AU"/>
    </w:rPr>
  </w:style>
  <w:style w:type="character" w:styleId="23">
    <w:name w:val="Strong"/>
    <w:basedOn w:val="11"/>
    <w:qFormat/>
    <w:uiPriority w:val="22"/>
    <w:rPr>
      <w:b/>
      <w:bCs/>
      <w:color w:val="000000" w:themeColor="text1"/>
      <w14:textFill>
        <w14:solidFill>
          <w14:schemeClr w14:val="tx1"/>
        </w14:solidFill>
      </w14:textFill>
    </w:rPr>
  </w:style>
  <w:style w:type="paragraph" w:styleId="24">
    <w:name w:val="Subtitle"/>
    <w:basedOn w:val="1"/>
    <w:next w:val="1"/>
    <w:link w:val="46"/>
    <w:qFormat/>
    <w:uiPriority w:val="11"/>
    <w:pPr>
      <w:ind w:firstLine="720"/>
    </w:pPr>
    <w:rPr>
      <w:color w:val="595959" w:themeColor="text1" w:themeTint="A6"/>
      <w:spacing w:val="10"/>
      <w14:textFill>
        <w14:solidFill>
          <w14:schemeClr w14:val="tx1">
            <w14:lumMod w14:val="65000"/>
            <w14:lumOff w14:val="35000"/>
          </w14:schemeClr>
        </w14:solidFill>
      </w14:textFill>
    </w:rPr>
  </w:style>
  <w:style w:type="table" w:styleId="25">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6">
    <w:name w:val="table of figures"/>
    <w:basedOn w:val="1"/>
    <w:next w:val="1"/>
    <w:unhideWhenUsed/>
    <w:qFormat/>
    <w:uiPriority w:val="99"/>
    <w:pPr>
      <w:spacing w:after="0"/>
    </w:pPr>
  </w:style>
  <w:style w:type="paragraph" w:styleId="27">
    <w:name w:val="Title"/>
    <w:basedOn w:val="1"/>
    <w:next w:val="1"/>
    <w:link w:val="45"/>
    <w:qFormat/>
    <w:uiPriority w:val="10"/>
    <w:pPr>
      <w:spacing w:after="0"/>
      <w:contextualSpacing/>
    </w:pPr>
    <w:rPr>
      <w:rFonts w:eastAsiaTheme="majorEastAsia" w:cstheme="majorBidi"/>
      <w:color w:val="000000" w:themeColor="text1"/>
      <w:sz w:val="56"/>
      <w:szCs w:val="56"/>
      <w14:textFill>
        <w14:solidFill>
          <w14:schemeClr w14:val="tx1"/>
        </w14:solidFill>
      </w14:textFill>
    </w:rPr>
  </w:style>
  <w:style w:type="paragraph" w:styleId="28">
    <w:name w:val="toc 1"/>
    <w:basedOn w:val="1"/>
    <w:next w:val="1"/>
    <w:autoRedefine/>
    <w:unhideWhenUsed/>
    <w:qFormat/>
    <w:uiPriority w:val="39"/>
    <w:pPr>
      <w:spacing w:after="100"/>
    </w:pPr>
  </w:style>
  <w:style w:type="paragraph" w:styleId="29">
    <w:name w:val="toc 2"/>
    <w:basedOn w:val="1"/>
    <w:next w:val="1"/>
    <w:autoRedefine/>
    <w:unhideWhenUsed/>
    <w:qFormat/>
    <w:uiPriority w:val="39"/>
    <w:pPr>
      <w:spacing w:after="100"/>
      <w:ind w:left="240"/>
    </w:pPr>
  </w:style>
  <w:style w:type="paragraph" w:styleId="30">
    <w:name w:val="toc 3"/>
    <w:basedOn w:val="1"/>
    <w:next w:val="1"/>
    <w:autoRedefine/>
    <w:unhideWhenUsed/>
    <w:qFormat/>
    <w:uiPriority w:val="39"/>
    <w:pPr>
      <w:spacing w:after="100"/>
      <w:ind w:left="480"/>
    </w:pPr>
  </w:style>
  <w:style w:type="paragraph" w:styleId="31">
    <w:name w:val="List Paragraph"/>
    <w:basedOn w:val="1"/>
    <w:qFormat/>
    <w:uiPriority w:val="34"/>
    <w:pPr>
      <w:ind w:left="720"/>
      <w:contextualSpacing/>
    </w:pPr>
  </w:style>
  <w:style w:type="character" w:customStyle="1" w:styleId="32">
    <w:name w:val="Heading 1 Char"/>
    <w:basedOn w:val="11"/>
    <w:link w:val="2"/>
    <w:qFormat/>
    <w:uiPriority w:val="9"/>
    <w:rPr>
      <w:rFonts w:ascii="Times New Roman" w:hAnsi="Times New Roman" w:eastAsiaTheme="majorEastAsia" w:cstheme="majorBidi"/>
      <w:b/>
      <w:bCs/>
      <w:color w:val="000000" w:themeColor="text1"/>
      <w:sz w:val="24"/>
      <w:szCs w:val="36"/>
      <w14:textFill>
        <w14:solidFill>
          <w14:schemeClr w14:val="tx1"/>
        </w14:solidFill>
      </w14:textFill>
    </w:rPr>
  </w:style>
  <w:style w:type="paragraph" w:customStyle="1" w:styleId="33">
    <w:name w:val="cursor-hover"/>
    <w:basedOn w:val="1"/>
    <w:qFormat/>
    <w:uiPriority w:val="0"/>
    <w:pPr>
      <w:spacing w:before="100" w:beforeAutospacing="1" w:after="100" w:afterAutospacing="1" w:line="240" w:lineRule="auto"/>
    </w:pPr>
    <w:rPr>
      <w:rFonts w:eastAsia="Times New Roman" w:cs="Times New Roman"/>
      <w:szCs w:val="24"/>
      <w:lang w:eastAsia="en-AU"/>
    </w:rPr>
  </w:style>
  <w:style w:type="paragraph" w:customStyle="1" w:styleId="34">
    <w:name w:val="HTML Top of Form"/>
    <w:basedOn w:val="1"/>
    <w:next w:val="1"/>
    <w:link w:val="35"/>
    <w:semiHidden/>
    <w:unhideWhenUsed/>
    <w:qFormat/>
    <w:uiPriority w:val="99"/>
    <w:pPr>
      <w:pBdr>
        <w:bottom w:val="single" w:color="auto" w:sz="6" w:space="1"/>
      </w:pBdr>
      <w:spacing w:after="0" w:line="240" w:lineRule="auto"/>
      <w:jc w:val="center"/>
    </w:pPr>
    <w:rPr>
      <w:rFonts w:ascii="Arial" w:hAnsi="Arial" w:eastAsia="Times New Roman" w:cs="Arial"/>
      <w:vanish/>
      <w:sz w:val="16"/>
      <w:szCs w:val="16"/>
      <w:lang w:eastAsia="en-AU"/>
    </w:rPr>
  </w:style>
  <w:style w:type="character" w:customStyle="1" w:styleId="35">
    <w:name w:val="z-Top of Form Char"/>
    <w:basedOn w:val="11"/>
    <w:link w:val="34"/>
    <w:semiHidden/>
    <w:qFormat/>
    <w:uiPriority w:val="99"/>
    <w:rPr>
      <w:rFonts w:ascii="Arial" w:hAnsi="Arial" w:eastAsia="Times New Roman" w:cs="Arial"/>
      <w:vanish/>
      <w:sz w:val="16"/>
      <w:szCs w:val="16"/>
      <w:lang w:eastAsia="en-AU"/>
    </w:rPr>
  </w:style>
  <w:style w:type="character" w:customStyle="1" w:styleId="36">
    <w:name w:val="Heading 2 Char"/>
    <w:basedOn w:val="11"/>
    <w:link w:val="3"/>
    <w:qFormat/>
    <w:uiPriority w:val="9"/>
    <w:rPr>
      <w:rFonts w:ascii="Times New Roman" w:hAnsi="Times New Roman" w:eastAsiaTheme="majorEastAsia" w:cstheme="majorBidi"/>
      <w:b/>
      <w:bCs/>
      <w:color w:val="000000" w:themeColor="text1"/>
      <w:sz w:val="24"/>
      <w:szCs w:val="28"/>
      <w14:textFill>
        <w14:solidFill>
          <w14:schemeClr w14:val="tx1"/>
        </w14:solidFill>
      </w14:textFill>
    </w:rPr>
  </w:style>
  <w:style w:type="character" w:customStyle="1" w:styleId="37">
    <w:name w:val="Heading 3 Char"/>
    <w:basedOn w:val="11"/>
    <w:link w:val="4"/>
    <w:qFormat/>
    <w:uiPriority w:val="9"/>
    <w:rPr>
      <w:rFonts w:ascii="Times New Roman" w:hAnsi="Times New Roman" w:eastAsiaTheme="majorEastAsia" w:cstheme="majorBidi"/>
      <w:b/>
      <w:bCs/>
      <w:i/>
      <w:color w:val="000000" w:themeColor="text1"/>
      <w:sz w:val="24"/>
      <w14:textFill>
        <w14:solidFill>
          <w14:schemeClr w14:val="tx1"/>
        </w14:solidFill>
      </w14:textFill>
    </w:rPr>
  </w:style>
  <w:style w:type="character" w:customStyle="1" w:styleId="38">
    <w:name w:val="Balloon Text Char"/>
    <w:basedOn w:val="11"/>
    <w:link w:val="13"/>
    <w:semiHidden/>
    <w:qFormat/>
    <w:uiPriority w:val="99"/>
    <w:rPr>
      <w:rFonts w:ascii="Segoe UI" w:hAnsi="Segoe UI" w:cs="Segoe UI"/>
      <w:sz w:val="18"/>
      <w:szCs w:val="18"/>
      <w:lang w:val="en-US"/>
    </w:rPr>
  </w:style>
  <w:style w:type="character" w:customStyle="1" w:styleId="39">
    <w:name w:val="Heading 4 Char"/>
    <w:basedOn w:val="11"/>
    <w:link w:val="5"/>
    <w:qFormat/>
    <w:uiPriority w:val="9"/>
    <w:rPr>
      <w:rFonts w:ascii="Times New Roman" w:hAnsi="Times New Roman" w:eastAsiaTheme="majorEastAsia" w:cstheme="majorBidi"/>
      <w:b/>
      <w:bCs/>
      <w:i/>
      <w:iCs/>
      <w:color w:val="000000" w:themeColor="text1"/>
      <w:sz w:val="24"/>
      <w14:textFill>
        <w14:solidFill>
          <w14:schemeClr w14:val="tx1"/>
        </w14:solidFill>
      </w14:textFill>
    </w:rPr>
  </w:style>
  <w:style w:type="character" w:customStyle="1" w:styleId="40">
    <w:name w:val="Heading 5 Char"/>
    <w:basedOn w:val="11"/>
    <w:link w:val="6"/>
    <w:semiHidden/>
    <w:qFormat/>
    <w:uiPriority w:val="9"/>
    <w:rPr>
      <w:rFonts w:ascii="Times New Roman" w:hAnsi="Times New Roman" w:eastAsiaTheme="majorEastAsia" w:cstheme="majorBidi"/>
      <w:color w:val="333F50" w:themeColor="text2" w:themeShade="BF"/>
      <w:sz w:val="24"/>
    </w:rPr>
  </w:style>
  <w:style w:type="character" w:customStyle="1" w:styleId="41">
    <w:name w:val="Heading 6 Char"/>
    <w:basedOn w:val="11"/>
    <w:link w:val="7"/>
    <w:semiHidden/>
    <w:qFormat/>
    <w:uiPriority w:val="9"/>
    <w:rPr>
      <w:rFonts w:ascii="Times New Roman" w:hAnsi="Times New Roman" w:eastAsiaTheme="majorEastAsia" w:cstheme="majorBidi"/>
      <w:i/>
      <w:iCs/>
      <w:color w:val="333F50" w:themeColor="text2" w:themeShade="BF"/>
      <w:sz w:val="24"/>
    </w:rPr>
  </w:style>
  <w:style w:type="character" w:customStyle="1" w:styleId="42">
    <w:name w:val="Heading 7 Char"/>
    <w:basedOn w:val="11"/>
    <w:link w:val="8"/>
    <w:semiHidden/>
    <w:qFormat/>
    <w:uiPriority w:val="9"/>
    <w:rPr>
      <w:rFonts w:ascii="Times New Roman" w:hAnsi="Times New Roman" w:eastAsiaTheme="majorEastAsia" w:cstheme="majorBidi"/>
      <w:i/>
      <w:iCs/>
      <w:color w:val="404040" w:themeColor="text1" w:themeTint="BF"/>
      <w:sz w:val="24"/>
      <w14:textFill>
        <w14:solidFill>
          <w14:schemeClr w14:val="tx1">
            <w14:lumMod w14:val="75000"/>
            <w14:lumOff w14:val="25000"/>
          </w14:schemeClr>
        </w14:solidFill>
      </w14:textFill>
    </w:rPr>
  </w:style>
  <w:style w:type="character" w:customStyle="1" w:styleId="43">
    <w:name w:val="Heading 8 Char"/>
    <w:basedOn w:val="11"/>
    <w:link w:val="9"/>
    <w:semiHidden/>
    <w:qFormat/>
    <w:uiPriority w:val="9"/>
    <w:rPr>
      <w:rFonts w:ascii="Times New Roman" w:hAnsi="Times New Roman"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44">
    <w:name w:val="Heading 9 Char"/>
    <w:basedOn w:val="11"/>
    <w:link w:val="10"/>
    <w:semiHidden/>
    <w:qFormat/>
    <w:uiPriority w:val="9"/>
    <w:rPr>
      <w:rFonts w:ascii="Times New Roman" w:hAnsi="Times New Roman"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45">
    <w:name w:val="Title Char"/>
    <w:basedOn w:val="11"/>
    <w:link w:val="27"/>
    <w:qFormat/>
    <w:uiPriority w:val="10"/>
    <w:rPr>
      <w:rFonts w:asciiTheme="majorHAnsi" w:hAnsiTheme="majorHAnsi" w:eastAsiaTheme="majorEastAsia" w:cstheme="majorBidi"/>
      <w:color w:val="000000" w:themeColor="text1"/>
      <w:sz w:val="56"/>
      <w:szCs w:val="56"/>
      <w14:textFill>
        <w14:solidFill>
          <w14:schemeClr w14:val="tx1"/>
        </w14:solidFill>
      </w14:textFill>
    </w:rPr>
  </w:style>
  <w:style w:type="character" w:customStyle="1" w:styleId="46">
    <w:name w:val="Subtitle Char"/>
    <w:basedOn w:val="11"/>
    <w:link w:val="24"/>
    <w:qFormat/>
    <w:uiPriority w:val="11"/>
    <w:rPr>
      <w:color w:val="595959" w:themeColor="text1" w:themeTint="A6"/>
      <w:spacing w:val="10"/>
      <w14:textFill>
        <w14:solidFill>
          <w14:schemeClr w14:val="tx1">
            <w14:lumMod w14:val="65000"/>
            <w14:lumOff w14:val="35000"/>
          </w14:schemeClr>
        </w14:solidFill>
      </w14:textFill>
    </w:rPr>
  </w:style>
  <w:style w:type="paragraph" w:styleId="47">
    <w:name w:val="No Spacing"/>
    <w:qFormat/>
    <w:uiPriority w:val="1"/>
    <w:pPr>
      <w:spacing w:after="0" w:line="480" w:lineRule="auto"/>
      <w:jc w:val="center"/>
    </w:pPr>
    <w:rPr>
      <w:rFonts w:asciiTheme="majorHAnsi" w:hAnsiTheme="majorHAnsi" w:eastAsiaTheme="minorEastAsia" w:cstheme="minorBidi"/>
      <w:sz w:val="24"/>
      <w:szCs w:val="22"/>
      <w:lang w:val="en-AU" w:eastAsia="en-US" w:bidi="ar-SA"/>
    </w:rPr>
  </w:style>
  <w:style w:type="paragraph" w:styleId="48">
    <w:name w:val="Quote"/>
    <w:basedOn w:val="1"/>
    <w:next w:val="1"/>
    <w:link w:val="49"/>
    <w:qFormat/>
    <w:uiPriority w:val="29"/>
    <w:pPr>
      <w:spacing w:before="160"/>
      <w:ind w:right="720"/>
    </w:pPr>
    <w:rPr>
      <w:i/>
      <w:iCs/>
      <w:color w:val="000000" w:themeColor="text1"/>
      <w:sz w:val="20"/>
      <w14:textFill>
        <w14:solidFill>
          <w14:schemeClr w14:val="tx1"/>
        </w14:solidFill>
      </w14:textFill>
    </w:rPr>
  </w:style>
  <w:style w:type="character" w:customStyle="1" w:styleId="49">
    <w:name w:val="Quote Char"/>
    <w:basedOn w:val="11"/>
    <w:link w:val="48"/>
    <w:qFormat/>
    <w:uiPriority w:val="29"/>
    <w:rPr>
      <w:rFonts w:ascii="Times New Roman" w:hAnsi="Times New Roman"/>
      <w:i/>
      <w:iCs/>
      <w:color w:val="000000" w:themeColor="text1"/>
      <w:sz w:val="20"/>
      <w14:textFill>
        <w14:solidFill>
          <w14:schemeClr w14:val="tx1"/>
        </w14:solidFill>
      </w14:textFill>
    </w:rPr>
  </w:style>
  <w:style w:type="paragraph" w:styleId="50">
    <w:name w:val="Intense Quote"/>
    <w:basedOn w:val="1"/>
    <w:next w:val="1"/>
    <w:link w:val="51"/>
    <w:qFormat/>
    <w:uiPriority w:val="30"/>
    <w:pPr>
      <w:pBdr>
        <w:top w:val="single" w:color="F1F1F1" w:themeColor="background1" w:themeShade="F2" w:sz="24" w:space="1"/>
        <w:bottom w:val="single" w:color="F1F1F1" w:themeColor="background1" w:themeShade="F2" w:sz="24" w:space="1"/>
      </w:pBdr>
      <w:shd w:val="clear" w:color="auto" w:fill="F1F1F1" w:themeFill="background1" w:themeFillShade="F2"/>
      <w:spacing w:before="240" w:after="240"/>
      <w:ind w:left="936" w:right="936"/>
      <w:jc w:val="center"/>
    </w:pPr>
    <w:rPr>
      <w:color w:val="000000" w:themeColor="text1"/>
      <w14:textFill>
        <w14:solidFill>
          <w14:schemeClr w14:val="tx1"/>
        </w14:solidFill>
      </w14:textFill>
    </w:rPr>
  </w:style>
  <w:style w:type="character" w:customStyle="1" w:styleId="51">
    <w:name w:val="Intense Quote Char"/>
    <w:basedOn w:val="11"/>
    <w:link w:val="50"/>
    <w:qFormat/>
    <w:uiPriority w:val="30"/>
    <w:rPr>
      <w:color w:val="000000" w:themeColor="text1"/>
      <w:shd w:val="clear" w:color="auto" w:fill="F1F1F1" w:themeFill="background1" w:themeFillShade="F2"/>
      <w14:textFill>
        <w14:solidFill>
          <w14:schemeClr w14:val="tx1"/>
        </w14:solidFill>
      </w14:textFill>
    </w:rPr>
  </w:style>
  <w:style w:type="character" w:customStyle="1" w:styleId="52">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53">
    <w:name w:val="Intense Emphasis"/>
    <w:basedOn w:val="11"/>
    <w:qFormat/>
    <w:uiPriority w:val="21"/>
    <w:rPr>
      <w:b/>
      <w:bCs/>
      <w:i/>
      <w:iCs/>
      <w:caps/>
    </w:rPr>
  </w:style>
  <w:style w:type="character" w:customStyle="1" w:styleId="54">
    <w:name w:val="Subtle Reference"/>
    <w:basedOn w:val="11"/>
    <w:qFormat/>
    <w:uiPriority w:val="31"/>
    <w:rPr>
      <w:smallCaps/>
      <w:color w:val="404040" w:themeColor="text1" w:themeTint="BF"/>
      <w:u w:val="single" w:color="7F7F7F"/>
      <w14:textFill>
        <w14:solidFill>
          <w14:schemeClr w14:val="tx1">
            <w14:lumMod w14:val="75000"/>
            <w14:lumOff w14:val="25000"/>
          </w14:schemeClr>
        </w14:solidFill>
      </w14:textFill>
    </w:rPr>
  </w:style>
  <w:style w:type="character" w:customStyle="1" w:styleId="55">
    <w:name w:val="Intense Reference"/>
    <w:basedOn w:val="11"/>
    <w:qFormat/>
    <w:uiPriority w:val="32"/>
    <w:rPr>
      <w:b/>
      <w:bCs/>
      <w:smallCaps/>
      <w:u w:val="single"/>
    </w:rPr>
  </w:style>
  <w:style w:type="character" w:customStyle="1" w:styleId="56">
    <w:name w:val="Book Title"/>
    <w:basedOn w:val="11"/>
    <w:qFormat/>
    <w:uiPriority w:val="33"/>
    <w:rPr>
      <w:smallCaps/>
      <w:spacing w:val="5"/>
    </w:rPr>
  </w:style>
  <w:style w:type="paragraph" w:customStyle="1" w:styleId="57">
    <w:name w:val="TOC Heading"/>
    <w:basedOn w:val="2"/>
    <w:next w:val="1"/>
    <w:unhideWhenUsed/>
    <w:qFormat/>
    <w:uiPriority w:val="39"/>
    <w:pPr>
      <w:outlineLvl w:val="9"/>
    </w:pPr>
  </w:style>
  <w:style w:type="paragraph" w:customStyle="1" w:styleId="58">
    <w:name w:val="p"/>
    <w:basedOn w:val="1"/>
    <w:qFormat/>
    <w:uiPriority w:val="0"/>
    <w:pPr>
      <w:spacing w:before="100" w:beforeAutospacing="1" w:after="100" w:afterAutospacing="1" w:line="240" w:lineRule="auto"/>
    </w:pPr>
    <w:rPr>
      <w:rFonts w:eastAsia="Times New Roman" w:cs="Times New Roman"/>
      <w:szCs w:val="24"/>
      <w:lang w:eastAsia="en-AU"/>
    </w:rPr>
  </w:style>
  <w:style w:type="paragraph" w:customStyle="1" w:styleId="59">
    <w:name w:val="Title 2"/>
    <w:basedOn w:val="1"/>
    <w:qFormat/>
    <w:uiPriority w:val="1"/>
    <w:pPr>
      <w:spacing w:after="0"/>
      <w:jc w:val="center"/>
    </w:pPr>
    <w:rPr>
      <w:kern w:val="24"/>
      <w:szCs w:val="24"/>
      <w:lang w:val="en-US" w:eastAsia="ja-JP"/>
    </w:rPr>
  </w:style>
  <w:style w:type="character" w:customStyle="1" w:styleId="60">
    <w:name w:val="Footnote Text Char"/>
    <w:basedOn w:val="11"/>
    <w:link w:val="19"/>
    <w:qFormat/>
    <w:uiPriority w:val="99"/>
    <w:rPr>
      <w:rFonts w:ascii="Times New Roman" w:hAnsi="Times New Roman"/>
      <w:sz w:val="20"/>
      <w:szCs w:val="20"/>
    </w:rPr>
  </w:style>
  <w:style w:type="character" w:customStyle="1" w:styleId="61">
    <w:name w:val="Header Char"/>
    <w:basedOn w:val="11"/>
    <w:link w:val="20"/>
    <w:qFormat/>
    <w:uiPriority w:val="99"/>
    <w:rPr>
      <w:rFonts w:ascii="Times New Roman" w:hAnsi="Times New Roman"/>
      <w:sz w:val="24"/>
    </w:rPr>
  </w:style>
  <w:style w:type="character" w:customStyle="1" w:styleId="62">
    <w:name w:val="Footer Char"/>
    <w:basedOn w:val="11"/>
    <w:link w:val="17"/>
    <w:qFormat/>
    <w:uiPriority w:val="99"/>
    <w:rPr>
      <w:rFonts w:ascii="Times New Roman" w:hAnsi="Times New Roman"/>
      <w:sz w:val="24"/>
    </w:rPr>
  </w:style>
  <w:style w:type="table" w:customStyle="1" w:styleId="63">
    <w:name w:val="Grid Table 2 Accent 3"/>
    <w:basedOn w:val="12"/>
    <w:qFormat/>
    <w:uiPriority w:val="47"/>
    <w:pPr>
      <w:spacing w:after="0" w:line="240" w:lineRule="auto"/>
    </w:pPr>
    <w:tblPr>
      <w:tblBorders>
        <w:top w:val="single" w:color="C8C8C8" w:themeColor="accent3" w:themeTint="99" w:sz="2" w:space="0"/>
        <w:bottom w:val="single" w:color="C8C8C8" w:themeColor="accent3" w:themeTint="99" w:sz="2" w:space="0"/>
        <w:insideH w:val="single" w:color="C8C8C8" w:themeColor="accent3" w:themeTint="99" w:sz="2" w:space="0"/>
        <w:insideV w:val="single" w:color="C8C8C8" w:themeColor="accent3" w:themeTint="99" w:sz="2" w:space="0"/>
      </w:tblBorders>
    </w:tblPr>
    <w:tblStylePr w:type="firstRow">
      <w:rPr>
        <w:b/>
        <w:bCs/>
      </w:rPr>
      <w:tcPr>
        <w:tcBorders>
          <w:top w:val="nil"/>
          <w:bottom w:val="single" w:color="C8C8C8" w:themeColor="accent3" w:themeTint="99" w:sz="12" w:space="0"/>
          <w:insideH w:val="nil"/>
          <w:insideV w:val="nil"/>
        </w:tcBorders>
        <w:shd w:val="clear" w:color="auto" w:fill="FFFFFF" w:themeFill="background1"/>
      </w:tcPr>
    </w:tblStylePr>
    <w:tblStylePr w:type="lastRow">
      <w:rPr>
        <w:b/>
        <w:bCs/>
      </w:rPr>
      <w:tcPr>
        <w:tcBorders>
          <w:top w:val="double" w:color="C8C8C8"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64">
    <w:name w:val="Grid Table 2"/>
    <w:basedOn w:val="12"/>
    <w:qFormat/>
    <w:uiPriority w:val="47"/>
    <w:pPr>
      <w:spacing w:after="0" w:line="240" w:lineRule="auto"/>
    </w:pPr>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cPr>
        <w:tcBorders>
          <w:top w:val="nil"/>
          <w:bottom w:val="single" w:color="666666" w:themeColor="text1" w:themeTint="99" w:sz="12" w:space="0"/>
          <w:insideH w:val="nil"/>
          <w:insideV w:val="nil"/>
        </w:tcBorders>
        <w:shd w:val="clear" w:color="auto" w:fill="FFFFFF" w:themeFill="background1"/>
      </w:tcPr>
    </w:tblStylePr>
    <w:tblStylePr w:type="lastRow">
      <w:rPr>
        <w:b/>
        <w:bCs/>
      </w:r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65">
    <w:name w:val="Plain Table 1"/>
    <w:basedOn w:val="12"/>
    <w:qFormat/>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66">
    <w:name w:val="Grid Table Light"/>
    <w:basedOn w:val="12"/>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67">
    <w:name w:val="Grid Table 6 Colorful"/>
    <w:basedOn w:val="12"/>
    <w:qFormat/>
    <w:uiPriority w:val="51"/>
    <w:pPr>
      <w:spacing w:after="0" w:line="240" w:lineRule="auto"/>
    </w:pPr>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table" w:customStyle="1" w:styleId="68">
    <w:name w:val="Grid Table 3"/>
    <w:basedOn w:val="12"/>
    <w:qFormat/>
    <w:uiPriority w:val="48"/>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69">
    <w:name w:val="Grid Table 7 Colorful"/>
    <w:basedOn w:val="12"/>
    <w:qFormat/>
    <w:uiPriority w:val="52"/>
    <w:pPr>
      <w:spacing w:after="0" w:line="240" w:lineRule="auto"/>
    </w:pPr>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character" w:customStyle="1" w:styleId="70">
    <w:name w:val="Unresolved Mention1"/>
    <w:basedOn w:val="11"/>
    <w:semiHidden/>
    <w:unhideWhenUsed/>
    <w:qFormat/>
    <w:uiPriority w:val="99"/>
    <w:rPr>
      <w:color w:val="605E5C"/>
      <w:shd w:val="clear" w:color="auto" w:fill="E1DFDD"/>
    </w:rPr>
  </w:style>
  <w:style w:type="paragraph" w:customStyle="1" w:styleId="71">
    <w:name w:val="mb15"/>
    <w:basedOn w:val="1"/>
    <w:qFormat/>
    <w:uiPriority w:val="0"/>
    <w:pPr>
      <w:spacing w:before="100" w:beforeAutospacing="1" w:after="100" w:afterAutospacing="1" w:line="240" w:lineRule="auto"/>
      <w:ind w:firstLine="0"/>
      <w:jc w:val="left"/>
    </w:pPr>
    <w:rPr>
      <w:rFonts w:eastAsia="Times New Roman" w:cs="Times New Roman"/>
      <w:szCs w:val="24"/>
      <w:lang w:eastAsia="en-AU"/>
    </w:rPr>
  </w:style>
  <w:style w:type="paragraph" w:customStyle="1" w:styleId="72">
    <w:name w:val="muitypography-root"/>
    <w:basedOn w:val="1"/>
    <w:qFormat/>
    <w:uiPriority w:val="0"/>
    <w:pPr>
      <w:spacing w:before="100" w:beforeAutospacing="1" w:after="100" w:afterAutospacing="1" w:line="240" w:lineRule="auto"/>
      <w:ind w:firstLine="0"/>
      <w:jc w:val="left"/>
    </w:pPr>
    <w:rPr>
      <w:rFonts w:eastAsia="Times New Roman" w:cs="Times New Roman"/>
      <w:szCs w:val="24"/>
      <w:lang w:eastAsia="en-AU"/>
    </w:rPr>
  </w:style>
  <w:style w:type="table" w:customStyle="1" w:styleId="73">
    <w:name w:val="Light Shading1"/>
    <w:basedOn w:val="12"/>
    <w:qFormat/>
    <w:uiPriority w:val="60"/>
    <w:pPr>
      <w:spacing w:after="0" w:line="240" w:lineRule="auto"/>
    </w:pPr>
    <w:rPr>
      <w:rFonts w:eastAsiaTheme="minorHAnsi"/>
      <w:color w:val="000000"/>
      <w:lang w:val="en-US"/>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character" w:customStyle="1" w:styleId="74">
    <w:name w:val="text-block-with-attachment"/>
    <w:basedOn w:val="11"/>
    <w:qFormat/>
    <w:uiPriority w:val="0"/>
  </w:style>
  <w:style w:type="character" w:customStyle="1" w:styleId="75">
    <w:name w:val="label"/>
    <w:basedOn w:val="11"/>
    <w:qFormat/>
    <w:uiPriority w:val="0"/>
  </w:style>
  <w:style w:type="character" w:customStyle="1" w:styleId="76">
    <w:name w:val="citation-1"/>
    <w:basedOn w:val="11"/>
    <w:qFormat/>
    <w:uiPriority w:val="0"/>
  </w:style>
  <w:style w:type="character" w:customStyle="1" w:styleId="77">
    <w:name w:val="citation-31"/>
    <w:basedOn w:val="11"/>
    <w:qFormat/>
    <w:uiPriority w:val="0"/>
  </w:style>
  <w:style w:type="character" w:customStyle="1" w:styleId="78">
    <w:name w:val="citation-30"/>
    <w:basedOn w:val="11"/>
    <w:qFormat/>
    <w:uiPriority w:val="0"/>
  </w:style>
  <w:style w:type="character" w:customStyle="1" w:styleId="79">
    <w:name w:val="citation-29"/>
    <w:basedOn w:val="11"/>
    <w:qFormat/>
    <w:uiPriority w:val="0"/>
  </w:style>
  <w:style w:type="character" w:customStyle="1" w:styleId="80">
    <w:name w:val="citation-28"/>
    <w:basedOn w:val="11"/>
    <w:qFormat/>
    <w:uiPriority w:val="0"/>
  </w:style>
  <w:style w:type="character" w:customStyle="1" w:styleId="81">
    <w:name w:val="citation-27"/>
    <w:basedOn w:val="11"/>
    <w:qFormat/>
    <w:uiPriority w:val="0"/>
  </w:style>
  <w:style w:type="character" w:customStyle="1" w:styleId="82">
    <w:name w:val="citation-26"/>
    <w:basedOn w:val="11"/>
    <w:qFormat/>
    <w:uiPriority w:val="0"/>
  </w:style>
  <w:style w:type="character" w:customStyle="1" w:styleId="83">
    <w:name w:val="citation-25"/>
    <w:basedOn w:val="11"/>
    <w:qFormat/>
    <w:uiPriority w:val="0"/>
  </w:style>
  <w:style w:type="character" w:customStyle="1" w:styleId="84">
    <w:name w:val="citation-24"/>
    <w:basedOn w:val="11"/>
    <w:qFormat/>
    <w:uiPriority w:val="0"/>
  </w:style>
  <w:style w:type="character" w:customStyle="1" w:styleId="85">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CD0EC-CF64-40BF-AB00-8EF681B7B2DD}">
  <ds:schemaRefs/>
</ds:datastoreItem>
</file>

<file path=docProps/app.xml><?xml version="1.0" encoding="utf-8"?>
<Properties xmlns="http://schemas.openxmlformats.org/officeDocument/2006/extended-properties" xmlns:vt="http://schemas.openxmlformats.org/officeDocument/2006/docPropsVTypes">
  <Template>Normal</Template>
  <Pages>22</Pages>
  <Words>4132</Words>
  <Characters>24974</Characters>
  <Lines>259</Lines>
  <Paragraphs>73</Paragraphs>
  <TotalTime>21</TotalTime>
  <ScaleCrop>false</ScaleCrop>
  <LinksUpToDate>false</LinksUpToDate>
  <CharactersWithSpaces>29129</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2026-05-23T15:06:00Z</dcterms:created>
  <dc:creator>Administrator</dc:creator>
  <cp:lastModifiedBy>Durgesh Badhe</cp:lastModifiedBy>
  <dcterms:modified xsi:type="dcterms:W3CDTF">2026-05-24T14:00:12Z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eyJoZGlkIjoiN2RlODY0ZTk5ZDJjYTQ4MTZjMjVlOTYzYzRkYTVjMWQiLCJ1c2VySWQiOiI1Njc1Mjk3OTQ0NTIifQ==</vt:lpwstr>
  </property>
  <property fmtid="{D5CDD505-2E9C-101B-9397-08002B2CF9AE}" pid="3" name="KSOProductBuildVer">
    <vt:lpwstr>1033-12.1.0.26372</vt:lpwstr>
  </property>
  <property fmtid="{D5CDD505-2E9C-101B-9397-08002B2CF9AE}" pid="4" name="ICV">
    <vt:lpwstr>AF326A88CD9C4083B3FBC63D00CF1628_12</vt:lpwstr>
  </property>
</Properties>
</file>