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3E3C55E"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0E1DA4">
              <w:rPr>
                <w:rFonts w:ascii="Tahoma" w:hAnsi="Tahoma" w:cs="Tahoma"/>
                <w:b/>
                <w:sz w:val="20"/>
                <w:szCs w:val="20"/>
              </w:rPr>
              <w:t xml:space="preserve"> TANIA KHAN</w:t>
            </w:r>
          </w:p>
          <w:p w14:paraId="498F0B10" w14:textId="77777777" w:rsidR="001B69C8" w:rsidRPr="003C3341" w:rsidRDefault="001B69C8">
            <w:pPr>
              <w:rPr>
                <w:rFonts w:ascii="Tahoma" w:hAnsi="Tahoma" w:cs="Tahoma"/>
                <w:b/>
                <w:sz w:val="20"/>
                <w:szCs w:val="20"/>
              </w:rPr>
            </w:pPr>
          </w:p>
          <w:p w14:paraId="69E1F0CF" w14:textId="4F76543C"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0E1DA4">
              <w:rPr>
                <w:rFonts w:ascii="Tahoma" w:hAnsi="Tahoma" w:cs="Tahoma"/>
                <w:b/>
                <w:sz w:val="20"/>
                <w:szCs w:val="20"/>
              </w:rPr>
              <w:t>2028533</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1B33AE82" w14:textId="77777777" w:rsidR="000E1DA4" w:rsidRPr="000E1DA4" w:rsidRDefault="001B69C8" w:rsidP="000E1DA4">
            <w:pPr>
              <w:rPr>
                <w:rStyle w:val="Hyperlink"/>
                <w:rFonts w:ascii="Tahoma" w:hAnsi="Tahoma" w:cs="Tahoma"/>
                <w:b/>
                <w:color w:val="000000" w:themeColor="text1"/>
                <w:sz w:val="20"/>
                <w:szCs w:val="20"/>
                <w:lang w:val="en-TR"/>
              </w:rPr>
            </w:pPr>
            <w:r>
              <w:rPr>
                <w:rFonts w:ascii="Tahoma" w:hAnsi="Tahoma" w:cs="Tahoma"/>
                <w:b/>
                <w:sz w:val="20"/>
                <w:szCs w:val="20"/>
              </w:rPr>
              <w:t>Module:</w:t>
            </w:r>
            <w:r w:rsidR="003478CE">
              <w:rPr>
                <w:rFonts w:ascii="Tahoma" w:hAnsi="Tahoma" w:cs="Tahoma"/>
                <w:b/>
                <w:sz w:val="20"/>
                <w:szCs w:val="20"/>
              </w:rPr>
              <w:t xml:space="preserve"> </w:t>
            </w:r>
            <w:r w:rsidR="000E1DA4" w:rsidRPr="000E1DA4">
              <w:rPr>
                <w:rFonts w:ascii="Tahoma" w:hAnsi="Tahoma" w:cs="Tahoma"/>
                <w:b/>
                <w:color w:val="000000" w:themeColor="text1"/>
                <w:sz w:val="20"/>
                <w:szCs w:val="20"/>
                <w:lang w:val="en-TR"/>
              </w:rPr>
              <w:fldChar w:fldCharType="begin"/>
            </w:r>
            <w:r w:rsidR="000E1DA4" w:rsidRPr="000E1DA4">
              <w:rPr>
                <w:rFonts w:ascii="Tahoma" w:hAnsi="Tahoma" w:cs="Tahoma"/>
                <w:b/>
                <w:color w:val="000000" w:themeColor="text1"/>
                <w:sz w:val="20"/>
                <w:szCs w:val="20"/>
                <w:lang w:val="en-TR"/>
              </w:rPr>
              <w:instrText xml:space="preserve"> HYPERLINK "https://moodle.uwtsd.ac.uk/course/view.php?id=3670" </w:instrText>
            </w:r>
            <w:r w:rsidR="000E1DA4" w:rsidRPr="000E1DA4">
              <w:rPr>
                <w:rFonts w:ascii="Tahoma" w:hAnsi="Tahoma" w:cs="Tahoma"/>
                <w:b/>
                <w:color w:val="000000" w:themeColor="text1"/>
                <w:sz w:val="20"/>
                <w:szCs w:val="20"/>
                <w:lang w:val="en-TR"/>
              </w:rPr>
              <w:fldChar w:fldCharType="separate"/>
            </w:r>
          </w:p>
          <w:p w14:paraId="28BA671A" w14:textId="77777777" w:rsidR="000E1DA4" w:rsidRPr="000E1DA4" w:rsidRDefault="000E1DA4" w:rsidP="000E1DA4">
            <w:pPr>
              <w:rPr>
                <w:rStyle w:val="Hyperlink"/>
                <w:rFonts w:ascii="Tahoma" w:hAnsi="Tahoma" w:cs="Tahoma"/>
                <w:b/>
                <w:color w:val="000000" w:themeColor="text1"/>
                <w:sz w:val="20"/>
                <w:szCs w:val="20"/>
                <w:lang w:val="en-TR"/>
              </w:rPr>
            </w:pPr>
            <w:r w:rsidRPr="000E1DA4">
              <w:rPr>
                <w:rStyle w:val="Hyperlink"/>
                <w:rFonts w:ascii="Tahoma" w:hAnsi="Tahoma" w:cs="Tahoma"/>
                <w:b/>
                <w:color w:val="000000" w:themeColor="text1"/>
                <w:sz w:val="20"/>
                <w:szCs w:val="20"/>
                <w:lang w:val="en-TR"/>
              </w:rPr>
              <w:t>Hotel Placement - Food &amp; Beverage Operations (BMIH4002)</w:t>
            </w:r>
          </w:p>
          <w:p w14:paraId="2019D1B6" w14:textId="5BF894DC" w:rsidR="00B21F2E" w:rsidRPr="000E1DA4" w:rsidRDefault="000E1DA4" w:rsidP="00B21F2E">
            <w:pPr>
              <w:rPr>
                <w:rFonts w:ascii="Tahoma" w:hAnsi="Tahoma" w:cs="Tahoma"/>
                <w:b/>
                <w:color w:val="000000" w:themeColor="text1"/>
                <w:sz w:val="20"/>
                <w:szCs w:val="20"/>
                <w:lang w:val="en-TR"/>
              </w:rPr>
            </w:pPr>
            <w:r w:rsidRPr="000E1DA4">
              <w:rPr>
                <w:rFonts w:ascii="Tahoma" w:hAnsi="Tahoma" w:cs="Tahoma"/>
                <w:b/>
                <w:color w:val="000000" w:themeColor="text1"/>
                <w:sz w:val="20"/>
                <w:szCs w:val="20"/>
              </w:rPr>
              <w:fldChar w:fldCharType="end"/>
            </w:r>
          </w:p>
          <w:p w14:paraId="450FE136" w14:textId="34DAF99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08AF">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6C341FA9" w14:textId="77777777" w:rsidR="0095313C" w:rsidRPr="0095313C" w:rsidRDefault="0095313C" w:rsidP="0095313C">
            <w:pPr>
              <w:jc w:val="center"/>
              <w:rPr>
                <w:rFonts w:asciiTheme="majorHAnsi" w:hAnsiTheme="majorHAnsi" w:cs="Calibri"/>
                <w:b/>
                <w:sz w:val="22"/>
                <w:szCs w:val="22"/>
              </w:rPr>
            </w:pPr>
            <w:r w:rsidRPr="0095313C">
              <w:rPr>
                <w:rFonts w:asciiTheme="majorHAnsi" w:hAnsiTheme="majorHAnsi" w:cs="Calibri"/>
                <w:b/>
                <w:sz w:val="22"/>
                <w:szCs w:val="22"/>
              </w:rPr>
              <w:t>Allergies and Intolerances and the importance within the industry</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5608AF">
        <w:trPr>
          <w:trHeight w:val="2494"/>
        </w:trPr>
        <w:tc>
          <w:tcPr>
            <w:tcW w:w="11182" w:type="dxa"/>
            <w:gridSpan w:val="2"/>
          </w:tcPr>
          <w:p w14:paraId="0831D54A" w14:textId="77777777" w:rsidR="00B945EA" w:rsidRPr="00B43620" w:rsidRDefault="00B945EA" w:rsidP="00A65C1D">
            <w:pPr>
              <w:rPr>
                <w:rFonts w:asciiTheme="minorHAnsi" w:hAnsiTheme="minorHAnsi" w:cstheme="minorHAnsi"/>
                <w:sz w:val="21"/>
                <w:szCs w:val="21"/>
              </w:rPr>
            </w:pPr>
          </w:p>
          <w:p w14:paraId="4FB3C5D5" w14:textId="77777777" w:rsidR="00B43620" w:rsidRPr="00B43620" w:rsidRDefault="00B43620" w:rsidP="00B43620">
            <w:pPr>
              <w:pStyle w:val="NormalWeb"/>
              <w:shd w:val="clear" w:color="auto" w:fill="FFFFFF"/>
              <w:spacing w:before="0" w:beforeAutospacing="0"/>
              <w:rPr>
                <w:rFonts w:asciiTheme="majorHAnsi" w:hAnsiTheme="majorHAnsi" w:cs="Tahoma"/>
                <w:sz w:val="21"/>
                <w:szCs w:val="21"/>
              </w:rPr>
            </w:pPr>
            <w:r w:rsidRPr="00B43620">
              <w:rPr>
                <w:rFonts w:asciiTheme="majorHAnsi" w:hAnsiTheme="majorHAnsi" w:cs="Tahoma"/>
                <w:sz w:val="22"/>
                <w:szCs w:val="22"/>
              </w:rPr>
              <w:t>The information gained from classes helps in determining the causes of allergies and intolerances.</w:t>
            </w:r>
            <w:r w:rsidRPr="00B43620">
              <w:rPr>
                <w:rFonts w:asciiTheme="majorHAnsi" w:hAnsiTheme="majorHAnsi" w:cs="Tahoma"/>
                <w:sz w:val="21"/>
                <w:szCs w:val="21"/>
              </w:rPr>
              <w:t> </w:t>
            </w:r>
            <w:r w:rsidRPr="00B43620">
              <w:rPr>
                <w:rFonts w:asciiTheme="majorHAnsi" w:hAnsiTheme="majorHAnsi" w:cs="Tahoma"/>
                <w:sz w:val="22"/>
                <w:szCs w:val="22"/>
              </w:rPr>
              <w:t>An actual food allergy triggers an immune system response that affects a variety of organs in the body.</w:t>
            </w:r>
            <w:r w:rsidRPr="00B43620">
              <w:rPr>
                <w:rFonts w:asciiTheme="majorHAnsi" w:hAnsiTheme="majorHAnsi" w:cs="Tahoma"/>
                <w:sz w:val="21"/>
                <w:szCs w:val="21"/>
              </w:rPr>
              <w:t> </w:t>
            </w:r>
            <w:r w:rsidRPr="00B43620">
              <w:rPr>
                <w:rFonts w:asciiTheme="majorHAnsi" w:hAnsiTheme="majorHAnsi" w:cs="Tahoma"/>
                <w:sz w:val="22"/>
                <w:szCs w:val="22"/>
              </w:rPr>
              <w:t>It manifests in many different ways.</w:t>
            </w:r>
            <w:r w:rsidRPr="00B43620">
              <w:rPr>
                <w:rFonts w:asciiTheme="majorHAnsi" w:hAnsiTheme="majorHAnsi" w:cs="Tahoma"/>
                <w:sz w:val="21"/>
                <w:szCs w:val="21"/>
              </w:rPr>
              <w:t> </w:t>
            </w:r>
            <w:r w:rsidRPr="00B43620">
              <w:rPr>
                <w:rFonts w:asciiTheme="majorHAnsi" w:hAnsiTheme="majorHAnsi" w:cs="Tahoma"/>
                <w:sz w:val="22"/>
                <w:szCs w:val="22"/>
              </w:rPr>
              <w:t>The reaction to food may be extremely severe, or fatal in certain circumstances.</w:t>
            </w:r>
            <w:r w:rsidRPr="00B43620">
              <w:rPr>
                <w:rFonts w:asciiTheme="majorHAnsi" w:hAnsiTheme="majorHAnsi" w:cs="Tahoma"/>
                <w:sz w:val="21"/>
                <w:szCs w:val="21"/>
              </w:rPr>
              <w:t> </w:t>
            </w:r>
            <w:r w:rsidRPr="00B43620">
              <w:rPr>
                <w:rFonts w:asciiTheme="majorHAnsi" w:hAnsiTheme="majorHAnsi" w:cs="Tahoma"/>
                <w:sz w:val="22"/>
                <w:szCs w:val="22"/>
              </w:rPr>
              <w:t>These symptoms of food intolerance, on other hand, tend to be less severe and are only asymptomatic of stomach issues (</w:t>
            </w:r>
            <w:proofErr w:type="spellStart"/>
            <w:r w:rsidRPr="00B43620">
              <w:rPr>
                <w:rFonts w:asciiTheme="majorHAnsi" w:hAnsiTheme="majorHAnsi" w:cs="Tahoma"/>
                <w:sz w:val="22"/>
                <w:szCs w:val="22"/>
              </w:rPr>
              <w:t>mayoclinic</w:t>
            </w:r>
            <w:proofErr w:type="spellEnd"/>
            <w:r w:rsidRPr="00B43620">
              <w:rPr>
                <w:rFonts w:asciiTheme="majorHAnsi" w:hAnsiTheme="majorHAnsi" w:cs="Tahoma"/>
                <w:sz w:val="22"/>
                <w:szCs w:val="22"/>
              </w:rPr>
              <w:t xml:space="preserve"> 2020).</w:t>
            </w:r>
          </w:p>
          <w:p w14:paraId="13CE00FC" w14:textId="6B38E2A0" w:rsidR="00F55C83" w:rsidRPr="00B43620" w:rsidRDefault="00B43620" w:rsidP="00B43620">
            <w:pPr>
              <w:pStyle w:val="NormalWeb"/>
              <w:shd w:val="clear" w:color="auto" w:fill="FFFFFF"/>
              <w:spacing w:before="0" w:beforeAutospacing="0"/>
              <w:rPr>
                <w:rFonts w:asciiTheme="majorHAnsi" w:hAnsiTheme="majorHAnsi" w:cs="Tahoma"/>
                <w:sz w:val="21"/>
                <w:szCs w:val="21"/>
              </w:rPr>
            </w:pPr>
            <w:r w:rsidRPr="00B43620">
              <w:rPr>
                <w:rFonts w:asciiTheme="majorHAnsi" w:hAnsiTheme="majorHAnsi" w:cs="Tahoma"/>
                <w:sz w:val="22"/>
                <w:szCs w:val="22"/>
              </w:rPr>
              <w:t>Immunoglobulin E (</w:t>
            </w:r>
            <w:proofErr w:type="spellStart"/>
            <w:r w:rsidRPr="00B43620">
              <w:rPr>
                <w:rFonts w:asciiTheme="majorHAnsi" w:hAnsiTheme="majorHAnsi" w:cs="Tahoma"/>
                <w:sz w:val="22"/>
                <w:szCs w:val="22"/>
              </w:rPr>
              <w:t>IgE</w:t>
            </w:r>
            <w:proofErr w:type="spellEnd"/>
            <w:r w:rsidRPr="00B43620">
              <w:rPr>
                <w:rFonts w:asciiTheme="majorHAnsi" w:hAnsiTheme="majorHAnsi" w:cs="Tahoma"/>
                <w:sz w:val="22"/>
                <w:szCs w:val="22"/>
              </w:rPr>
              <w:t>) antibodies results in an unsuitable reaction to food in those who suffer from food allergies (Iweala 2018, 2018).</w:t>
            </w:r>
            <w:r w:rsidRPr="00B43620">
              <w:rPr>
                <w:rFonts w:asciiTheme="majorHAnsi" w:hAnsiTheme="majorHAnsi" w:cs="Tahoma"/>
                <w:sz w:val="21"/>
                <w:szCs w:val="21"/>
              </w:rPr>
              <w:t> </w:t>
            </w:r>
            <w:r w:rsidRPr="00B43620">
              <w:rPr>
                <w:rFonts w:asciiTheme="majorHAnsi" w:hAnsiTheme="majorHAnsi" w:cs="Tahoma"/>
                <w:sz w:val="22"/>
                <w:szCs w:val="22"/>
              </w:rPr>
              <w:t>The consumer must be aware that any of the allergies mentioned occur in food items they buy.</w:t>
            </w:r>
            <w:r w:rsidRPr="00B43620">
              <w:rPr>
                <w:rFonts w:asciiTheme="majorHAnsi" w:hAnsiTheme="majorHAnsi" w:cs="Tahoma"/>
                <w:sz w:val="21"/>
                <w:szCs w:val="21"/>
              </w:rPr>
              <w:t> </w:t>
            </w:r>
            <w:r w:rsidRPr="00B43620">
              <w:rPr>
                <w:rFonts w:asciiTheme="majorHAnsi" w:hAnsiTheme="majorHAnsi" w:cs="Tahoma"/>
                <w:sz w:val="22"/>
                <w:szCs w:val="22"/>
              </w:rPr>
              <w:t>Other ingredients can cause intolerances or allergies to consumers, but only 14 allergens listed in the food laws to be listed as allergens.</w:t>
            </w:r>
            <w:r w:rsidRPr="00B43620">
              <w:rPr>
                <w:rFonts w:asciiTheme="majorHAnsi" w:hAnsiTheme="majorHAnsi" w:cs="Tahoma"/>
                <w:sz w:val="21"/>
                <w:szCs w:val="21"/>
              </w:rPr>
              <w:t> </w:t>
            </w:r>
            <w:r w:rsidRPr="00B43620">
              <w:rPr>
                <w:rFonts w:asciiTheme="majorHAnsi" w:hAnsiTheme="majorHAnsi" w:cs="Tahoma"/>
                <w:sz w:val="22"/>
                <w:szCs w:val="22"/>
              </w:rPr>
              <w:t xml:space="preserve">Celery and grain products that contain gluten (such like barley, and oatmeal) as well as crustaceans (such as crabs, prawns and lobsters) eggs as well as fish, lupin </w:t>
            </w:r>
            <w:proofErr w:type="spellStart"/>
            <w:r w:rsidRPr="00B43620">
              <w:rPr>
                <w:rFonts w:asciiTheme="majorHAnsi" w:hAnsiTheme="majorHAnsi" w:cs="Tahoma"/>
                <w:sz w:val="22"/>
                <w:szCs w:val="22"/>
              </w:rPr>
              <w:t>Mollusks</w:t>
            </w:r>
            <w:proofErr w:type="spellEnd"/>
            <w:r w:rsidRPr="00B43620">
              <w:rPr>
                <w:rFonts w:asciiTheme="majorHAnsi" w:hAnsiTheme="majorHAnsi" w:cs="Tahoma"/>
                <w:sz w:val="22"/>
                <w:szCs w:val="22"/>
              </w:rPr>
              <w:t xml:space="preserve">, milk (such as oysters and mussels) and peanuts, mustard and soybeans. </w:t>
            </w:r>
            <w:proofErr w:type="spellStart"/>
            <w:r w:rsidRPr="00B43620">
              <w:rPr>
                <w:rFonts w:asciiTheme="majorHAnsi" w:hAnsiTheme="majorHAnsi" w:cs="Tahoma"/>
                <w:sz w:val="22"/>
                <w:szCs w:val="22"/>
              </w:rPr>
              <w:t>sulfur</w:t>
            </w:r>
            <w:proofErr w:type="spellEnd"/>
            <w:r w:rsidRPr="00B43620">
              <w:rPr>
                <w:rFonts w:asciiTheme="majorHAnsi" w:hAnsiTheme="majorHAnsi" w:cs="Tahoma"/>
                <w:sz w:val="22"/>
                <w:szCs w:val="22"/>
              </w:rPr>
              <w:t xml:space="preserve"> dioxide and Sulphites (if the concentration of sulphur dioxide and sulphites is higher than 10 parts for every million) and tree nuts include such as hazelnuts, almonds, brazil nuts, walnuts, pecans, cashews, pistachios macadamia and macadamia are a few some examples.</w:t>
            </w:r>
            <w:r w:rsidRPr="00B43620">
              <w:rPr>
                <w:rFonts w:asciiTheme="majorHAnsi" w:hAnsiTheme="majorHAnsi" w:cs="Tahoma"/>
                <w:sz w:val="21"/>
                <w:szCs w:val="21"/>
              </w:rPr>
              <w:t> </w:t>
            </w:r>
            <w:r w:rsidRPr="00B43620">
              <w:rPr>
                <w:rFonts w:asciiTheme="majorHAnsi" w:hAnsiTheme="majorHAnsi" w:cs="Tahoma"/>
                <w:sz w:val="22"/>
                <w:szCs w:val="22"/>
              </w:rPr>
              <w:t>This includes processing additives, aids, and any other substances that are present in the final product.</w:t>
            </w:r>
            <w:r w:rsidRPr="00B43620">
              <w:rPr>
                <w:rFonts w:asciiTheme="majorHAnsi" w:hAnsiTheme="majorHAnsi" w:cs="Tahoma"/>
                <w:sz w:val="21"/>
                <w:szCs w:val="21"/>
              </w:rPr>
              <w:t> </w:t>
            </w:r>
            <w:r w:rsidRPr="00B43620">
              <w:rPr>
                <w:rFonts w:asciiTheme="majorHAnsi" w:hAnsiTheme="majorHAnsi" w:cs="Tahoma"/>
                <w:sz w:val="22"/>
                <w:szCs w:val="22"/>
              </w:rPr>
              <w:t>(2021, Food.gov)</w:t>
            </w:r>
          </w:p>
          <w:p w14:paraId="1DB32F6C" w14:textId="77777777" w:rsidR="00B43620" w:rsidRPr="00B43620" w:rsidRDefault="00B43620" w:rsidP="00B43620">
            <w:pPr>
              <w:pStyle w:val="NormalWeb"/>
              <w:shd w:val="clear" w:color="auto" w:fill="FFFFFF"/>
              <w:spacing w:before="0" w:beforeAutospacing="0"/>
              <w:rPr>
                <w:rFonts w:asciiTheme="majorHAnsi" w:hAnsiTheme="majorHAnsi" w:cs="Tahoma"/>
                <w:sz w:val="22"/>
                <w:szCs w:val="22"/>
              </w:rPr>
            </w:pPr>
            <w:r w:rsidRPr="00B43620">
              <w:rPr>
                <w:rFonts w:asciiTheme="majorHAnsi" w:hAnsiTheme="majorHAnsi" w:cs="Tahoma"/>
                <w:sz w:val="22"/>
                <w:szCs w:val="22"/>
              </w:rPr>
              <w:t>Anaphylaxis can be a life-threatening systemic hypersensitivity reaction that is characterized by rapid beginning and life-threatening airway circulation, or respiratory issues and mucosal and skin ailment. (2018, Rebar et al.) It may occur in just a few minutes or even minutes after having been exposed to something you're allergic to, like bee stings or peanuts. Coeliac disease is a type of food hypersensitivity. It is a condition where your immune system is attacking the tissues of your body when you consume gluten. Because of the damage to the digestive tract (small intestine) which is unable to take in nutrients. Diarrhoea, stomach discomfort and stomach bloating, nausea are a few signs of coeliac disease.</w:t>
            </w:r>
          </w:p>
          <w:p w14:paraId="7E2F049E" w14:textId="77777777" w:rsidR="00B43620" w:rsidRPr="00B43620" w:rsidRDefault="00B43620" w:rsidP="00B43620">
            <w:pPr>
              <w:pStyle w:val="NormalWeb"/>
              <w:shd w:val="clear" w:color="auto" w:fill="FFFFFF"/>
              <w:spacing w:before="0" w:beforeAutospacing="0"/>
              <w:rPr>
                <w:rFonts w:asciiTheme="majorHAnsi" w:hAnsiTheme="majorHAnsi" w:cs="Tahoma"/>
                <w:sz w:val="22"/>
                <w:szCs w:val="22"/>
              </w:rPr>
            </w:pPr>
            <w:r w:rsidRPr="00B43620">
              <w:rPr>
                <w:rFonts w:asciiTheme="majorHAnsi" w:hAnsiTheme="majorHAnsi" w:cs="Tahoma"/>
                <w:sz w:val="22"/>
                <w:szCs w:val="22"/>
              </w:rPr>
              <w:t xml:space="preserve">Food companies that operate in the catering and retail sectors are legally obliged to provide allergen information and comply with the guidelines for labelling. Medicines and foods should be </w:t>
            </w:r>
            <w:proofErr w:type="spellStart"/>
            <w:r w:rsidRPr="00B43620">
              <w:rPr>
                <w:rFonts w:asciiTheme="majorHAnsi" w:hAnsiTheme="majorHAnsi" w:cs="Tahoma"/>
                <w:sz w:val="22"/>
                <w:szCs w:val="22"/>
              </w:rPr>
              <w:t>labeled</w:t>
            </w:r>
            <w:proofErr w:type="spellEnd"/>
            <w:r w:rsidRPr="00B43620">
              <w:rPr>
                <w:rFonts w:asciiTheme="majorHAnsi" w:hAnsiTheme="majorHAnsi" w:cs="Tahoma"/>
                <w:sz w:val="22"/>
                <w:szCs w:val="22"/>
              </w:rPr>
              <w:t xml:space="preserve"> clearly especially in small </w:t>
            </w:r>
            <w:r w:rsidRPr="00B43620">
              <w:rPr>
                <w:rFonts w:asciiTheme="majorHAnsi" w:hAnsiTheme="majorHAnsi" w:cs="Tahoma"/>
                <w:sz w:val="22"/>
                <w:szCs w:val="22"/>
              </w:rPr>
              <w:lastRenderedPageBreak/>
              <w:t>packages.</w:t>
            </w:r>
          </w:p>
          <w:p w14:paraId="6CD11F0D" w14:textId="77777777" w:rsidR="00B43620" w:rsidRPr="00B43620" w:rsidRDefault="00B43620" w:rsidP="00B43620">
            <w:pPr>
              <w:pStyle w:val="NormalWeb"/>
              <w:shd w:val="clear" w:color="auto" w:fill="FFFFFF"/>
              <w:spacing w:before="0" w:beforeAutospacing="0"/>
              <w:rPr>
                <w:rFonts w:asciiTheme="majorHAnsi" w:hAnsiTheme="majorHAnsi" w:cs="Tahoma"/>
                <w:sz w:val="22"/>
                <w:szCs w:val="22"/>
              </w:rPr>
            </w:pPr>
            <w:r w:rsidRPr="00B43620">
              <w:rPr>
                <w:rFonts w:asciiTheme="majorHAnsi" w:hAnsiTheme="majorHAnsi" w:cs="Tahoma"/>
                <w:sz w:val="22"/>
                <w:szCs w:val="22"/>
              </w:rPr>
              <w:t xml:space="preserve">Natasha's tale and law were discussed as part of the case studies lectures. Natasha's Law is a new law named for Natasha </w:t>
            </w:r>
            <w:proofErr w:type="spellStart"/>
            <w:r w:rsidRPr="00B43620">
              <w:rPr>
                <w:rFonts w:asciiTheme="majorHAnsi" w:hAnsiTheme="majorHAnsi" w:cs="Tahoma"/>
                <w:sz w:val="22"/>
                <w:szCs w:val="22"/>
              </w:rPr>
              <w:t>Ednan-Laperouse</w:t>
            </w:r>
            <w:proofErr w:type="spellEnd"/>
            <w:r w:rsidRPr="00B43620">
              <w:rPr>
                <w:rFonts w:asciiTheme="majorHAnsi" w:hAnsiTheme="majorHAnsi" w:cs="Tahoma"/>
                <w:sz w:val="22"/>
                <w:szCs w:val="22"/>
              </w:rPr>
              <w:t xml:space="preserve"> the teen who passed away in July 2016 following the allergic reaction she experienced to a Pret a Manger sandwich. Natasha's Law took effect on the 1st of October, 2021. In the case of pre-packaged Direct Sale </w:t>
            </w:r>
            <w:proofErr w:type="gramStart"/>
            <w:r w:rsidRPr="00B43620">
              <w:rPr>
                <w:rFonts w:asciiTheme="majorHAnsi" w:hAnsiTheme="majorHAnsi" w:cs="Tahoma"/>
                <w:sz w:val="22"/>
                <w:szCs w:val="22"/>
              </w:rPr>
              <w:t>products</w:t>
            </w:r>
            <w:proofErr w:type="gramEnd"/>
            <w:r w:rsidRPr="00B43620">
              <w:rPr>
                <w:rFonts w:asciiTheme="majorHAnsi" w:hAnsiTheme="majorHAnsi" w:cs="Tahoma"/>
                <w:sz w:val="22"/>
                <w:szCs w:val="22"/>
              </w:rPr>
              <w:t xml:space="preserve"> it is required that food establishments display complete ingredient lists and explicit allergen labels (PPDS). Food items that are prepared, cooked, or pre-placed and then sold or offered to customers within the same premises is known as PPDS. (2021, bsaci.org)</w:t>
            </w:r>
          </w:p>
          <w:p w14:paraId="27698D06" w14:textId="57834CAD" w:rsidR="00B43620" w:rsidRPr="00B43620" w:rsidRDefault="00B43620" w:rsidP="00B43620">
            <w:pPr>
              <w:rPr>
                <w:rFonts w:asciiTheme="majorHAnsi" w:hAnsiTheme="majorHAnsi" w:cs="Tahoma"/>
                <w:sz w:val="22"/>
                <w:szCs w:val="22"/>
              </w:rPr>
            </w:pPr>
            <w:r w:rsidRPr="00B43620">
              <w:rPr>
                <w:rFonts w:asciiTheme="majorHAnsi" w:hAnsiTheme="majorHAnsi" w:cs="Tahoma"/>
                <w:sz w:val="22"/>
                <w:szCs w:val="22"/>
              </w:rPr>
              <w:t>Cross contamination can be prevented through good habits like cleanliness and hygiene.</w:t>
            </w:r>
            <w:r w:rsidR="005441F2">
              <w:t xml:space="preserve"> </w:t>
            </w:r>
            <w:r w:rsidR="005441F2" w:rsidRPr="005441F2">
              <w:rPr>
                <w:rFonts w:asciiTheme="majorHAnsi" w:hAnsiTheme="majorHAnsi" w:cs="Tahoma"/>
                <w:sz w:val="22"/>
                <w:szCs w:val="22"/>
              </w:rPr>
              <w:t>Allergens can cause severe complications, so it is critical to monitor all components used in food, make sure that distributors notify any allergy modification, overview each dish on the menu to ensure that all allergens are described, store allergenic-containing components separately from non-allergenic containing ingredients, reduce the risk of cross contamination by using specific areas for non-allergen possessing dishes, and focus on ensuring everybody is informed about the allergens.</w:t>
            </w:r>
          </w:p>
          <w:p w14:paraId="41C066DE" w14:textId="77777777" w:rsidR="00026974" w:rsidRDefault="00026974" w:rsidP="00026974">
            <w:pPr>
              <w:rPr>
                <w:rFonts w:asciiTheme="majorHAnsi" w:hAnsiTheme="majorHAnsi" w:cs="Tahoma"/>
                <w:sz w:val="22"/>
                <w:szCs w:val="22"/>
              </w:rPr>
            </w:pPr>
          </w:p>
          <w:p w14:paraId="75D75169" w14:textId="35CFCD5D" w:rsidR="00026974" w:rsidRDefault="00026974" w:rsidP="00026974">
            <w:pPr>
              <w:rPr>
                <w:rFonts w:asciiTheme="majorHAnsi" w:hAnsiTheme="majorHAnsi" w:cs="Tahoma"/>
                <w:sz w:val="22"/>
                <w:szCs w:val="22"/>
              </w:rPr>
            </w:pPr>
            <w:r>
              <w:rPr>
                <w:rFonts w:asciiTheme="majorHAnsi" w:hAnsiTheme="majorHAnsi" w:cs="Tahoma"/>
                <w:sz w:val="22"/>
                <w:szCs w:val="22"/>
              </w:rPr>
              <w:t xml:space="preserve">The knowledge that I have acquired from the lecture can be lifesaving. I have learned the difference between allergens and food intolerances. I have learned how labelling can be </w:t>
            </w:r>
            <w:r w:rsidR="005608AF">
              <w:rPr>
                <w:rFonts w:asciiTheme="majorHAnsi" w:hAnsiTheme="majorHAnsi" w:cs="Tahoma"/>
                <w:sz w:val="22"/>
                <w:szCs w:val="22"/>
              </w:rPr>
              <w:t xml:space="preserve">very important to avoid unfortunate events caused by allergies and intolerances. I have acquired knowledge regarding dangerous allergic reactions. Natasha’s story was a special part of this lecture; I have also learned how the law is changing for the better. </w:t>
            </w:r>
          </w:p>
          <w:p w14:paraId="34CB9EE2" w14:textId="77777777" w:rsidR="005608AF" w:rsidRDefault="005608AF" w:rsidP="00026974">
            <w:pPr>
              <w:rPr>
                <w:rFonts w:asciiTheme="majorHAnsi" w:hAnsiTheme="majorHAnsi" w:cs="Tahoma"/>
                <w:sz w:val="22"/>
                <w:szCs w:val="22"/>
              </w:rPr>
            </w:pPr>
          </w:p>
          <w:p w14:paraId="029B1A46" w14:textId="76D5FF62" w:rsidR="005608AF" w:rsidRDefault="005608AF" w:rsidP="00026974">
            <w:pPr>
              <w:rPr>
                <w:rFonts w:asciiTheme="majorHAnsi" w:hAnsiTheme="majorHAnsi" w:cs="Tahoma"/>
                <w:sz w:val="22"/>
                <w:szCs w:val="22"/>
              </w:rPr>
            </w:pPr>
            <w:r>
              <w:rPr>
                <w:rFonts w:asciiTheme="majorHAnsi" w:hAnsiTheme="majorHAnsi" w:cs="Tahoma"/>
                <w:sz w:val="22"/>
                <w:szCs w:val="22"/>
              </w:rPr>
              <w:t>The above knowledge can be used to not only make myself self-aware regarding the allergies that I have as well as making a change for the society by making them aware. If in the future I find myself in a decision making position, this knowledge can be helpful to raise awareness as well as taking necessary steps to label food and medicine properly to reduce the negative effect of allergens on regular life.</w:t>
            </w:r>
          </w:p>
          <w:p w14:paraId="5816752B" w14:textId="77777777" w:rsidR="005608AF" w:rsidRDefault="005608AF" w:rsidP="00026974">
            <w:pPr>
              <w:rPr>
                <w:rFonts w:asciiTheme="majorHAnsi" w:hAnsiTheme="majorHAnsi" w:cs="Tahoma"/>
                <w:sz w:val="22"/>
                <w:szCs w:val="22"/>
              </w:rPr>
            </w:pPr>
          </w:p>
          <w:p w14:paraId="7099E78B" w14:textId="305CC401" w:rsidR="005608AF" w:rsidRDefault="005608AF" w:rsidP="00026974">
            <w:pPr>
              <w:rPr>
                <w:rFonts w:asciiTheme="majorHAnsi" w:hAnsiTheme="majorHAnsi" w:cs="Tahoma"/>
                <w:sz w:val="22"/>
                <w:szCs w:val="22"/>
              </w:rPr>
            </w:pPr>
            <w:r>
              <w:rPr>
                <w:rFonts w:asciiTheme="majorHAnsi" w:hAnsiTheme="majorHAnsi" w:cs="Tahoma"/>
                <w:sz w:val="22"/>
                <w:szCs w:val="22"/>
              </w:rPr>
              <w:t>I can reflect that this topic is very important in the industry. This knowledge can change the food industry for the better. Not only just labelling but making sure people are aware as well as having the right tools to deal with the issue.</w:t>
            </w:r>
          </w:p>
          <w:p w14:paraId="71D83433" w14:textId="77777777" w:rsidR="005608AF" w:rsidRDefault="005608AF" w:rsidP="00026974">
            <w:pPr>
              <w:rPr>
                <w:rFonts w:asciiTheme="majorHAnsi" w:hAnsiTheme="majorHAnsi" w:cs="Tahoma"/>
                <w:sz w:val="22"/>
                <w:szCs w:val="22"/>
              </w:rPr>
            </w:pPr>
          </w:p>
          <w:p w14:paraId="0E578091" w14:textId="562475C2" w:rsidR="005608AF" w:rsidRDefault="005608AF" w:rsidP="00026974">
            <w:pPr>
              <w:rPr>
                <w:rFonts w:asciiTheme="majorHAnsi" w:hAnsiTheme="majorHAnsi" w:cs="Tahoma"/>
                <w:sz w:val="22"/>
                <w:szCs w:val="22"/>
              </w:rPr>
            </w:pPr>
            <w:r>
              <w:rPr>
                <w:rFonts w:asciiTheme="majorHAnsi" w:hAnsiTheme="majorHAnsi" w:cs="Tahoma"/>
                <w:sz w:val="22"/>
                <w:szCs w:val="22"/>
              </w:rPr>
              <w:t>This topic is important to the industry because it directly affects the food habits of people. Wellbeing is a big part of food industry. If the very things people eat are not safe, then the whole industry will begin to suffer. That is exactly why the law has changed for the better.</w:t>
            </w:r>
          </w:p>
          <w:p w14:paraId="605B2034" w14:textId="77777777" w:rsidR="005608AF" w:rsidRDefault="005608AF" w:rsidP="00026974">
            <w:pPr>
              <w:rPr>
                <w:rFonts w:asciiTheme="majorHAnsi" w:hAnsiTheme="majorHAnsi" w:cs="Tahoma"/>
                <w:sz w:val="22"/>
                <w:szCs w:val="22"/>
              </w:rPr>
            </w:pPr>
          </w:p>
          <w:p w14:paraId="3B344F1E" w14:textId="25101A8D" w:rsidR="005608AF" w:rsidRPr="00026974" w:rsidRDefault="005608AF" w:rsidP="00026974">
            <w:pPr>
              <w:rPr>
                <w:rFonts w:asciiTheme="majorHAnsi" w:hAnsiTheme="majorHAnsi" w:cs="Tahoma"/>
                <w:sz w:val="22"/>
                <w:szCs w:val="22"/>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23"/>
        <w:gridCol w:w="485"/>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5608AF">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5608AF">
            <w:pPr>
              <w:jc w:val="center"/>
              <w:rPr>
                <w:rFonts w:ascii="Tahoma" w:hAnsi="Tahoma" w:cs="Tahoma"/>
                <w:b/>
                <w:sz w:val="20"/>
                <w:szCs w:val="20"/>
              </w:rPr>
            </w:pPr>
          </w:p>
          <w:p w14:paraId="52F3ACFA" w14:textId="77777777" w:rsidR="00375882" w:rsidRPr="003C3341" w:rsidRDefault="00375882" w:rsidP="005608AF">
            <w:pPr>
              <w:jc w:val="center"/>
              <w:rPr>
                <w:rFonts w:ascii="Tahoma" w:hAnsi="Tahoma" w:cs="Tahoma"/>
                <w:b/>
                <w:sz w:val="20"/>
                <w:szCs w:val="20"/>
              </w:rPr>
            </w:pPr>
          </w:p>
        </w:tc>
      </w:tr>
      <w:tr w:rsidR="00375882" w:rsidRPr="003C3341" w14:paraId="130E5631" w14:textId="77777777" w:rsidTr="005608AF">
        <w:trPr>
          <w:trHeight w:val="2494"/>
        </w:trPr>
        <w:tc>
          <w:tcPr>
            <w:tcW w:w="11182" w:type="dxa"/>
            <w:gridSpan w:val="2"/>
          </w:tcPr>
          <w:p w14:paraId="69EA998C" w14:textId="6811899E" w:rsidR="00375882" w:rsidRDefault="00375882" w:rsidP="005608AF">
            <w:pPr>
              <w:spacing w:line="360" w:lineRule="auto"/>
              <w:jc w:val="both"/>
              <w:rPr>
                <w:rFonts w:ascii="Arial" w:hAnsi="Arial" w:cs="Arial"/>
              </w:rPr>
            </w:pPr>
          </w:p>
          <w:p w14:paraId="0A41BFFB" w14:textId="77777777" w:rsidR="008D7DCA" w:rsidRDefault="005608AF" w:rsidP="008D7DCA">
            <w:pPr>
              <w:rPr>
                <w:rFonts w:asciiTheme="majorHAnsi" w:hAnsiTheme="majorHAnsi" w:cs="Tahoma"/>
                <w:sz w:val="22"/>
                <w:szCs w:val="22"/>
              </w:rPr>
            </w:pPr>
            <w:r w:rsidRPr="008D7DCA">
              <w:rPr>
                <w:rFonts w:asciiTheme="majorHAnsi" w:hAnsiTheme="majorHAnsi" w:cs="Tahoma"/>
                <w:sz w:val="22"/>
                <w:szCs w:val="22"/>
              </w:rPr>
              <w:t xml:space="preserve">Food.gov, </w:t>
            </w:r>
            <w:r w:rsidR="008D7DCA" w:rsidRPr="008D7DCA">
              <w:rPr>
                <w:rFonts w:asciiTheme="majorHAnsi" w:hAnsiTheme="majorHAnsi" w:cs="Tahoma"/>
                <w:sz w:val="22"/>
                <w:szCs w:val="22"/>
              </w:rPr>
              <w:t>(</w:t>
            </w:r>
            <w:r w:rsidRPr="008D7DCA">
              <w:rPr>
                <w:rFonts w:asciiTheme="majorHAnsi" w:hAnsiTheme="majorHAnsi" w:cs="Tahoma"/>
                <w:sz w:val="22"/>
                <w:szCs w:val="22"/>
              </w:rPr>
              <w:t>2021</w:t>
            </w:r>
            <w:r w:rsidR="008D7DCA" w:rsidRPr="008D7DCA">
              <w:rPr>
                <w:rFonts w:asciiTheme="majorHAnsi" w:hAnsiTheme="majorHAnsi" w:cs="Tahoma"/>
                <w:sz w:val="22"/>
                <w:szCs w:val="22"/>
              </w:rPr>
              <w:t xml:space="preserve">) Allergen guidance for food businesses. </w:t>
            </w:r>
          </w:p>
          <w:p w14:paraId="03D9529C" w14:textId="04259C9E" w:rsidR="00375882" w:rsidRDefault="008D7DCA" w:rsidP="008D7DCA">
            <w:pPr>
              <w:rPr>
                <w:rFonts w:asciiTheme="majorHAnsi" w:hAnsiTheme="majorHAnsi" w:cs="Tahoma"/>
                <w:sz w:val="22"/>
                <w:szCs w:val="22"/>
              </w:rPr>
            </w:pPr>
            <w:r w:rsidRPr="008D7DCA">
              <w:rPr>
                <w:rFonts w:asciiTheme="majorHAnsi" w:hAnsiTheme="majorHAnsi" w:cs="Tahoma"/>
                <w:sz w:val="22"/>
                <w:szCs w:val="22"/>
              </w:rPr>
              <w:t xml:space="preserve">Available at: </w:t>
            </w:r>
            <w:hyperlink r:id="rId8" w:anchor=":~:text=The%2014%20allergens%20are%3A%20celery,and%20sulphites%20are%20at%20a" w:history="1">
              <w:r w:rsidRPr="006762FF">
                <w:rPr>
                  <w:rStyle w:val="Hyperlink"/>
                  <w:rFonts w:asciiTheme="majorHAnsi" w:hAnsiTheme="majorHAnsi" w:cs="Tahoma"/>
                  <w:sz w:val="22"/>
                  <w:szCs w:val="22"/>
                </w:rPr>
                <w:t>https://www.food.gov.uk/business-guidance/allergen-guidance-for-food-businesses#:~:text=The%2014%20allergens%20are%3A%20celery,and%20sulphites%20are%20at%20a</w:t>
              </w:r>
            </w:hyperlink>
          </w:p>
          <w:p w14:paraId="0D7645FE" w14:textId="170E2078" w:rsidR="008D7DCA" w:rsidRDefault="008D7DCA" w:rsidP="008D7DCA">
            <w:pPr>
              <w:rPr>
                <w:rFonts w:asciiTheme="majorHAnsi" w:hAnsiTheme="majorHAnsi" w:cs="Tahoma"/>
                <w:sz w:val="22"/>
                <w:szCs w:val="22"/>
              </w:rPr>
            </w:pPr>
            <w:r>
              <w:rPr>
                <w:rFonts w:asciiTheme="majorHAnsi" w:hAnsiTheme="majorHAnsi" w:cs="Tahoma"/>
                <w:sz w:val="22"/>
                <w:szCs w:val="22"/>
              </w:rPr>
              <w:t>Accesses on: 11</w:t>
            </w:r>
            <w:r w:rsidRPr="008D7DCA">
              <w:rPr>
                <w:rFonts w:asciiTheme="majorHAnsi" w:hAnsiTheme="majorHAnsi" w:cs="Tahoma"/>
                <w:sz w:val="22"/>
                <w:szCs w:val="22"/>
                <w:vertAlign w:val="superscript"/>
              </w:rPr>
              <w:t>th</w:t>
            </w:r>
            <w:r>
              <w:rPr>
                <w:rFonts w:asciiTheme="majorHAnsi" w:hAnsiTheme="majorHAnsi" w:cs="Tahoma"/>
                <w:sz w:val="22"/>
                <w:szCs w:val="22"/>
              </w:rPr>
              <w:t xml:space="preserve"> Feb, 2022</w:t>
            </w:r>
          </w:p>
          <w:p w14:paraId="789E9A79" w14:textId="77990206" w:rsidR="00375882" w:rsidRDefault="00375882" w:rsidP="008D7DCA">
            <w:pPr>
              <w:rPr>
                <w:rFonts w:asciiTheme="majorHAnsi" w:hAnsiTheme="majorHAnsi" w:cs="Tahoma"/>
                <w:sz w:val="22"/>
                <w:szCs w:val="22"/>
              </w:rPr>
            </w:pPr>
          </w:p>
          <w:p w14:paraId="40BEA529" w14:textId="093CBD26" w:rsidR="008D7DCA" w:rsidRDefault="008D7DCA" w:rsidP="008D7DCA">
            <w:pPr>
              <w:rPr>
                <w:rFonts w:asciiTheme="majorHAnsi" w:hAnsiTheme="majorHAnsi" w:cs="Tahoma"/>
                <w:sz w:val="22"/>
                <w:szCs w:val="22"/>
              </w:rPr>
            </w:pPr>
            <w:r w:rsidRPr="008D7DCA">
              <w:rPr>
                <w:rFonts w:asciiTheme="majorHAnsi" w:hAnsiTheme="majorHAnsi" w:cs="Tahoma"/>
                <w:sz w:val="22"/>
                <w:szCs w:val="22"/>
              </w:rPr>
              <w:t>bsaci.org, (2021). Natasha’s Law comes into effect on 1st October 2021</w:t>
            </w:r>
            <w:r>
              <w:rPr>
                <w:rFonts w:asciiTheme="majorHAnsi" w:hAnsiTheme="majorHAnsi" w:cs="Tahoma"/>
                <w:sz w:val="22"/>
                <w:szCs w:val="22"/>
              </w:rPr>
              <w:t>.</w:t>
            </w:r>
          </w:p>
          <w:p w14:paraId="7A30FE2B" w14:textId="5E0E2ADE" w:rsidR="008D7DCA" w:rsidRDefault="008D7DCA" w:rsidP="008D7DCA">
            <w:pPr>
              <w:rPr>
                <w:rFonts w:asciiTheme="majorHAnsi" w:hAnsiTheme="majorHAnsi" w:cs="Tahoma"/>
                <w:sz w:val="22"/>
                <w:szCs w:val="22"/>
              </w:rPr>
            </w:pPr>
            <w:r>
              <w:rPr>
                <w:rFonts w:asciiTheme="majorHAnsi" w:hAnsiTheme="majorHAnsi" w:cs="Tahoma"/>
                <w:sz w:val="22"/>
                <w:szCs w:val="22"/>
              </w:rPr>
              <w:t xml:space="preserve">Available at: </w:t>
            </w:r>
            <w:hyperlink r:id="rId9" w:anchor=":~:text=Natasha's%20Law%20comes%20into%20effect%20on%201st%20October%202021.,consumers%20on%20the%20same%20premises" w:history="1">
              <w:r w:rsidRPr="006762FF">
                <w:rPr>
                  <w:rStyle w:val="Hyperlink"/>
                  <w:rFonts w:asciiTheme="majorHAnsi" w:hAnsiTheme="majorHAnsi" w:cs="Tahoma"/>
                  <w:sz w:val="22"/>
                  <w:szCs w:val="22"/>
                </w:rPr>
                <w:t>https://www.bsaci.org/natashas-law-comes-into-effect-on-1st-october-2021/#:~:text=Natasha's%20Law%20comes%20into%20effect%20on%201st%20October%202021.,consumers%20on%20the%20same%20premises</w:t>
              </w:r>
            </w:hyperlink>
            <w:r w:rsidRPr="008D7DCA">
              <w:rPr>
                <w:rFonts w:asciiTheme="majorHAnsi" w:hAnsiTheme="majorHAnsi" w:cs="Tahoma"/>
                <w:sz w:val="22"/>
                <w:szCs w:val="22"/>
              </w:rPr>
              <w:t>.</w:t>
            </w:r>
          </w:p>
          <w:p w14:paraId="7BF89A40" w14:textId="77777777" w:rsidR="008D7DCA" w:rsidRDefault="008D7DCA" w:rsidP="008D7DCA">
            <w:pPr>
              <w:rPr>
                <w:rFonts w:asciiTheme="majorHAnsi" w:hAnsiTheme="majorHAnsi" w:cs="Tahoma"/>
                <w:sz w:val="22"/>
                <w:szCs w:val="22"/>
              </w:rPr>
            </w:pPr>
            <w:r>
              <w:rPr>
                <w:rFonts w:asciiTheme="majorHAnsi" w:hAnsiTheme="majorHAnsi" w:cs="Tahoma"/>
                <w:sz w:val="22"/>
                <w:szCs w:val="22"/>
              </w:rPr>
              <w:t>Accesses on: 11</w:t>
            </w:r>
            <w:r w:rsidRPr="008D7DCA">
              <w:rPr>
                <w:rFonts w:asciiTheme="majorHAnsi" w:hAnsiTheme="majorHAnsi" w:cs="Tahoma"/>
                <w:sz w:val="22"/>
                <w:szCs w:val="22"/>
                <w:vertAlign w:val="superscript"/>
              </w:rPr>
              <w:t>th</w:t>
            </w:r>
            <w:r>
              <w:rPr>
                <w:rFonts w:asciiTheme="majorHAnsi" w:hAnsiTheme="majorHAnsi" w:cs="Tahoma"/>
                <w:sz w:val="22"/>
                <w:szCs w:val="22"/>
              </w:rPr>
              <w:t xml:space="preserve"> Feb, 2022</w:t>
            </w:r>
          </w:p>
          <w:p w14:paraId="1A906716" w14:textId="77777777" w:rsidR="008D7DCA" w:rsidRDefault="008D7DCA" w:rsidP="008D7DCA">
            <w:pPr>
              <w:rPr>
                <w:rFonts w:asciiTheme="majorHAnsi" w:hAnsiTheme="majorHAnsi" w:cs="Tahoma"/>
                <w:sz w:val="22"/>
                <w:szCs w:val="22"/>
              </w:rPr>
            </w:pPr>
          </w:p>
          <w:p w14:paraId="0B427394" w14:textId="43560045" w:rsidR="008D7DCA" w:rsidRDefault="00F55C83" w:rsidP="008D7DCA">
            <w:pPr>
              <w:rPr>
                <w:rFonts w:asciiTheme="majorHAnsi" w:hAnsiTheme="majorHAnsi" w:cs="Tahoma"/>
                <w:sz w:val="22"/>
                <w:szCs w:val="22"/>
              </w:rPr>
            </w:pPr>
            <w:r w:rsidRPr="008D7DCA">
              <w:rPr>
                <w:rFonts w:asciiTheme="majorHAnsi" w:hAnsiTheme="majorHAnsi" w:cs="Tahoma"/>
                <w:sz w:val="22"/>
                <w:szCs w:val="22"/>
              </w:rPr>
              <w:t>Mayo clinic</w:t>
            </w:r>
            <w:r w:rsidR="008D7DCA">
              <w:rPr>
                <w:rFonts w:asciiTheme="majorHAnsi" w:hAnsiTheme="majorHAnsi" w:cs="Tahoma"/>
                <w:sz w:val="22"/>
                <w:szCs w:val="22"/>
              </w:rPr>
              <w:t xml:space="preserve">, (2020) </w:t>
            </w:r>
            <w:r w:rsidR="008D7DCA" w:rsidRPr="008D7DCA">
              <w:rPr>
                <w:rFonts w:asciiTheme="majorHAnsi" w:hAnsiTheme="majorHAnsi" w:cs="Tahoma"/>
                <w:sz w:val="22"/>
                <w:szCs w:val="22"/>
              </w:rPr>
              <w:t xml:space="preserve">Food allergy vs. food intolerance: What's the </w:t>
            </w:r>
            <w:r w:rsidRPr="008D7DCA">
              <w:rPr>
                <w:rFonts w:asciiTheme="majorHAnsi" w:hAnsiTheme="majorHAnsi" w:cs="Tahoma"/>
                <w:sz w:val="22"/>
                <w:szCs w:val="22"/>
              </w:rPr>
              <w:t>difference?</w:t>
            </w:r>
          </w:p>
          <w:p w14:paraId="183FF212" w14:textId="32C05D71" w:rsidR="008D7DCA" w:rsidRDefault="008D7DCA" w:rsidP="008D7DCA">
            <w:pPr>
              <w:rPr>
                <w:rFonts w:asciiTheme="majorHAnsi" w:hAnsiTheme="majorHAnsi" w:cs="Tahoma"/>
                <w:sz w:val="22"/>
                <w:szCs w:val="22"/>
              </w:rPr>
            </w:pPr>
            <w:r>
              <w:rPr>
                <w:rFonts w:asciiTheme="majorHAnsi" w:hAnsiTheme="majorHAnsi" w:cs="Tahoma"/>
                <w:sz w:val="22"/>
                <w:szCs w:val="22"/>
              </w:rPr>
              <w:t xml:space="preserve">Available at: </w:t>
            </w:r>
            <w:hyperlink r:id="rId10" w:anchor=":~:text=A%20true%20food%20allergy%20causes,often%20limited%20to%20digestive%20problems" w:history="1">
              <w:r w:rsidRPr="006762FF">
                <w:rPr>
                  <w:rStyle w:val="Hyperlink"/>
                  <w:rFonts w:asciiTheme="majorHAnsi" w:hAnsiTheme="majorHAnsi" w:cs="Tahoma"/>
                  <w:sz w:val="22"/>
                  <w:szCs w:val="22"/>
                </w:rPr>
                <w:t>https://www.mayoclinic.org/diseases-conditions/food-allergy/expert-answers/food-allergy/faq-20058538#:~:text=A%20true%20food%20allergy%20causes,often%20limited%20to%20digestive%20problems</w:t>
              </w:r>
            </w:hyperlink>
            <w:r w:rsidRPr="008D7DCA">
              <w:rPr>
                <w:rFonts w:asciiTheme="majorHAnsi" w:hAnsiTheme="majorHAnsi" w:cs="Tahoma"/>
                <w:sz w:val="22"/>
                <w:szCs w:val="22"/>
              </w:rPr>
              <w:t>.</w:t>
            </w:r>
          </w:p>
          <w:p w14:paraId="06A5B764" w14:textId="77777777" w:rsidR="008D7DCA" w:rsidRDefault="008D7DCA" w:rsidP="008D7DCA">
            <w:pPr>
              <w:rPr>
                <w:rFonts w:asciiTheme="majorHAnsi" w:hAnsiTheme="majorHAnsi" w:cs="Tahoma"/>
                <w:sz w:val="22"/>
                <w:szCs w:val="22"/>
              </w:rPr>
            </w:pPr>
            <w:r>
              <w:rPr>
                <w:rFonts w:asciiTheme="majorHAnsi" w:hAnsiTheme="majorHAnsi" w:cs="Tahoma"/>
                <w:sz w:val="22"/>
                <w:szCs w:val="22"/>
              </w:rPr>
              <w:t>Accesses on: 11</w:t>
            </w:r>
            <w:r w:rsidRPr="008D7DCA">
              <w:rPr>
                <w:rFonts w:asciiTheme="majorHAnsi" w:hAnsiTheme="majorHAnsi" w:cs="Tahoma"/>
                <w:sz w:val="22"/>
                <w:szCs w:val="22"/>
                <w:vertAlign w:val="superscript"/>
              </w:rPr>
              <w:t>th</w:t>
            </w:r>
            <w:r>
              <w:rPr>
                <w:rFonts w:asciiTheme="majorHAnsi" w:hAnsiTheme="majorHAnsi" w:cs="Tahoma"/>
                <w:sz w:val="22"/>
                <w:szCs w:val="22"/>
              </w:rPr>
              <w:t xml:space="preserve"> Feb, 2022</w:t>
            </w:r>
          </w:p>
          <w:p w14:paraId="5470A7E0" w14:textId="77777777" w:rsidR="008D7DCA" w:rsidRDefault="008D7DCA" w:rsidP="008D7DCA">
            <w:pPr>
              <w:rPr>
                <w:rFonts w:asciiTheme="majorHAnsi" w:hAnsiTheme="majorHAnsi" w:cs="Tahoma"/>
                <w:sz w:val="22"/>
                <w:szCs w:val="22"/>
              </w:rPr>
            </w:pPr>
          </w:p>
          <w:p w14:paraId="00E52B7F" w14:textId="1CA85A44" w:rsidR="008D7DCA" w:rsidRDefault="00C074B4" w:rsidP="008D7DCA">
            <w:pPr>
              <w:rPr>
                <w:rFonts w:asciiTheme="majorHAnsi" w:hAnsiTheme="majorHAnsi" w:cs="Tahoma"/>
                <w:sz w:val="22"/>
                <w:szCs w:val="22"/>
              </w:rPr>
            </w:pPr>
            <w:r>
              <w:rPr>
                <w:rFonts w:asciiTheme="majorHAnsi" w:hAnsiTheme="majorHAnsi" w:cs="Tahoma"/>
                <w:sz w:val="22"/>
                <w:szCs w:val="22"/>
              </w:rPr>
              <w:t>Laurent L. Reber</w:t>
            </w:r>
            <w:r w:rsidR="008D7DCA" w:rsidRPr="008D7DCA">
              <w:rPr>
                <w:rFonts w:asciiTheme="majorHAnsi" w:hAnsiTheme="majorHAnsi" w:cs="Tahoma"/>
                <w:sz w:val="22"/>
                <w:szCs w:val="22"/>
              </w:rPr>
              <w:t>,</w:t>
            </w:r>
            <w:r>
              <w:rPr>
                <w:rFonts w:asciiTheme="majorHAnsi" w:hAnsiTheme="majorHAnsi" w:cs="Tahoma"/>
                <w:sz w:val="22"/>
                <w:szCs w:val="22"/>
              </w:rPr>
              <w:t xml:space="preserve"> Joseph D. Hernandez</w:t>
            </w:r>
            <w:r w:rsidR="008D7DCA" w:rsidRPr="008D7DCA">
              <w:rPr>
                <w:rFonts w:asciiTheme="majorHAnsi" w:hAnsiTheme="majorHAnsi" w:cs="Tahoma"/>
                <w:sz w:val="22"/>
                <w:szCs w:val="22"/>
              </w:rPr>
              <w:t>, and Stephen J. Galli</w:t>
            </w:r>
            <w:r>
              <w:rPr>
                <w:rFonts w:asciiTheme="majorHAnsi" w:hAnsiTheme="majorHAnsi" w:cs="Tahoma"/>
                <w:sz w:val="22"/>
                <w:szCs w:val="22"/>
              </w:rPr>
              <w:t xml:space="preserve"> (2018) </w:t>
            </w:r>
            <w:r w:rsidRPr="00C074B4">
              <w:rPr>
                <w:rFonts w:asciiTheme="majorHAnsi" w:hAnsiTheme="majorHAnsi" w:cs="Tahoma"/>
                <w:sz w:val="22"/>
                <w:szCs w:val="22"/>
              </w:rPr>
              <w:t>The pathophysiology of anaphylaxis</w:t>
            </w:r>
            <w:r>
              <w:rPr>
                <w:rFonts w:asciiTheme="majorHAnsi" w:hAnsiTheme="majorHAnsi" w:cs="Tahoma"/>
                <w:sz w:val="22"/>
                <w:szCs w:val="22"/>
              </w:rPr>
              <w:t xml:space="preserve">. </w:t>
            </w:r>
            <w:r w:rsidRPr="00C074B4">
              <w:rPr>
                <w:rFonts w:asciiTheme="majorHAnsi" w:hAnsiTheme="majorHAnsi" w:cs="Tahoma"/>
                <w:sz w:val="22"/>
                <w:szCs w:val="22"/>
              </w:rPr>
              <w:t>J Allergy Clin Immunol. Author manuscript; available in PMC 2018 Aug 1.</w:t>
            </w:r>
          </w:p>
          <w:p w14:paraId="7EDD6000" w14:textId="77777777" w:rsidR="008D7DCA" w:rsidRPr="008D7DCA" w:rsidRDefault="008D7DCA" w:rsidP="008D7DCA">
            <w:pPr>
              <w:rPr>
                <w:rFonts w:asciiTheme="majorHAnsi" w:hAnsiTheme="majorHAnsi" w:cs="Tahoma"/>
                <w:sz w:val="22"/>
                <w:szCs w:val="22"/>
              </w:rPr>
            </w:pPr>
          </w:p>
          <w:p w14:paraId="43EF99F0" w14:textId="7095E09E" w:rsidR="00375882" w:rsidRPr="00C074B4" w:rsidRDefault="00C074B4" w:rsidP="00C074B4">
            <w:pPr>
              <w:rPr>
                <w:rFonts w:asciiTheme="majorHAnsi" w:hAnsiTheme="majorHAnsi" w:cs="Tahoma"/>
                <w:sz w:val="22"/>
                <w:szCs w:val="22"/>
              </w:rPr>
            </w:pPr>
            <w:r w:rsidRPr="00C074B4">
              <w:rPr>
                <w:rFonts w:asciiTheme="majorHAnsi" w:hAnsiTheme="majorHAnsi" w:cs="Tahoma"/>
                <w:sz w:val="22"/>
                <w:szCs w:val="22"/>
              </w:rPr>
              <w:t>Onyinye I. Iweala, Shailesh K. Choudhary,and Scott P. Commins</w:t>
            </w:r>
            <w:r>
              <w:rPr>
                <w:rFonts w:asciiTheme="majorHAnsi" w:hAnsiTheme="majorHAnsi" w:cs="Tahoma"/>
                <w:sz w:val="22"/>
                <w:szCs w:val="22"/>
              </w:rPr>
              <w:t xml:space="preserve"> (2018), </w:t>
            </w:r>
            <w:r w:rsidRPr="00C074B4">
              <w:rPr>
                <w:rFonts w:asciiTheme="majorHAnsi" w:hAnsiTheme="majorHAnsi" w:cs="Tahoma"/>
                <w:sz w:val="22"/>
                <w:szCs w:val="22"/>
              </w:rPr>
              <w:t>Food Allergy</w:t>
            </w:r>
            <w:r>
              <w:rPr>
                <w:rFonts w:asciiTheme="majorHAnsi" w:hAnsiTheme="majorHAnsi" w:cs="Tahoma"/>
                <w:sz w:val="22"/>
                <w:szCs w:val="22"/>
              </w:rPr>
              <w:t xml:space="preserve">. </w:t>
            </w:r>
            <w:r w:rsidRPr="00C074B4">
              <w:rPr>
                <w:rFonts w:asciiTheme="majorHAnsi" w:hAnsiTheme="majorHAnsi" w:cs="Tahoma"/>
                <w:sz w:val="22"/>
                <w:szCs w:val="22"/>
              </w:rPr>
              <w:t>Curr Gastroenterol Rep. Author manuscript; available in PMC 2018 May 8.</w:t>
            </w:r>
          </w:p>
          <w:p w14:paraId="1DDB2118" w14:textId="7A9165F7" w:rsidR="00375882" w:rsidRDefault="00375882" w:rsidP="005608AF">
            <w:pPr>
              <w:spacing w:line="360" w:lineRule="auto"/>
              <w:jc w:val="both"/>
              <w:rPr>
                <w:rFonts w:ascii="Arial" w:hAnsi="Arial" w:cs="Arial"/>
              </w:rPr>
            </w:pPr>
          </w:p>
          <w:p w14:paraId="3701A32D" w14:textId="54DDC54C" w:rsidR="00375882" w:rsidRDefault="00375882" w:rsidP="005608AF">
            <w:pPr>
              <w:spacing w:line="360" w:lineRule="auto"/>
              <w:jc w:val="both"/>
              <w:rPr>
                <w:rFonts w:ascii="Arial" w:hAnsi="Arial" w:cs="Arial"/>
              </w:rPr>
            </w:pPr>
          </w:p>
          <w:p w14:paraId="5AE6C72E" w14:textId="62740FFE" w:rsidR="00375882" w:rsidRDefault="00375882" w:rsidP="005608AF">
            <w:pPr>
              <w:spacing w:line="360" w:lineRule="auto"/>
              <w:jc w:val="both"/>
              <w:rPr>
                <w:rFonts w:ascii="Arial" w:hAnsi="Arial" w:cs="Arial"/>
              </w:rPr>
            </w:pPr>
          </w:p>
          <w:p w14:paraId="19966CC6" w14:textId="3AD7B82E" w:rsidR="00375882" w:rsidRDefault="00375882" w:rsidP="005608AF">
            <w:pPr>
              <w:spacing w:line="360" w:lineRule="auto"/>
              <w:jc w:val="both"/>
              <w:rPr>
                <w:rFonts w:ascii="Arial" w:hAnsi="Arial" w:cs="Arial"/>
              </w:rPr>
            </w:pPr>
          </w:p>
          <w:p w14:paraId="00C184CC" w14:textId="1B102F8C" w:rsidR="00375882" w:rsidRDefault="00375882" w:rsidP="005608AF">
            <w:pPr>
              <w:spacing w:line="360" w:lineRule="auto"/>
              <w:jc w:val="both"/>
              <w:rPr>
                <w:rFonts w:ascii="Arial" w:hAnsi="Arial" w:cs="Arial"/>
              </w:rPr>
            </w:pPr>
          </w:p>
          <w:p w14:paraId="56FCD27E" w14:textId="3C241FCD" w:rsidR="00375882" w:rsidRDefault="00375882" w:rsidP="005608AF">
            <w:pPr>
              <w:spacing w:line="360" w:lineRule="auto"/>
              <w:jc w:val="both"/>
              <w:rPr>
                <w:rFonts w:ascii="Arial" w:hAnsi="Arial" w:cs="Arial"/>
              </w:rPr>
            </w:pPr>
          </w:p>
          <w:p w14:paraId="50E4CC8B" w14:textId="7487DEDD" w:rsidR="00375882" w:rsidRDefault="00375882" w:rsidP="005608AF">
            <w:pPr>
              <w:spacing w:line="360" w:lineRule="auto"/>
              <w:jc w:val="both"/>
              <w:rPr>
                <w:rFonts w:ascii="Arial" w:hAnsi="Arial" w:cs="Arial"/>
              </w:rPr>
            </w:pPr>
          </w:p>
          <w:p w14:paraId="47FB6995" w14:textId="77777777" w:rsidR="00375882" w:rsidRPr="003C3341" w:rsidRDefault="00375882" w:rsidP="005608AF">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sectPr w:rsidR="00B00678" w:rsidSect="00C21568">
      <w:headerReference w:type="default" r:id="rId11"/>
      <w:footerReference w:type="defaul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165EC" w14:textId="77777777" w:rsidR="00085A90" w:rsidRDefault="00085A90">
      <w:r>
        <w:separator/>
      </w:r>
    </w:p>
  </w:endnote>
  <w:endnote w:type="continuationSeparator" w:id="0">
    <w:p w14:paraId="3E8ADFAB" w14:textId="77777777" w:rsidR="00085A90" w:rsidRDefault="00085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5608AF" w:rsidRDefault="005608AF">
        <w:pPr>
          <w:pStyle w:val="Footer"/>
          <w:jc w:val="right"/>
        </w:pPr>
        <w:r>
          <w:fldChar w:fldCharType="begin"/>
        </w:r>
        <w:r>
          <w:instrText xml:space="preserve"> PAGE   \* MERGEFORMAT </w:instrText>
        </w:r>
        <w:r>
          <w:fldChar w:fldCharType="separate"/>
        </w:r>
        <w:r w:rsidR="00A30687">
          <w:rPr>
            <w:noProof/>
          </w:rPr>
          <w:t>1</w:t>
        </w:r>
        <w:r>
          <w:rPr>
            <w:noProof/>
          </w:rPr>
          <w:fldChar w:fldCharType="end"/>
        </w:r>
      </w:p>
    </w:sdtContent>
  </w:sdt>
  <w:p w14:paraId="32F3178D" w14:textId="0C9E4A4E" w:rsidR="005608AF" w:rsidRDefault="005608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E0B00" w14:textId="77777777" w:rsidR="00085A90" w:rsidRDefault="00085A90">
      <w:r>
        <w:separator/>
      </w:r>
    </w:p>
  </w:footnote>
  <w:footnote w:type="continuationSeparator" w:id="0">
    <w:p w14:paraId="6310D9B8" w14:textId="77777777" w:rsidR="00085A90" w:rsidRDefault="00085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5608AF" w:rsidRPr="001B69C8" w:rsidRDefault="005608AF"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1AD0"/>
    <w:rsid w:val="00026974"/>
    <w:rsid w:val="000304DF"/>
    <w:rsid w:val="00040CE8"/>
    <w:rsid w:val="0004729E"/>
    <w:rsid w:val="00070CBB"/>
    <w:rsid w:val="00076F40"/>
    <w:rsid w:val="00077E55"/>
    <w:rsid w:val="00085A90"/>
    <w:rsid w:val="00085CFD"/>
    <w:rsid w:val="000A0C53"/>
    <w:rsid w:val="000B2F4F"/>
    <w:rsid w:val="000E1DA4"/>
    <w:rsid w:val="000F2E7C"/>
    <w:rsid w:val="00112CE0"/>
    <w:rsid w:val="00142FFF"/>
    <w:rsid w:val="00162FE2"/>
    <w:rsid w:val="001703BD"/>
    <w:rsid w:val="00170A87"/>
    <w:rsid w:val="0018449A"/>
    <w:rsid w:val="00197F4A"/>
    <w:rsid w:val="001A59E7"/>
    <w:rsid w:val="001B69C8"/>
    <w:rsid w:val="001B6DB4"/>
    <w:rsid w:val="001C09B3"/>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441F2"/>
    <w:rsid w:val="00552EED"/>
    <w:rsid w:val="005608AF"/>
    <w:rsid w:val="00566333"/>
    <w:rsid w:val="00597CC0"/>
    <w:rsid w:val="005C6352"/>
    <w:rsid w:val="005D0DDE"/>
    <w:rsid w:val="005D5D0B"/>
    <w:rsid w:val="0062012D"/>
    <w:rsid w:val="00643CB9"/>
    <w:rsid w:val="00654A0A"/>
    <w:rsid w:val="006619FB"/>
    <w:rsid w:val="0066732A"/>
    <w:rsid w:val="00677D1F"/>
    <w:rsid w:val="00697481"/>
    <w:rsid w:val="006A4F97"/>
    <w:rsid w:val="006C4640"/>
    <w:rsid w:val="006F4FB6"/>
    <w:rsid w:val="006F501B"/>
    <w:rsid w:val="00702077"/>
    <w:rsid w:val="00725F0E"/>
    <w:rsid w:val="00734189"/>
    <w:rsid w:val="00735BB1"/>
    <w:rsid w:val="00744482"/>
    <w:rsid w:val="007451E8"/>
    <w:rsid w:val="00752F91"/>
    <w:rsid w:val="0078654A"/>
    <w:rsid w:val="0079230B"/>
    <w:rsid w:val="00797115"/>
    <w:rsid w:val="007A5E44"/>
    <w:rsid w:val="007D18CA"/>
    <w:rsid w:val="007E500C"/>
    <w:rsid w:val="007E7BB4"/>
    <w:rsid w:val="007F055A"/>
    <w:rsid w:val="007F418B"/>
    <w:rsid w:val="00814801"/>
    <w:rsid w:val="0082407E"/>
    <w:rsid w:val="00826699"/>
    <w:rsid w:val="00895843"/>
    <w:rsid w:val="008A00C2"/>
    <w:rsid w:val="008A1ACB"/>
    <w:rsid w:val="008B4B9C"/>
    <w:rsid w:val="008B534C"/>
    <w:rsid w:val="008C3E1A"/>
    <w:rsid w:val="008D7DCA"/>
    <w:rsid w:val="008E2A5A"/>
    <w:rsid w:val="008F0B0D"/>
    <w:rsid w:val="008F0D83"/>
    <w:rsid w:val="009061F1"/>
    <w:rsid w:val="00911C43"/>
    <w:rsid w:val="009139BF"/>
    <w:rsid w:val="00923E76"/>
    <w:rsid w:val="009448FE"/>
    <w:rsid w:val="00945CD3"/>
    <w:rsid w:val="00946B23"/>
    <w:rsid w:val="0095313C"/>
    <w:rsid w:val="00985CF1"/>
    <w:rsid w:val="009B1D87"/>
    <w:rsid w:val="009C438C"/>
    <w:rsid w:val="009C6CAE"/>
    <w:rsid w:val="009D0DDA"/>
    <w:rsid w:val="009D4065"/>
    <w:rsid w:val="00A02728"/>
    <w:rsid w:val="00A138AA"/>
    <w:rsid w:val="00A14DA0"/>
    <w:rsid w:val="00A30687"/>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05610"/>
    <w:rsid w:val="00B10EAB"/>
    <w:rsid w:val="00B11E4B"/>
    <w:rsid w:val="00B21F2E"/>
    <w:rsid w:val="00B266A5"/>
    <w:rsid w:val="00B43620"/>
    <w:rsid w:val="00B44B68"/>
    <w:rsid w:val="00B55465"/>
    <w:rsid w:val="00B60FDF"/>
    <w:rsid w:val="00B61256"/>
    <w:rsid w:val="00B73A1C"/>
    <w:rsid w:val="00B945EA"/>
    <w:rsid w:val="00B949BC"/>
    <w:rsid w:val="00BA53CD"/>
    <w:rsid w:val="00BB5FB3"/>
    <w:rsid w:val="00BC4D17"/>
    <w:rsid w:val="00BC7F1B"/>
    <w:rsid w:val="00BE2584"/>
    <w:rsid w:val="00C074B4"/>
    <w:rsid w:val="00C07D1A"/>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2FD0"/>
    <w:rsid w:val="00D833FD"/>
    <w:rsid w:val="00D926DE"/>
    <w:rsid w:val="00D95816"/>
    <w:rsid w:val="00DA09FA"/>
    <w:rsid w:val="00DD00CB"/>
    <w:rsid w:val="00DE6434"/>
    <w:rsid w:val="00E00580"/>
    <w:rsid w:val="00E07EEA"/>
    <w:rsid w:val="00E26639"/>
    <w:rsid w:val="00E30C3C"/>
    <w:rsid w:val="00E42568"/>
    <w:rsid w:val="00E672A4"/>
    <w:rsid w:val="00E91A0F"/>
    <w:rsid w:val="00EB1AD3"/>
    <w:rsid w:val="00EB4BAF"/>
    <w:rsid w:val="00EC294D"/>
    <w:rsid w:val="00ED52B6"/>
    <w:rsid w:val="00EF41E3"/>
    <w:rsid w:val="00F007E2"/>
    <w:rsid w:val="00F118EC"/>
    <w:rsid w:val="00F24E92"/>
    <w:rsid w:val="00F34E01"/>
    <w:rsid w:val="00F37A71"/>
    <w:rsid w:val="00F43CED"/>
    <w:rsid w:val="00F51904"/>
    <w:rsid w:val="00F537E9"/>
    <w:rsid w:val="00F55C83"/>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9F72CE75-A916-CF45-9419-131399AE7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7DC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8D7DCA"/>
    <w:rPr>
      <w:color w:val="0000FF" w:themeColor="hyperlink"/>
      <w:u w:val="single"/>
    </w:rPr>
  </w:style>
  <w:style w:type="character" w:styleId="UnresolvedMention">
    <w:name w:val="Unresolved Mention"/>
    <w:basedOn w:val="DefaultParagraphFont"/>
    <w:uiPriority w:val="99"/>
    <w:semiHidden/>
    <w:unhideWhenUsed/>
    <w:rsid w:val="000E1DA4"/>
    <w:rPr>
      <w:color w:val="605E5C"/>
      <w:shd w:val="clear" w:color="auto" w:fill="E1DFDD"/>
    </w:rPr>
  </w:style>
  <w:style w:type="character" w:customStyle="1" w:styleId="wordai-block">
    <w:name w:val="wordai-block"/>
    <w:basedOn w:val="DefaultParagraphFont"/>
    <w:rsid w:val="00B43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195847498">
      <w:bodyDiv w:val="1"/>
      <w:marLeft w:val="0"/>
      <w:marRight w:val="0"/>
      <w:marTop w:val="0"/>
      <w:marBottom w:val="0"/>
      <w:divBdr>
        <w:top w:val="none" w:sz="0" w:space="0" w:color="auto"/>
        <w:left w:val="none" w:sz="0" w:space="0" w:color="auto"/>
        <w:bottom w:val="none" w:sz="0" w:space="0" w:color="auto"/>
        <w:right w:val="none" w:sz="0" w:space="0" w:color="auto"/>
      </w:divBdr>
    </w:div>
    <w:div w:id="304438223">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752821592">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640583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87910572">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291012025">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30099051">
      <w:bodyDiv w:val="1"/>
      <w:marLeft w:val="0"/>
      <w:marRight w:val="0"/>
      <w:marTop w:val="0"/>
      <w:marBottom w:val="0"/>
      <w:divBdr>
        <w:top w:val="none" w:sz="0" w:space="0" w:color="auto"/>
        <w:left w:val="none" w:sz="0" w:space="0" w:color="auto"/>
        <w:bottom w:val="none" w:sz="0" w:space="0" w:color="auto"/>
        <w:right w:val="none" w:sz="0" w:space="0" w:color="auto"/>
      </w:divBdr>
      <w:divsChild>
        <w:div w:id="667905350">
          <w:marLeft w:val="0"/>
          <w:marRight w:val="0"/>
          <w:marTop w:val="0"/>
          <w:marBottom w:val="180"/>
          <w:divBdr>
            <w:top w:val="none" w:sz="0" w:space="0" w:color="auto"/>
            <w:left w:val="none" w:sz="0" w:space="0" w:color="auto"/>
            <w:bottom w:val="none" w:sz="0" w:space="0" w:color="auto"/>
            <w:right w:val="none" w:sz="0" w:space="0" w:color="auto"/>
          </w:divBdr>
        </w:div>
      </w:divsChild>
    </w:div>
    <w:div w:id="1601645545">
      <w:bodyDiv w:val="1"/>
      <w:marLeft w:val="0"/>
      <w:marRight w:val="0"/>
      <w:marTop w:val="0"/>
      <w:marBottom w:val="0"/>
      <w:divBdr>
        <w:top w:val="none" w:sz="0" w:space="0" w:color="auto"/>
        <w:left w:val="none" w:sz="0" w:space="0" w:color="auto"/>
        <w:bottom w:val="none" w:sz="0" w:space="0" w:color="auto"/>
        <w:right w:val="none" w:sz="0" w:space="0" w:color="auto"/>
      </w:divBdr>
      <w:divsChild>
        <w:div w:id="300041904">
          <w:marLeft w:val="0"/>
          <w:marRight w:val="0"/>
          <w:marTop w:val="0"/>
          <w:marBottom w:val="0"/>
          <w:divBdr>
            <w:top w:val="none" w:sz="0" w:space="0" w:color="auto"/>
            <w:left w:val="none" w:sz="0" w:space="0" w:color="auto"/>
            <w:bottom w:val="none" w:sz="0" w:space="0" w:color="auto"/>
            <w:right w:val="none" w:sz="0" w:space="0" w:color="auto"/>
          </w:divBdr>
          <w:divsChild>
            <w:div w:id="158761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427358">
      <w:bodyDiv w:val="1"/>
      <w:marLeft w:val="0"/>
      <w:marRight w:val="0"/>
      <w:marTop w:val="0"/>
      <w:marBottom w:val="0"/>
      <w:divBdr>
        <w:top w:val="none" w:sz="0" w:space="0" w:color="auto"/>
        <w:left w:val="none" w:sz="0" w:space="0" w:color="auto"/>
        <w:bottom w:val="none" w:sz="0" w:space="0" w:color="auto"/>
        <w:right w:val="none" w:sz="0" w:space="0" w:color="auto"/>
      </w:divBdr>
      <w:divsChild>
        <w:div w:id="1842548589">
          <w:marLeft w:val="0"/>
          <w:marRight w:val="0"/>
          <w:marTop w:val="0"/>
          <w:marBottom w:val="0"/>
          <w:divBdr>
            <w:top w:val="none" w:sz="0" w:space="0" w:color="auto"/>
            <w:left w:val="none" w:sz="0" w:space="0" w:color="auto"/>
            <w:bottom w:val="none" w:sz="0" w:space="0" w:color="auto"/>
            <w:right w:val="none" w:sz="0" w:space="0" w:color="auto"/>
          </w:divBdr>
          <w:divsChild>
            <w:div w:id="69889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07900">
      <w:bodyDiv w:val="1"/>
      <w:marLeft w:val="0"/>
      <w:marRight w:val="0"/>
      <w:marTop w:val="0"/>
      <w:marBottom w:val="0"/>
      <w:divBdr>
        <w:top w:val="none" w:sz="0" w:space="0" w:color="auto"/>
        <w:left w:val="none" w:sz="0" w:space="0" w:color="auto"/>
        <w:bottom w:val="none" w:sz="0" w:space="0" w:color="auto"/>
        <w:right w:val="none" w:sz="0" w:space="0" w:color="auto"/>
      </w:divBdr>
    </w:div>
    <w:div w:id="1770933032">
      <w:bodyDiv w:val="1"/>
      <w:marLeft w:val="0"/>
      <w:marRight w:val="0"/>
      <w:marTop w:val="0"/>
      <w:marBottom w:val="0"/>
      <w:divBdr>
        <w:top w:val="none" w:sz="0" w:space="0" w:color="auto"/>
        <w:left w:val="none" w:sz="0" w:space="0" w:color="auto"/>
        <w:bottom w:val="none" w:sz="0" w:space="0" w:color="auto"/>
        <w:right w:val="none" w:sz="0" w:space="0" w:color="auto"/>
      </w:divBdr>
    </w:div>
    <w:div w:id="1820153348">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business-guidance/allergen-guidance-for-food-business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mayoclinic.org/diseases-conditions/food-allergy/expert-answers/food-allergy/faq-20058538" TargetMode="External"/><Relationship Id="rId4" Type="http://schemas.openxmlformats.org/officeDocument/2006/relationships/settings" Target="settings.xml"/><Relationship Id="rId9" Type="http://schemas.openxmlformats.org/officeDocument/2006/relationships/hyperlink" Target="https://www.bsaci.org/natashas-law-comes-into-effect-on-1st-october-202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E5AEA-C20E-47F4-A97A-C67065FC5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1175</Words>
  <Characters>6703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Microsoft Office User</cp:lastModifiedBy>
  <cp:revision>7</cp:revision>
  <cp:lastPrinted>2020-09-28T20:53:00Z</cp:lastPrinted>
  <dcterms:created xsi:type="dcterms:W3CDTF">2022-02-10T19:56:00Z</dcterms:created>
  <dcterms:modified xsi:type="dcterms:W3CDTF">2022-02-10T22:53:00Z</dcterms:modified>
</cp:coreProperties>
</file>