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DF94A0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Paradigm Shifts in Problem Gambling Research</w:t>
      </w:r>
    </w:p>
    <w:p w14:paraId="4B55A5FA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Problem gambling research has undergone several significant theoretical reorientations, though unlike natural sciences, these exist as </w:t>
      </w: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coexisting paradigms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rather than sequential replacements (Reith, 2007). Here's an overview:</w:t>
      </w:r>
    </w:p>
    <w:p w14:paraId="2FCD385F" w14:textId="77777777" w:rsidR="008B703B" w:rsidRPr="008B703B" w:rsidRDefault="008B703B" w:rsidP="008B703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pict w14:anchorId="16160775">
          <v:rect id="_x0000_i1025" style="width:0;height:1.5pt" o:hralign="center" o:hrstd="t" o:hr="t" fillcolor="#a0a0a0" stroked="f"/>
        </w:pict>
      </w:r>
    </w:p>
    <w:p w14:paraId="6EF8521A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Medical/Disease Model (1970s-1980s)</w:t>
      </w:r>
    </w:p>
    <w:p w14:paraId="4772951F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11CFB2D6" w14:textId="77777777" w:rsidR="008B703B" w:rsidRPr="008B703B" w:rsidRDefault="008B703B" w:rsidP="008B703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Problem gambling as individual pathology/addiction (American Psychiatric Association, 1980)</w:t>
      </w:r>
    </w:p>
    <w:p w14:paraId="680C76C9" w14:textId="77777777" w:rsidR="008B703B" w:rsidRPr="008B703B" w:rsidRDefault="008B703B" w:rsidP="008B703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Biological and psychological deficits in gamblers</w:t>
      </w:r>
    </w:p>
    <w:p w14:paraId="4135DBF4" w14:textId="77777777" w:rsidR="008B703B" w:rsidRPr="008B703B" w:rsidRDefault="008B703B" w:rsidP="008B703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Treatment-focused: analogous to alcoholism model</w:t>
      </w:r>
    </w:p>
    <w:p w14:paraId="4A43FECD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2D92CC2D" w14:textId="77777777" w:rsidR="008B703B" w:rsidRPr="008B703B" w:rsidRDefault="008B703B" w:rsidP="008B703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Gamblers Anonymous (founded 1957) using 12-step recovery</w:t>
      </w:r>
    </w:p>
    <w:p w14:paraId="73AF9BAF" w14:textId="77777777" w:rsidR="008B703B" w:rsidRPr="008B703B" w:rsidRDefault="008B703B" w:rsidP="008B703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DSM-III (1980) classification of 'pathological gambling' as impulse control disorder</w:t>
      </w:r>
    </w:p>
    <w:p w14:paraId="32F47166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Realist—gambling addiction exists as objective disease entity</w:t>
      </w:r>
    </w:p>
    <w:p w14:paraId="66AF3463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Ignored social, cultural, economic contexts; stigmatised gamblers</w:t>
      </w:r>
    </w:p>
    <w:p w14:paraId="6A79AE1A" w14:textId="77777777" w:rsidR="008B703B" w:rsidRPr="008B703B" w:rsidRDefault="008B703B" w:rsidP="008B703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pict w14:anchorId="6628DD28">
          <v:rect id="_x0000_i1026" style="width:0;height:1.5pt" o:hralign="center" o:hrstd="t" o:hr="t" fillcolor="#a0a0a0" stroked="f"/>
        </w:pict>
      </w:r>
    </w:p>
    <w:p w14:paraId="59190A1D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Cognitive-Behavioural Paradigm (1980s-2000s)</w:t>
      </w:r>
    </w:p>
    <w:p w14:paraId="30A5DF3D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667205CB" w14:textId="77777777" w:rsidR="008B703B" w:rsidRPr="008B703B" w:rsidRDefault="008B703B" w:rsidP="008B703B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Problem gambling results from cognitive distortions (Ladouceur &amp; Walker, 1996)</w:t>
      </w:r>
    </w:p>
    <w:p w14:paraId="3F552665" w14:textId="77777777" w:rsidR="008B703B" w:rsidRPr="008B703B" w:rsidRDefault="008B703B" w:rsidP="008B703B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Erroneous beliefs about randomness, control, near-misses</w:t>
      </w:r>
    </w:p>
    <w:p w14:paraId="40AECEE0" w14:textId="77777777" w:rsidR="008B703B" w:rsidRPr="008B703B" w:rsidRDefault="008B703B" w:rsidP="008B703B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Individual-level psychological mechanisms</w:t>
      </w:r>
    </w:p>
    <w:p w14:paraId="0D434D95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concepts:</w:t>
      </w:r>
    </w:p>
    <w:p w14:paraId="6A03F750" w14:textId="77777777" w:rsidR="008B703B" w:rsidRPr="008B703B" w:rsidRDefault="008B703B" w:rsidP="008B703B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Illusion of control (Langer, 1975)</w:t>
      </w:r>
    </w:p>
    <w:p w14:paraId="35339C05" w14:textId="77777777" w:rsidR="008B703B" w:rsidRPr="008B703B" w:rsidRDefault="008B703B" w:rsidP="008B703B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Gambler's fallacy</w:t>
      </w:r>
    </w:p>
    <w:p w14:paraId="17F52B22" w14:textId="77777777" w:rsidR="008B703B" w:rsidRPr="008B703B" w:rsidRDefault="008B703B" w:rsidP="008B703B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Availability heuristic</w:t>
      </w:r>
    </w:p>
    <w:p w14:paraId="33847D7C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Post-positivist—measurable psychological mechanisms</w:t>
      </w:r>
    </w:p>
    <w:p w14:paraId="7CCED87B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Dominance: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Still prevalent in clinical psychology and treatment services</w:t>
      </w:r>
    </w:p>
    <w:p w14:paraId="2653F01B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Limitations: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Remains individualistic; doesn't explain why gambling industries design products to exploit these biases</w:t>
      </w:r>
    </w:p>
    <w:p w14:paraId="7D2EF460" w14:textId="77777777" w:rsidR="008B703B" w:rsidRPr="008B703B" w:rsidRDefault="008B703B" w:rsidP="008B703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pict w14:anchorId="48B93693">
          <v:rect id="_x0000_i1027" style="width:0;height:1.5pt" o:hralign="center" o:hrstd="t" o:hr="t" fillcolor="#a0a0a0" stroked="f"/>
        </w:pict>
      </w:r>
    </w:p>
    <w:p w14:paraId="0D620C67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Public Health Model (1990s-2010s)</w:t>
      </w:r>
    </w:p>
    <w:p w14:paraId="058272E9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787EFD8D" w14:textId="77777777" w:rsidR="008B703B" w:rsidRPr="008B703B" w:rsidRDefault="008B703B" w:rsidP="008B703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Problem gambling as public health issue requiring population-level prevention (Korn &amp; Shaffer, 1999)</w:t>
      </w:r>
    </w:p>
    <w:p w14:paraId="3AD2112B" w14:textId="77777777" w:rsidR="008B703B" w:rsidRPr="008B703B" w:rsidRDefault="008B703B" w:rsidP="008B703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Focus on prevalence, risk factors, harm minimisation</w:t>
      </w:r>
    </w:p>
    <w:p w14:paraId="27E97DB5" w14:textId="77777777" w:rsidR="008B703B" w:rsidRPr="008B703B" w:rsidRDefault="008B703B" w:rsidP="008B703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Environmental and structural factors matter</w:t>
      </w:r>
    </w:p>
    <w:p w14:paraId="43884F7C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shift:</w:t>
      </w:r>
    </w:p>
    <w:p w14:paraId="5F5E33DE" w14:textId="77777777" w:rsidR="008B703B" w:rsidRPr="008B703B" w:rsidRDefault="008B703B" w:rsidP="008B703B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From individual pathology to spectrum of gambling behaviours</w:t>
      </w:r>
    </w:p>
    <w:p w14:paraId="3BF8B419" w14:textId="77777777" w:rsidR="008B703B" w:rsidRPr="008B703B" w:rsidRDefault="008B703B" w:rsidP="008B703B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Recognition of 'responsible gambling' as industry responsibility</w:t>
      </w:r>
    </w:p>
    <w:p w14:paraId="4F2204DD" w14:textId="77777777" w:rsidR="008B703B" w:rsidRPr="008B703B" w:rsidRDefault="008B703B" w:rsidP="008B703B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Harm reduction approaches</w:t>
      </w:r>
    </w:p>
    <w:p w14:paraId="67216DB2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087A3696" w14:textId="77777777" w:rsidR="008B703B" w:rsidRPr="008B703B" w:rsidRDefault="008B703B" w:rsidP="008B703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Shaffer, H.J., Hall, M.N. and Vander Bilt, J. (1999) 'Estimating the prevalence of disordered gambling behaviour in the United States and Canada',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American Journal of Public Health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, 89(9), pp.1369-1376.</w:t>
      </w:r>
    </w:p>
    <w:p w14:paraId="538CC1B4" w14:textId="77777777" w:rsidR="008B703B" w:rsidRPr="008B703B" w:rsidRDefault="008B703B" w:rsidP="008B703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Korn, D.A. and Shaffer, H.J. (1999) 'Gambling and the health of the public',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Journal of Gambling Studies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, 15(4), pp.289-365.</w:t>
      </w:r>
    </w:p>
    <w:p w14:paraId="59EFEC7B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Pragmatist—focus on measurable outcomes and harm reduction</w:t>
      </w:r>
    </w:p>
    <w:p w14:paraId="64501F92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gramStart"/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Current status</w:t>
      </w:r>
      <w:proofErr w:type="gramEnd"/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Dominant framework in policy and regulation</w:t>
      </w:r>
    </w:p>
    <w:p w14:paraId="70D80BAA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Can obscure structural causes; '</w:t>
      </w:r>
      <w:proofErr w:type="spellStart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responsibilisation</w:t>
      </w:r>
      <w:proofErr w:type="spellEnd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' shifts burden from industry to individual</w:t>
      </w:r>
    </w:p>
    <w:p w14:paraId="2B445A9E" w14:textId="77777777" w:rsidR="008B703B" w:rsidRPr="008B703B" w:rsidRDefault="008B703B" w:rsidP="008B703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pict w14:anchorId="046F8697">
          <v:rect id="_x0000_i1028" style="width:0;height:1.5pt" o:hralign="center" o:hrstd="t" o:hr="t" fillcolor="#a0a0a0" stroked="f"/>
        </w:pict>
      </w:r>
    </w:p>
    <w:p w14:paraId="78551B90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Sociological/Critical Paradigm (2000s-present)</w:t>
      </w:r>
    </w:p>
    <w:p w14:paraId="740F5E0B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0C97BA38" w14:textId="77777777" w:rsidR="008B703B" w:rsidRPr="008B703B" w:rsidRDefault="008B703B" w:rsidP="008B703B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Problem gambling as socially constructed phenomenon embedded in political economy (Reith, 2007; Cassidy, 2020)</w:t>
      </w:r>
    </w:p>
    <w:p w14:paraId="33CFB150" w14:textId="77777777" w:rsidR="008B703B" w:rsidRPr="008B703B" w:rsidRDefault="008B703B" w:rsidP="008B703B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Gambling as mechanism of capital accumulation and social inequality (Livingstone, 2001)</w:t>
      </w:r>
    </w:p>
    <w:p w14:paraId="41D22207" w14:textId="77777777" w:rsidR="008B703B" w:rsidRPr="008B703B" w:rsidRDefault="008B703B" w:rsidP="008B703B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Focus on power, governmentality, structural violence</w:t>
      </w:r>
    </w:p>
    <w:p w14:paraId="357049D3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theoretical resources:</w:t>
      </w:r>
    </w:p>
    <w:p w14:paraId="2FCCF0FB" w14:textId="77777777" w:rsidR="008B703B" w:rsidRPr="008B703B" w:rsidRDefault="008B703B" w:rsidP="008B703B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Foucault: governmentality and discipline</w:t>
      </w:r>
    </w:p>
    <w:p w14:paraId="6445920A" w14:textId="77777777" w:rsidR="008B703B" w:rsidRPr="008B703B" w:rsidRDefault="008B703B" w:rsidP="008B703B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Bourdieu: habitus and class reproduction through gambling</w:t>
      </w:r>
    </w:p>
    <w:p w14:paraId="5C008710" w14:textId="77777777" w:rsidR="008B703B" w:rsidRPr="008B703B" w:rsidRDefault="008B703B" w:rsidP="008B703B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Goffman: social performances of 'responsible' gambling</w:t>
      </w:r>
    </w:p>
    <w:p w14:paraId="1B4A4D34" w14:textId="77777777" w:rsidR="008B703B" w:rsidRPr="008B703B" w:rsidRDefault="008B703B" w:rsidP="008B703B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Critical political economy: gambling as regressive taxation on poor</w:t>
      </w:r>
    </w:p>
    <w:p w14:paraId="0C8075F2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37398547" w14:textId="77777777" w:rsidR="008B703B" w:rsidRPr="008B703B" w:rsidRDefault="008B703B" w:rsidP="008B703B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Reith, G. (2007) 'Gambling and the contradictions of consumption',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 xml:space="preserve">American </w:t>
      </w:r>
      <w:proofErr w:type="spellStart"/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Behavioral</w:t>
      </w:r>
      <w:proofErr w:type="spellEnd"/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 xml:space="preserve"> Scientist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, 51(1), pp.33-55.</w:t>
      </w:r>
    </w:p>
    <w:p w14:paraId="34BACFC2" w14:textId="77777777" w:rsidR="008B703B" w:rsidRPr="008B703B" w:rsidRDefault="008B703B" w:rsidP="008B703B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Livingstone, C. (2001) 'The social economy of poker machine gambling in Victoria',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International Gambling Studies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, 1(1), pp.46-65.</w:t>
      </w:r>
    </w:p>
    <w:p w14:paraId="7DC10C94" w14:textId="77777777" w:rsidR="008B703B" w:rsidRPr="008B703B" w:rsidRDefault="008B703B" w:rsidP="008B703B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Cassidy, R. (2020)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Vicious Games: Capitalism and Gambling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. London: Pluto Press.</w:t>
      </w:r>
    </w:p>
    <w:p w14:paraId="720C986D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Social constructionist/critical realist—gambling harm as product of structural arrangements</w:t>
      </w:r>
    </w:p>
    <w:p w14:paraId="684087CE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Epistemology: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Interpretivist and critical—focus on meanings, power relations, contradictions</w:t>
      </w:r>
    </w:p>
    <w:p w14:paraId="0EA6CD92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insights:</w:t>
      </w:r>
    </w:p>
    <w:p w14:paraId="30290473" w14:textId="77777777" w:rsidR="008B703B" w:rsidRPr="008B703B" w:rsidRDefault="008B703B" w:rsidP="008B703B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"Responsible gambling" as oxymoron serving industry legitimation</w:t>
      </w:r>
    </w:p>
    <w:p w14:paraId="309C8246" w14:textId="77777777" w:rsidR="008B703B" w:rsidRPr="008B703B" w:rsidRDefault="008B703B" w:rsidP="008B703B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Electronic gaming machines (EGMs) as "exploitation by design" (</w:t>
      </w:r>
      <w:proofErr w:type="spellStart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Schüll</w:t>
      </w:r>
      <w:proofErr w:type="spellEnd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, 2012)</w:t>
      </w:r>
    </w:p>
    <w:p w14:paraId="7F3E90BE" w14:textId="77777777" w:rsidR="008B703B" w:rsidRPr="008B703B" w:rsidRDefault="008B703B" w:rsidP="008B703B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Problem gambling concentrated in disadvantaged communities</w:t>
      </w:r>
    </w:p>
    <w:p w14:paraId="1E43B6A5" w14:textId="77777777" w:rsidR="008B703B" w:rsidRPr="008B703B" w:rsidRDefault="008B703B" w:rsidP="008B703B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State complicity through gambling taxation revenue</w:t>
      </w:r>
    </w:p>
    <w:p w14:paraId="26C2A7E4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gramStart"/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Current status</w:t>
      </w:r>
      <w:proofErr w:type="gramEnd"/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Growing influence in critical gambling studies but marginal in policy</w:t>
      </w:r>
    </w:p>
    <w:p w14:paraId="14AFA867" w14:textId="77777777" w:rsidR="008B703B" w:rsidRPr="008B703B" w:rsidRDefault="008B703B" w:rsidP="008B703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pict w14:anchorId="458AF285">
          <v:rect id="_x0000_i1029" style="width:0;height:1.5pt" o:hralign="center" o:hrstd="t" o:hr="t" fillcolor="#a0a0a0" stroked="f"/>
        </w:pict>
      </w:r>
    </w:p>
    <w:p w14:paraId="31DC3157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Neuroscience/Behavioural Economics (2000s-present)</w:t>
      </w:r>
    </w:p>
    <w:p w14:paraId="675D99BD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0CDFDE46" w14:textId="77777777" w:rsidR="008B703B" w:rsidRPr="008B703B" w:rsidRDefault="008B703B" w:rsidP="008B703B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Gambling behaviour explained through brain mechanisms and decision-making biases (Potenza, 2008)</w:t>
      </w:r>
    </w:p>
    <w:p w14:paraId="035EEB84" w14:textId="77777777" w:rsidR="008B703B" w:rsidRPr="008B703B" w:rsidRDefault="008B703B" w:rsidP="008B703B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Neuroimaging of "gambling brain"</w:t>
      </w:r>
    </w:p>
    <w:p w14:paraId="6B7DD063" w14:textId="77777777" w:rsidR="008B703B" w:rsidRPr="008B703B" w:rsidRDefault="008B703B" w:rsidP="008B703B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Behavioural economics: loss aversion, sunk cost fallacy</w:t>
      </w:r>
    </w:p>
    <w:p w14:paraId="54B050F6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Positivist/realist—brain mechanisms as objective reality</w:t>
      </w:r>
    </w:p>
    <w:p w14:paraId="0B1ED5E5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Overlap with: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Cognitive-behavioural model but with biological reductionism</w:t>
      </w:r>
    </w:p>
    <w:p w14:paraId="39007494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Critical concerns: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Risk of </w:t>
      </w:r>
      <w:proofErr w:type="spellStart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neurologising</w:t>
      </w:r>
      <w:proofErr w:type="spellEnd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social problems; ignores why gambling products designed to exploit neurobiology</w:t>
      </w:r>
    </w:p>
    <w:p w14:paraId="6185290E" w14:textId="77777777" w:rsidR="008B703B" w:rsidRPr="008B703B" w:rsidRDefault="008B703B" w:rsidP="008B703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pict w14:anchorId="7E86C3D6">
          <v:rect id="_x0000_i1030" style="width:0;height:1.5pt" o:hralign="center" o:hrstd="t" o:hr="t" fillcolor="#a0a0a0" stroked="f"/>
        </w:pict>
      </w:r>
    </w:p>
    <w:p w14:paraId="4C84EF61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Contemporary Landscape: Paradigm Coexistence</w:t>
      </w:r>
    </w:p>
    <w:p w14:paraId="22E0284B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Unlike Kuhn's natural science model, problem gambling research exhibits </w:t>
      </w: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paradigm pluralism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(Reith, 2007):</w:t>
      </w:r>
    </w:p>
    <w:p w14:paraId="0C7686BD" w14:textId="77777777" w:rsidR="008B703B" w:rsidRPr="008B703B" w:rsidRDefault="008B703B" w:rsidP="008B703B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Clinical services: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Still dominated by medical/cognitive-behavioural models</w:t>
      </w:r>
    </w:p>
    <w:p w14:paraId="3A1BAAB2" w14:textId="77777777" w:rsidR="008B703B" w:rsidRPr="008B703B" w:rsidRDefault="008B703B" w:rsidP="008B703B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Public policy: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Public health framework dominates</w:t>
      </w:r>
    </w:p>
    <w:p w14:paraId="527044AE" w14:textId="77777777" w:rsidR="008B703B" w:rsidRPr="008B703B" w:rsidRDefault="008B703B" w:rsidP="008B703B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Industry: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Embraces 'responsible gambling' discourse (critiqued as ideology by sociologists)</w:t>
      </w:r>
    </w:p>
    <w:p w14:paraId="3807B522" w14:textId="77777777" w:rsidR="008B703B" w:rsidRPr="008B703B" w:rsidRDefault="008B703B" w:rsidP="008B703B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Critical scholarship: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Sociological and political economy approaches</w:t>
      </w:r>
    </w:p>
    <w:p w14:paraId="1ABC9EBD" w14:textId="77777777" w:rsidR="008B703B" w:rsidRPr="008B703B" w:rsidRDefault="008B703B" w:rsidP="008B703B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Neuroscience: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Growing but contested influence</w:t>
      </w:r>
    </w:p>
    <w:p w14:paraId="512273C7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tensions:</w:t>
      </w:r>
    </w:p>
    <w:p w14:paraId="31C07F32" w14:textId="77777777" w:rsidR="008B703B" w:rsidRPr="008B703B" w:rsidRDefault="008B703B" w:rsidP="008B703B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Individual vs. structural: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Is problem gambling individual pathology or systemic exploitation?</w:t>
      </w:r>
    </w:p>
    <w:p w14:paraId="40DC7C34" w14:textId="77777777" w:rsidR="008B703B" w:rsidRPr="008B703B" w:rsidRDefault="008B703B" w:rsidP="008B703B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Harm minimisation vs. profit maximisation: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Can gambling industries genuinely reduce harm while maximising revenue? (Spoiler: critical scholars say no—see Livingstone &amp; Woolley, 2007)</w:t>
      </w:r>
    </w:p>
    <w:p w14:paraId="6595A4F7" w14:textId="77777777" w:rsidR="008B703B" w:rsidRPr="008B703B" w:rsidRDefault="008B703B" w:rsidP="008B703B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Medical vs. social: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Disease requiring treatment or social problem requiring structural change?</w:t>
      </w:r>
    </w:p>
    <w:p w14:paraId="38E67BE9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Your research positioning:</w:t>
      </w:r>
    </w:p>
    <w:p w14:paraId="7D2C6DDC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Your shift from Carroll's CSR pyramid to Goffman/Foucault/Bourdieu represents movement from </w:t>
      </w: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managerialist public health paradigm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(responsible gambling as implementable strategy) to </w:t>
      </w:r>
      <w:r w:rsidRPr="008B70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critical sociological paradigm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 (responsible gambling as contradictory discourse masking structural harms).</w:t>
      </w:r>
    </w:p>
    <w:p w14:paraId="2C7F976B" w14:textId="77777777" w:rsidR="008B703B" w:rsidRPr="008B703B" w:rsidRDefault="008B703B" w:rsidP="008B703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pict w14:anchorId="1313DBAF">
          <v:rect id="_x0000_i1031" style="width:0;height:1.5pt" o:hralign="center" o:hrstd="t" o:hr="t" fillcolor="#a0a0a0" stroked="f"/>
        </w:pict>
      </w:r>
    </w:p>
    <w:p w14:paraId="35E0BF82" w14:textId="77777777" w:rsidR="008B703B" w:rsidRPr="008B703B" w:rsidRDefault="008B703B" w:rsidP="008B703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8B703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Key References for Section 2 of Your Presentation:</w:t>
      </w:r>
    </w:p>
    <w:p w14:paraId="0A1FBDB0" w14:textId="77777777" w:rsidR="008B703B" w:rsidRPr="008B703B" w:rsidRDefault="008B703B" w:rsidP="008B703B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American Psychiatric Association (1980)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Diagnostic and Statistical Manual of Mental Disorders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. 3rd </w:t>
      </w:r>
      <w:proofErr w:type="spellStart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edn</w:t>
      </w:r>
      <w:proofErr w:type="spellEnd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. Washington, DC: APA.</w:t>
      </w:r>
    </w:p>
    <w:p w14:paraId="7EBCCC25" w14:textId="77777777" w:rsidR="008B703B" w:rsidRPr="008B703B" w:rsidRDefault="008B703B" w:rsidP="008B703B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Cassidy, R. (2020)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Vicious Games: Capitalism and Gambling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. London: Pluto Press.</w:t>
      </w:r>
    </w:p>
    <w:p w14:paraId="2BF0A506" w14:textId="77777777" w:rsidR="008B703B" w:rsidRPr="008B703B" w:rsidRDefault="008B703B" w:rsidP="008B703B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Ladouceur, R. and Walker, M. (1996) 'A cognitive perspective on gambling', in </w:t>
      </w:r>
      <w:proofErr w:type="spellStart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Salkovskis</w:t>
      </w:r>
      <w:proofErr w:type="spellEnd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, P.M. (ed.)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Trends in Cognitive and Behavioural Therapies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. Chichester: Wiley, pp.89-120.</w:t>
      </w:r>
    </w:p>
    <w:p w14:paraId="49F79B24" w14:textId="77777777" w:rsidR="008B703B" w:rsidRPr="008B703B" w:rsidRDefault="008B703B" w:rsidP="008B703B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Livingstone, C. and Woolley, R. (2007) 'Risky business: A few provocations on the regulation of electronic gaming machines',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International Gambling Studies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, 7(3), pp.361-376.</w:t>
      </w:r>
    </w:p>
    <w:p w14:paraId="3B078441" w14:textId="77777777" w:rsidR="008B703B" w:rsidRPr="008B703B" w:rsidRDefault="008B703B" w:rsidP="008B703B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Reith, G. (2007) 'Gambling and the contradictions of consumption: A genealogy of the "pathological" subject',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 xml:space="preserve">American </w:t>
      </w:r>
      <w:proofErr w:type="spellStart"/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Behavioral</w:t>
      </w:r>
      <w:proofErr w:type="spellEnd"/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 xml:space="preserve"> Scientist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, 51(1), pp.33-55.</w:t>
      </w:r>
    </w:p>
    <w:p w14:paraId="2A6972BA" w14:textId="77777777" w:rsidR="008B703B" w:rsidRPr="008B703B" w:rsidRDefault="008B703B" w:rsidP="008B703B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spellStart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>Schüll</w:t>
      </w:r>
      <w:proofErr w:type="spellEnd"/>
      <w:r w:rsidRPr="008B703B">
        <w:rPr>
          <w:rFonts w:ascii="Times New Roman" w:eastAsia="Times New Roman" w:hAnsi="Times New Roman" w:cs="Times New Roman"/>
          <w:kern w:val="0"/>
          <w14:ligatures w14:val="none"/>
        </w:rPr>
        <w:t xml:space="preserve">, N.D. (2012) </w:t>
      </w:r>
      <w:r w:rsidRPr="008B703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Addiction by Design: Machine Gambling in Las Vegas</w:t>
      </w: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. Princeton: Princeton Press.</w:t>
      </w:r>
    </w:p>
    <w:p w14:paraId="2A631D7E" w14:textId="77777777" w:rsidR="008B703B" w:rsidRPr="008B703B" w:rsidRDefault="008B703B" w:rsidP="008B703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8B703B">
        <w:rPr>
          <w:rFonts w:ascii="Times New Roman" w:eastAsia="Times New Roman" w:hAnsi="Times New Roman" w:cs="Times New Roman"/>
          <w:kern w:val="0"/>
          <w14:ligatures w14:val="none"/>
        </w:rPr>
        <w:t>This overview shows that your field is characterised by competing paradigms with different ontological, epistemological, and political commitments—perfect for demonstrating Burrell &amp; Morgan's (1979) framework rather than Kuhnian succession.</w:t>
      </w:r>
    </w:p>
    <w:p w14:paraId="456C3DE8" w14:textId="77777777" w:rsidR="00BD5068" w:rsidRDefault="00BD5068"/>
    <w:sectPr w:rsidR="00BD50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B35AE"/>
    <w:multiLevelType w:val="multilevel"/>
    <w:tmpl w:val="1F788F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8C57C0"/>
    <w:multiLevelType w:val="multilevel"/>
    <w:tmpl w:val="4852C2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787EC0"/>
    <w:multiLevelType w:val="multilevel"/>
    <w:tmpl w:val="9F52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5090EA4"/>
    <w:multiLevelType w:val="multilevel"/>
    <w:tmpl w:val="B7C23F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26A3E59"/>
    <w:multiLevelType w:val="multilevel"/>
    <w:tmpl w:val="242038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6510A70"/>
    <w:multiLevelType w:val="multilevel"/>
    <w:tmpl w:val="2F006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CD32664"/>
    <w:multiLevelType w:val="multilevel"/>
    <w:tmpl w:val="11D45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9977516"/>
    <w:multiLevelType w:val="multilevel"/>
    <w:tmpl w:val="22E2B3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5FE3EFB"/>
    <w:multiLevelType w:val="multilevel"/>
    <w:tmpl w:val="DE9A68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EB04F6"/>
    <w:multiLevelType w:val="multilevel"/>
    <w:tmpl w:val="E51AB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E0D4268"/>
    <w:multiLevelType w:val="multilevel"/>
    <w:tmpl w:val="AC9443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3C3418E"/>
    <w:multiLevelType w:val="multilevel"/>
    <w:tmpl w:val="4718DA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9B2799F"/>
    <w:multiLevelType w:val="multilevel"/>
    <w:tmpl w:val="570E1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C4B19DC"/>
    <w:multiLevelType w:val="multilevel"/>
    <w:tmpl w:val="7A660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F7D3BC2"/>
    <w:multiLevelType w:val="multilevel"/>
    <w:tmpl w:val="A2A28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4879950">
    <w:abstractNumId w:val="9"/>
  </w:num>
  <w:num w:numId="2" w16cid:durableId="419527915">
    <w:abstractNumId w:val="1"/>
  </w:num>
  <w:num w:numId="3" w16cid:durableId="1867448576">
    <w:abstractNumId w:val="2"/>
  </w:num>
  <w:num w:numId="4" w16cid:durableId="203180371">
    <w:abstractNumId w:val="0"/>
  </w:num>
  <w:num w:numId="5" w16cid:durableId="752431963">
    <w:abstractNumId w:val="4"/>
  </w:num>
  <w:num w:numId="6" w16cid:durableId="1672633746">
    <w:abstractNumId w:val="11"/>
  </w:num>
  <w:num w:numId="7" w16cid:durableId="1629359874">
    <w:abstractNumId w:val="10"/>
  </w:num>
  <w:num w:numId="8" w16cid:durableId="1552842281">
    <w:abstractNumId w:val="12"/>
  </w:num>
  <w:num w:numId="9" w16cid:durableId="191963617">
    <w:abstractNumId w:val="7"/>
  </w:num>
  <w:num w:numId="10" w16cid:durableId="363336555">
    <w:abstractNumId w:val="14"/>
  </w:num>
  <w:num w:numId="11" w16cid:durableId="1601334453">
    <w:abstractNumId w:val="5"/>
  </w:num>
  <w:num w:numId="12" w16cid:durableId="4942421">
    <w:abstractNumId w:val="6"/>
  </w:num>
  <w:num w:numId="13" w16cid:durableId="312105480">
    <w:abstractNumId w:val="13"/>
  </w:num>
  <w:num w:numId="14" w16cid:durableId="905456627">
    <w:abstractNumId w:val="3"/>
  </w:num>
  <w:num w:numId="15" w16cid:durableId="164770629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03B"/>
    <w:rsid w:val="003A5ACF"/>
    <w:rsid w:val="008B703B"/>
    <w:rsid w:val="00BD5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79005"/>
  <w15:chartTrackingRefBased/>
  <w15:docId w15:val="{C422187A-BF9C-4AD7-A7CC-28488A5EAD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70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70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70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70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70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70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70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70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70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70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70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70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70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70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70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70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70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70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70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70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70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70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70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70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70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70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70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70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70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1041</Words>
  <Characters>5637</Characters>
  <Application>Microsoft Office Word</Application>
  <DocSecurity>0</DocSecurity>
  <Lines>110</Lines>
  <Paragraphs>57</Paragraphs>
  <ScaleCrop>false</ScaleCrop>
  <Company/>
  <LinksUpToDate>false</LinksUpToDate>
  <CharactersWithSpaces>6621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2025-10-06T17:53:00Z</dcterms:created>
  <dcterms:modified xsi:type="dcterms:W3CDTF">2025-10-06T17:53:00Z</dcterms:modified>
</cp:coreProperties>
</file>