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6E0B5" w14:textId="77777777" w:rsidR="00420625" w:rsidRDefault="003D324D" w:rsidP="00444ED1">
      <w:pPr>
        <w:pStyle w:val="TitleCustom"/>
        <w:spacing w:line="360" w:lineRule="auto"/>
        <w:jc w:val="center"/>
      </w:pPr>
      <w:r>
        <w:t>LCHS7008 Written Research Proposal</w:t>
      </w:r>
    </w:p>
    <w:p w14:paraId="4E7741C4" w14:textId="77777777" w:rsidR="00420625" w:rsidRDefault="003D324D" w:rsidP="00444ED1">
      <w:pPr>
        <w:pStyle w:val="SubtitleCustom"/>
        <w:spacing w:line="360" w:lineRule="auto"/>
        <w:jc w:val="center"/>
      </w:pPr>
      <w:r>
        <w:t>MSc Public Health and Social Care in Practice</w:t>
      </w:r>
    </w:p>
    <w:tbl>
      <w:tblPr>
        <w:tblStyle w:val="TableGrid"/>
        <w:tblW w:w="0" w:type="auto"/>
        <w:jc w:val="center"/>
        <w:tblLook w:val="04A0" w:firstRow="1" w:lastRow="0" w:firstColumn="1" w:lastColumn="0" w:noHBand="0" w:noVBand="1"/>
      </w:tblPr>
      <w:tblGrid>
        <w:gridCol w:w="3150"/>
        <w:gridCol w:w="6498"/>
      </w:tblGrid>
      <w:tr w:rsidR="00420625" w:rsidRPr="00694434" w14:paraId="7DB4E74D" w14:textId="77777777" w:rsidTr="00694434">
        <w:trPr>
          <w:jc w:val="center"/>
        </w:trPr>
        <w:tc>
          <w:tcPr>
            <w:tcW w:w="3150" w:type="dxa"/>
            <w:shd w:val="clear" w:color="auto" w:fill="D9E2F3"/>
            <w:vAlign w:val="center"/>
          </w:tcPr>
          <w:p w14:paraId="5022D704" w14:textId="77777777" w:rsidR="00420625" w:rsidRPr="00694434" w:rsidRDefault="003D324D" w:rsidP="00444ED1">
            <w:pPr>
              <w:jc w:val="left"/>
              <w:rPr>
                <w:b/>
                <w:bCs/>
                <w:szCs w:val="28"/>
              </w:rPr>
            </w:pPr>
            <w:r w:rsidRPr="00694434">
              <w:rPr>
                <w:b/>
                <w:bCs/>
                <w:szCs w:val="28"/>
              </w:rPr>
              <w:t>Student name</w:t>
            </w:r>
          </w:p>
        </w:tc>
        <w:tc>
          <w:tcPr>
            <w:tcW w:w="6498" w:type="dxa"/>
            <w:shd w:val="clear" w:color="auto" w:fill="F7F9FC"/>
            <w:vAlign w:val="center"/>
          </w:tcPr>
          <w:p w14:paraId="639F9F73" w14:textId="77777777" w:rsidR="00420625" w:rsidRPr="00694434" w:rsidRDefault="003D324D" w:rsidP="00444ED1">
            <w:pPr>
              <w:jc w:val="left"/>
              <w:rPr>
                <w:szCs w:val="28"/>
              </w:rPr>
            </w:pPr>
            <w:r w:rsidRPr="00694434">
              <w:rPr>
                <w:szCs w:val="28"/>
              </w:rPr>
              <w:t>MD Aktarujjaman</w:t>
            </w:r>
          </w:p>
        </w:tc>
      </w:tr>
      <w:tr w:rsidR="00420625" w:rsidRPr="00694434" w14:paraId="0C984E6F" w14:textId="77777777" w:rsidTr="00694434">
        <w:trPr>
          <w:jc w:val="center"/>
        </w:trPr>
        <w:tc>
          <w:tcPr>
            <w:tcW w:w="3150" w:type="dxa"/>
            <w:shd w:val="clear" w:color="auto" w:fill="D9E2F3"/>
            <w:vAlign w:val="center"/>
          </w:tcPr>
          <w:p w14:paraId="201A5DBA" w14:textId="77777777" w:rsidR="00420625" w:rsidRPr="00694434" w:rsidRDefault="003D324D" w:rsidP="00444ED1">
            <w:pPr>
              <w:jc w:val="left"/>
              <w:rPr>
                <w:b/>
                <w:bCs/>
                <w:szCs w:val="28"/>
              </w:rPr>
            </w:pPr>
            <w:r w:rsidRPr="00694434">
              <w:rPr>
                <w:b/>
                <w:bCs/>
                <w:szCs w:val="28"/>
              </w:rPr>
              <w:t>Student number</w:t>
            </w:r>
          </w:p>
        </w:tc>
        <w:tc>
          <w:tcPr>
            <w:tcW w:w="6498" w:type="dxa"/>
            <w:shd w:val="clear" w:color="auto" w:fill="F7F9FC"/>
            <w:vAlign w:val="center"/>
          </w:tcPr>
          <w:p w14:paraId="2E8A5980" w14:textId="77777777" w:rsidR="00420625" w:rsidRPr="00694434" w:rsidRDefault="003D324D" w:rsidP="00444ED1">
            <w:pPr>
              <w:jc w:val="left"/>
              <w:rPr>
                <w:szCs w:val="28"/>
              </w:rPr>
            </w:pPr>
            <w:r w:rsidRPr="00694434">
              <w:rPr>
                <w:szCs w:val="28"/>
              </w:rPr>
              <w:t>2512989</w:t>
            </w:r>
          </w:p>
        </w:tc>
      </w:tr>
      <w:tr w:rsidR="00420625" w:rsidRPr="00694434" w14:paraId="1075ADF4" w14:textId="77777777" w:rsidTr="00694434">
        <w:trPr>
          <w:jc w:val="center"/>
        </w:trPr>
        <w:tc>
          <w:tcPr>
            <w:tcW w:w="3150" w:type="dxa"/>
            <w:shd w:val="clear" w:color="auto" w:fill="D9E2F3"/>
            <w:vAlign w:val="center"/>
          </w:tcPr>
          <w:p w14:paraId="4A059E03" w14:textId="77777777" w:rsidR="00420625" w:rsidRPr="00694434" w:rsidRDefault="003D324D" w:rsidP="00444ED1">
            <w:pPr>
              <w:jc w:val="left"/>
              <w:rPr>
                <w:b/>
                <w:bCs/>
                <w:szCs w:val="28"/>
              </w:rPr>
            </w:pPr>
            <w:r w:rsidRPr="00694434">
              <w:rPr>
                <w:b/>
                <w:bCs/>
                <w:szCs w:val="28"/>
              </w:rPr>
              <w:t>Module code and title</w:t>
            </w:r>
          </w:p>
        </w:tc>
        <w:tc>
          <w:tcPr>
            <w:tcW w:w="6498" w:type="dxa"/>
            <w:shd w:val="clear" w:color="auto" w:fill="F7F9FC"/>
            <w:vAlign w:val="center"/>
          </w:tcPr>
          <w:p w14:paraId="548BC0F1" w14:textId="77777777" w:rsidR="00420625" w:rsidRPr="00694434" w:rsidRDefault="003D324D" w:rsidP="00444ED1">
            <w:pPr>
              <w:jc w:val="left"/>
              <w:rPr>
                <w:szCs w:val="28"/>
              </w:rPr>
            </w:pPr>
            <w:r w:rsidRPr="00694434">
              <w:rPr>
                <w:szCs w:val="28"/>
              </w:rPr>
              <w:t>LCHS7008 Public Health and Social Care in Practice Research Proposal</w:t>
            </w:r>
          </w:p>
        </w:tc>
      </w:tr>
      <w:tr w:rsidR="00420625" w:rsidRPr="00694434" w14:paraId="579C7701" w14:textId="77777777" w:rsidTr="00694434">
        <w:trPr>
          <w:jc w:val="center"/>
        </w:trPr>
        <w:tc>
          <w:tcPr>
            <w:tcW w:w="3150" w:type="dxa"/>
            <w:shd w:val="clear" w:color="auto" w:fill="D9E2F3"/>
            <w:vAlign w:val="center"/>
          </w:tcPr>
          <w:p w14:paraId="0D9F194C" w14:textId="77777777" w:rsidR="00420625" w:rsidRPr="00694434" w:rsidRDefault="003D324D" w:rsidP="00444ED1">
            <w:pPr>
              <w:jc w:val="left"/>
              <w:rPr>
                <w:b/>
                <w:bCs/>
                <w:szCs w:val="28"/>
              </w:rPr>
            </w:pPr>
            <w:r w:rsidRPr="00694434">
              <w:rPr>
                <w:b/>
                <w:bCs/>
                <w:szCs w:val="28"/>
              </w:rPr>
              <w:t>Lecturer</w:t>
            </w:r>
          </w:p>
        </w:tc>
        <w:tc>
          <w:tcPr>
            <w:tcW w:w="6498" w:type="dxa"/>
            <w:shd w:val="clear" w:color="auto" w:fill="F7F9FC"/>
            <w:vAlign w:val="center"/>
          </w:tcPr>
          <w:p w14:paraId="2B9A402B" w14:textId="77777777" w:rsidR="00420625" w:rsidRPr="00694434" w:rsidRDefault="003D324D" w:rsidP="00444ED1">
            <w:pPr>
              <w:jc w:val="left"/>
              <w:rPr>
                <w:szCs w:val="28"/>
              </w:rPr>
            </w:pPr>
            <w:r w:rsidRPr="00694434">
              <w:rPr>
                <w:szCs w:val="28"/>
              </w:rPr>
              <w:t>Dr Zeno Leung</w:t>
            </w:r>
          </w:p>
        </w:tc>
      </w:tr>
      <w:tr w:rsidR="00420625" w:rsidRPr="00694434" w14:paraId="4F109D8D" w14:textId="77777777" w:rsidTr="00694434">
        <w:trPr>
          <w:jc w:val="center"/>
        </w:trPr>
        <w:tc>
          <w:tcPr>
            <w:tcW w:w="3150" w:type="dxa"/>
            <w:shd w:val="clear" w:color="auto" w:fill="D9E2F3"/>
            <w:vAlign w:val="center"/>
          </w:tcPr>
          <w:p w14:paraId="288E42D9" w14:textId="77777777" w:rsidR="00420625" w:rsidRPr="00694434" w:rsidRDefault="003D324D" w:rsidP="00444ED1">
            <w:pPr>
              <w:jc w:val="left"/>
              <w:rPr>
                <w:b/>
                <w:bCs/>
                <w:szCs w:val="28"/>
              </w:rPr>
            </w:pPr>
            <w:r w:rsidRPr="00694434">
              <w:rPr>
                <w:b/>
                <w:bCs/>
                <w:szCs w:val="28"/>
              </w:rPr>
              <w:t>Assignment title</w:t>
            </w:r>
          </w:p>
        </w:tc>
        <w:tc>
          <w:tcPr>
            <w:tcW w:w="6498" w:type="dxa"/>
            <w:shd w:val="clear" w:color="auto" w:fill="F7F9FC"/>
            <w:vAlign w:val="center"/>
          </w:tcPr>
          <w:p w14:paraId="74A73E5E" w14:textId="77777777" w:rsidR="00420625" w:rsidRPr="00694434" w:rsidRDefault="003D324D" w:rsidP="00444ED1">
            <w:pPr>
              <w:jc w:val="left"/>
              <w:rPr>
                <w:szCs w:val="28"/>
              </w:rPr>
            </w:pPr>
            <w:r w:rsidRPr="00694434">
              <w:rPr>
                <w:szCs w:val="28"/>
              </w:rPr>
              <w:t>Component 2 Written Research Proposal</w:t>
            </w:r>
          </w:p>
        </w:tc>
      </w:tr>
      <w:tr w:rsidR="00420625" w:rsidRPr="00694434" w14:paraId="14E0067F" w14:textId="77777777" w:rsidTr="00694434">
        <w:trPr>
          <w:jc w:val="center"/>
        </w:trPr>
        <w:tc>
          <w:tcPr>
            <w:tcW w:w="3150" w:type="dxa"/>
            <w:shd w:val="clear" w:color="auto" w:fill="D9E2F3"/>
            <w:vAlign w:val="center"/>
          </w:tcPr>
          <w:p w14:paraId="4B78F85F" w14:textId="77777777" w:rsidR="00420625" w:rsidRPr="00694434" w:rsidRDefault="003D324D" w:rsidP="00444ED1">
            <w:pPr>
              <w:jc w:val="left"/>
              <w:rPr>
                <w:b/>
                <w:bCs/>
                <w:szCs w:val="28"/>
              </w:rPr>
            </w:pPr>
            <w:r w:rsidRPr="00694434">
              <w:rPr>
                <w:b/>
                <w:bCs/>
                <w:szCs w:val="28"/>
              </w:rPr>
              <w:t>Proposed research title</w:t>
            </w:r>
          </w:p>
        </w:tc>
        <w:tc>
          <w:tcPr>
            <w:tcW w:w="6498" w:type="dxa"/>
            <w:shd w:val="clear" w:color="auto" w:fill="F7F9FC"/>
            <w:vAlign w:val="center"/>
          </w:tcPr>
          <w:p w14:paraId="7ADD3FA8" w14:textId="77777777" w:rsidR="002C1DE8" w:rsidRDefault="003D324D">
            <w:r>
              <w:t>Engagement with smoking cessation support and quit success among adults in the United Kingdom: a systematic literature review</w:t>
            </w:r>
          </w:p>
        </w:tc>
      </w:tr>
    </w:tbl>
    <w:p w14:paraId="7165F05A" w14:textId="77777777" w:rsidR="00CD70E6" w:rsidRDefault="00CD70E6" w:rsidP="00444ED1">
      <w:pPr>
        <w:pStyle w:val="Heading1Custom"/>
        <w:spacing w:line="360" w:lineRule="auto"/>
        <w:sectPr w:rsidR="00CD70E6" w:rsidSect="00CD70E6">
          <w:pgSz w:w="12240" w:h="15840" w:code="1"/>
          <w:pgMar w:top="1008" w:right="1296" w:bottom="1008" w:left="1296" w:header="720" w:footer="720" w:gutter="0"/>
          <w:cols w:space="720"/>
          <w:vAlign w:val="center"/>
          <w:docGrid w:linePitch="360"/>
        </w:sectPr>
      </w:pPr>
    </w:p>
    <w:sdt>
      <w:sdtPr>
        <w:rPr>
          <w:rFonts w:eastAsia="Arial" w:cstheme="minorBidi"/>
          <w:b w:val="0"/>
          <w:bCs w:val="0"/>
          <w:color w:val="auto"/>
          <w:sz w:val="24"/>
          <w:szCs w:val="22"/>
        </w:rPr>
        <w:id w:val="-1035337028"/>
        <w:docPartObj>
          <w:docPartGallery w:val="Table of Contents"/>
          <w:docPartUnique/>
        </w:docPartObj>
      </w:sdtPr>
      <w:sdtEndPr>
        <w:rPr>
          <w:noProof/>
        </w:rPr>
      </w:sdtEndPr>
      <w:sdtContent>
        <w:p w14:paraId="6EC2B211" w14:textId="77777777" w:rsidR="002859AE" w:rsidRDefault="002859AE" w:rsidP="00444ED1">
          <w:pPr>
            <w:pStyle w:val="TOCHeading"/>
          </w:pPr>
          <w:r>
            <w:t>Table of Contents</w:t>
          </w:r>
        </w:p>
        <w:p w14:paraId="4E3CF46B" w14:textId="144590E9" w:rsidR="004D044D" w:rsidRDefault="002859AE">
          <w:pPr>
            <w:pStyle w:val="TOC1"/>
            <w:tabs>
              <w:tab w:val="right" w:leader="dot" w:pos="9638"/>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25247047" w:history="1">
            <w:r w:rsidR="004D044D" w:rsidRPr="00B3179F">
              <w:rPr>
                <w:rStyle w:val="Hyperlink"/>
                <w:noProof/>
              </w:rPr>
              <w:t>1. Prevalence of the problem</w:t>
            </w:r>
            <w:r w:rsidR="004D044D">
              <w:rPr>
                <w:noProof/>
                <w:webHidden/>
              </w:rPr>
              <w:tab/>
            </w:r>
            <w:r w:rsidR="004D044D">
              <w:rPr>
                <w:noProof/>
                <w:webHidden/>
              </w:rPr>
              <w:fldChar w:fldCharType="begin"/>
            </w:r>
            <w:r w:rsidR="004D044D">
              <w:rPr>
                <w:noProof/>
                <w:webHidden/>
              </w:rPr>
              <w:instrText xml:space="preserve"> PAGEREF _Toc225247047 \h </w:instrText>
            </w:r>
            <w:r w:rsidR="004D044D">
              <w:rPr>
                <w:noProof/>
                <w:webHidden/>
              </w:rPr>
            </w:r>
            <w:r w:rsidR="004D044D">
              <w:rPr>
                <w:noProof/>
                <w:webHidden/>
              </w:rPr>
              <w:fldChar w:fldCharType="separate"/>
            </w:r>
            <w:r w:rsidR="004D044D">
              <w:rPr>
                <w:noProof/>
                <w:webHidden/>
              </w:rPr>
              <w:t>3</w:t>
            </w:r>
            <w:r w:rsidR="004D044D">
              <w:rPr>
                <w:noProof/>
                <w:webHidden/>
              </w:rPr>
              <w:fldChar w:fldCharType="end"/>
            </w:r>
          </w:hyperlink>
        </w:p>
        <w:p w14:paraId="13798FEE" w14:textId="4510124B" w:rsidR="004D044D" w:rsidRDefault="004D044D">
          <w:pPr>
            <w:pStyle w:val="TOC1"/>
            <w:tabs>
              <w:tab w:val="right" w:leader="dot" w:pos="9638"/>
            </w:tabs>
            <w:rPr>
              <w:rFonts w:asciiTheme="minorHAnsi" w:eastAsiaTheme="minorEastAsia" w:hAnsiTheme="minorHAnsi"/>
              <w:noProof/>
              <w:kern w:val="2"/>
              <w:szCs w:val="24"/>
              <w14:ligatures w14:val="standardContextual"/>
            </w:rPr>
          </w:pPr>
          <w:hyperlink w:anchor="_Toc225247048" w:history="1">
            <w:r w:rsidRPr="00B3179F">
              <w:rPr>
                <w:rStyle w:val="Hyperlink"/>
                <w:noProof/>
              </w:rPr>
              <w:t>2. Introduction, including a literature-based background to the study</w:t>
            </w:r>
            <w:r>
              <w:rPr>
                <w:noProof/>
                <w:webHidden/>
              </w:rPr>
              <w:tab/>
            </w:r>
            <w:r>
              <w:rPr>
                <w:noProof/>
                <w:webHidden/>
              </w:rPr>
              <w:fldChar w:fldCharType="begin"/>
            </w:r>
            <w:r>
              <w:rPr>
                <w:noProof/>
                <w:webHidden/>
              </w:rPr>
              <w:instrText xml:space="preserve"> PAGEREF _Toc225247048 \h </w:instrText>
            </w:r>
            <w:r>
              <w:rPr>
                <w:noProof/>
                <w:webHidden/>
              </w:rPr>
            </w:r>
            <w:r>
              <w:rPr>
                <w:noProof/>
                <w:webHidden/>
              </w:rPr>
              <w:fldChar w:fldCharType="separate"/>
            </w:r>
            <w:r>
              <w:rPr>
                <w:noProof/>
                <w:webHidden/>
              </w:rPr>
              <w:t>3</w:t>
            </w:r>
            <w:r>
              <w:rPr>
                <w:noProof/>
                <w:webHidden/>
              </w:rPr>
              <w:fldChar w:fldCharType="end"/>
            </w:r>
          </w:hyperlink>
        </w:p>
        <w:p w14:paraId="399355E2" w14:textId="0A53A3FB" w:rsidR="004D044D" w:rsidRDefault="004D044D">
          <w:pPr>
            <w:pStyle w:val="TOC1"/>
            <w:tabs>
              <w:tab w:val="right" w:leader="dot" w:pos="9638"/>
            </w:tabs>
            <w:rPr>
              <w:rFonts w:asciiTheme="minorHAnsi" w:eastAsiaTheme="minorEastAsia" w:hAnsiTheme="minorHAnsi"/>
              <w:noProof/>
              <w:kern w:val="2"/>
              <w:szCs w:val="24"/>
              <w14:ligatures w14:val="standardContextual"/>
            </w:rPr>
          </w:pPr>
          <w:hyperlink w:anchor="_Toc225247049" w:history="1">
            <w:r w:rsidRPr="00B3179F">
              <w:rPr>
                <w:rStyle w:val="Hyperlink"/>
                <w:noProof/>
              </w:rPr>
              <w:t>3. Rationale</w:t>
            </w:r>
            <w:r>
              <w:rPr>
                <w:noProof/>
                <w:webHidden/>
              </w:rPr>
              <w:tab/>
            </w:r>
            <w:r>
              <w:rPr>
                <w:noProof/>
                <w:webHidden/>
              </w:rPr>
              <w:fldChar w:fldCharType="begin"/>
            </w:r>
            <w:r>
              <w:rPr>
                <w:noProof/>
                <w:webHidden/>
              </w:rPr>
              <w:instrText xml:space="preserve"> PAGEREF _Toc225247049 \h </w:instrText>
            </w:r>
            <w:r>
              <w:rPr>
                <w:noProof/>
                <w:webHidden/>
              </w:rPr>
            </w:r>
            <w:r>
              <w:rPr>
                <w:noProof/>
                <w:webHidden/>
              </w:rPr>
              <w:fldChar w:fldCharType="separate"/>
            </w:r>
            <w:r>
              <w:rPr>
                <w:noProof/>
                <w:webHidden/>
              </w:rPr>
              <w:t>5</w:t>
            </w:r>
            <w:r>
              <w:rPr>
                <w:noProof/>
                <w:webHidden/>
              </w:rPr>
              <w:fldChar w:fldCharType="end"/>
            </w:r>
          </w:hyperlink>
        </w:p>
        <w:p w14:paraId="64529052" w14:textId="6AB7026E" w:rsidR="004D044D" w:rsidRDefault="004D044D">
          <w:pPr>
            <w:pStyle w:val="TOC1"/>
            <w:tabs>
              <w:tab w:val="right" w:leader="dot" w:pos="9638"/>
            </w:tabs>
            <w:rPr>
              <w:rFonts w:asciiTheme="minorHAnsi" w:eastAsiaTheme="minorEastAsia" w:hAnsiTheme="minorHAnsi"/>
              <w:noProof/>
              <w:kern w:val="2"/>
              <w:szCs w:val="24"/>
              <w14:ligatures w14:val="standardContextual"/>
            </w:rPr>
          </w:pPr>
          <w:hyperlink w:anchor="_Toc225247050" w:history="1">
            <w:r w:rsidRPr="00B3179F">
              <w:rPr>
                <w:rStyle w:val="Hyperlink"/>
                <w:noProof/>
              </w:rPr>
              <w:t>4. Research proposal</w:t>
            </w:r>
            <w:r>
              <w:rPr>
                <w:noProof/>
                <w:webHidden/>
              </w:rPr>
              <w:tab/>
            </w:r>
            <w:r>
              <w:rPr>
                <w:noProof/>
                <w:webHidden/>
              </w:rPr>
              <w:fldChar w:fldCharType="begin"/>
            </w:r>
            <w:r>
              <w:rPr>
                <w:noProof/>
                <w:webHidden/>
              </w:rPr>
              <w:instrText xml:space="preserve"> PAGEREF _Toc225247050 \h </w:instrText>
            </w:r>
            <w:r>
              <w:rPr>
                <w:noProof/>
                <w:webHidden/>
              </w:rPr>
            </w:r>
            <w:r>
              <w:rPr>
                <w:noProof/>
                <w:webHidden/>
              </w:rPr>
              <w:fldChar w:fldCharType="separate"/>
            </w:r>
            <w:r>
              <w:rPr>
                <w:noProof/>
                <w:webHidden/>
              </w:rPr>
              <w:t>5</w:t>
            </w:r>
            <w:r>
              <w:rPr>
                <w:noProof/>
                <w:webHidden/>
              </w:rPr>
              <w:fldChar w:fldCharType="end"/>
            </w:r>
          </w:hyperlink>
        </w:p>
        <w:p w14:paraId="4E779618" w14:textId="35006D1C" w:rsidR="004D044D" w:rsidRDefault="004D044D">
          <w:pPr>
            <w:pStyle w:val="TOC1"/>
            <w:tabs>
              <w:tab w:val="right" w:leader="dot" w:pos="9638"/>
            </w:tabs>
            <w:rPr>
              <w:rFonts w:asciiTheme="minorHAnsi" w:eastAsiaTheme="minorEastAsia" w:hAnsiTheme="minorHAnsi"/>
              <w:noProof/>
              <w:kern w:val="2"/>
              <w:szCs w:val="24"/>
              <w14:ligatures w14:val="standardContextual"/>
            </w:rPr>
          </w:pPr>
          <w:hyperlink w:anchor="_Toc225247051" w:history="1">
            <w:r w:rsidRPr="00B3179F">
              <w:rPr>
                <w:rStyle w:val="Hyperlink"/>
                <w:noProof/>
              </w:rPr>
              <w:t>5. Methodology</w:t>
            </w:r>
            <w:r>
              <w:rPr>
                <w:noProof/>
                <w:webHidden/>
              </w:rPr>
              <w:tab/>
            </w:r>
            <w:r>
              <w:rPr>
                <w:noProof/>
                <w:webHidden/>
              </w:rPr>
              <w:fldChar w:fldCharType="begin"/>
            </w:r>
            <w:r>
              <w:rPr>
                <w:noProof/>
                <w:webHidden/>
              </w:rPr>
              <w:instrText xml:space="preserve"> PAGEREF _Toc225247051 \h </w:instrText>
            </w:r>
            <w:r>
              <w:rPr>
                <w:noProof/>
                <w:webHidden/>
              </w:rPr>
            </w:r>
            <w:r>
              <w:rPr>
                <w:noProof/>
                <w:webHidden/>
              </w:rPr>
              <w:fldChar w:fldCharType="separate"/>
            </w:r>
            <w:r>
              <w:rPr>
                <w:noProof/>
                <w:webHidden/>
              </w:rPr>
              <w:t>6</w:t>
            </w:r>
            <w:r>
              <w:rPr>
                <w:noProof/>
                <w:webHidden/>
              </w:rPr>
              <w:fldChar w:fldCharType="end"/>
            </w:r>
          </w:hyperlink>
        </w:p>
        <w:p w14:paraId="5CC5FDAB" w14:textId="36EC8BBF" w:rsidR="004D044D" w:rsidRDefault="004D044D">
          <w:pPr>
            <w:pStyle w:val="TOC1"/>
            <w:tabs>
              <w:tab w:val="right" w:leader="dot" w:pos="9638"/>
            </w:tabs>
            <w:rPr>
              <w:rFonts w:asciiTheme="minorHAnsi" w:eastAsiaTheme="minorEastAsia" w:hAnsiTheme="minorHAnsi"/>
              <w:noProof/>
              <w:kern w:val="2"/>
              <w:szCs w:val="24"/>
              <w14:ligatures w14:val="standardContextual"/>
            </w:rPr>
          </w:pPr>
          <w:hyperlink w:anchor="_Toc225247052" w:history="1">
            <w:r w:rsidRPr="00B3179F">
              <w:rPr>
                <w:rStyle w:val="Hyperlink"/>
                <w:noProof/>
              </w:rPr>
              <w:t>6. Ethical considerations</w:t>
            </w:r>
            <w:r>
              <w:rPr>
                <w:noProof/>
                <w:webHidden/>
              </w:rPr>
              <w:tab/>
            </w:r>
            <w:r>
              <w:rPr>
                <w:noProof/>
                <w:webHidden/>
              </w:rPr>
              <w:fldChar w:fldCharType="begin"/>
            </w:r>
            <w:r>
              <w:rPr>
                <w:noProof/>
                <w:webHidden/>
              </w:rPr>
              <w:instrText xml:space="preserve"> PAGEREF _Toc225247052 \h </w:instrText>
            </w:r>
            <w:r>
              <w:rPr>
                <w:noProof/>
                <w:webHidden/>
              </w:rPr>
            </w:r>
            <w:r>
              <w:rPr>
                <w:noProof/>
                <w:webHidden/>
              </w:rPr>
              <w:fldChar w:fldCharType="separate"/>
            </w:r>
            <w:r>
              <w:rPr>
                <w:noProof/>
                <w:webHidden/>
              </w:rPr>
              <w:t>8</w:t>
            </w:r>
            <w:r>
              <w:rPr>
                <w:noProof/>
                <w:webHidden/>
              </w:rPr>
              <w:fldChar w:fldCharType="end"/>
            </w:r>
          </w:hyperlink>
        </w:p>
        <w:p w14:paraId="32A178FD" w14:textId="19E48A31" w:rsidR="004D044D" w:rsidRDefault="004D044D">
          <w:pPr>
            <w:pStyle w:val="TOC1"/>
            <w:tabs>
              <w:tab w:val="right" w:leader="dot" w:pos="9638"/>
            </w:tabs>
            <w:rPr>
              <w:rFonts w:asciiTheme="minorHAnsi" w:eastAsiaTheme="minorEastAsia" w:hAnsiTheme="minorHAnsi"/>
              <w:noProof/>
              <w:kern w:val="2"/>
              <w:szCs w:val="24"/>
              <w14:ligatures w14:val="standardContextual"/>
            </w:rPr>
          </w:pPr>
          <w:hyperlink w:anchor="_Toc225247053" w:history="1">
            <w:r w:rsidRPr="00B3179F">
              <w:rPr>
                <w:rStyle w:val="Hyperlink"/>
                <w:noProof/>
              </w:rPr>
              <w:t>7. Implications of research</w:t>
            </w:r>
            <w:r>
              <w:rPr>
                <w:noProof/>
                <w:webHidden/>
              </w:rPr>
              <w:tab/>
            </w:r>
            <w:r>
              <w:rPr>
                <w:noProof/>
                <w:webHidden/>
              </w:rPr>
              <w:fldChar w:fldCharType="begin"/>
            </w:r>
            <w:r>
              <w:rPr>
                <w:noProof/>
                <w:webHidden/>
              </w:rPr>
              <w:instrText xml:space="preserve"> PAGEREF _Toc225247053 \h </w:instrText>
            </w:r>
            <w:r>
              <w:rPr>
                <w:noProof/>
                <w:webHidden/>
              </w:rPr>
            </w:r>
            <w:r>
              <w:rPr>
                <w:noProof/>
                <w:webHidden/>
              </w:rPr>
              <w:fldChar w:fldCharType="separate"/>
            </w:r>
            <w:r>
              <w:rPr>
                <w:noProof/>
                <w:webHidden/>
              </w:rPr>
              <w:t>8</w:t>
            </w:r>
            <w:r>
              <w:rPr>
                <w:noProof/>
                <w:webHidden/>
              </w:rPr>
              <w:fldChar w:fldCharType="end"/>
            </w:r>
          </w:hyperlink>
        </w:p>
        <w:p w14:paraId="77AB6304" w14:textId="70B27EAF" w:rsidR="004D044D" w:rsidRDefault="004D044D">
          <w:pPr>
            <w:pStyle w:val="TOC1"/>
            <w:tabs>
              <w:tab w:val="right" w:leader="dot" w:pos="9638"/>
            </w:tabs>
            <w:rPr>
              <w:rFonts w:asciiTheme="minorHAnsi" w:eastAsiaTheme="minorEastAsia" w:hAnsiTheme="minorHAnsi"/>
              <w:noProof/>
              <w:kern w:val="2"/>
              <w:szCs w:val="24"/>
              <w14:ligatures w14:val="standardContextual"/>
            </w:rPr>
          </w:pPr>
          <w:hyperlink w:anchor="_Toc225247054" w:history="1">
            <w:r w:rsidRPr="00B3179F">
              <w:rPr>
                <w:rStyle w:val="Hyperlink"/>
                <w:noProof/>
              </w:rPr>
              <w:t>8. Grant Schedule</w:t>
            </w:r>
            <w:r>
              <w:rPr>
                <w:noProof/>
                <w:webHidden/>
              </w:rPr>
              <w:tab/>
            </w:r>
            <w:r>
              <w:rPr>
                <w:noProof/>
                <w:webHidden/>
              </w:rPr>
              <w:fldChar w:fldCharType="begin"/>
            </w:r>
            <w:r>
              <w:rPr>
                <w:noProof/>
                <w:webHidden/>
              </w:rPr>
              <w:instrText xml:space="preserve"> PAGEREF _Toc225247054 \h </w:instrText>
            </w:r>
            <w:r>
              <w:rPr>
                <w:noProof/>
                <w:webHidden/>
              </w:rPr>
            </w:r>
            <w:r>
              <w:rPr>
                <w:noProof/>
                <w:webHidden/>
              </w:rPr>
              <w:fldChar w:fldCharType="separate"/>
            </w:r>
            <w:r>
              <w:rPr>
                <w:noProof/>
                <w:webHidden/>
              </w:rPr>
              <w:t>9</w:t>
            </w:r>
            <w:r>
              <w:rPr>
                <w:noProof/>
                <w:webHidden/>
              </w:rPr>
              <w:fldChar w:fldCharType="end"/>
            </w:r>
          </w:hyperlink>
        </w:p>
        <w:p w14:paraId="050279E2" w14:textId="0F5ECECD" w:rsidR="004D044D" w:rsidRDefault="004D044D">
          <w:pPr>
            <w:pStyle w:val="TOC1"/>
            <w:tabs>
              <w:tab w:val="right" w:leader="dot" w:pos="9638"/>
            </w:tabs>
            <w:rPr>
              <w:rFonts w:asciiTheme="minorHAnsi" w:eastAsiaTheme="minorEastAsia" w:hAnsiTheme="minorHAnsi"/>
              <w:noProof/>
              <w:kern w:val="2"/>
              <w:szCs w:val="24"/>
              <w14:ligatures w14:val="standardContextual"/>
            </w:rPr>
          </w:pPr>
          <w:hyperlink w:anchor="_Toc225247055" w:history="1">
            <w:r w:rsidRPr="00B3179F">
              <w:rPr>
                <w:rStyle w:val="Hyperlink"/>
                <w:noProof/>
              </w:rPr>
              <w:t>References</w:t>
            </w:r>
            <w:r>
              <w:rPr>
                <w:noProof/>
                <w:webHidden/>
              </w:rPr>
              <w:tab/>
            </w:r>
            <w:r>
              <w:rPr>
                <w:noProof/>
                <w:webHidden/>
              </w:rPr>
              <w:fldChar w:fldCharType="begin"/>
            </w:r>
            <w:r>
              <w:rPr>
                <w:noProof/>
                <w:webHidden/>
              </w:rPr>
              <w:instrText xml:space="preserve"> PAGEREF _Toc225247055 \h </w:instrText>
            </w:r>
            <w:r>
              <w:rPr>
                <w:noProof/>
                <w:webHidden/>
              </w:rPr>
            </w:r>
            <w:r>
              <w:rPr>
                <w:noProof/>
                <w:webHidden/>
              </w:rPr>
              <w:fldChar w:fldCharType="separate"/>
            </w:r>
            <w:r>
              <w:rPr>
                <w:noProof/>
                <w:webHidden/>
              </w:rPr>
              <w:t>10</w:t>
            </w:r>
            <w:r>
              <w:rPr>
                <w:noProof/>
                <w:webHidden/>
              </w:rPr>
              <w:fldChar w:fldCharType="end"/>
            </w:r>
          </w:hyperlink>
        </w:p>
        <w:p w14:paraId="4FA6D7E3" w14:textId="4B0A7618" w:rsidR="002859AE" w:rsidRDefault="002859AE" w:rsidP="00444ED1">
          <w:r>
            <w:rPr>
              <w:b/>
              <w:bCs/>
              <w:noProof/>
            </w:rPr>
            <w:fldChar w:fldCharType="end"/>
          </w:r>
        </w:p>
      </w:sdtContent>
    </w:sdt>
    <w:p w14:paraId="4EB50238" w14:textId="77777777" w:rsidR="002859AE" w:rsidRDefault="002859AE" w:rsidP="00444ED1">
      <w:pPr>
        <w:jc w:val="left"/>
        <w:rPr>
          <w:b/>
          <w:bCs/>
          <w:sz w:val="28"/>
          <w:szCs w:val="24"/>
        </w:rPr>
      </w:pPr>
      <w:r>
        <w:rPr>
          <w:b/>
          <w:bCs/>
          <w:sz w:val="28"/>
          <w:szCs w:val="24"/>
        </w:rPr>
        <w:br w:type="page"/>
      </w:r>
    </w:p>
    <w:p w14:paraId="1123079F" w14:textId="77777777" w:rsidR="00420625" w:rsidRPr="00316881" w:rsidRDefault="003D324D" w:rsidP="00444ED1">
      <w:pPr>
        <w:spacing w:after="120"/>
        <w:jc w:val="center"/>
        <w:rPr>
          <w:b/>
          <w:bCs/>
          <w:sz w:val="32"/>
          <w:szCs w:val="28"/>
        </w:rPr>
      </w:pPr>
      <w:r w:rsidRPr="00316881">
        <w:rPr>
          <w:b/>
          <w:bCs/>
          <w:sz w:val="28"/>
          <w:szCs w:val="24"/>
        </w:rPr>
        <w:lastRenderedPageBreak/>
        <w:t>Engagement with smoking cessation support and quit success among adults in the United Kingdom: a systematic literature review.</w:t>
      </w:r>
    </w:p>
    <w:p w14:paraId="07E81A1C" w14:textId="77777777" w:rsidR="00420625" w:rsidRDefault="00CD70E6" w:rsidP="00444ED1">
      <w:pPr>
        <w:pStyle w:val="Heading1"/>
      </w:pPr>
      <w:bookmarkStart w:id="0" w:name="_Toc225247047"/>
      <w:r>
        <w:t>1. Prevalence of the problem</w:t>
      </w:r>
      <w:bookmarkEnd w:id="0"/>
    </w:p>
    <w:p w14:paraId="6E3E5240" w14:textId="77777777" w:rsidR="00767AB8" w:rsidRDefault="00767AB8" w:rsidP="00767AB8">
      <w:pPr>
        <w:spacing w:after="120"/>
      </w:pPr>
      <w:r>
        <w:t xml:space="preserve">Even though the prevalence of smoking has decreased over a long period of time in the UK, it continues to be a significant public health concern. According to the data of the Office of National Statistics, 9.1% of adults in the UK were current smokers of cigarettes in 2024, and the highest prevalence was among adults between 25 and 34 years of age (12.6%). In England, the government recommends only that 11.6% of adults continue to smoke in 2023 and that smoking continues to be one of the primary causes of health disparities, with the most significant burden being the disadvantaged groups (Department of Health and Social Care, 2025). Statistics on national service also indicate that Local Stop Smoking Services are still assisting large numbers of quit attempts and are regularly tracking 4-week results in age, sex and ethnic groups, demonstrating the policy and service relevancy (NHS England Digital, 2025). </w:t>
      </w:r>
    </w:p>
    <w:p w14:paraId="67E65649" w14:textId="77777777" w:rsidR="00420625" w:rsidRDefault="00767AB8" w:rsidP="00767AB8">
      <w:pPr>
        <w:spacing w:after="120"/>
      </w:pPr>
      <w:r>
        <w:t xml:space="preserve">The subject is also relevant since smoking is not distributed equally among the people. Not only the type of treatment but also the availability, retention and long-term involvement in support influence prevalence, which is patterned by deprivation, employment status and other social determinants, and quit success (Smith and Hill, 2020; </w:t>
      </w:r>
      <w:proofErr w:type="spellStart"/>
      <w:r>
        <w:t>Tsoh</w:t>
      </w:r>
      <w:proofErr w:type="spellEnd"/>
      <w:r>
        <w:t xml:space="preserve"> et al., 2022). The guidance of the supervisor to expand the study to other locations besides Coventry is thus legitimate. A proposal based on the UK is more consistent with the unequal distribution of smoking, ethnic and social diversity of service users, and the usefulness of evidence that is not confined to one local authority environment.</w:t>
      </w:r>
    </w:p>
    <w:p w14:paraId="0A892416" w14:textId="77777777" w:rsidR="00420625" w:rsidRDefault="00CD70E6" w:rsidP="00444ED1">
      <w:pPr>
        <w:pStyle w:val="Heading1"/>
      </w:pPr>
      <w:bookmarkStart w:id="1" w:name="_Toc225247048"/>
      <w:r>
        <w:t>2. Introduction, including a literature-based background to the study</w:t>
      </w:r>
      <w:bookmarkEnd w:id="1"/>
    </w:p>
    <w:p w14:paraId="4A3A133E" w14:textId="77777777" w:rsidR="00767AB8" w:rsidRDefault="00767AB8" w:rsidP="00767AB8">
      <w:pPr>
        <w:spacing w:after="120"/>
      </w:pPr>
      <w:proofErr w:type="gramStart"/>
      <w:r>
        <w:t>Overall</w:t>
      </w:r>
      <w:proofErr w:type="gramEnd"/>
      <w:r>
        <w:t xml:space="preserve"> the smoking cessation interventions do work but success is not only dependent on the presence or absence of an intervention. The systematic reviews indicate that abstinence in adults is improved by multicomponent interventions that incorporate both </w:t>
      </w:r>
      <w:proofErr w:type="spellStart"/>
      <w:r>
        <w:t>behavioural</w:t>
      </w:r>
      <w:proofErr w:type="spellEnd"/>
      <w:r>
        <w:t xml:space="preserve"> support and pharmacotherapy and that community-based delivery can access the populations with complex social and </w:t>
      </w:r>
      <w:proofErr w:type="spellStart"/>
      <w:r>
        <w:t>behavioural</w:t>
      </w:r>
      <w:proofErr w:type="spellEnd"/>
      <w:r>
        <w:t xml:space="preserve"> needs (Martin Cantera et al., 2015; </w:t>
      </w:r>
      <w:proofErr w:type="spellStart"/>
      <w:r>
        <w:t>Zulkiply</w:t>
      </w:r>
      <w:proofErr w:type="spellEnd"/>
      <w:r>
        <w:t xml:space="preserve"> et al., 2020). The recent reviews also validate the use of nicotine replacement therapy, nicotine receptor partial agonists, electronic cigarettes and other pharmacological </w:t>
      </w:r>
      <w:r>
        <w:lastRenderedPageBreak/>
        <w:t>methods, but their effects vary based on circumstances, adherence and user attributes (</w:t>
      </w:r>
      <w:proofErr w:type="spellStart"/>
      <w:r>
        <w:t>Theodoulou</w:t>
      </w:r>
      <w:proofErr w:type="spellEnd"/>
      <w:r>
        <w:t xml:space="preserve"> et al., 2023; Livingstone-Banks et al., 2023; </w:t>
      </w:r>
      <w:proofErr w:type="spellStart"/>
      <w:r>
        <w:t>Lindson</w:t>
      </w:r>
      <w:proofErr w:type="spellEnd"/>
      <w:r>
        <w:t xml:space="preserve"> et al., 2025). </w:t>
      </w:r>
    </w:p>
    <w:p w14:paraId="310114A8" w14:textId="77777777" w:rsidR="00767AB8" w:rsidRDefault="00767AB8" w:rsidP="00767AB8">
      <w:pPr>
        <w:spacing w:after="120"/>
      </w:pPr>
      <w:r>
        <w:t xml:space="preserve">The Component 1 poster and presentation provided evidence that revealed various mechanisms that are likely to impact quit outcomes, such as barriers to engagement, appointments, risk of relapse, mixing nicotine use, and an interplay of tobacco use and social needs in general. Recent literature is backed by these themes. Research at a community health </w:t>
      </w:r>
      <w:proofErr w:type="spellStart"/>
      <w:r>
        <w:t>centre</w:t>
      </w:r>
      <w:proofErr w:type="spellEnd"/>
      <w:r>
        <w:t xml:space="preserve"> indicates that smoking cessation is commonly conducted alongside housing, financial, and mental health and other urgent needs, which is likely to interrupt the continuity of participation despite the evidence-based nature of the services (</w:t>
      </w:r>
      <w:proofErr w:type="spellStart"/>
      <w:r>
        <w:t>Tsoh</w:t>
      </w:r>
      <w:proofErr w:type="spellEnd"/>
      <w:r>
        <w:t xml:space="preserve"> et al., 2022; Potter et al., 2024). The evidence provided by scoping review further indicates that the quality of implementation, reach, retention and practical accessibility are still variable in terms of adult community </w:t>
      </w:r>
      <w:proofErr w:type="spellStart"/>
      <w:r>
        <w:t>programmes</w:t>
      </w:r>
      <w:proofErr w:type="spellEnd"/>
      <w:r>
        <w:t xml:space="preserve"> (Mitchell et al., 2025). </w:t>
      </w:r>
    </w:p>
    <w:p w14:paraId="1182306C" w14:textId="77777777" w:rsidR="00767AB8" w:rsidRDefault="00767AB8" w:rsidP="00767AB8">
      <w:pPr>
        <w:spacing w:after="120"/>
      </w:pPr>
      <w:r>
        <w:t xml:space="preserve">Studies of young adults have reported that nicotine-use patterns, including vaping, could be problematic and alter quitting pathways and motivation and relapses. Nevertheless, extending to the entire UK adult population makes the proposal of population health stronger since smoking among adults and their use of services are not homogenous and services available in the country are not tailored to a specific subgroup of the population but instead target a diverse population (Jackson et al., 2024; ONS, 2025). An expanded sample of adults also correlates with equity-oriented literature that indicates that only in the case of access and uptake of specialists and primary care stop smoking support, inequalities can be reduced among the population groups (Smith and Hill, 2020). </w:t>
      </w:r>
    </w:p>
    <w:p w14:paraId="4A886C56" w14:textId="77777777" w:rsidR="00420625" w:rsidRDefault="00767AB8" w:rsidP="00767AB8">
      <w:pPr>
        <w:spacing w:after="120"/>
      </w:pPr>
      <w:r>
        <w:t>The unresolved issue of engagement is the most important. The reports about quitting date and abstinence achievements in 4 weeks are described nationally, but they are mainly descriptive and are not used to determine whether a stronger involvement with the support predicts better quit results at the individual level (NHS England Digital, 2025). The barriers and intervention content are already addressed by the existing reviews, but fewer studies are testing the hypothesis whether the involvement in community-based support is an independent predictor of short-term success among a diverse sample of service-users in the UK, after the key confounders of nicotine dependence, vaping status and previous quit attempts are considered. This gap is practically significant since services are more able to adjust engagement than a variety of risk factors in demographics do.</w:t>
      </w:r>
    </w:p>
    <w:p w14:paraId="6EB0F58F" w14:textId="77777777" w:rsidR="00420625" w:rsidRDefault="00CD70E6" w:rsidP="00444ED1">
      <w:pPr>
        <w:pStyle w:val="Heading1"/>
      </w:pPr>
      <w:bookmarkStart w:id="2" w:name="_Toc225247049"/>
      <w:r>
        <w:lastRenderedPageBreak/>
        <w:t>3. Rationale</w:t>
      </w:r>
      <w:bookmarkEnd w:id="2"/>
    </w:p>
    <w:p w14:paraId="15C95262" w14:textId="77777777" w:rsidR="00767AB8" w:rsidRDefault="00767AB8" w:rsidP="00767AB8">
      <w:pPr>
        <w:spacing w:after="120"/>
      </w:pPr>
      <w:r>
        <w:t>This proposal develops the approved Component 1 smoking cessation topic, but it is now redesigned as a secondary research study in line with supervisor guidance. Instead of collecting primary survey data, the study will synthesise published evidence on how engagement with smoking cessation support relates to quit success among adults in the United Kingdom. This format is suitable because smoking cessation is already supported by a substantial body of intervention, implementation and service-evaluation literature, yet the evidence remains dispersed across service models, population groups and outcomes.</w:t>
      </w:r>
    </w:p>
    <w:p w14:paraId="676A2E93" w14:textId="77777777" w:rsidR="00420625" w:rsidRDefault="00767AB8" w:rsidP="00767AB8">
      <w:pPr>
        <w:spacing w:after="120"/>
      </w:pPr>
      <w:r>
        <w:t>A systematic literature review is therefore justified for three reasons. First, it provides a rigorous way to bring together evidence on engagement, retention and abstinence outcomes from different UK service settings. Second, it allows a transparent and reproducible method for identifying, selecting and appraising studies rather than relying on unsystematic reading. Third, it can generate practice-relevant conclusions about which forms of support engagement are most consistently linked with quit success, which is valuable for public health practice, commissioners and service providers (Page et al., 2021; Schardt et al., 2007).</w:t>
      </w:r>
    </w:p>
    <w:p w14:paraId="6F89A759" w14:textId="77777777" w:rsidR="00420625" w:rsidRDefault="00CD70E6" w:rsidP="00444ED1">
      <w:pPr>
        <w:pStyle w:val="Heading1"/>
      </w:pPr>
      <w:bookmarkStart w:id="3" w:name="_Toc225247050"/>
      <w:r>
        <w:t>4. Research proposal</w:t>
      </w:r>
      <w:bookmarkEnd w:id="3"/>
    </w:p>
    <w:p w14:paraId="0EE5FB65" w14:textId="77777777" w:rsidR="00CD70E6" w:rsidRPr="004F7B7C" w:rsidRDefault="003D324D" w:rsidP="00444ED1">
      <w:pPr>
        <w:spacing w:after="120"/>
        <w:rPr>
          <w:b/>
          <w:bCs/>
        </w:rPr>
      </w:pPr>
      <w:r w:rsidRPr="004F7B7C">
        <w:rPr>
          <w:b/>
          <w:bCs/>
        </w:rPr>
        <w:t>Research question</w:t>
      </w:r>
    </w:p>
    <w:p w14:paraId="27EA011F" w14:textId="77777777" w:rsidR="00420625" w:rsidRDefault="003D324D" w:rsidP="00444ED1">
      <w:pPr>
        <w:pStyle w:val="ListParagraph"/>
        <w:numPr>
          <w:ilvl w:val="0"/>
          <w:numId w:val="10"/>
        </w:numPr>
        <w:spacing w:after="120"/>
      </w:pPr>
      <w:r>
        <w:t>What does the published evidence show about the relationship between engagement with smoking cessation support and quit success among adults in the United Kingdom?</w:t>
      </w:r>
    </w:p>
    <w:p w14:paraId="2CA212F8" w14:textId="77777777" w:rsidR="004F7B7C" w:rsidRPr="004F7B7C" w:rsidRDefault="003D324D" w:rsidP="004F7B7C">
      <w:pPr>
        <w:spacing w:after="120"/>
        <w:rPr>
          <w:b/>
          <w:bCs/>
        </w:rPr>
      </w:pPr>
      <w:r w:rsidRPr="004F7B7C">
        <w:rPr>
          <w:b/>
          <w:bCs/>
        </w:rPr>
        <w:t>Aim</w:t>
      </w:r>
    </w:p>
    <w:p w14:paraId="5739DB47" w14:textId="382CE035" w:rsidR="00420625" w:rsidRDefault="003D324D" w:rsidP="004F7B7C">
      <w:pPr>
        <w:pStyle w:val="ListParagraph"/>
        <w:numPr>
          <w:ilvl w:val="0"/>
          <w:numId w:val="10"/>
        </w:numPr>
        <w:spacing w:after="120"/>
      </w:pPr>
      <w:r>
        <w:t xml:space="preserve">To systematically review and </w:t>
      </w:r>
      <w:proofErr w:type="spellStart"/>
      <w:r>
        <w:t>synthesise</w:t>
      </w:r>
      <w:proofErr w:type="spellEnd"/>
      <w:r>
        <w:t xml:space="preserve"> published evidence on the relationship between engagement with smoking cessation support and quit success among adults in the United Kingdom.</w:t>
      </w:r>
    </w:p>
    <w:p w14:paraId="619E048A" w14:textId="77777777" w:rsidR="00CD70E6" w:rsidRPr="004F7B7C" w:rsidRDefault="003D324D" w:rsidP="00444ED1">
      <w:pPr>
        <w:spacing w:after="120"/>
        <w:rPr>
          <w:b/>
          <w:bCs/>
        </w:rPr>
      </w:pPr>
      <w:r w:rsidRPr="004F7B7C">
        <w:rPr>
          <w:b/>
          <w:bCs/>
        </w:rPr>
        <w:t>Objectives</w:t>
      </w:r>
    </w:p>
    <w:p w14:paraId="0621027F" w14:textId="1931E066" w:rsidR="00CD70E6" w:rsidRDefault="003D324D" w:rsidP="007A66C4">
      <w:pPr>
        <w:pStyle w:val="ListParagraph"/>
        <w:numPr>
          <w:ilvl w:val="0"/>
          <w:numId w:val="14"/>
        </w:numPr>
        <w:spacing w:after="120"/>
      </w:pPr>
      <w:r>
        <w:t>To identify and review UK-based studies that examine smoking cessation support and adult quit outcomes.</w:t>
      </w:r>
    </w:p>
    <w:p w14:paraId="3B6965E1" w14:textId="7F9D0D11" w:rsidR="00CD70E6" w:rsidRDefault="003D324D" w:rsidP="007A66C4">
      <w:pPr>
        <w:pStyle w:val="ListParagraph"/>
        <w:numPr>
          <w:ilvl w:val="0"/>
          <w:numId w:val="14"/>
        </w:numPr>
        <w:spacing w:after="120"/>
      </w:pPr>
      <w:r>
        <w:t>To examine how engagement with smoking cessation support is defined and measured across the included studies.</w:t>
      </w:r>
    </w:p>
    <w:p w14:paraId="557634DD" w14:textId="0E6B8038" w:rsidR="00420625" w:rsidRDefault="003D324D" w:rsidP="007A66C4">
      <w:pPr>
        <w:pStyle w:val="ListParagraph"/>
        <w:numPr>
          <w:ilvl w:val="0"/>
          <w:numId w:val="14"/>
        </w:numPr>
        <w:spacing w:after="120"/>
      </w:pPr>
      <w:r>
        <w:lastRenderedPageBreak/>
        <w:t xml:space="preserve">To </w:t>
      </w:r>
      <w:proofErr w:type="spellStart"/>
      <w:r>
        <w:t>synthesise</w:t>
      </w:r>
      <w:proofErr w:type="spellEnd"/>
      <w:r>
        <w:t xml:space="preserve"> evidence on whether stronger engagement with support is associated with improved quit success.</w:t>
      </w:r>
    </w:p>
    <w:p w14:paraId="7AEC6515" w14:textId="4E757027" w:rsidR="00420625" w:rsidRDefault="003D324D" w:rsidP="007A66C4">
      <w:pPr>
        <w:pStyle w:val="ListParagraph"/>
        <w:numPr>
          <w:ilvl w:val="0"/>
          <w:numId w:val="14"/>
        </w:numPr>
        <w:spacing w:after="120"/>
      </w:pPr>
      <w:r>
        <w:t>To identify implications for practice, service design and future research from the reviewed evidence.</w:t>
      </w:r>
    </w:p>
    <w:p w14:paraId="59EED362" w14:textId="77777777" w:rsidR="00420625" w:rsidRDefault="00CD70E6" w:rsidP="00444ED1">
      <w:pPr>
        <w:pStyle w:val="Heading1"/>
      </w:pPr>
      <w:bookmarkStart w:id="4" w:name="_Toc225247051"/>
      <w:r>
        <w:t>5. Methodology</w:t>
      </w:r>
      <w:bookmarkEnd w:id="4"/>
    </w:p>
    <w:p w14:paraId="2819505A" w14:textId="77777777" w:rsidR="004D044D" w:rsidRDefault="004D044D" w:rsidP="004D044D">
      <w:r>
        <w:t xml:space="preserve">This research will be based on the secondary research in the form of a systematic literature review. The systematic review is suitable as the aim is to identify, evaluate and integrate the available evidence in a clear and reproducible manner as opposed to creating new data on participants. The review will be </w:t>
      </w:r>
      <w:proofErr w:type="spellStart"/>
      <w:r>
        <w:t>organised</w:t>
      </w:r>
      <w:proofErr w:type="spellEnd"/>
      <w:r>
        <w:t xml:space="preserve"> according to the logic of systematic evidence synthesis and will be appropriate to answer a specific question in the field of public health regarding the support engagement and quit success (Creswell and Creswell, 2018; Page et al., 2021).</w:t>
      </w:r>
    </w:p>
    <w:p w14:paraId="6E2C658F" w14:textId="44356068" w:rsidR="004D044D" w:rsidRPr="004D044D" w:rsidRDefault="004D044D" w:rsidP="004D044D">
      <w:pPr>
        <w:rPr>
          <w:b/>
          <w:bCs/>
        </w:rPr>
      </w:pPr>
      <w:r w:rsidRPr="004D044D">
        <w:rPr>
          <w:b/>
          <w:bCs/>
        </w:rPr>
        <w:t>Systematic literature review.</w:t>
      </w:r>
    </w:p>
    <w:p w14:paraId="38410920" w14:textId="77777777" w:rsidR="004D044D" w:rsidRDefault="004D044D" w:rsidP="004D044D">
      <w:r>
        <w:t>The literature review will be based on published articles on adults in the United Kingdom who received smoking cessation support based on community-based, primary care, NHS, local authority, charity or related service settings. The relevant quantitative, qualitative and mixed-methods studies will be eligible when they offer evidence regarding engagement with support, retention, adherence, attendance, completion or other related constructs that are associated with smoking cessation outcomes. Peer-reviewed literature will be given priority in the review, but where the high-quality policy and service reports are available, they will be considered as well, as long as they include relevant evidence in the UK.</w:t>
      </w:r>
    </w:p>
    <w:p w14:paraId="3207D2F0" w14:textId="77777777" w:rsidR="004D044D" w:rsidRPr="004D044D" w:rsidRDefault="004D044D" w:rsidP="004D044D">
      <w:pPr>
        <w:rPr>
          <w:b/>
          <w:bCs/>
        </w:rPr>
      </w:pPr>
      <w:r w:rsidRPr="004D044D">
        <w:rPr>
          <w:b/>
          <w:bCs/>
        </w:rPr>
        <w:t>PRISMA methods</w:t>
      </w:r>
    </w:p>
    <w:p w14:paraId="71341182" w14:textId="77777777" w:rsidR="004D044D" w:rsidRDefault="004D044D" w:rsidP="004D044D">
      <w:r>
        <w:t>PRISMA 2020 will assist in identifying studies and selecting them. Systematic searches will be conducted through databases, including PubMed, Scopus, CINAHL, PsycINFO and Google Scholar, and where necessary, reference lists and grey literature will also be searched by hand. The search results will be exported, duplicates will be eliminated, and records will be screened through title, abstract and full-text review. The identification, screening, eligibility and inclusion decisions will be documented using a PRISMA flow diagram in a transparent format (Page et al., 2021).</w:t>
      </w:r>
    </w:p>
    <w:p w14:paraId="75909DA3" w14:textId="77777777" w:rsidR="004D044D" w:rsidRPr="004D044D" w:rsidRDefault="004D044D" w:rsidP="004D044D">
      <w:pPr>
        <w:rPr>
          <w:b/>
          <w:bCs/>
        </w:rPr>
      </w:pPr>
      <w:r w:rsidRPr="004D044D">
        <w:rPr>
          <w:b/>
          <w:bCs/>
        </w:rPr>
        <w:lastRenderedPageBreak/>
        <w:t>PICO framework</w:t>
      </w:r>
    </w:p>
    <w:p w14:paraId="47FC6855" w14:textId="77777777" w:rsidR="004D044D" w:rsidRDefault="004D044D" w:rsidP="004D044D">
      <w:r>
        <w:t xml:space="preserve">The PICO framework will be used to formulate the review question. Population: adults of the UK who are 18 years of age and older and who smoke or who are trying to give up smoking. Intervention: smoking cessation support, which may involve </w:t>
      </w:r>
      <w:proofErr w:type="spellStart"/>
      <w:r>
        <w:t>behavioural</w:t>
      </w:r>
      <w:proofErr w:type="spellEnd"/>
      <w:r>
        <w:t xml:space="preserve"> support, stop smoking services, community-based support, primary care support, digital support or combined cessation </w:t>
      </w:r>
      <w:proofErr w:type="spellStart"/>
      <w:r>
        <w:t>programmes</w:t>
      </w:r>
      <w:proofErr w:type="spellEnd"/>
      <w:r>
        <w:t>. Comparison: less engagement, no engagement, less adherence or other forms of support conditions reported. Outcome: outcome of quit, abstinence, short term outcomes, longer term outcome, or relapse outcome. The PICO can be used to narrow down the review question and provide a more focused search strategy (Schardt et al., 2007).</w:t>
      </w:r>
    </w:p>
    <w:p w14:paraId="393B50EF" w14:textId="77777777" w:rsidR="004D044D" w:rsidRPr="004D044D" w:rsidRDefault="004D044D" w:rsidP="004D044D">
      <w:pPr>
        <w:rPr>
          <w:b/>
          <w:bCs/>
        </w:rPr>
      </w:pPr>
      <w:r w:rsidRPr="004D044D">
        <w:rPr>
          <w:b/>
          <w:bCs/>
        </w:rPr>
        <w:t>Extraction and synthesis of systematic review data.</w:t>
      </w:r>
    </w:p>
    <w:p w14:paraId="339CA250" w14:textId="77777777" w:rsidR="004D044D" w:rsidRDefault="004D044D" w:rsidP="004D044D">
      <w:r>
        <w:t xml:space="preserve">The information will be extracted using the following data; authorship, year, setting, study design, sample characteristics, type of support, definition of engagement, quit-related outcomes, and key findings. The findings will be </w:t>
      </w:r>
      <w:proofErr w:type="spellStart"/>
      <w:r>
        <w:t>synthesised</w:t>
      </w:r>
      <w:proofErr w:type="spellEnd"/>
      <w:r>
        <w:t xml:space="preserve"> in the form of a narrative and not statistical analysis because the studies incorporated are likely to be different in both design and measurement. They will be used in the interpretive stage guided by the approach of Braun and Clarke (2006) in that the recurring patterns throughout the evidence can be sorted into analytical themes, including accessibility of support, continuity of engagement, </w:t>
      </w:r>
      <w:proofErr w:type="spellStart"/>
      <w:r>
        <w:t>programme</w:t>
      </w:r>
      <w:proofErr w:type="spellEnd"/>
      <w:r>
        <w:t xml:space="preserve"> adherence and factors associated with successful quitting. This strategy is suitable in cases where the evidence is not homogeneous yet needs to be </w:t>
      </w:r>
      <w:proofErr w:type="spellStart"/>
      <w:r>
        <w:t>synthesised</w:t>
      </w:r>
      <w:proofErr w:type="spellEnd"/>
      <w:r>
        <w:t xml:space="preserve"> into patterns and meanings in an </w:t>
      </w:r>
      <w:proofErr w:type="spellStart"/>
      <w:r>
        <w:t>organised</w:t>
      </w:r>
      <w:proofErr w:type="spellEnd"/>
      <w:r>
        <w:t xml:space="preserve"> way.</w:t>
      </w:r>
    </w:p>
    <w:p w14:paraId="1B0BA777" w14:textId="77777777" w:rsidR="004D044D" w:rsidRPr="004D044D" w:rsidRDefault="004D044D" w:rsidP="004D044D">
      <w:pPr>
        <w:rPr>
          <w:b/>
          <w:bCs/>
        </w:rPr>
      </w:pPr>
      <w:r w:rsidRPr="004D044D">
        <w:rPr>
          <w:b/>
          <w:bCs/>
        </w:rPr>
        <w:t>Criteria of selection and quality factors.</w:t>
      </w:r>
    </w:p>
    <w:p w14:paraId="1F729663" w14:textId="3ECB3065" w:rsidR="004D044D" w:rsidRDefault="004D044D" w:rsidP="004D044D">
      <w:r>
        <w:t>The inclusion criteria will be a study that is written in English; a study that is based on adults in the UK; and a study that investigates smoking cessation support relative to engagement or quit outcomes. The research will exclude studies that only target adolescents or non-UK populations or studies that did not consider cessation as a support in tobacco use. The appraisal of quality will be done with the help of a suitable critical appraisal tool that will be adjusted to the design of the study, and the strength, limitations and consistency of the overall evidence will be presented in the final synthesis.</w:t>
      </w:r>
    </w:p>
    <w:p w14:paraId="5E42ABF1" w14:textId="3524148E" w:rsidR="00420625" w:rsidRPr="004D044D" w:rsidRDefault="004D044D" w:rsidP="004D044D">
      <w:pPr>
        <w:spacing w:line="276" w:lineRule="auto"/>
        <w:jc w:val="left"/>
      </w:pPr>
      <w:r>
        <w:br w:type="page"/>
      </w:r>
    </w:p>
    <w:p w14:paraId="0A000BA4" w14:textId="77777777" w:rsidR="00420625" w:rsidRDefault="00CD70E6" w:rsidP="00444ED1">
      <w:pPr>
        <w:pStyle w:val="Heading1"/>
      </w:pPr>
      <w:bookmarkStart w:id="5" w:name="_Toc225247052"/>
      <w:r>
        <w:lastRenderedPageBreak/>
        <w:t>6. Ethical considerations</w:t>
      </w:r>
      <w:bookmarkEnd w:id="5"/>
    </w:p>
    <w:p w14:paraId="3ECB447B" w14:textId="77777777" w:rsidR="00767AB8" w:rsidRDefault="00767AB8" w:rsidP="00767AB8">
      <w:pPr>
        <w:spacing w:after="120"/>
      </w:pPr>
      <w:r>
        <w:t>As this proposal is based on secondary research, it will not involve direct recruitment, interviews, surveys or collection of identifiable personal data. Formal risks to participants are therefore minimal. The main ethical responsibilities concern accurate representation of the literature, transparent reporting of inclusion and exclusion decisions, correct citation of sources, and avoidance of plagiarism or selective reporting. The review will be conducted in line with academic integrity principles and the British Psychological Society Code of Human Research Ethics where relevant to responsible scholarship (British Psychological Society, 2021).</w:t>
      </w:r>
    </w:p>
    <w:p w14:paraId="170EFB7A" w14:textId="77777777" w:rsidR="00420625" w:rsidRDefault="00767AB8" w:rsidP="00767AB8">
      <w:pPr>
        <w:spacing w:after="120"/>
      </w:pPr>
      <w:r>
        <w:t>Although primary consent is not required for a literature review, ethical care remains important in relation to how evidence is interpreted, especially where studies concern disadvantaged populations, inequalities in access or smoking-related stigma. Search decisions, screening records and synthesis procedures will therefore be documented clearly to support transparency and auditability. The review will report findings fairly, acknowledge limitations in the evidence base, and avoid overstating conclusions.</w:t>
      </w:r>
    </w:p>
    <w:p w14:paraId="34D2342A" w14:textId="77777777" w:rsidR="00420625" w:rsidRDefault="00CD70E6" w:rsidP="00444ED1">
      <w:pPr>
        <w:pStyle w:val="Heading1"/>
      </w:pPr>
      <w:bookmarkStart w:id="6" w:name="_Toc225247053"/>
      <w:r>
        <w:t>7. Implications of research</w:t>
      </w:r>
      <w:bookmarkEnd w:id="6"/>
    </w:p>
    <w:p w14:paraId="7F27F59D" w14:textId="77777777" w:rsidR="00767AB8" w:rsidRDefault="00767AB8" w:rsidP="00767AB8">
      <w:r>
        <w:t>If the review shows that stronger engagement with smoking cessation support is consistently associated with better quit outcomes, the findings could inform how UK services design referral pathways, follow-up procedures, and retention strategies. It may help identify which components of engagement, such as attendance, continuity, behavioural support or combined treatment, appear most important for successful quitting. This would be valuable for service providers, commissioners and public health professionals seeking to improve effectiveness rather than only increase access.</w:t>
      </w:r>
    </w:p>
    <w:p w14:paraId="3B067761" w14:textId="77777777" w:rsidR="00420625" w:rsidRDefault="00767AB8" w:rsidP="00767AB8">
      <w:r>
        <w:t>Academically, the review would consolidate a literature base that is currently spread across intervention reviews, service evaluations and policy reports. It would also identify limitations in the existing evidence, including gaps in population coverage, service context, engagement measurement and outcome consistency. These findings could guide future empirical work and help refine how smoking cessation engagement is conceptualised in UK public health research.</w:t>
      </w:r>
    </w:p>
    <w:p w14:paraId="021E9AEF" w14:textId="729BC441" w:rsidR="00420625" w:rsidRDefault="00CD70E6" w:rsidP="00444ED1">
      <w:pPr>
        <w:pStyle w:val="Heading1"/>
      </w:pPr>
      <w:bookmarkStart w:id="7" w:name="_Toc225247054"/>
      <w:r>
        <w:lastRenderedPageBreak/>
        <w:t xml:space="preserve">8. </w:t>
      </w:r>
      <w:r w:rsidR="005B09A8">
        <w:t>Grant Schedule</w:t>
      </w:r>
      <w:bookmarkEnd w:id="7"/>
      <w:r w:rsidR="005B09A8">
        <w:t xml:space="preserve"> </w:t>
      </w:r>
    </w:p>
    <w:p w14:paraId="6B2A7C5E" w14:textId="77777777" w:rsidR="00420625" w:rsidRDefault="003D324D" w:rsidP="00444ED1">
      <w:r>
        <w:t>The proposal is designed for a six-month dissertation preparation period. The timetable remains realistic for protocol refinement, structured searching, screening, data extraction, synthesis and final writing in Term 3.</w:t>
      </w:r>
    </w:p>
    <w:tbl>
      <w:tblPr>
        <w:tblStyle w:val="TableGrid"/>
        <w:tblW w:w="0" w:type="auto"/>
        <w:jc w:val="center"/>
        <w:tblLook w:val="04A0" w:firstRow="1" w:lastRow="0" w:firstColumn="1" w:lastColumn="0" w:noHBand="0" w:noVBand="1"/>
      </w:tblPr>
      <w:tblGrid>
        <w:gridCol w:w="5376"/>
        <w:gridCol w:w="630"/>
        <w:gridCol w:w="720"/>
        <w:gridCol w:w="810"/>
        <w:gridCol w:w="810"/>
        <w:gridCol w:w="720"/>
        <w:gridCol w:w="714"/>
      </w:tblGrid>
      <w:tr w:rsidR="00420625" w14:paraId="6A9C47E4" w14:textId="77777777" w:rsidTr="004D044D">
        <w:trPr>
          <w:tblHeader/>
          <w:jc w:val="center"/>
        </w:trPr>
        <w:tc>
          <w:tcPr>
            <w:tcW w:w="5376" w:type="dxa"/>
            <w:shd w:val="clear" w:color="auto" w:fill="D9E2F3"/>
          </w:tcPr>
          <w:p w14:paraId="57F20F2C" w14:textId="77777777" w:rsidR="00420625" w:rsidRPr="00CD70E6" w:rsidRDefault="003D324D" w:rsidP="00444ED1">
            <w:pPr>
              <w:rPr>
                <w:b/>
                <w:bCs/>
              </w:rPr>
            </w:pPr>
            <w:r w:rsidRPr="00CD70E6">
              <w:rPr>
                <w:b/>
                <w:bCs/>
              </w:rPr>
              <w:t>Activity</w:t>
            </w:r>
          </w:p>
        </w:tc>
        <w:tc>
          <w:tcPr>
            <w:tcW w:w="630" w:type="dxa"/>
            <w:shd w:val="clear" w:color="auto" w:fill="D9E2F3"/>
          </w:tcPr>
          <w:p w14:paraId="7C3CE079" w14:textId="77777777" w:rsidR="00420625" w:rsidRPr="00CD70E6" w:rsidRDefault="003D324D" w:rsidP="00444ED1">
            <w:pPr>
              <w:rPr>
                <w:b/>
                <w:bCs/>
              </w:rPr>
            </w:pPr>
            <w:r w:rsidRPr="00CD70E6">
              <w:rPr>
                <w:b/>
                <w:bCs/>
              </w:rPr>
              <w:t>M1</w:t>
            </w:r>
          </w:p>
        </w:tc>
        <w:tc>
          <w:tcPr>
            <w:tcW w:w="720" w:type="dxa"/>
            <w:shd w:val="clear" w:color="auto" w:fill="D9E2F3"/>
          </w:tcPr>
          <w:p w14:paraId="467C8BD3" w14:textId="77777777" w:rsidR="00420625" w:rsidRPr="00CD70E6" w:rsidRDefault="003D324D" w:rsidP="00444ED1">
            <w:pPr>
              <w:rPr>
                <w:b/>
                <w:bCs/>
              </w:rPr>
            </w:pPr>
            <w:r w:rsidRPr="00CD70E6">
              <w:rPr>
                <w:b/>
                <w:bCs/>
              </w:rPr>
              <w:t>M2</w:t>
            </w:r>
          </w:p>
        </w:tc>
        <w:tc>
          <w:tcPr>
            <w:tcW w:w="810" w:type="dxa"/>
            <w:shd w:val="clear" w:color="auto" w:fill="D9E2F3"/>
          </w:tcPr>
          <w:p w14:paraId="330CFFE2" w14:textId="77777777" w:rsidR="00420625" w:rsidRPr="00CD70E6" w:rsidRDefault="003D324D" w:rsidP="00444ED1">
            <w:pPr>
              <w:rPr>
                <w:b/>
                <w:bCs/>
              </w:rPr>
            </w:pPr>
            <w:r w:rsidRPr="00CD70E6">
              <w:rPr>
                <w:b/>
                <w:bCs/>
              </w:rPr>
              <w:t>M3</w:t>
            </w:r>
          </w:p>
        </w:tc>
        <w:tc>
          <w:tcPr>
            <w:tcW w:w="810" w:type="dxa"/>
            <w:shd w:val="clear" w:color="auto" w:fill="D9E2F3"/>
          </w:tcPr>
          <w:p w14:paraId="14C15FF7" w14:textId="77777777" w:rsidR="00420625" w:rsidRPr="00CD70E6" w:rsidRDefault="003D324D" w:rsidP="00444ED1">
            <w:pPr>
              <w:rPr>
                <w:b/>
                <w:bCs/>
              </w:rPr>
            </w:pPr>
            <w:r w:rsidRPr="00CD70E6">
              <w:rPr>
                <w:b/>
                <w:bCs/>
              </w:rPr>
              <w:t>M4</w:t>
            </w:r>
          </w:p>
        </w:tc>
        <w:tc>
          <w:tcPr>
            <w:tcW w:w="720" w:type="dxa"/>
            <w:shd w:val="clear" w:color="auto" w:fill="D9E2F3"/>
          </w:tcPr>
          <w:p w14:paraId="598B388E" w14:textId="77777777" w:rsidR="00420625" w:rsidRPr="00CD70E6" w:rsidRDefault="003D324D" w:rsidP="00444ED1">
            <w:pPr>
              <w:rPr>
                <w:b/>
                <w:bCs/>
              </w:rPr>
            </w:pPr>
            <w:r w:rsidRPr="00CD70E6">
              <w:rPr>
                <w:b/>
                <w:bCs/>
              </w:rPr>
              <w:t>M5</w:t>
            </w:r>
          </w:p>
        </w:tc>
        <w:tc>
          <w:tcPr>
            <w:tcW w:w="714" w:type="dxa"/>
            <w:shd w:val="clear" w:color="auto" w:fill="D9E2F3"/>
          </w:tcPr>
          <w:p w14:paraId="4D0597C5" w14:textId="77777777" w:rsidR="00420625" w:rsidRPr="00CD70E6" w:rsidRDefault="003D324D" w:rsidP="00444ED1">
            <w:pPr>
              <w:rPr>
                <w:b/>
                <w:bCs/>
              </w:rPr>
            </w:pPr>
            <w:r w:rsidRPr="00CD70E6">
              <w:rPr>
                <w:b/>
                <w:bCs/>
              </w:rPr>
              <w:t>M6</w:t>
            </w:r>
          </w:p>
        </w:tc>
      </w:tr>
      <w:tr w:rsidR="00420625" w14:paraId="530CD370" w14:textId="77777777" w:rsidTr="004D044D">
        <w:trPr>
          <w:jc w:val="center"/>
        </w:trPr>
        <w:tc>
          <w:tcPr>
            <w:tcW w:w="5376" w:type="dxa"/>
            <w:shd w:val="clear" w:color="auto" w:fill="F7F9FC"/>
            <w:vAlign w:val="center"/>
          </w:tcPr>
          <w:p w14:paraId="087EE22E" w14:textId="77777777" w:rsidR="002C1DE8" w:rsidRDefault="003D324D">
            <w:r>
              <w:t>Focused literature review and proposal refinement</w:t>
            </w:r>
          </w:p>
        </w:tc>
        <w:tc>
          <w:tcPr>
            <w:tcW w:w="630" w:type="dxa"/>
            <w:shd w:val="clear" w:color="auto" w:fill="F7F9FC"/>
            <w:vAlign w:val="center"/>
          </w:tcPr>
          <w:p w14:paraId="06B7A4DA" w14:textId="77777777" w:rsidR="002C1DE8" w:rsidRDefault="003D324D">
            <w:r>
              <w:t>■</w:t>
            </w:r>
          </w:p>
        </w:tc>
        <w:tc>
          <w:tcPr>
            <w:tcW w:w="720" w:type="dxa"/>
            <w:shd w:val="clear" w:color="auto" w:fill="F7F9FC"/>
            <w:vAlign w:val="center"/>
          </w:tcPr>
          <w:p w14:paraId="4E3C0421" w14:textId="77777777" w:rsidR="002C1DE8" w:rsidRDefault="003D324D">
            <w:r>
              <w:t>■</w:t>
            </w:r>
          </w:p>
        </w:tc>
        <w:tc>
          <w:tcPr>
            <w:tcW w:w="810" w:type="dxa"/>
            <w:shd w:val="clear" w:color="auto" w:fill="F7F9FC"/>
            <w:vAlign w:val="center"/>
          </w:tcPr>
          <w:p w14:paraId="6F774405" w14:textId="77777777" w:rsidR="002C1DE8" w:rsidRDefault="002C1DE8"/>
        </w:tc>
        <w:tc>
          <w:tcPr>
            <w:tcW w:w="810" w:type="dxa"/>
            <w:shd w:val="clear" w:color="auto" w:fill="F7F9FC"/>
            <w:vAlign w:val="center"/>
          </w:tcPr>
          <w:p w14:paraId="4D797272" w14:textId="77777777" w:rsidR="002C1DE8" w:rsidRDefault="002C1DE8"/>
        </w:tc>
        <w:tc>
          <w:tcPr>
            <w:tcW w:w="720" w:type="dxa"/>
            <w:shd w:val="clear" w:color="auto" w:fill="F7F9FC"/>
            <w:vAlign w:val="center"/>
          </w:tcPr>
          <w:p w14:paraId="47285834" w14:textId="77777777" w:rsidR="002C1DE8" w:rsidRDefault="002C1DE8"/>
        </w:tc>
        <w:tc>
          <w:tcPr>
            <w:tcW w:w="714" w:type="dxa"/>
            <w:shd w:val="clear" w:color="auto" w:fill="F7F9FC"/>
            <w:vAlign w:val="center"/>
          </w:tcPr>
          <w:p w14:paraId="71CCA618" w14:textId="77777777" w:rsidR="002C1DE8" w:rsidRDefault="002C1DE8"/>
        </w:tc>
      </w:tr>
      <w:tr w:rsidR="00420625" w14:paraId="39D33C24" w14:textId="77777777" w:rsidTr="004D044D">
        <w:trPr>
          <w:jc w:val="center"/>
        </w:trPr>
        <w:tc>
          <w:tcPr>
            <w:tcW w:w="5376" w:type="dxa"/>
            <w:vAlign w:val="center"/>
          </w:tcPr>
          <w:p w14:paraId="2E185F1B" w14:textId="77777777" w:rsidR="002C1DE8" w:rsidRDefault="003D324D">
            <w:r>
              <w:t>Search strategy design and database searching</w:t>
            </w:r>
          </w:p>
        </w:tc>
        <w:tc>
          <w:tcPr>
            <w:tcW w:w="630" w:type="dxa"/>
            <w:vAlign w:val="center"/>
          </w:tcPr>
          <w:p w14:paraId="78056C77" w14:textId="77777777" w:rsidR="002C1DE8" w:rsidRDefault="002C1DE8"/>
        </w:tc>
        <w:tc>
          <w:tcPr>
            <w:tcW w:w="720" w:type="dxa"/>
            <w:vAlign w:val="center"/>
          </w:tcPr>
          <w:p w14:paraId="031F1363" w14:textId="77777777" w:rsidR="002C1DE8" w:rsidRDefault="003D324D">
            <w:r>
              <w:t>■</w:t>
            </w:r>
          </w:p>
        </w:tc>
        <w:tc>
          <w:tcPr>
            <w:tcW w:w="810" w:type="dxa"/>
            <w:vAlign w:val="center"/>
          </w:tcPr>
          <w:p w14:paraId="5A375DB5" w14:textId="77777777" w:rsidR="002C1DE8" w:rsidRDefault="003D324D">
            <w:r>
              <w:t>■</w:t>
            </w:r>
          </w:p>
        </w:tc>
        <w:tc>
          <w:tcPr>
            <w:tcW w:w="810" w:type="dxa"/>
            <w:vAlign w:val="center"/>
          </w:tcPr>
          <w:p w14:paraId="1912D10F" w14:textId="77777777" w:rsidR="002C1DE8" w:rsidRDefault="002C1DE8"/>
        </w:tc>
        <w:tc>
          <w:tcPr>
            <w:tcW w:w="720" w:type="dxa"/>
            <w:vAlign w:val="center"/>
          </w:tcPr>
          <w:p w14:paraId="01EAF0F0" w14:textId="77777777" w:rsidR="002C1DE8" w:rsidRDefault="002C1DE8"/>
        </w:tc>
        <w:tc>
          <w:tcPr>
            <w:tcW w:w="714" w:type="dxa"/>
            <w:vAlign w:val="center"/>
          </w:tcPr>
          <w:p w14:paraId="2D29DB6A" w14:textId="77777777" w:rsidR="002C1DE8" w:rsidRDefault="002C1DE8"/>
        </w:tc>
      </w:tr>
      <w:tr w:rsidR="00420625" w14:paraId="754012A0" w14:textId="77777777" w:rsidTr="004D044D">
        <w:trPr>
          <w:jc w:val="center"/>
        </w:trPr>
        <w:tc>
          <w:tcPr>
            <w:tcW w:w="5376" w:type="dxa"/>
            <w:shd w:val="clear" w:color="auto" w:fill="F7F9FC"/>
            <w:vAlign w:val="center"/>
          </w:tcPr>
          <w:p w14:paraId="77B6F842" w14:textId="77777777" w:rsidR="002C1DE8" w:rsidRDefault="003D324D">
            <w:r>
              <w:t>Screening of titles, abstracts and full texts</w:t>
            </w:r>
          </w:p>
        </w:tc>
        <w:tc>
          <w:tcPr>
            <w:tcW w:w="630" w:type="dxa"/>
            <w:shd w:val="clear" w:color="auto" w:fill="F7F9FC"/>
            <w:vAlign w:val="center"/>
          </w:tcPr>
          <w:p w14:paraId="415EEB3F" w14:textId="77777777" w:rsidR="002C1DE8" w:rsidRDefault="002C1DE8"/>
        </w:tc>
        <w:tc>
          <w:tcPr>
            <w:tcW w:w="720" w:type="dxa"/>
            <w:shd w:val="clear" w:color="auto" w:fill="F7F9FC"/>
            <w:vAlign w:val="center"/>
          </w:tcPr>
          <w:p w14:paraId="71739FAF" w14:textId="77777777" w:rsidR="002C1DE8" w:rsidRDefault="002C1DE8"/>
        </w:tc>
        <w:tc>
          <w:tcPr>
            <w:tcW w:w="810" w:type="dxa"/>
            <w:shd w:val="clear" w:color="auto" w:fill="F7F9FC"/>
            <w:vAlign w:val="center"/>
          </w:tcPr>
          <w:p w14:paraId="7BC1E792" w14:textId="77777777" w:rsidR="002C1DE8" w:rsidRDefault="003D324D">
            <w:r>
              <w:t>■</w:t>
            </w:r>
          </w:p>
        </w:tc>
        <w:tc>
          <w:tcPr>
            <w:tcW w:w="810" w:type="dxa"/>
            <w:shd w:val="clear" w:color="auto" w:fill="F7F9FC"/>
            <w:vAlign w:val="center"/>
          </w:tcPr>
          <w:p w14:paraId="58DDB490" w14:textId="77777777" w:rsidR="002C1DE8" w:rsidRDefault="003D324D">
            <w:r>
              <w:t>■</w:t>
            </w:r>
          </w:p>
        </w:tc>
        <w:tc>
          <w:tcPr>
            <w:tcW w:w="720" w:type="dxa"/>
            <w:shd w:val="clear" w:color="auto" w:fill="F7F9FC"/>
            <w:vAlign w:val="center"/>
          </w:tcPr>
          <w:p w14:paraId="4C64E123" w14:textId="77777777" w:rsidR="002C1DE8" w:rsidRDefault="002C1DE8"/>
        </w:tc>
        <w:tc>
          <w:tcPr>
            <w:tcW w:w="714" w:type="dxa"/>
            <w:shd w:val="clear" w:color="auto" w:fill="F7F9FC"/>
            <w:vAlign w:val="center"/>
          </w:tcPr>
          <w:p w14:paraId="551DD9F9" w14:textId="77777777" w:rsidR="002C1DE8" w:rsidRDefault="002C1DE8"/>
        </w:tc>
      </w:tr>
      <w:tr w:rsidR="00420625" w14:paraId="1F50C528" w14:textId="77777777" w:rsidTr="004D044D">
        <w:trPr>
          <w:jc w:val="center"/>
        </w:trPr>
        <w:tc>
          <w:tcPr>
            <w:tcW w:w="5376" w:type="dxa"/>
            <w:vAlign w:val="center"/>
          </w:tcPr>
          <w:p w14:paraId="361776EB" w14:textId="77777777" w:rsidR="002C1DE8" w:rsidRDefault="003D324D">
            <w:r>
              <w:t>Data extraction and quality appraisal</w:t>
            </w:r>
          </w:p>
        </w:tc>
        <w:tc>
          <w:tcPr>
            <w:tcW w:w="630" w:type="dxa"/>
            <w:vAlign w:val="center"/>
          </w:tcPr>
          <w:p w14:paraId="3D39D356" w14:textId="77777777" w:rsidR="002C1DE8" w:rsidRDefault="002C1DE8"/>
        </w:tc>
        <w:tc>
          <w:tcPr>
            <w:tcW w:w="720" w:type="dxa"/>
            <w:vAlign w:val="center"/>
          </w:tcPr>
          <w:p w14:paraId="6E6D6C65" w14:textId="77777777" w:rsidR="002C1DE8" w:rsidRDefault="002C1DE8"/>
        </w:tc>
        <w:tc>
          <w:tcPr>
            <w:tcW w:w="810" w:type="dxa"/>
            <w:vAlign w:val="center"/>
          </w:tcPr>
          <w:p w14:paraId="76E45CF1" w14:textId="77777777" w:rsidR="002C1DE8" w:rsidRDefault="002C1DE8"/>
        </w:tc>
        <w:tc>
          <w:tcPr>
            <w:tcW w:w="810" w:type="dxa"/>
            <w:vAlign w:val="center"/>
          </w:tcPr>
          <w:p w14:paraId="31CE8C4D" w14:textId="77777777" w:rsidR="002C1DE8" w:rsidRDefault="003D324D">
            <w:r>
              <w:t>■</w:t>
            </w:r>
          </w:p>
        </w:tc>
        <w:tc>
          <w:tcPr>
            <w:tcW w:w="720" w:type="dxa"/>
            <w:vAlign w:val="center"/>
          </w:tcPr>
          <w:p w14:paraId="5BE93E76" w14:textId="77777777" w:rsidR="002C1DE8" w:rsidRDefault="003D324D">
            <w:r>
              <w:t>■</w:t>
            </w:r>
          </w:p>
        </w:tc>
        <w:tc>
          <w:tcPr>
            <w:tcW w:w="714" w:type="dxa"/>
            <w:vAlign w:val="center"/>
          </w:tcPr>
          <w:p w14:paraId="1E0E2291" w14:textId="77777777" w:rsidR="002C1DE8" w:rsidRDefault="002C1DE8"/>
        </w:tc>
      </w:tr>
      <w:tr w:rsidR="00420625" w14:paraId="17CBBF51" w14:textId="77777777" w:rsidTr="004D044D">
        <w:trPr>
          <w:jc w:val="center"/>
        </w:trPr>
        <w:tc>
          <w:tcPr>
            <w:tcW w:w="5376" w:type="dxa"/>
            <w:shd w:val="clear" w:color="auto" w:fill="F7F9FC"/>
            <w:vAlign w:val="center"/>
          </w:tcPr>
          <w:p w14:paraId="78A85702" w14:textId="77777777" w:rsidR="002C1DE8" w:rsidRDefault="003D324D">
            <w:r>
              <w:t>Thematic synthesis and interpretation</w:t>
            </w:r>
          </w:p>
        </w:tc>
        <w:tc>
          <w:tcPr>
            <w:tcW w:w="630" w:type="dxa"/>
            <w:shd w:val="clear" w:color="auto" w:fill="F7F9FC"/>
            <w:vAlign w:val="center"/>
          </w:tcPr>
          <w:p w14:paraId="6D1EF2DE" w14:textId="77777777" w:rsidR="002C1DE8" w:rsidRDefault="002C1DE8"/>
        </w:tc>
        <w:tc>
          <w:tcPr>
            <w:tcW w:w="720" w:type="dxa"/>
            <w:shd w:val="clear" w:color="auto" w:fill="F7F9FC"/>
            <w:vAlign w:val="center"/>
          </w:tcPr>
          <w:p w14:paraId="57581453" w14:textId="77777777" w:rsidR="002C1DE8" w:rsidRDefault="002C1DE8"/>
        </w:tc>
        <w:tc>
          <w:tcPr>
            <w:tcW w:w="810" w:type="dxa"/>
            <w:shd w:val="clear" w:color="auto" w:fill="F7F9FC"/>
            <w:vAlign w:val="center"/>
          </w:tcPr>
          <w:p w14:paraId="6910A0B9" w14:textId="77777777" w:rsidR="002C1DE8" w:rsidRDefault="002C1DE8"/>
        </w:tc>
        <w:tc>
          <w:tcPr>
            <w:tcW w:w="810" w:type="dxa"/>
            <w:shd w:val="clear" w:color="auto" w:fill="F7F9FC"/>
            <w:vAlign w:val="center"/>
          </w:tcPr>
          <w:p w14:paraId="3DF2BA9D" w14:textId="77777777" w:rsidR="002C1DE8" w:rsidRDefault="002C1DE8"/>
        </w:tc>
        <w:tc>
          <w:tcPr>
            <w:tcW w:w="720" w:type="dxa"/>
            <w:shd w:val="clear" w:color="auto" w:fill="F7F9FC"/>
            <w:vAlign w:val="center"/>
          </w:tcPr>
          <w:p w14:paraId="23EDF7F9" w14:textId="77777777" w:rsidR="002C1DE8" w:rsidRDefault="003D324D">
            <w:r>
              <w:t>■</w:t>
            </w:r>
          </w:p>
        </w:tc>
        <w:tc>
          <w:tcPr>
            <w:tcW w:w="714" w:type="dxa"/>
            <w:shd w:val="clear" w:color="auto" w:fill="F7F9FC"/>
            <w:vAlign w:val="center"/>
          </w:tcPr>
          <w:p w14:paraId="7B4EC440" w14:textId="77777777" w:rsidR="002C1DE8" w:rsidRDefault="003D324D">
            <w:r>
              <w:t>■</w:t>
            </w:r>
          </w:p>
        </w:tc>
      </w:tr>
      <w:tr w:rsidR="00420625" w14:paraId="0079E58F" w14:textId="77777777" w:rsidTr="004D044D">
        <w:trPr>
          <w:jc w:val="center"/>
        </w:trPr>
        <w:tc>
          <w:tcPr>
            <w:tcW w:w="5376" w:type="dxa"/>
            <w:vAlign w:val="center"/>
          </w:tcPr>
          <w:p w14:paraId="7E7747D6" w14:textId="77777777" w:rsidR="002C1DE8" w:rsidRDefault="003D324D">
            <w:r>
              <w:t>Write-up, revision and final preparation</w:t>
            </w:r>
          </w:p>
        </w:tc>
        <w:tc>
          <w:tcPr>
            <w:tcW w:w="630" w:type="dxa"/>
            <w:vAlign w:val="center"/>
          </w:tcPr>
          <w:p w14:paraId="410BCC89" w14:textId="77777777" w:rsidR="002C1DE8" w:rsidRDefault="002C1DE8"/>
        </w:tc>
        <w:tc>
          <w:tcPr>
            <w:tcW w:w="720" w:type="dxa"/>
            <w:vAlign w:val="center"/>
          </w:tcPr>
          <w:p w14:paraId="7CB27DE8" w14:textId="77777777" w:rsidR="002C1DE8" w:rsidRDefault="002C1DE8"/>
        </w:tc>
        <w:tc>
          <w:tcPr>
            <w:tcW w:w="810" w:type="dxa"/>
            <w:vAlign w:val="center"/>
          </w:tcPr>
          <w:p w14:paraId="66951AD3" w14:textId="77777777" w:rsidR="002C1DE8" w:rsidRDefault="002C1DE8"/>
        </w:tc>
        <w:tc>
          <w:tcPr>
            <w:tcW w:w="810" w:type="dxa"/>
            <w:vAlign w:val="center"/>
          </w:tcPr>
          <w:p w14:paraId="0132FFED" w14:textId="77777777" w:rsidR="002C1DE8" w:rsidRDefault="002C1DE8"/>
        </w:tc>
        <w:tc>
          <w:tcPr>
            <w:tcW w:w="720" w:type="dxa"/>
            <w:vAlign w:val="center"/>
          </w:tcPr>
          <w:p w14:paraId="1C90D076" w14:textId="77777777" w:rsidR="002C1DE8" w:rsidRDefault="002C1DE8"/>
        </w:tc>
        <w:tc>
          <w:tcPr>
            <w:tcW w:w="714" w:type="dxa"/>
            <w:vAlign w:val="center"/>
          </w:tcPr>
          <w:p w14:paraId="7A99FC88" w14:textId="77777777" w:rsidR="002C1DE8" w:rsidRDefault="003D324D">
            <w:r>
              <w:t>■</w:t>
            </w:r>
          </w:p>
        </w:tc>
      </w:tr>
    </w:tbl>
    <w:p w14:paraId="5F684948" w14:textId="77777777" w:rsidR="00CD70E6" w:rsidRDefault="00CD70E6" w:rsidP="00444ED1">
      <w:pPr>
        <w:pStyle w:val="Heading1Custom"/>
        <w:spacing w:line="360" w:lineRule="auto"/>
      </w:pPr>
    </w:p>
    <w:p w14:paraId="3ED0410C" w14:textId="77777777" w:rsidR="00CD70E6" w:rsidRDefault="00CD70E6" w:rsidP="00444ED1">
      <w:pPr>
        <w:jc w:val="left"/>
        <w:rPr>
          <w:b/>
          <w:color w:val="1F4E79"/>
          <w:sz w:val="25"/>
        </w:rPr>
      </w:pPr>
      <w:r>
        <w:br w:type="page"/>
      </w:r>
    </w:p>
    <w:p w14:paraId="565C5242" w14:textId="77777777" w:rsidR="00420625" w:rsidRDefault="003D324D" w:rsidP="00444ED1">
      <w:pPr>
        <w:pStyle w:val="Heading1"/>
      </w:pPr>
      <w:bookmarkStart w:id="8" w:name="_Toc225247055"/>
      <w:r>
        <w:lastRenderedPageBreak/>
        <w:t>Reference</w:t>
      </w:r>
      <w:r w:rsidR="00CD70E6">
        <w:t>s</w:t>
      </w:r>
      <w:bookmarkEnd w:id="8"/>
    </w:p>
    <w:p w14:paraId="2ECC9335" w14:textId="77777777" w:rsidR="00444ED1" w:rsidRPr="00444ED1" w:rsidRDefault="00444ED1" w:rsidP="00444ED1">
      <w:pPr>
        <w:spacing w:after="40"/>
      </w:pPr>
      <w:r w:rsidRPr="00444ED1">
        <w:t xml:space="preserve">Al-Hamdani, M., Davidson, M., Bird, D., Hopkins, D.B. and Smith, S. (2023) ‘Learning from their experiences: strategies used by youth and young adult ex-vapers’, </w:t>
      </w:r>
      <w:r w:rsidRPr="00444ED1">
        <w:rPr>
          <w:i/>
          <w:iCs/>
        </w:rPr>
        <w:t>Journal of Substance Use and Addiction Treatment</w:t>
      </w:r>
      <w:r w:rsidRPr="00444ED1">
        <w:t xml:space="preserve">, 149, 209038. Available at: </w:t>
      </w:r>
      <w:hyperlink r:id="rId6" w:history="1">
        <w:r w:rsidRPr="00444ED1">
          <w:rPr>
            <w:rStyle w:val="Hyperlink"/>
          </w:rPr>
          <w:t>https://www.sciencedirect.com/science/article/pii/S2949875923000887</w:t>
        </w:r>
      </w:hyperlink>
      <w:r w:rsidRPr="00444ED1">
        <w:t xml:space="preserve"> (Accessed: 18 March 2026). (</w:t>
      </w:r>
      <w:hyperlink r:id="rId7" w:tooltip="Strategies used by youth and young adult ex-vapers" w:history="1">
        <w:r w:rsidRPr="00444ED1">
          <w:rPr>
            <w:rStyle w:val="Hyperlink"/>
          </w:rPr>
          <w:t>ScienceDirect</w:t>
        </w:r>
      </w:hyperlink>
      <w:r w:rsidRPr="00444ED1">
        <w:t>)</w:t>
      </w:r>
    </w:p>
    <w:p w14:paraId="79381AF0" w14:textId="77777777" w:rsidR="00444ED1" w:rsidRPr="00444ED1" w:rsidRDefault="00444ED1" w:rsidP="00444ED1">
      <w:pPr>
        <w:spacing w:after="40"/>
      </w:pPr>
      <w:r w:rsidRPr="00444ED1">
        <w:t xml:space="preserve">British Psychological Society (2021) </w:t>
      </w:r>
      <w:r w:rsidRPr="00444ED1">
        <w:rPr>
          <w:i/>
          <w:iCs/>
        </w:rPr>
        <w:t>Code of Human Research Ethics</w:t>
      </w:r>
      <w:r w:rsidRPr="00444ED1">
        <w:t xml:space="preserve">. 4th </w:t>
      </w:r>
      <w:proofErr w:type="spellStart"/>
      <w:r w:rsidRPr="00444ED1">
        <w:t>edn</w:t>
      </w:r>
      <w:proofErr w:type="spellEnd"/>
      <w:r w:rsidRPr="00444ED1">
        <w:t>. Leicester: British Psychological Society.</w:t>
      </w:r>
    </w:p>
    <w:p w14:paraId="786E5C59" w14:textId="77777777" w:rsidR="00444ED1" w:rsidRPr="00444ED1" w:rsidRDefault="00444ED1" w:rsidP="00444ED1">
      <w:pPr>
        <w:spacing w:after="40"/>
      </w:pPr>
      <w:r w:rsidRPr="00444ED1">
        <w:t xml:space="preserve">Coffey, M., Cooper-Ryan, A., Houston, L., Thompson, K. and Cook, P. (2020) ‘Using e-cigarettes for smoking cessation: evaluation of a pilot project in the North West of England’, </w:t>
      </w:r>
      <w:r w:rsidRPr="00444ED1">
        <w:rPr>
          <w:i/>
          <w:iCs/>
        </w:rPr>
        <w:t>Perspectives in Public Health</w:t>
      </w:r>
      <w:r w:rsidRPr="00444ED1">
        <w:t xml:space="preserve">, 140(6), pp. 351-361. Available at: </w:t>
      </w:r>
      <w:hyperlink r:id="rId8" w:history="1">
        <w:r w:rsidRPr="00444ED1">
          <w:rPr>
            <w:rStyle w:val="Hyperlink"/>
          </w:rPr>
          <w:t>https://doi.org/10.1177/1757913920912436</w:t>
        </w:r>
      </w:hyperlink>
      <w:r w:rsidRPr="00444ED1">
        <w:t xml:space="preserve"> (Accessed: 18 March 2026). (</w:t>
      </w:r>
      <w:hyperlink r:id="rId9" w:tooltip="Using e-cigarettes for smoking cessation" w:history="1">
        <w:r w:rsidRPr="00444ED1">
          <w:rPr>
            <w:rStyle w:val="Hyperlink"/>
          </w:rPr>
          <w:t>SAGE Journals</w:t>
        </w:r>
      </w:hyperlink>
      <w:r w:rsidRPr="00444ED1">
        <w:t>)</w:t>
      </w:r>
    </w:p>
    <w:p w14:paraId="3CD9C994" w14:textId="77777777" w:rsidR="00444ED1" w:rsidRPr="00444ED1" w:rsidRDefault="00444ED1" w:rsidP="00444ED1">
      <w:pPr>
        <w:spacing w:after="40"/>
      </w:pPr>
      <w:r w:rsidRPr="00444ED1">
        <w:t xml:space="preserve">Creswell, J.W. and Creswell, J.D. (2018) </w:t>
      </w:r>
      <w:r w:rsidRPr="00444ED1">
        <w:rPr>
          <w:i/>
          <w:iCs/>
        </w:rPr>
        <w:t>Research Design: Qualitative, Quantitative, and Mixed Methods Approaches</w:t>
      </w:r>
      <w:r w:rsidRPr="00444ED1">
        <w:t xml:space="preserve">. 5th </w:t>
      </w:r>
      <w:proofErr w:type="spellStart"/>
      <w:r w:rsidRPr="00444ED1">
        <w:t>edn</w:t>
      </w:r>
      <w:proofErr w:type="spellEnd"/>
      <w:r w:rsidRPr="00444ED1">
        <w:t>. Thousand Oaks, CA: Sage.</w:t>
      </w:r>
    </w:p>
    <w:p w14:paraId="0A17075D" w14:textId="77777777" w:rsidR="00444ED1" w:rsidRPr="00444ED1" w:rsidRDefault="00444ED1" w:rsidP="00444ED1">
      <w:pPr>
        <w:spacing w:after="40"/>
      </w:pPr>
      <w:r w:rsidRPr="00444ED1">
        <w:t xml:space="preserve">Department of Health and Social Care (2025) </w:t>
      </w:r>
      <w:r w:rsidRPr="00444ED1">
        <w:rPr>
          <w:i/>
          <w:iCs/>
        </w:rPr>
        <w:t>Smoking and tobacco: applying All Our Health</w:t>
      </w:r>
      <w:r w:rsidRPr="00444ED1">
        <w:t xml:space="preserve">. Available at: </w:t>
      </w:r>
      <w:hyperlink r:id="rId10" w:history="1">
        <w:r w:rsidRPr="00444ED1">
          <w:rPr>
            <w:rStyle w:val="Hyperlink"/>
          </w:rPr>
          <w:t>https://www.gov.uk/government/publications/smoking-and-tobacco-applying-all-our-health/smoking-and-tobacco-applying-all-our-health</w:t>
        </w:r>
      </w:hyperlink>
      <w:r w:rsidRPr="00444ED1">
        <w:t xml:space="preserve"> (Accessed: 18 March 2026).</w:t>
      </w:r>
    </w:p>
    <w:p w14:paraId="30823109" w14:textId="77777777" w:rsidR="00444ED1" w:rsidRPr="00444ED1" w:rsidRDefault="00444ED1" w:rsidP="00444ED1">
      <w:pPr>
        <w:spacing w:after="40"/>
      </w:pPr>
      <w:r>
        <w:t>Page, M.J., McKenzie, J.E., Bossuyt, P.M., Boutron, I., Hoffmann, T.C., Mulrow, C.D., Shamseer, L., Tetzlaff, J.M., Akl, E.A., Brennan, S.E., Chou, R., Glanville, J., Grimshaw, J.M., Hrobjartsson, A., Lalu, M.M., Li, T., Loder, E.W., Mayo-Wilson, E., McDonald, S., McGuinness, L.A., Stewart, L.A., Thomas, J., Tricco, A.C., Welch, V.A., Whiting, P. and Moher, D. (2021) The PRISMA 2020 statement: an updated guideline for reporting systematic reviews, BMJ, 372, n71. Available at: https://doi.org/10.1136/bmj.n71.</w:t>
      </w:r>
    </w:p>
    <w:p w14:paraId="0D9FED3B" w14:textId="77777777" w:rsidR="00444ED1" w:rsidRPr="00444ED1" w:rsidRDefault="00444ED1" w:rsidP="00444ED1">
      <w:pPr>
        <w:spacing w:after="40"/>
      </w:pPr>
      <w:r w:rsidRPr="00444ED1">
        <w:t xml:space="preserve">Fagerström, K. (2012) ‘Determinants of tobacco use and renaming the FTND to the Fagerström Test for Cigarette Dependence’, </w:t>
      </w:r>
      <w:r w:rsidRPr="00444ED1">
        <w:rPr>
          <w:i/>
          <w:iCs/>
        </w:rPr>
        <w:t>Nicotine and Tobacco Research</w:t>
      </w:r>
      <w:r w:rsidRPr="00444ED1">
        <w:t xml:space="preserve">, 14(1), pp. 75-78. Available at: </w:t>
      </w:r>
      <w:hyperlink r:id="rId11" w:history="1">
        <w:r w:rsidRPr="00444ED1">
          <w:rPr>
            <w:rStyle w:val="Hyperlink"/>
          </w:rPr>
          <w:t>https://doi.org/10.1093/ntr/ntr137</w:t>
        </w:r>
      </w:hyperlink>
      <w:r w:rsidRPr="00444ED1">
        <w:t xml:space="preserve"> (Accessed: 18 March 2026). (</w:t>
      </w:r>
      <w:hyperlink r:id="rId12" w:tooltip="Determinants of tobacco use and renaming the FTND to ..." w:history="1">
        <w:r w:rsidRPr="00444ED1">
          <w:rPr>
            <w:rStyle w:val="Hyperlink"/>
          </w:rPr>
          <w:t>PubMed</w:t>
        </w:r>
      </w:hyperlink>
      <w:r w:rsidRPr="00444ED1">
        <w:t>)</w:t>
      </w:r>
    </w:p>
    <w:p w14:paraId="4B5CA46F" w14:textId="77777777" w:rsidR="00444ED1" w:rsidRPr="00444ED1" w:rsidRDefault="00444ED1" w:rsidP="00444ED1">
      <w:pPr>
        <w:spacing w:after="40"/>
      </w:pPr>
      <w:r>
        <w:t>Braun, V. and Clarke, V. (2006) Using thematic analysis in psychology, Qualitative Research in Psychology, 3(2), pp. 77-101. Available at: https://doi.org/10.1191/1478088706qp063oa.</w:t>
      </w:r>
    </w:p>
    <w:p w14:paraId="3C1D1269" w14:textId="77777777" w:rsidR="00444ED1" w:rsidRPr="00444ED1" w:rsidRDefault="00444ED1" w:rsidP="00444ED1">
      <w:pPr>
        <w:spacing w:after="40"/>
      </w:pPr>
      <w:r>
        <w:lastRenderedPageBreak/>
        <w:t>Schardt, C., Adams, M.B., Owens, T., Keitz, S. and Fontelo, P. (2007) Utilization of the PICO framework to improve searching PubMed for clinical questions, BMC Medical Informatics and Decision Making, 7, 16. Available at: https://doi.org/10.1186/1472-6947-7-16.</w:t>
      </w:r>
    </w:p>
    <w:p w14:paraId="4258290D" w14:textId="77777777" w:rsidR="00444ED1" w:rsidRPr="00444ED1" w:rsidRDefault="00444ED1" w:rsidP="00444ED1">
      <w:pPr>
        <w:spacing w:after="40"/>
      </w:pPr>
    </w:p>
    <w:p w14:paraId="4B2BA892" w14:textId="77777777" w:rsidR="00444ED1" w:rsidRPr="00444ED1" w:rsidRDefault="00444ED1" w:rsidP="00444ED1">
      <w:pPr>
        <w:spacing w:after="40"/>
      </w:pPr>
    </w:p>
    <w:p w14:paraId="64EEC280" w14:textId="77777777" w:rsidR="00444ED1" w:rsidRPr="00444ED1" w:rsidRDefault="00444ED1" w:rsidP="00444ED1">
      <w:pPr>
        <w:spacing w:after="40"/>
      </w:pPr>
    </w:p>
    <w:p w14:paraId="36A8A40F" w14:textId="77777777" w:rsidR="00444ED1" w:rsidRPr="00444ED1" w:rsidRDefault="00444ED1" w:rsidP="00444ED1">
      <w:pPr>
        <w:spacing w:after="40"/>
      </w:pPr>
      <w:r w:rsidRPr="00444ED1">
        <w:t xml:space="preserve">Jackson, S.E., </w:t>
      </w:r>
      <w:proofErr w:type="spellStart"/>
      <w:r w:rsidRPr="00444ED1">
        <w:t>Tattan</w:t>
      </w:r>
      <w:proofErr w:type="spellEnd"/>
      <w:r w:rsidRPr="00444ED1">
        <w:t xml:space="preserve">-Birch, H., Shahab, L. and Brown, J. (2024) ‘Trends in long term vaping among adults in England, 2013-23: </w:t>
      </w:r>
      <w:proofErr w:type="gramStart"/>
      <w:r w:rsidRPr="00444ED1">
        <w:t>population based</w:t>
      </w:r>
      <w:proofErr w:type="gramEnd"/>
      <w:r w:rsidRPr="00444ED1">
        <w:t xml:space="preserve"> study’, </w:t>
      </w:r>
      <w:r w:rsidRPr="00444ED1">
        <w:rPr>
          <w:i/>
          <w:iCs/>
        </w:rPr>
        <w:t>BMJ</w:t>
      </w:r>
      <w:r w:rsidRPr="00444ED1">
        <w:t>, 386, e079016.</w:t>
      </w:r>
    </w:p>
    <w:p w14:paraId="7EAA9B14" w14:textId="77777777" w:rsidR="00444ED1" w:rsidRPr="00444ED1" w:rsidRDefault="00444ED1" w:rsidP="00444ED1">
      <w:pPr>
        <w:spacing w:after="40"/>
      </w:pPr>
      <w:r w:rsidRPr="00444ED1">
        <w:t xml:space="preserve">Lindson, N., Butler, A.R., McRobbie, H., Bullen, C., Hartmann-Boyce, J., Hajek, P. and Livingstone-Banks, J. (2025) ‘Electronic cigarettes for smoking cessation’, </w:t>
      </w:r>
      <w:r w:rsidRPr="00444ED1">
        <w:rPr>
          <w:i/>
          <w:iCs/>
        </w:rPr>
        <w:t>Cochrane Database of Systematic Reviews</w:t>
      </w:r>
      <w:r w:rsidRPr="00444ED1">
        <w:t>, 1, CD010216.</w:t>
      </w:r>
    </w:p>
    <w:p w14:paraId="720C40FA" w14:textId="77777777" w:rsidR="00444ED1" w:rsidRPr="00444ED1" w:rsidRDefault="00444ED1" w:rsidP="00444ED1">
      <w:pPr>
        <w:spacing w:after="40"/>
      </w:pPr>
      <w:r w:rsidRPr="00444ED1">
        <w:t xml:space="preserve">Lindson, N., Klemperer, E., Hong, B., Ordóñez-Mena, J.M., Aveyard, P. and Hartmann-Boyce, J. (2023) ‘Pharmacological and electronic cigarette interventions for smoking cessation and tobacco harm reduction: an overview of reviews’, </w:t>
      </w:r>
      <w:r w:rsidRPr="00444ED1">
        <w:rPr>
          <w:i/>
          <w:iCs/>
        </w:rPr>
        <w:t>Cochrane Database of Systematic Reviews</w:t>
      </w:r>
      <w:r w:rsidRPr="00444ED1">
        <w:t>, 11, CD015226.</w:t>
      </w:r>
    </w:p>
    <w:p w14:paraId="5B25BA9E" w14:textId="77777777" w:rsidR="00444ED1" w:rsidRPr="00444ED1" w:rsidRDefault="00444ED1" w:rsidP="00444ED1">
      <w:pPr>
        <w:spacing w:after="40"/>
      </w:pPr>
      <w:r w:rsidRPr="00444ED1">
        <w:t xml:space="preserve">Livingstone-Banks, J., Ordóñez-Mena, J.M. and Hartmann-Boyce, J. (2023) ‘Nicotine receptor partial agonists for smoking cessation’, </w:t>
      </w:r>
      <w:r w:rsidRPr="00444ED1">
        <w:rPr>
          <w:i/>
          <w:iCs/>
        </w:rPr>
        <w:t>Cochrane Database of Systematic Reviews</w:t>
      </w:r>
      <w:r w:rsidRPr="00444ED1">
        <w:t>, 5, CD006103.</w:t>
      </w:r>
    </w:p>
    <w:p w14:paraId="51752CB8" w14:textId="77777777" w:rsidR="00444ED1" w:rsidRPr="00444ED1" w:rsidRDefault="00444ED1" w:rsidP="00444ED1">
      <w:pPr>
        <w:spacing w:after="40"/>
      </w:pPr>
      <w:r w:rsidRPr="00444ED1">
        <w:t xml:space="preserve">MacArthur, G.J., Harrison, S., Caldwell, D.M., Hickman, M. and Campbell, R. (2016) ‘Peer-led interventions to prevent tobacco, alcohol and/or drug use among young people aged 11-21 years: a systematic review and meta-analysis’, </w:t>
      </w:r>
      <w:r w:rsidRPr="00444ED1">
        <w:rPr>
          <w:i/>
          <w:iCs/>
        </w:rPr>
        <w:t>Addiction</w:t>
      </w:r>
      <w:r w:rsidRPr="00444ED1">
        <w:t>, 111(3), pp. 391-407.</w:t>
      </w:r>
    </w:p>
    <w:p w14:paraId="17416936" w14:textId="77777777" w:rsidR="00444ED1" w:rsidRPr="00444ED1" w:rsidRDefault="00444ED1" w:rsidP="00444ED1">
      <w:pPr>
        <w:spacing w:after="40"/>
      </w:pPr>
      <w:r w:rsidRPr="00444ED1">
        <w:t xml:space="preserve">Martín Cantera, C., </w:t>
      </w:r>
      <w:proofErr w:type="spellStart"/>
      <w:r w:rsidRPr="00444ED1">
        <w:t>Puigdomènech</w:t>
      </w:r>
      <w:proofErr w:type="spellEnd"/>
      <w:r w:rsidRPr="00444ED1">
        <w:t xml:space="preserve">, E., </w:t>
      </w:r>
      <w:proofErr w:type="spellStart"/>
      <w:r w:rsidRPr="00444ED1">
        <w:t>Ballvé</w:t>
      </w:r>
      <w:proofErr w:type="spellEnd"/>
      <w:r w:rsidRPr="00444ED1">
        <w:t xml:space="preserve">, J.L., Arias, O.L., Clemente, L., Casas, R., Roig, L., Pérez-Tortosa, S., Díaz-Gete, L. and Granollers, S. (2015) ‘Effectiveness of multicomponent interventions in primary healthcare settings to promote continuous smoking cessation in adults: a systematic review’, </w:t>
      </w:r>
      <w:r w:rsidRPr="00444ED1">
        <w:rPr>
          <w:i/>
          <w:iCs/>
        </w:rPr>
        <w:t>BMJ Open</w:t>
      </w:r>
      <w:r w:rsidRPr="00444ED1">
        <w:t>, 5(10), e008807.</w:t>
      </w:r>
    </w:p>
    <w:p w14:paraId="436DF257" w14:textId="77777777" w:rsidR="00444ED1" w:rsidRPr="00444ED1" w:rsidRDefault="00444ED1" w:rsidP="00444ED1">
      <w:pPr>
        <w:spacing w:after="40"/>
      </w:pPr>
      <w:r w:rsidRPr="00444ED1">
        <w:t xml:space="preserve">McEwen, A., West, R., McRobbie, H. and Hajek, P. (2010) ‘Smoking cessation activities by GPs and practice nurses’, </w:t>
      </w:r>
      <w:r w:rsidRPr="00444ED1">
        <w:rPr>
          <w:i/>
          <w:iCs/>
        </w:rPr>
        <w:t>Tobacco Control</w:t>
      </w:r>
      <w:r w:rsidRPr="00444ED1">
        <w:t>, 19(3), pp. 242-244.</w:t>
      </w:r>
    </w:p>
    <w:p w14:paraId="6BF6D682" w14:textId="77777777" w:rsidR="00444ED1" w:rsidRPr="00444ED1" w:rsidRDefault="00444ED1" w:rsidP="00444ED1">
      <w:pPr>
        <w:spacing w:after="40"/>
      </w:pPr>
      <w:r w:rsidRPr="00444ED1">
        <w:t xml:space="preserve">Mitchell, R., O’Grady, K.-A.F., Brain, D., Lim, M., Bohorquez, N.G., </w:t>
      </w:r>
      <w:proofErr w:type="spellStart"/>
      <w:r w:rsidRPr="00444ED1">
        <w:t>Halahakone</w:t>
      </w:r>
      <w:proofErr w:type="spellEnd"/>
      <w:r w:rsidRPr="00444ED1">
        <w:t xml:space="preserve">, U., Braithwaite, S., Isbel, J., Peardon-Freeman, S., Kennedy, M. and Tyack, Z. (2025) ‘Evaluating the implementation of adult smoking cessation programs in community settings: a scoping review’, </w:t>
      </w:r>
      <w:r w:rsidRPr="00444ED1">
        <w:rPr>
          <w:i/>
          <w:iCs/>
        </w:rPr>
        <w:t>Frontiers in Public Health</w:t>
      </w:r>
      <w:r w:rsidRPr="00444ED1">
        <w:t>, 12, 1495151.</w:t>
      </w:r>
    </w:p>
    <w:p w14:paraId="7790306F" w14:textId="77777777" w:rsidR="00444ED1" w:rsidRPr="00444ED1" w:rsidRDefault="00444ED1" w:rsidP="00444ED1">
      <w:pPr>
        <w:spacing w:after="40"/>
      </w:pPr>
      <w:r w:rsidRPr="00444ED1">
        <w:lastRenderedPageBreak/>
        <w:t xml:space="preserve">NHS England Digital (2025) </w:t>
      </w:r>
      <w:r w:rsidRPr="00444ED1">
        <w:rPr>
          <w:i/>
          <w:iCs/>
        </w:rPr>
        <w:t>Statistics on Local Stop Smoking Services in England, April 2024 to March 2025 (Q4, annual)</w:t>
      </w:r>
      <w:r w:rsidRPr="00444ED1">
        <w:t xml:space="preserve">. Available at: </w:t>
      </w:r>
      <w:hyperlink r:id="rId13" w:history="1">
        <w:r w:rsidRPr="00444ED1">
          <w:rPr>
            <w:rStyle w:val="Hyperlink"/>
          </w:rPr>
          <w:t>https://digital.nhs.uk/data-and-information/publications/statistical/statistics-on-nhs-stop-smoking-services-in-england/april-2024-to-march-2025-q4-annual</w:t>
        </w:r>
      </w:hyperlink>
      <w:r w:rsidRPr="00444ED1">
        <w:t xml:space="preserve"> (Accessed: 18 March 2026).</w:t>
      </w:r>
    </w:p>
    <w:p w14:paraId="719F1239" w14:textId="77777777" w:rsidR="00444ED1" w:rsidRPr="00444ED1" w:rsidRDefault="00444ED1" w:rsidP="00444ED1">
      <w:pPr>
        <w:spacing w:after="40"/>
      </w:pPr>
      <w:r w:rsidRPr="00444ED1">
        <w:t xml:space="preserve">Office for National Statistics (2025) </w:t>
      </w:r>
      <w:r w:rsidRPr="00444ED1">
        <w:rPr>
          <w:i/>
          <w:iCs/>
        </w:rPr>
        <w:t>Adult smoking habits in the UK: 2024</w:t>
      </w:r>
      <w:r w:rsidRPr="00444ED1">
        <w:t xml:space="preserve">. Available at: </w:t>
      </w:r>
      <w:hyperlink r:id="rId14" w:history="1">
        <w:r w:rsidRPr="00444ED1">
          <w:rPr>
            <w:rStyle w:val="Hyperlink"/>
          </w:rPr>
          <w:t>https://www.ons.gov.uk/peoplepopulationandcommunity/healthandsocialcare/healthandlifeexpectancies/bulletins/adultsmokinghabitsingreatbritain/2024</w:t>
        </w:r>
      </w:hyperlink>
      <w:r w:rsidRPr="00444ED1">
        <w:t xml:space="preserve"> (Accessed: 18 March 2026).</w:t>
      </w:r>
    </w:p>
    <w:p w14:paraId="7E8B174E" w14:textId="77777777" w:rsidR="00444ED1" w:rsidRPr="00444ED1" w:rsidRDefault="00444ED1" w:rsidP="00444ED1">
      <w:pPr>
        <w:spacing w:after="40"/>
      </w:pPr>
      <w:r w:rsidRPr="00444ED1">
        <w:t xml:space="preserve">Park, E.-H., Zhou, Y., Chen, C., Chacko, T., Mahoney, M.C. and Chang, Y.-P. (2023) ‘Systematic review: interventions to quit tobacco products for young adults’, </w:t>
      </w:r>
      <w:r w:rsidRPr="00444ED1">
        <w:rPr>
          <w:i/>
          <w:iCs/>
        </w:rPr>
        <w:t>BMC Public Health</w:t>
      </w:r>
      <w:r w:rsidRPr="00444ED1">
        <w:t xml:space="preserve">, 23, 15900. Available at: </w:t>
      </w:r>
      <w:hyperlink r:id="rId15" w:history="1">
        <w:r w:rsidRPr="00444ED1">
          <w:rPr>
            <w:rStyle w:val="Hyperlink"/>
          </w:rPr>
          <w:t>https://doi.org/10.1186/s12889-023-15900-8</w:t>
        </w:r>
      </w:hyperlink>
      <w:r w:rsidRPr="00444ED1">
        <w:t xml:space="preserve"> (Accessed: 18 March 2026). (</w:t>
      </w:r>
      <w:hyperlink r:id="rId16" w:tooltip="interventions to quit tobacco products for young adults - Springer" w:history="1">
        <w:r w:rsidRPr="00444ED1">
          <w:rPr>
            <w:rStyle w:val="Hyperlink"/>
          </w:rPr>
          <w:t>Springer Link</w:t>
        </w:r>
      </w:hyperlink>
      <w:r w:rsidRPr="00444ED1">
        <w:t>)</w:t>
      </w:r>
    </w:p>
    <w:p w14:paraId="3909FC41" w14:textId="77777777" w:rsidR="00444ED1" w:rsidRPr="00444ED1" w:rsidRDefault="00444ED1" w:rsidP="00444ED1">
      <w:pPr>
        <w:spacing w:after="40"/>
      </w:pPr>
      <w:r w:rsidRPr="00444ED1">
        <w:t xml:space="preserve">Potter, M.B., Tsoh, J.Y., Lugtu, K., Parra, J., Bowyer, V. and Hessler, D. (2024) ‘Smoking cessation support in the context of other social and behavioral needs in community health centers’, </w:t>
      </w:r>
      <w:r w:rsidRPr="00444ED1">
        <w:rPr>
          <w:i/>
          <w:iCs/>
        </w:rPr>
        <w:t>Journal of the American Board of Family Medicine</w:t>
      </w:r>
      <w:r w:rsidRPr="00444ED1">
        <w:t>, 37(1), pp. 84-94.</w:t>
      </w:r>
    </w:p>
    <w:p w14:paraId="4F1F1943" w14:textId="77777777" w:rsidR="00444ED1" w:rsidRPr="00444ED1" w:rsidRDefault="00444ED1" w:rsidP="00444ED1">
      <w:pPr>
        <w:spacing w:after="40"/>
      </w:pPr>
      <w:r w:rsidRPr="00444ED1">
        <w:t xml:space="preserve">Prochaska, J.O. and DiClemente, C.C. (1983) ‘Stages and processes of self-change of smoking: toward an integrative model of change’, </w:t>
      </w:r>
      <w:r w:rsidRPr="00444ED1">
        <w:rPr>
          <w:i/>
          <w:iCs/>
        </w:rPr>
        <w:t>Journal of Consulting and Clinical Psychology</w:t>
      </w:r>
      <w:r w:rsidRPr="00444ED1">
        <w:t>, 51(3), pp. 390-395.</w:t>
      </w:r>
    </w:p>
    <w:p w14:paraId="7718FC66" w14:textId="77777777" w:rsidR="00444ED1" w:rsidRPr="00444ED1" w:rsidRDefault="00444ED1" w:rsidP="00444ED1">
      <w:pPr>
        <w:spacing w:after="40"/>
      </w:pPr>
      <w:r w:rsidRPr="00444ED1">
        <w:t xml:space="preserve">Royal College of Physicians (2018) </w:t>
      </w:r>
      <w:r w:rsidRPr="00444ED1">
        <w:rPr>
          <w:i/>
          <w:iCs/>
        </w:rPr>
        <w:t>Hiding in Plain Sight: Treating Tobacco Dependency in the NHS</w:t>
      </w:r>
      <w:r w:rsidRPr="00444ED1">
        <w:t>. London: RCP.</w:t>
      </w:r>
    </w:p>
    <w:p w14:paraId="1497C5D3" w14:textId="77777777" w:rsidR="00444ED1" w:rsidRPr="00444ED1" w:rsidRDefault="00444ED1" w:rsidP="00444ED1">
      <w:pPr>
        <w:spacing w:after="40"/>
      </w:pPr>
    </w:p>
    <w:p w14:paraId="1D8CF15E" w14:textId="77777777" w:rsidR="00444ED1" w:rsidRPr="00444ED1" w:rsidRDefault="00444ED1" w:rsidP="00444ED1">
      <w:pPr>
        <w:spacing w:after="40"/>
      </w:pPr>
      <w:r w:rsidRPr="00444ED1">
        <w:t xml:space="preserve">Smith, C.E. and Hill, S.E. (2020) ‘Impact of specialist and primary care stop smoking support on socio-economic inequalities in cessation in the United Kingdom: a systematic review and national equity analysis’, </w:t>
      </w:r>
      <w:r w:rsidRPr="00444ED1">
        <w:rPr>
          <w:i/>
          <w:iCs/>
        </w:rPr>
        <w:t>Addiction</w:t>
      </w:r>
      <w:r w:rsidRPr="00444ED1">
        <w:t>, 115(1), pp. 34-46.</w:t>
      </w:r>
    </w:p>
    <w:p w14:paraId="43146217" w14:textId="77777777" w:rsidR="00444ED1" w:rsidRPr="00444ED1" w:rsidRDefault="00444ED1" w:rsidP="00444ED1">
      <w:pPr>
        <w:spacing w:after="40"/>
      </w:pPr>
      <w:r w:rsidRPr="00444ED1">
        <w:t xml:space="preserve">Song, F. and Elwell-Sutton, T. (2019) ‘Impact of the NHS Stop Smoking Services on smoking prevalence in England: a simulation modelling evaluation’, </w:t>
      </w:r>
      <w:r w:rsidRPr="00444ED1">
        <w:rPr>
          <w:i/>
          <w:iCs/>
        </w:rPr>
        <w:t>Tobacco Control</w:t>
      </w:r>
      <w:r w:rsidRPr="00444ED1">
        <w:t>, 29(2), pp. 200-207.</w:t>
      </w:r>
    </w:p>
    <w:p w14:paraId="0003D604" w14:textId="77777777" w:rsidR="00444ED1" w:rsidRPr="00444ED1" w:rsidRDefault="00444ED1" w:rsidP="00444ED1">
      <w:pPr>
        <w:spacing w:after="40"/>
      </w:pPr>
      <w:proofErr w:type="spellStart"/>
      <w:r w:rsidRPr="00444ED1">
        <w:t>Theodoulou</w:t>
      </w:r>
      <w:proofErr w:type="spellEnd"/>
      <w:r w:rsidRPr="00444ED1">
        <w:t xml:space="preserve">, A., </w:t>
      </w:r>
      <w:proofErr w:type="spellStart"/>
      <w:r w:rsidRPr="00444ED1">
        <w:t>Chepkin</w:t>
      </w:r>
      <w:proofErr w:type="spellEnd"/>
      <w:r w:rsidRPr="00444ED1">
        <w:t xml:space="preserve">, S.C., Taylor, A., Livingstone-Banks, J., Hajizadeh, A., </w:t>
      </w:r>
      <w:proofErr w:type="spellStart"/>
      <w:r w:rsidRPr="00444ED1">
        <w:t>Lindson</w:t>
      </w:r>
      <w:proofErr w:type="spellEnd"/>
      <w:r w:rsidRPr="00444ED1">
        <w:t xml:space="preserve">, N. and Hartmann-Boyce, J. (2023) ‘Different doses, durations and modes of delivery of nicotine replacement therapy for smoking cessation’, </w:t>
      </w:r>
      <w:r w:rsidRPr="00444ED1">
        <w:rPr>
          <w:i/>
          <w:iCs/>
        </w:rPr>
        <w:t>Cochrane Database of Systematic Reviews</w:t>
      </w:r>
      <w:r w:rsidRPr="00444ED1">
        <w:t>, 6, CD013308.</w:t>
      </w:r>
    </w:p>
    <w:p w14:paraId="2E35F9C6" w14:textId="77777777" w:rsidR="00444ED1" w:rsidRPr="00444ED1" w:rsidRDefault="00444ED1" w:rsidP="00444ED1">
      <w:pPr>
        <w:spacing w:after="40"/>
      </w:pPr>
      <w:proofErr w:type="spellStart"/>
      <w:r w:rsidRPr="00444ED1">
        <w:t>Tsoh</w:t>
      </w:r>
      <w:proofErr w:type="spellEnd"/>
      <w:r w:rsidRPr="00444ED1">
        <w:t xml:space="preserve">, J.Y., Hessler, D., Parra, J.R., Bowyer, V., Lugtu, K. and Potter, M.B. (2022) ‘Addressing tobacco use in the context of complex social needs: a new conceptual </w:t>
      </w:r>
      <w:r w:rsidRPr="00444ED1">
        <w:lastRenderedPageBreak/>
        <w:t xml:space="preserve">framework and approach to address smoking cessation in community health centers’, </w:t>
      </w:r>
      <w:r w:rsidRPr="00444ED1">
        <w:rPr>
          <w:i/>
          <w:iCs/>
        </w:rPr>
        <w:t>PEC Innovation</w:t>
      </w:r>
      <w:r w:rsidRPr="00444ED1">
        <w:t>, 1, 100011.</w:t>
      </w:r>
    </w:p>
    <w:p w14:paraId="67BBDBBF" w14:textId="77777777" w:rsidR="00444ED1" w:rsidRPr="00444ED1" w:rsidRDefault="00444ED1" w:rsidP="00444ED1">
      <w:pPr>
        <w:spacing w:after="40"/>
      </w:pPr>
      <w:r w:rsidRPr="00444ED1">
        <w:t xml:space="preserve">von Elm, E., Altman, D.G., Egger, M., Pocock, S.J., Gøtzsche, P.C. and Vandenbroucke, J.P. (2007) ‘The Strengthening the Reporting of Observational Studies in Epidemiology (STROBE) statement: guidelines for reporting observational studies’, </w:t>
      </w:r>
      <w:proofErr w:type="spellStart"/>
      <w:r w:rsidRPr="00444ED1">
        <w:rPr>
          <w:i/>
          <w:iCs/>
        </w:rPr>
        <w:t>PLoS</w:t>
      </w:r>
      <w:proofErr w:type="spellEnd"/>
      <w:r w:rsidRPr="00444ED1">
        <w:rPr>
          <w:i/>
          <w:iCs/>
        </w:rPr>
        <w:t xml:space="preserve"> Medicine</w:t>
      </w:r>
      <w:r w:rsidRPr="00444ED1">
        <w:t xml:space="preserve">, 4(10), e296. Available at: </w:t>
      </w:r>
      <w:hyperlink r:id="rId17" w:history="1">
        <w:r w:rsidRPr="00444ED1">
          <w:rPr>
            <w:rStyle w:val="Hyperlink"/>
          </w:rPr>
          <w:t>https://doi.org/10.1371/journal.pmed.0040296</w:t>
        </w:r>
      </w:hyperlink>
      <w:r w:rsidRPr="00444ED1">
        <w:t xml:space="preserve"> (Accessed: 18 March 2026).</w:t>
      </w:r>
    </w:p>
    <w:p w14:paraId="2CEA2C9B" w14:textId="77777777" w:rsidR="00444ED1" w:rsidRPr="00444ED1" w:rsidRDefault="00444ED1" w:rsidP="00444ED1">
      <w:pPr>
        <w:spacing w:after="40"/>
      </w:pPr>
      <w:r w:rsidRPr="00444ED1">
        <w:t xml:space="preserve">West, R. (2005) ‘Time for a change: putting the Transtheoretical (Stages of Change) Model to rest’, </w:t>
      </w:r>
      <w:r w:rsidRPr="00444ED1">
        <w:rPr>
          <w:i/>
          <w:iCs/>
        </w:rPr>
        <w:t>Addiction</w:t>
      </w:r>
      <w:r w:rsidRPr="00444ED1">
        <w:t>, 100(8), pp. 1036-1039.</w:t>
      </w:r>
    </w:p>
    <w:p w14:paraId="2EBDFBFE" w14:textId="77777777" w:rsidR="00444ED1" w:rsidRPr="00444ED1" w:rsidRDefault="00444ED1" w:rsidP="00444ED1">
      <w:pPr>
        <w:spacing w:after="40"/>
      </w:pPr>
      <w:r w:rsidRPr="00444ED1">
        <w:t xml:space="preserve">West, R., Hajek, P., Stead, L. and Stapleton, J. (2005) ‘Outcome criteria in smoking cessation trials: proposal for a common standard’, </w:t>
      </w:r>
      <w:r w:rsidRPr="00444ED1">
        <w:rPr>
          <w:i/>
          <w:iCs/>
        </w:rPr>
        <w:t>Addiction</w:t>
      </w:r>
      <w:r w:rsidRPr="00444ED1">
        <w:t>, 100(3), pp. 299-303.</w:t>
      </w:r>
    </w:p>
    <w:p w14:paraId="49791644" w14:textId="77777777" w:rsidR="00444ED1" w:rsidRPr="00444ED1" w:rsidRDefault="00444ED1" w:rsidP="00444ED1">
      <w:pPr>
        <w:spacing w:after="40"/>
      </w:pPr>
      <w:r w:rsidRPr="00444ED1">
        <w:t xml:space="preserve">World Health Organization (2024) </w:t>
      </w:r>
      <w:r w:rsidRPr="00444ED1">
        <w:rPr>
          <w:i/>
          <w:iCs/>
        </w:rPr>
        <w:t>WHO report on the global tobacco epidemic 2024: protect people from tobacco smoke</w:t>
      </w:r>
      <w:r w:rsidRPr="00444ED1">
        <w:t>. Geneva: World Health Organization.</w:t>
      </w:r>
    </w:p>
    <w:p w14:paraId="4558041F" w14:textId="77777777" w:rsidR="00420625" w:rsidRDefault="00444ED1" w:rsidP="00444ED1">
      <w:pPr>
        <w:spacing w:after="40"/>
      </w:pPr>
      <w:proofErr w:type="spellStart"/>
      <w:r w:rsidRPr="00444ED1">
        <w:t>Zulkiply</w:t>
      </w:r>
      <w:proofErr w:type="spellEnd"/>
      <w:r w:rsidRPr="00444ED1">
        <w:t xml:space="preserve">, S.H., Ramli, L.F., Fisal, Z.A.M., Tabassum, B. and Abdul Manaf, R. (2020) ‘Effectiveness of community health workers involvement in smoking cessation </w:t>
      </w:r>
      <w:proofErr w:type="spellStart"/>
      <w:r w:rsidRPr="00444ED1">
        <w:t>programme</w:t>
      </w:r>
      <w:proofErr w:type="spellEnd"/>
      <w:r w:rsidRPr="00444ED1">
        <w:t xml:space="preserve">: a systematic review’, </w:t>
      </w:r>
      <w:proofErr w:type="spellStart"/>
      <w:r w:rsidRPr="00444ED1">
        <w:rPr>
          <w:i/>
          <w:iCs/>
        </w:rPr>
        <w:t>PLoS</w:t>
      </w:r>
      <w:proofErr w:type="spellEnd"/>
      <w:r w:rsidRPr="00444ED1">
        <w:rPr>
          <w:i/>
          <w:iCs/>
        </w:rPr>
        <w:t xml:space="preserve"> ONE</w:t>
      </w:r>
      <w:r w:rsidRPr="00444ED1">
        <w:t>, 15(11), e0242691.</w:t>
      </w:r>
    </w:p>
    <w:sectPr w:rsidR="00420625" w:rsidSect="00034616">
      <w:pgSz w:w="12240" w:h="15840"/>
      <w:pgMar w:top="1008" w:right="1296" w:bottom="1008" w:left="129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0C3D7D"/>
    <w:multiLevelType w:val="hybridMultilevel"/>
    <w:tmpl w:val="6B2A9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62D227F"/>
    <w:multiLevelType w:val="hybridMultilevel"/>
    <w:tmpl w:val="5642B4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7A9375A"/>
    <w:multiLevelType w:val="hybridMultilevel"/>
    <w:tmpl w:val="D4A8E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8F5BDC"/>
    <w:multiLevelType w:val="hybridMultilevel"/>
    <w:tmpl w:val="22A6A0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9D3824"/>
    <w:multiLevelType w:val="hybridMultilevel"/>
    <w:tmpl w:val="0D304D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9106858">
    <w:abstractNumId w:val="8"/>
  </w:num>
  <w:num w:numId="2" w16cid:durableId="2027248999">
    <w:abstractNumId w:val="6"/>
  </w:num>
  <w:num w:numId="3" w16cid:durableId="1342051638">
    <w:abstractNumId w:val="5"/>
  </w:num>
  <w:num w:numId="4" w16cid:durableId="900094768">
    <w:abstractNumId w:val="4"/>
  </w:num>
  <w:num w:numId="5" w16cid:durableId="1374424278">
    <w:abstractNumId w:val="7"/>
  </w:num>
  <w:num w:numId="6" w16cid:durableId="1320619688">
    <w:abstractNumId w:val="3"/>
  </w:num>
  <w:num w:numId="7" w16cid:durableId="378556547">
    <w:abstractNumId w:val="2"/>
  </w:num>
  <w:num w:numId="8" w16cid:durableId="1719091260">
    <w:abstractNumId w:val="1"/>
  </w:num>
  <w:num w:numId="9" w16cid:durableId="1139810323">
    <w:abstractNumId w:val="0"/>
  </w:num>
  <w:num w:numId="10" w16cid:durableId="63988796">
    <w:abstractNumId w:val="11"/>
  </w:num>
  <w:num w:numId="11" w16cid:durableId="52824727">
    <w:abstractNumId w:val="10"/>
  </w:num>
  <w:num w:numId="12" w16cid:durableId="1763063618">
    <w:abstractNumId w:val="12"/>
  </w:num>
  <w:num w:numId="13" w16cid:durableId="724066780">
    <w:abstractNumId w:val="9"/>
  </w:num>
  <w:num w:numId="14" w16cid:durableId="5728625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5A4F"/>
    <w:rsid w:val="0015074B"/>
    <w:rsid w:val="002859AE"/>
    <w:rsid w:val="0029639D"/>
    <w:rsid w:val="002C1DE8"/>
    <w:rsid w:val="00316881"/>
    <w:rsid w:val="00326F90"/>
    <w:rsid w:val="00346A84"/>
    <w:rsid w:val="003D324D"/>
    <w:rsid w:val="00420625"/>
    <w:rsid w:val="00444ED1"/>
    <w:rsid w:val="004B7C44"/>
    <w:rsid w:val="004D044D"/>
    <w:rsid w:val="004F7B7C"/>
    <w:rsid w:val="005B09A8"/>
    <w:rsid w:val="00694434"/>
    <w:rsid w:val="00767AB8"/>
    <w:rsid w:val="007A66C4"/>
    <w:rsid w:val="008131FF"/>
    <w:rsid w:val="008E5F19"/>
    <w:rsid w:val="00A85F9C"/>
    <w:rsid w:val="00AA1D8D"/>
    <w:rsid w:val="00B47730"/>
    <w:rsid w:val="00C14E42"/>
    <w:rsid w:val="00C61B02"/>
    <w:rsid w:val="00CB0664"/>
    <w:rsid w:val="00CD6CCC"/>
    <w:rsid w:val="00CD70E6"/>
    <w:rsid w:val="00D95977"/>
    <w:rsid w:val="00E76467"/>
    <w:rsid w:val="00F06A05"/>
    <w:rsid w:val="00FC3DA9"/>
    <w:rsid w:val="00FC693F"/>
    <w:rsid w:val="00FD004D"/>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71927D"/>
  <w14:defaultImageDpi w14:val="300"/>
  <w15:docId w15:val="{6E24BE42-5EFE-4981-B560-1867EFD38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0E6"/>
    <w:pPr>
      <w:spacing w:line="360" w:lineRule="auto"/>
      <w:jc w:val="both"/>
    </w:pPr>
    <w:rPr>
      <w:rFonts w:ascii="Arial" w:eastAsia="Arial" w:hAnsi="Arial"/>
      <w:sz w:val="24"/>
    </w:rPr>
  </w:style>
  <w:style w:type="paragraph" w:styleId="Heading1">
    <w:name w:val="heading 1"/>
    <w:basedOn w:val="Normal"/>
    <w:next w:val="Normal"/>
    <w:link w:val="Heading1Char"/>
    <w:uiPriority w:val="9"/>
    <w:qFormat/>
    <w:rsid w:val="00CD70E6"/>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D70E6"/>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CD70E6"/>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D70E6"/>
    <w:rPr>
      <w:rFonts w:ascii="Arial" w:eastAsiaTheme="majorEastAsia" w:hAnsi="Arial" w:cstheme="majorBidi"/>
      <w:b/>
      <w:bCs/>
      <w:color w:val="4F81BD" w:themeColor="accent1"/>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itleCustom">
    <w:name w:val="TitleCustom"/>
    <w:pPr>
      <w:spacing w:after="60"/>
    </w:pPr>
    <w:rPr>
      <w:rFonts w:ascii="Arial" w:eastAsia="Arial" w:hAnsi="Arial"/>
      <w:b/>
      <w:color w:val="1F4E79"/>
      <w:sz w:val="32"/>
    </w:rPr>
  </w:style>
  <w:style w:type="paragraph" w:customStyle="1" w:styleId="SubtitleCustom">
    <w:name w:val="SubtitleCustom"/>
    <w:pPr>
      <w:spacing w:after="60"/>
    </w:pPr>
    <w:rPr>
      <w:rFonts w:ascii="Arial" w:eastAsia="Arial" w:hAnsi="Arial"/>
      <w:color w:val="666666"/>
    </w:rPr>
  </w:style>
  <w:style w:type="paragraph" w:customStyle="1" w:styleId="Heading1Custom">
    <w:name w:val="Heading1Custom"/>
    <w:pPr>
      <w:spacing w:before="200" w:after="80"/>
    </w:pPr>
    <w:rPr>
      <w:rFonts w:ascii="Arial" w:eastAsia="Arial" w:hAnsi="Arial"/>
      <w:b/>
      <w:color w:val="1F4E79"/>
      <w:sz w:val="25"/>
    </w:rPr>
  </w:style>
  <w:style w:type="paragraph" w:customStyle="1" w:styleId="Heading2Custom">
    <w:name w:val="Heading2Custom"/>
    <w:pPr>
      <w:spacing w:before="200" w:after="80"/>
    </w:pPr>
    <w:rPr>
      <w:rFonts w:ascii="Arial" w:eastAsia="Arial" w:hAnsi="Arial"/>
      <w:b/>
      <w:color w:val="1F4E79"/>
    </w:rPr>
  </w:style>
  <w:style w:type="character" w:styleId="Hyperlink">
    <w:name w:val="Hyperlink"/>
    <w:basedOn w:val="DefaultParagraphFont"/>
    <w:uiPriority w:val="99"/>
    <w:unhideWhenUsed/>
    <w:rsid w:val="00CD70E6"/>
    <w:rPr>
      <w:color w:val="0000FF" w:themeColor="hyperlink"/>
      <w:u w:val="single"/>
    </w:rPr>
  </w:style>
  <w:style w:type="character" w:styleId="UnresolvedMention">
    <w:name w:val="Unresolved Mention"/>
    <w:basedOn w:val="DefaultParagraphFont"/>
    <w:uiPriority w:val="99"/>
    <w:semiHidden/>
    <w:unhideWhenUsed/>
    <w:rsid w:val="00CD70E6"/>
    <w:rPr>
      <w:color w:val="605E5C"/>
      <w:shd w:val="clear" w:color="auto" w:fill="E1DFDD"/>
    </w:rPr>
  </w:style>
  <w:style w:type="paragraph" w:styleId="TOC1">
    <w:name w:val="toc 1"/>
    <w:basedOn w:val="Normal"/>
    <w:next w:val="Normal"/>
    <w:autoRedefine/>
    <w:uiPriority w:val="39"/>
    <w:unhideWhenUsed/>
    <w:rsid w:val="002859AE"/>
    <w:pPr>
      <w:spacing w:after="100"/>
    </w:pPr>
  </w:style>
  <w:style w:type="paragraph" w:styleId="TOC2">
    <w:name w:val="toc 2"/>
    <w:basedOn w:val="Normal"/>
    <w:next w:val="Normal"/>
    <w:autoRedefine/>
    <w:uiPriority w:val="39"/>
    <w:unhideWhenUsed/>
    <w:rsid w:val="002859A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757913920912436" TargetMode="External"/><Relationship Id="rId13" Type="http://schemas.openxmlformats.org/officeDocument/2006/relationships/hyperlink" Target="https://digital.nhs.uk/data-and-information/publications/statistical/statistics-on-nhs-stop-smoking-services-in-england/april-2024-to-march-2025-q4-annua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ciencedirect.com/science/article/pii/S2949875923000887?utm_source=chatgpt.com" TargetMode="External"/><Relationship Id="rId12" Type="http://schemas.openxmlformats.org/officeDocument/2006/relationships/hyperlink" Target="https://pubmed.ncbi.nlm.nih.gov/22025545/?utm_source=chatgpt.com" TargetMode="External"/><Relationship Id="rId17" Type="http://schemas.openxmlformats.org/officeDocument/2006/relationships/hyperlink" Target="https://doi.org/10.1371/journal.pmed.0040296" TargetMode="External"/><Relationship Id="rId2" Type="http://schemas.openxmlformats.org/officeDocument/2006/relationships/numbering" Target="numbering.xml"/><Relationship Id="rId16" Type="http://schemas.openxmlformats.org/officeDocument/2006/relationships/hyperlink" Target="https://link.springer.com/article/10.1186/s12889-023-15900-8?utm_source=chatgpt.com" TargetMode="External"/><Relationship Id="rId1" Type="http://schemas.openxmlformats.org/officeDocument/2006/relationships/customXml" Target="../customXml/item1.xml"/><Relationship Id="rId6" Type="http://schemas.openxmlformats.org/officeDocument/2006/relationships/hyperlink" Target="https://www.sciencedirect.com/science/article/pii/S2949875923000887" TargetMode="External"/><Relationship Id="rId11" Type="http://schemas.openxmlformats.org/officeDocument/2006/relationships/hyperlink" Target="https://doi.org/10.1093/ntr/ntr137" TargetMode="External"/><Relationship Id="rId5" Type="http://schemas.openxmlformats.org/officeDocument/2006/relationships/webSettings" Target="webSettings.xml"/><Relationship Id="rId15" Type="http://schemas.openxmlformats.org/officeDocument/2006/relationships/hyperlink" Target="https://doi.org/10.1186/s12889-023-15900-8" TargetMode="External"/><Relationship Id="rId10" Type="http://schemas.openxmlformats.org/officeDocument/2006/relationships/hyperlink" Target="https://www.gov.uk/government/publications/smoking-and-tobacco-applying-all-our-health/smoking-and-tobacco-applying-all-our-health"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journals.sagepub.com/doi/10.1177/1757913920912436?utm_source=chatgpt.com" TargetMode="External"/><Relationship Id="rId14" Type="http://schemas.openxmlformats.org/officeDocument/2006/relationships/hyperlink" Target="https://www.ons.gov.uk/peoplepopulationandcommunity/healthandsocialcare/healthandlifeexpectancies/bulletins/adultsmokinghabitsingreatbritain/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3704</Words>
  <Characters>21118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24773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USER</cp:lastModifiedBy>
  <cp:revision>4</cp:revision>
  <dcterms:created xsi:type="dcterms:W3CDTF">2026-03-24T04:00:00Z</dcterms:created>
  <dcterms:modified xsi:type="dcterms:W3CDTF">2026-03-24T06:17:00Z</dcterms:modified>
  <cp:category/>
</cp:coreProperties>
</file>