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A9BA04" w14:textId="77777777" w:rsidR="006C2E9C" w:rsidRDefault="006C2E9C">
      <w:pPr>
        <w:jc w:val="center"/>
        <w:rPr>
          <w:b/>
          <w:color w:val="222222"/>
          <w:sz w:val="32"/>
          <w:szCs w:val="32"/>
          <w:highlight w:val="white"/>
        </w:rPr>
      </w:pPr>
    </w:p>
    <w:p w14:paraId="5DBD1C18" w14:textId="77777777" w:rsidR="00C445B5" w:rsidRPr="00C445B5" w:rsidRDefault="00C445B5" w:rsidP="00C445B5">
      <w:pPr>
        <w:spacing w:before="200" w:after="0"/>
      </w:pPr>
    </w:p>
    <w:p w14:paraId="3AEBB3C3" w14:textId="77777777" w:rsidR="00C445B5" w:rsidRPr="00C445B5" w:rsidRDefault="00C445B5" w:rsidP="00C445B5">
      <w:pPr>
        <w:spacing w:before="200" w:after="0"/>
        <w:jc w:val="center"/>
        <w:rPr>
          <w:b/>
          <w:bCs/>
          <w:sz w:val="32"/>
          <w:szCs w:val="32"/>
        </w:rPr>
      </w:pPr>
      <w:r w:rsidRPr="00C445B5">
        <w:rPr>
          <w:b/>
          <w:bCs/>
          <w:sz w:val="32"/>
          <w:szCs w:val="32"/>
        </w:rPr>
        <w:t>School of Hospitality &amp; Tourism Management</w:t>
      </w:r>
    </w:p>
    <w:p w14:paraId="7F5C2105" w14:textId="77777777" w:rsidR="00C445B5" w:rsidRPr="00C445B5" w:rsidRDefault="00C445B5" w:rsidP="00C445B5">
      <w:pPr>
        <w:spacing w:before="200" w:after="0"/>
        <w:jc w:val="center"/>
        <w:rPr>
          <w:b/>
          <w:bCs/>
          <w:sz w:val="36"/>
          <w:szCs w:val="36"/>
        </w:rPr>
      </w:pPr>
      <w:r w:rsidRPr="00C445B5">
        <w:rPr>
          <w:b/>
          <w:bCs/>
          <w:sz w:val="36"/>
          <w:szCs w:val="36"/>
        </w:rPr>
        <w:t>BA International Hotel Management</w:t>
      </w:r>
    </w:p>
    <w:p w14:paraId="19E0B5C7" w14:textId="77777777" w:rsidR="00C445B5" w:rsidRPr="00C445B5" w:rsidRDefault="00C445B5" w:rsidP="00C445B5">
      <w:pPr>
        <w:spacing w:before="200" w:after="0"/>
        <w:jc w:val="center"/>
        <w:rPr>
          <w:b/>
          <w:bCs/>
          <w:sz w:val="32"/>
          <w:szCs w:val="32"/>
        </w:rPr>
      </w:pPr>
      <w:r w:rsidRPr="00C445B5">
        <w:rPr>
          <w:b/>
          <w:bCs/>
          <w:sz w:val="32"/>
          <w:szCs w:val="32"/>
        </w:rPr>
        <w:t>BMIH5007</w:t>
      </w:r>
    </w:p>
    <w:p w14:paraId="5CAA5FDE" w14:textId="77777777" w:rsidR="00C445B5" w:rsidRPr="00C445B5" w:rsidRDefault="00C445B5" w:rsidP="00C445B5">
      <w:pPr>
        <w:spacing w:before="200" w:after="0"/>
        <w:jc w:val="center"/>
        <w:rPr>
          <w:b/>
          <w:bCs/>
          <w:sz w:val="32"/>
          <w:szCs w:val="32"/>
        </w:rPr>
      </w:pPr>
      <w:r w:rsidRPr="00C445B5">
        <w:rPr>
          <w:b/>
          <w:bCs/>
          <w:sz w:val="32"/>
          <w:szCs w:val="32"/>
        </w:rPr>
        <w:t>Financial Management for the Hotel Industry</w:t>
      </w:r>
    </w:p>
    <w:p w14:paraId="0F2CB9EB" w14:textId="77777777" w:rsidR="00C445B5" w:rsidRPr="00C445B5" w:rsidRDefault="00C445B5" w:rsidP="00C445B5">
      <w:pPr>
        <w:spacing w:before="200" w:after="0"/>
        <w:jc w:val="center"/>
        <w:rPr>
          <w:b/>
          <w:bCs/>
          <w:sz w:val="32"/>
          <w:szCs w:val="32"/>
        </w:rPr>
      </w:pPr>
      <w:r w:rsidRPr="00C445B5">
        <w:rPr>
          <w:b/>
          <w:bCs/>
          <w:sz w:val="32"/>
          <w:szCs w:val="32"/>
        </w:rPr>
        <w:t>LEVEL 5</w:t>
      </w:r>
    </w:p>
    <w:p w14:paraId="11579B06" w14:textId="77777777" w:rsidR="00DE6957" w:rsidRDefault="00DE6957" w:rsidP="00C445B5">
      <w:pPr>
        <w:rPr>
          <w:b/>
          <w:color w:val="222222"/>
          <w:sz w:val="32"/>
          <w:szCs w:val="32"/>
          <w:highlight w:val="white"/>
        </w:rPr>
      </w:pPr>
    </w:p>
    <w:p w14:paraId="66EFA514" w14:textId="77777777" w:rsidR="00DE6957" w:rsidRDefault="00DE6957" w:rsidP="00885330">
      <w:pPr>
        <w:jc w:val="center"/>
        <w:rPr>
          <w:b/>
          <w:color w:val="222222"/>
          <w:sz w:val="32"/>
          <w:szCs w:val="32"/>
          <w:highlight w:val="white"/>
        </w:rPr>
      </w:pPr>
    </w:p>
    <w:p w14:paraId="2D03C059" w14:textId="77777777" w:rsidR="00C445B5" w:rsidRDefault="00DE6957" w:rsidP="00885330">
      <w:pPr>
        <w:jc w:val="center"/>
        <w:rPr>
          <w:b/>
          <w:color w:val="222222"/>
          <w:sz w:val="32"/>
          <w:szCs w:val="32"/>
        </w:rPr>
      </w:pPr>
      <w:r>
        <w:rPr>
          <w:b/>
          <w:color w:val="222222"/>
          <w:sz w:val="32"/>
          <w:szCs w:val="32"/>
          <w:highlight w:val="white"/>
        </w:rPr>
        <w:t>FINANCIAL MANAGEMENT FOR THE HOTEL INDUSTRY ASSESSMENT 2</w:t>
      </w:r>
    </w:p>
    <w:p w14:paraId="394C0B82" w14:textId="77777777" w:rsidR="00C445B5" w:rsidRDefault="00C445B5" w:rsidP="00885330">
      <w:pPr>
        <w:jc w:val="center"/>
      </w:pPr>
    </w:p>
    <w:p w14:paraId="1981D35E" w14:textId="77777777" w:rsidR="00C445B5" w:rsidRDefault="00C445B5" w:rsidP="00885330">
      <w:pPr>
        <w:jc w:val="center"/>
      </w:pPr>
    </w:p>
    <w:p w14:paraId="3A2C3EA5" w14:textId="77777777" w:rsidR="00C445B5" w:rsidRDefault="00C445B5" w:rsidP="00885330">
      <w:pPr>
        <w:jc w:val="center"/>
      </w:pPr>
    </w:p>
    <w:p w14:paraId="206B8A44" w14:textId="77777777" w:rsidR="00C445B5" w:rsidRDefault="00C445B5" w:rsidP="00885330">
      <w:pPr>
        <w:jc w:val="center"/>
      </w:pPr>
    </w:p>
    <w:p w14:paraId="2B4DF931" w14:textId="77777777" w:rsidR="00C445B5" w:rsidRDefault="00C445B5" w:rsidP="00885330">
      <w:pPr>
        <w:jc w:val="center"/>
      </w:pPr>
    </w:p>
    <w:p w14:paraId="253D2925" w14:textId="0C832760" w:rsidR="00C445B5" w:rsidRPr="00C445B5" w:rsidRDefault="00C445B5" w:rsidP="00C445B5">
      <w:pPr>
        <w:jc w:val="right"/>
        <w:rPr>
          <w:b/>
          <w:bCs/>
          <w:sz w:val="28"/>
          <w:szCs w:val="28"/>
        </w:rPr>
      </w:pPr>
      <w:r w:rsidRPr="00C445B5">
        <w:rPr>
          <w:b/>
          <w:bCs/>
          <w:sz w:val="28"/>
          <w:szCs w:val="28"/>
        </w:rPr>
        <w:t>Lecturer: Tristan Hawkins</w:t>
      </w:r>
      <w:r>
        <w:rPr>
          <w:b/>
          <w:bCs/>
          <w:sz w:val="28"/>
          <w:szCs w:val="28"/>
        </w:rPr>
        <w:t xml:space="preserve">, </w:t>
      </w:r>
      <w:r w:rsidRPr="00C445B5">
        <w:rPr>
          <w:b/>
          <w:bCs/>
          <w:sz w:val="28"/>
          <w:szCs w:val="28"/>
        </w:rPr>
        <w:t>Kathryn Roberts</w:t>
      </w:r>
    </w:p>
    <w:p w14:paraId="2083B3FB" w14:textId="103EF265" w:rsidR="006C2E9C" w:rsidRDefault="00C445B5" w:rsidP="00C445B5">
      <w:pPr>
        <w:jc w:val="right"/>
        <w:rPr>
          <w:b/>
          <w:color w:val="222222"/>
          <w:sz w:val="32"/>
          <w:szCs w:val="32"/>
          <w:highlight w:val="white"/>
        </w:rPr>
      </w:pPr>
      <w:r w:rsidRPr="00C445B5">
        <w:rPr>
          <w:b/>
          <w:bCs/>
          <w:sz w:val="28"/>
          <w:szCs w:val="28"/>
        </w:rPr>
        <w:t>Student</w:t>
      </w:r>
      <w:r w:rsidRPr="00C445B5">
        <w:rPr>
          <w:b/>
          <w:bCs/>
        </w:rPr>
        <w:t>: 2242685 Olga Brinza</w:t>
      </w:r>
      <w:r w:rsidR="00DE6957">
        <w:br w:type="page"/>
      </w:r>
    </w:p>
    <w:p w14:paraId="779C6AD7" w14:textId="77777777" w:rsidR="006C2E9C" w:rsidRDefault="00000000" w:rsidP="00885330">
      <w:pPr>
        <w:spacing w:before="200"/>
        <w:jc w:val="center"/>
        <w:rPr>
          <w:b/>
          <w:sz w:val="28"/>
          <w:szCs w:val="28"/>
        </w:rPr>
      </w:pPr>
      <w:r>
        <w:rPr>
          <w:b/>
          <w:sz w:val="28"/>
          <w:szCs w:val="28"/>
        </w:rPr>
        <w:lastRenderedPageBreak/>
        <w:t>Executive Summary</w:t>
      </w:r>
    </w:p>
    <w:p w14:paraId="46BB9EF5" w14:textId="3950827C" w:rsidR="006C2E9C" w:rsidRDefault="00000000" w:rsidP="00885330">
      <w:r>
        <w:t xml:space="preserve">The income statement analysis of the </w:t>
      </w:r>
      <w:r w:rsidR="00DB3853">
        <w:t>City Hotel</w:t>
      </w:r>
      <w:r>
        <w:t xml:space="preserve"> has found that the company has faced financial distress. Their revenue was significantly low in 2023 which declined their profit margin and caused the high debt in the market. The key factors impacting the </w:t>
      </w:r>
      <w:r w:rsidR="00DB3853">
        <w:t>City Hotel</w:t>
      </w:r>
      <w:r>
        <w:t xml:space="preserve">'s financial performance include inflation, economic uncertainty, changing market trends, labour shortages and many more. Amid all these issues, the hotel's very survival relies on its strategic readjustments to cope with changing industry scenarios. </w:t>
      </w:r>
      <w:r w:rsidR="008B26EC" w:rsidRPr="008B26EC">
        <w:t xml:space="preserve">The </w:t>
      </w:r>
      <w:r w:rsidR="00DB3853">
        <w:t>City Hotel</w:t>
      </w:r>
      <w:r w:rsidR="008B26EC" w:rsidRPr="008B26EC">
        <w:t xml:space="preserve"> can improve its operational capacity to face market problems such as rivalry and inflation by increasing operating capacity, marketing, and technological development. Through the scale of costs, digital marketing, and government loans to invest in technology, the hotel can enhance its financial standing and sustainable competitiveness in the hospitality industry.</w:t>
      </w:r>
      <w:r w:rsidR="008B26EC">
        <w:t xml:space="preserve"> </w:t>
      </w:r>
      <w:r>
        <w:br w:type="page"/>
      </w:r>
    </w:p>
    <w:bookmarkStart w:id="0" w:name="_gjdgxs" w:colFirst="0" w:colLast="0" w:displacedByCustomXml="next"/>
    <w:bookmarkEnd w:id="0" w:displacedByCustomXml="next"/>
    <w:sdt>
      <w:sdtPr>
        <w:rPr>
          <w:rFonts w:ascii="Times New Roman" w:eastAsia="Times New Roman" w:hAnsi="Times New Roman" w:cs="Times New Roman"/>
          <w:color w:val="auto"/>
          <w:sz w:val="24"/>
          <w:szCs w:val="24"/>
          <w:lang w:val="en-GB" w:eastAsia="en-IN"/>
        </w:rPr>
        <w:id w:val="-2090539430"/>
        <w:docPartObj>
          <w:docPartGallery w:val="Table of Contents"/>
          <w:docPartUnique/>
        </w:docPartObj>
      </w:sdtPr>
      <w:sdtEndPr>
        <w:rPr>
          <w:b/>
          <w:bCs/>
          <w:noProof/>
        </w:rPr>
      </w:sdtEndPr>
      <w:sdtContent>
        <w:p w14:paraId="56240FC3" w14:textId="11D55F36" w:rsidR="001E3A35" w:rsidRDefault="001E3A35" w:rsidP="001E3A35">
          <w:pPr>
            <w:pStyle w:val="TOCHeading"/>
            <w:jc w:val="center"/>
            <w:rPr>
              <w:rFonts w:ascii="Times New Roman" w:hAnsi="Times New Roman" w:cs="Times New Roman"/>
              <w:b/>
              <w:bCs/>
              <w:color w:val="auto"/>
            </w:rPr>
          </w:pPr>
          <w:r w:rsidRPr="001E3A35">
            <w:rPr>
              <w:rFonts w:ascii="Times New Roman" w:hAnsi="Times New Roman" w:cs="Times New Roman"/>
              <w:b/>
              <w:bCs/>
              <w:color w:val="auto"/>
            </w:rPr>
            <w:t>Contents</w:t>
          </w:r>
        </w:p>
        <w:p w14:paraId="118E34BF" w14:textId="77777777" w:rsidR="001E3A35" w:rsidRPr="001E3A35" w:rsidRDefault="001E3A35" w:rsidP="001E3A35">
          <w:pPr>
            <w:rPr>
              <w:lang w:val="en-US" w:eastAsia="en-US"/>
            </w:rPr>
          </w:pPr>
        </w:p>
        <w:p w14:paraId="446C8E16" w14:textId="221AC4EC" w:rsidR="001E3A35" w:rsidRPr="001E3A35" w:rsidRDefault="001E3A35" w:rsidP="001E3A35">
          <w:pPr>
            <w:pStyle w:val="TOC1"/>
            <w:rPr>
              <w:rFonts w:asciiTheme="minorHAnsi" w:eastAsiaTheme="minorEastAsia" w:hAnsiTheme="minorHAnsi" w:cstheme="minorBidi"/>
              <w:kern w:val="2"/>
              <w:lang w:eastAsia="en-GB"/>
              <w14:ligatures w14:val="standardContextual"/>
            </w:rPr>
          </w:pPr>
          <w:r>
            <w:fldChar w:fldCharType="begin"/>
          </w:r>
          <w:r>
            <w:instrText xml:space="preserve"> TOC \o "1-3" \h \z \u </w:instrText>
          </w:r>
          <w:r>
            <w:fldChar w:fldCharType="separate"/>
          </w:r>
          <w:hyperlink w:anchor="_Toc182480101" w:history="1">
            <w:r w:rsidRPr="001E3A35">
              <w:rPr>
                <w:rStyle w:val="Hyperlink"/>
              </w:rPr>
              <w:t>Introduction</w:t>
            </w:r>
            <w:r w:rsidRPr="001E3A35">
              <w:rPr>
                <w:webHidden/>
              </w:rPr>
              <w:tab/>
            </w:r>
            <w:r w:rsidRPr="001E3A35">
              <w:rPr>
                <w:webHidden/>
              </w:rPr>
              <w:fldChar w:fldCharType="begin"/>
            </w:r>
            <w:r w:rsidRPr="001E3A35">
              <w:rPr>
                <w:webHidden/>
              </w:rPr>
              <w:instrText xml:space="preserve"> PAGEREF _Toc182480101 \h </w:instrText>
            </w:r>
            <w:r w:rsidRPr="001E3A35">
              <w:rPr>
                <w:webHidden/>
              </w:rPr>
            </w:r>
            <w:r w:rsidRPr="001E3A35">
              <w:rPr>
                <w:webHidden/>
              </w:rPr>
              <w:fldChar w:fldCharType="separate"/>
            </w:r>
            <w:r w:rsidR="001A0B8F">
              <w:rPr>
                <w:webHidden/>
              </w:rPr>
              <w:t>4</w:t>
            </w:r>
            <w:r w:rsidRPr="001E3A35">
              <w:rPr>
                <w:webHidden/>
              </w:rPr>
              <w:fldChar w:fldCharType="end"/>
            </w:r>
          </w:hyperlink>
        </w:p>
        <w:p w14:paraId="1393C86C" w14:textId="7B9D486B" w:rsidR="001E3A35" w:rsidRPr="001E3A35" w:rsidRDefault="001E3A35" w:rsidP="001E3A35">
          <w:pPr>
            <w:pStyle w:val="TOC1"/>
            <w:rPr>
              <w:rFonts w:asciiTheme="minorHAnsi" w:eastAsiaTheme="minorEastAsia" w:hAnsiTheme="minorHAnsi" w:cstheme="minorBidi"/>
              <w:kern w:val="2"/>
              <w:lang w:eastAsia="en-GB"/>
              <w14:ligatures w14:val="standardContextual"/>
            </w:rPr>
          </w:pPr>
          <w:hyperlink w:anchor="_Toc182480102" w:history="1">
            <w:r w:rsidRPr="001E3A35">
              <w:rPr>
                <w:rStyle w:val="Hyperlink"/>
              </w:rPr>
              <w:t>Trends and Patterns in the Hotel's Financial Performance in the past three years</w:t>
            </w:r>
            <w:r w:rsidRPr="001E3A35">
              <w:rPr>
                <w:webHidden/>
              </w:rPr>
              <w:tab/>
            </w:r>
            <w:r w:rsidRPr="001E3A35">
              <w:rPr>
                <w:webHidden/>
              </w:rPr>
              <w:fldChar w:fldCharType="begin"/>
            </w:r>
            <w:r w:rsidRPr="001E3A35">
              <w:rPr>
                <w:webHidden/>
              </w:rPr>
              <w:instrText xml:space="preserve"> PAGEREF _Toc182480102 \h </w:instrText>
            </w:r>
            <w:r w:rsidRPr="001E3A35">
              <w:rPr>
                <w:webHidden/>
              </w:rPr>
            </w:r>
            <w:r w:rsidRPr="001E3A35">
              <w:rPr>
                <w:webHidden/>
              </w:rPr>
              <w:fldChar w:fldCharType="separate"/>
            </w:r>
            <w:r w:rsidR="001A0B8F">
              <w:rPr>
                <w:webHidden/>
              </w:rPr>
              <w:t>4</w:t>
            </w:r>
            <w:r w:rsidRPr="001E3A35">
              <w:rPr>
                <w:webHidden/>
              </w:rPr>
              <w:fldChar w:fldCharType="end"/>
            </w:r>
          </w:hyperlink>
        </w:p>
        <w:p w14:paraId="277C9653" w14:textId="2671BD55" w:rsidR="001E3A35" w:rsidRPr="001E3A35" w:rsidRDefault="001E3A35" w:rsidP="001E3A35">
          <w:pPr>
            <w:pStyle w:val="TOC1"/>
            <w:rPr>
              <w:rFonts w:asciiTheme="minorHAnsi" w:eastAsiaTheme="minorEastAsia" w:hAnsiTheme="minorHAnsi" w:cstheme="minorBidi"/>
              <w:kern w:val="2"/>
              <w:lang w:eastAsia="en-GB"/>
              <w14:ligatures w14:val="standardContextual"/>
            </w:rPr>
          </w:pPr>
          <w:hyperlink w:anchor="_Toc182480103" w:history="1">
            <w:r w:rsidRPr="001E3A35">
              <w:rPr>
                <w:rStyle w:val="Hyperlink"/>
              </w:rPr>
              <w:t>Key reasons behind the decline in profitability, taking into consideration real-world events and the current economy.</w:t>
            </w:r>
            <w:r w:rsidRPr="001E3A35">
              <w:rPr>
                <w:webHidden/>
              </w:rPr>
              <w:tab/>
            </w:r>
            <w:r w:rsidRPr="001E3A35">
              <w:rPr>
                <w:webHidden/>
              </w:rPr>
              <w:fldChar w:fldCharType="begin"/>
            </w:r>
            <w:r w:rsidRPr="001E3A35">
              <w:rPr>
                <w:webHidden/>
              </w:rPr>
              <w:instrText xml:space="preserve"> PAGEREF _Toc182480103 \h </w:instrText>
            </w:r>
            <w:r w:rsidRPr="001E3A35">
              <w:rPr>
                <w:webHidden/>
              </w:rPr>
            </w:r>
            <w:r w:rsidRPr="001E3A35">
              <w:rPr>
                <w:webHidden/>
              </w:rPr>
              <w:fldChar w:fldCharType="separate"/>
            </w:r>
            <w:r w:rsidR="001A0B8F">
              <w:rPr>
                <w:webHidden/>
              </w:rPr>
              <w:t>10</w:t>
            </w:r>
            <w:r w:rsidRPr="001E3A35">
              <w:rPr>
                <w:webHidden/>
              </w:rPr>
              <w:fldChar w:fldCharType="end"/>
            </w:r>
          </w:hyperlink>
        </w:p>
        <w:p w14:paraId="719FC5BE" w14:textId="2B365D4B" w:rsidR="001E3A35" w:rsidRPr="001E3A35" w:rsidRDefault="001E3A35" w:rsidP="001E3A35">
          <w:pPr>
            <w:pStyle w:val="TOC1"/>
            <w:rPr>
              <w:rFonts w:asciiTheme="minorHAnsi" w:eastAsiaTheme="minorEastAsia" w:hAnsiTheme="minorHAnsi" w:cstheme="minorBidi"/>
              <w:kern w:val="2"/>
              <w:lang w:eastAsia="en-GB"/>
              <w14:ligatures w14:val="standardContextual"/>
            </w:rPr>
          </w:pPr>
          <w:hyperlink w:anchor="_Toc182480104" w:history="1">
            <w:r w:rsidRPr="001E3A35">
              <w:rPr>
                <w:rStyle w:val="Hyperlink"/>
              </w:rPr>
              <w:t>Turnaround strategy to recover the hotel’s financial health and restore its reputation, or the most viable financial outcome for the owner.</w:t>
            </w:r>
            <w:r w:rsidRPr="001E3A35">
              <w:rPr>
                <w:webHidden/>
              </w:rPr>
              <w:tab/>
            </w:r>
            <w:r w:rsidRPr="001E3A35">
              <w:rPr>
                <w:webHidden/>
              </w:rPr>
              <w:fldChar w:fldCharType="begin"/>
            </w:r>
            <w:r w:rsidRPr="001E3A35">
              <w:rPr>
                <w:webHidden/>
              </w:rPr>
              <w:instrText xml:space="preserve"> PAGEREF _Toc182480104 \h </w:instrText>
            </w:r>
            <w:r w:rsidRPr="001E3A35">
              <w:rPr>
                <w:webHidden/>
              </w:rPr>
            </w:r>
            <w:r w:rsidRPr="001E3A35">
              <w:rPr>
                <w:webHidden/>
              </w:rPr>
              <w:fldChar w:fldCharType="separate"/>
            </w:r>
            <w:r w:rsidR="001A0B8F">
              <w:rPr>
                <w:webHidden/>
              </w:rPr>
              <w:t>12</w:t>
            </w:r>
            <w:r w:rsidRPr="001E3A35">
              <w:rPr>
                <w:webHidden/>
              </w:rPr>
              <w:fldChar w:fldCharType="end"/>
            </w:r>
          </w:hyperlink>
        </w:p>
        <w:p w14:paraId="1971F0D4" w14:textId="7616E453" w:rsidR="001E3A35" w:rsidRPr="001E3A35" w:rsidRDefault="001E3A35" w:rsidP="001E3A35">
          <w:pPr>
            <w:pStyle w:val="TOC2"/>
            <w:tabs>
              <w:tab w:val="right" w:leader="dot" w:pos="9019"/>
            </w:tabs>
            <w:ind w:left="0"/>
            <w:rPr>
              <w:rFonts w:asciiTheme="minorHAnsi" w:eastAsiaTheme="minorEastAsia" w:hAnsiTheme="minorHAnsi" w:cstheme="minorBidi"/>
              <w:b/>
              <w:bCs/>
              <w:noProof/>
              <w:kern w:val="2"/>
              <w:lang w:eastAsia="en-GB"/>
              <w14:ligatures w14:val="standardContextual"/>
            </w:rPr>
          </w:pPr>
          <w:hyperlink w:anchor="_Toc182480105" w:history="1">
            <w:r w:rsidRPr="001E3A35">
              <w:rPr>
                <w:rStyle w:val="Hyperlink"/>
                <w:b/>
                <w:bCs/>
                <w:noProof/>
              </w:rPr>
              <w:t>Risk Management Analysis</w:t>
            </w:r>
            <w:r w:rsidRPr="001E3A35">
              <w:rPr>
                <w:b/>
                <w:bCs/>
                <w:noProof/>
                <w:webHidden/>
              </w:rPr>
              <w:tab/>
            </w:r>
            <w:r w:rsidRPr="001E3A35">
              <w:rPr>
                <w:b/>
                <w:bCs/>
                <w:noProof/>
                <w:webHidden/>
              </w:rPr>
              <w:fldChar w:fldCharType="begin"/>
            </w:r>
            <w:r w:rsidRPr="001E3A35">
              <w:rPr>
                <w:b/>
                <w:bCs/>
                <w:noProof/>
                <w:webHidden/>
              </w:rPr>
              <w:instrText xml:space="preserve"> PAGEREF _Toc182480105 \h </w:instrText>
            </w:r>
            <w:r w:rsidRPr="001E3A35">
              <w:rPr>
                <w:b/>
                <w:bCs/>
                <w:noProof/>
                <w:webHidden/>
              </w:rPr>
            </w:r>
            <w:r w:rsidRPr="001E3A35">
              <w:rPr>
                <w:b/>
                <w:bCs/>
                <w:noProof/>
                <w:webHidden/>
              </w:rPr>
              <w:fldChar w:fldCharType="separate"/>
            </w:r>
            <w:r w:rsidR="001A0B8F">
              <w:rPr>
                <w:b/>
                <w:bCs/>
                <w:noProof/>
                <w:webHidden/>
              </w:rPr>
              <w:t>13</w:t>
            </w:r>
            <w:r w:rsidRPr="001E3A35">
              <w:rPr>
                <w:b/>
                <w:bCs/>
                <w:noProof/>
                <w:webHidden/>
              </w:rPr>
              <w:fldChar w:fldCharType="end"/>
            </w:r>
          </w:hyperlink>
        </w:p>
        <w:p w14:paraId="4330B095" w14:textId="0B32E5BC" w:rsidR="001E3A35" w:rsidRPr="001E3A35" w:rsidRDefault="001E3A35" w:rsidP="001E3A35">
          <w:pPr>
            <w:pStyle w:val="TOC1"/>
            <w:rPr>
              <w:rFonts w:asciiTheme="minorHAnsi" w:eastAsiaTheme="minorEastAsia" w:hAnsiTheme="minorHAnsi" w:cstheme="minorBidi"/>
              <w:kern w:val="2"/>
              <w:lang w:eastAsia="en-GB"/>
              <w14:ligatures w14:val="standardContextual"/>
            </w:rPr>
          </w:pPr>
          <w:hyperlink w:anchor="_Toc182480106" w:history="1">
            <w:r w:rsidRPr="001E3A35">
              <w:rPr>
                <w:rStyle w:val="Hyperlink"/>
              </w:rPr>
              <w:t>Risk register and management plan</w:t>
            </w:r>
            <w:r w:rsidRPr="001E3A35">
              <w:rPr>
                <w:webHidden/>
              </w:rPr>
              <w:tab/>
            </w:r>
            <w:r w:rsidRPr="001E3A35">
              <w:rPr>
                <w:webHidden/>
              </w:rPr>
              <w:fldChar w:fldCharType="begin"/>
            </w:r>
            <w:r w:rsidRPr="001E3A35">
              <w:rPr>
                <w:webHidden/>
              </w:rPr>
              <w:instrText xml:space="preserve"> PAGEREF _Toc182480106 \h </w:instrText>
            </w:r>
            <w:r w:rsidRPr="001E3A35">
              <w:rPr>
                <w:webHidden/>
              </w:rPr>
            </w:r>
            <w:r w:rsidRPr="001E3A35">
              <w:rPr>
                <w:webHidden/>
              </w:rPr>
              <w:fldChar w:fldCharType="separate"/>
            </w:r>
            <w:r w:rsidR="001A0B8F">
              <w:rPr>
                <w:webHidden/>
              </w:rPr>
              <w:t>13</w:t>
            </w:r>
            <w:r w:rsidRPr="001E3A35">
              <w:rPr>
                <w:webHidden/>
              </w:rPr>
              <w:fldChar w:fldCharType="end"/>
            </w:r>
          </w:hyperlink>
        </w:p>
        <w:p w14:paraId="3DF32D7B" w14:textId="08C59B11" w:rsidR="001E3A35" w:rsidRPr="001E3A35" w:rsidRDefault="001E3A35" w:rsidP="001E3A35">
          <w:pPr>
            <w:pStyle w:val="TOC1"/>
            <w:rPr>
              <w:rFonts w:asciiTheme="minorHAnsi" w:eastAsiaTheme="minorEastAsia" w:hAnsiTheme="minorHAnsi" w:cstheme="minorBidi"/>
              <w:kern w:val="2"/>
              <w:lang w:eastAsia="en-GB"/>
              <w14:ligatures w14:val="standardContextual"/>
            </w:rPr>
          </w:pPr>
          <w:hyperlink w:anchor="_Toc182480107" w:history="1">
            <w:r w:rsidRPr="001E3A35">
              <w:rPr>
                <w:rStyle w:val="Hyperlink"/>
              </w:rPr>
              <w:t>Conclusion</w:t>
            </w:r>
            <w:r w:rsidRPr="001E3A35">
              <w:rPr>
                <w:webHidden/>
              </w:rPr>
              <w:tab/>
            </w:r>
            <w:r w:rsidRPr="001E3A35">
              <w:rPr>
                <w:webHidden/>
              </w:rPr>
              <w:fldChar w:fldCharType="begin"/>
            </w:r>
            <w:r w:rsidRPr="001E3A35">
              <w:rPr>
                <w:webHidden/>
              </w:rPr>
              <w:instrText xml:space="preserve"> PAGEREF _Toc182480107 \h </w:instrText>
            </w:r>
            <w:r w:rsidRPr="001E3A35">
              <w:rPr>
                <w:webHidden/>
              </w:rPr>
            </w:r>
            <w:r w:rsidRPr="001E3A35">
              <w:rPr>
                <w:webHidden/>
              </w:rPr>
              <w:fldChar w:fldCharType="separate"/>
            </w:r>
            <w:r w:rsidR="001A0B8F">
              <w:rPr>
                <w:webHidden/>
              </w:rPr>
              <w:t>16</w:t>
            </w:r>
            <w:r w:rsidRPr="001E3A35">
              <w:rPr>
                <w:webHidden/>
              </w:rPr>
              <w:fldChar w:fldCharType="end"/>
            </w:r>
          </w:hyperlink>
        </w:p>
        <w:p w14:paraId="352489FF" w14:textId="71093251" w:rsidR="001E3A35" w:rsidRPr="001E3A35" w:rsidRDefault="001E3A35" w:rsidP="001E3A35">
          <w:pPr>
            <w:pStyle w:val="TOC2"/>
            <w:tabs>
              <w:tab w:val="right" w:leader="dot" w:pos="9019"/>
            </w:tabs>
            <w:ind w:left="0"/>
            <w:rPr>
              <w:rFonts w:asciiTheme="minorHAnsi" w:eastAsiaTheme="minorEastAsia" w:hAnsiTheme="minorHAnsi" w:cstheme="minorBidi"/>
              <w:b/>
              <w:bCs/>
              <w:noProof/>
              <w:kern w:val="2"/>
              <w:lang w:eastAsia="en-GB"/>
              <w14:ligatures w14:val="standardContextual"/>
            </w:rPr>
          </w:pPr>
          <w:hyperlink w:anchor="_Toc182480108" w:history="1">
            <w:r w:rsidRPr="001E3A35">
              <w:rPr>
                <w:rStyle w:val="Hyperlink"/>
                <w:b/>
                <w:bCs/>
                <w:noProof/>
              </w:rPr>
              <w:t>Recommendations</w:t>
            </w:r>
            <w:r w:rsidRPr="001E3A35">
              <w:rPr>
                <w:b/>
                <w:bCs/>
                <w:noProof/>
                <w:webHidden/>
              </w:rPr>
              <w:tab/>
            </w:r>
            <w:r w:rsidRPr="001E3A35">
              <w:rPr>
                <w:b/>
                <w:bCs/>
                <w:noProof/>
                <w:webHidden/>
              </w:rPr>
              <w:fldChar w:fldCharType="begin"/>
            </w:r>
            <w:r w:rsidRPr="001E3A35">
              <w:rPr>
                <w:b/>
                <w:bCs/>
                <w:noProof/>
                <w:webHidden/>
              </w:rPr>
              <w:instrText xml:space="preserve"> PAGEREF _Toc182480108 \h </w:instrText>
            </w:r>
            <w:r w:rsidRPr="001E3A35">
              <w:rPr>
                <w:b/>
                <w:bCs/>
                <w:noProof/>
                <w:webHidden/>
              </w:rPr>
            </w:r>
            <w:r w:rsidRPr="001E3A35">
              <w:rPr>
                <w:b/>
                <w:bCs/>
                <w:noProof/>
                <w:webHidden/>
              </w:rPr>
              <w:fldChar w:fldCharType="separate"/>
            </w:r>
            <w:r w:rsidR="001A0B8F">
              <w:rPr>
                <w:b/>
                <w:bCs/>
                <w:noProof/>
                <w:webHidden/>
              </w:rPr>
              <w:t>16</w:t>
            </w:r>
            <w:r w:rsidRPr="001E3A35">
              <w:rPr>
                <w:b/>
                <w:bCs/>
                <w:noProof/>
                <w:webHidden/>
              </w:rPr>
              <w:fldChar w:fldCharType="end"/>
            </w:r>
          </w:hyperlink>
        </w:p>
        <w:p w14:paraId="55CECBF5" w14:textId="2A7AB400" w:rsidR="001E3A35" w:rsidRDefault="001E3A35" w:rsidP="001E3A35">
          <w:pPr>
            <w:pStyle w:val="TOC1"/>
            <w:rPr>
              <w:rFonts w:asciiTheme="minorHAnsi" w:eastAsiaTheme="minorEastAsia" w:hAnsiTheme="minorHAnsi" w:cstheme="minorBidi"/>
              <w:kern w:val="2"/>
              <w:lang w:eastAsia="en-GB"/>
              <w14:ligatures w14:val="standardContextual"/>
            </w:rPr>
          </w:pPr>
          <w:hyperlink w:anchor="_Toc182480109" w:history="1">
            <w:r w:rsidRPr="00774831">
              <w:rPr>
                <w:rStyle w:val="Hyperlink"/>
              </w:rPr>
              <w:t>Reference List</w:t>
            </w:r>
            <w:r>
              <w:rPr>
                <w:webHidden/>
              </w:rPr>
              <w:tab/>
            </w:r>
            <w:r>
              <w:rPr>
                <w:webHidden/>
              </w:rPr>
              <w:fldChar w:fldCharType="begin"/>
            </w:r>
            <w:r>
              <w:rPr>
                <w:webHidden/>
              </w:rPr>
              <w:instrText xml:space="preserve"> PAGEREF _Toc182480109 \h </w:instrText>
            </w:r>
            <w:r>
              <w:rPr>
                <w:webHidden/>
              </w:rPr>
            </w:r>
            <w:r>
              <w:rPr>
                <w:webHidden/>
              </w:rPr>
              <w:fldChar w:fldCharType="separate"/>
            </w:r>
            <w:r w:rsidR="001A0B8F">
              <w:rPr>
                <w:webHidden/>
              </w:rPr>
              <w:t>18</w:t>
            </w:r>
            <w:r>
              <w:rPr>
                <w:webHidden/>
              </w:rPr>
              <w:fldChar w:fldCharType="end"/>
            </w:r>
          </w:hyperlink>
        </w:p>
        <w:p w14:paraId="407D83E2" w14:textId="3DD0E45B" w:rsidR="001E3A35" w:rsidRDefault="001E3A35">
          <w:r>
            <w:rPr>
              <w:b/>
              <w:bCs/>
              <w:noProof/>
            </w:rPr>
            <w:fldChar w:fldCharType="end"/>
          </w:r>
        </w:p>
      </w:sdtContent>
    </w:sdt>
    <w:p w14:paraId="5A847F2E" w14:textId="77777777" w:rsidR="00316D4C" w:rsidRDefault="00000000" w:rsidP="00885330">
      <w:pPr>
        <w:rPr>
          <w:b/>
          <w:sz w:val="28"/>
          <w:szCs w:val="28"/>
        </w:rPr>
      </w:pPr>
      <w:r>
        <w:br w:type="page"/>
      </w:r>
    </w:p>
    <w:p w14:paraId="280FEC0B" w14:textId="77777777" w:rsidR="006C2E9C" w:rsidRDefault="00000000" w:rsidP="00885330">
      <w:pPr>
        <w:pStyle w:val="Heading1"/>
      </w:pPr>
      <w:bookmarkStart w:id="1" w:name="_Toc182479982"/>
      <w:bookmarkStart w:id="2" w:name="_Toc182480101"/>
      <w:r>
        <w:lastRenderedPageBreak/>
        <w:t>Introduction</w:t>
      </w:r>
      <w:bookmarkEnd w:id="1"/>
      <w:bookmarkEnd w:id="2"/>
      <w:r>
        <w:t xml:space="preserve"> </w:t>
      </w:r>
    </w:p>
    <w:p w14:paraId="05DF1DCB" w14:textId="540F4F05" w:rsidR="006C2E9C" w:rsidRDefault="00000000" w:rsidP="00885330">
      <w:r>
        <w:t xml:space="preserve">The hospitality industry is vulnerable to the negative implications of various external developments taking place in the industry (Coles </w:t>
      </w:r>
      <w:r>
        <w:rPr>
          <w:i/>
        </w:rPr>
        <w:t xml:space="preserve">et al., </w:t>
      </w:r>
      <w:r>
        <w:t xml:space="preserve">2021). In the following report, the case study of The </w:t>
      </w:r>
      <w:r w:rsidR="00DB3853">
        <w:t>City Hotel</w:t>
      </w:r>
      <w:r>
        <w:t xml:space="preserve"> will be evaluated to identify the underlying trends and patterns in the hotel's financial performance over the years. The </w:t>
      </w:r>
      <w:r w:rsidR="00DB3853">
        <w:t>City Hotel</w:t>
      </w:r>
      <w:r>
        <w:t xml:space="preserve"> is a state-of-the-art facility with multiple high-end facilities like an in-house restaurant, bar and central location in a buzzing urban location.  It will highlight the key reasons behind such decline of the hotel, followed by a comprehensive turnaround strategy to help the hotel regain financial affluence and performance efficiency. </w:t>
      </w:r>
    </w:p>
    <w:p w14:paraId="0920F579" w14:textId="701256D5" w:rsidR="006C2E9C" w:rsidRPr="00DE264A" w:rsidRDefault="00000000" w:rsidP="00DE264A">
      <w:pPr>
        <w:pStyle w:val="Heading1"/>
      </w:pPr>
      <w:bookmarkStart w:id="3" w:name="_1fob9te" w:colFirst="0" w:colLast="0"/>
      <w:bookmarkStart w:id="4" w:name="_Toc182479983"/>
      <w:bookmarkStart w:id="5" w:name="_Toc182480102"/>
      <w:bookmarkEnd w:id="3"/>
      <w:r>
        <w:t>Trends and Patterns in the Hotel's Financial Performance in the past three years</w:t>
      </w:r>
      <w:bookmarkEnd w:id="4"/>
      <w:bookmarkEnd w:id="5"/>
      <w:r>
        <w:t xml:space="preserve">  </w:t>
      </w:r>
      <w:r w:rsidR="00DE264A">
        <w:rPr>
          <w:noProof/>
        </w:rPr>
        <w:drawing>
          <wp:inline distT="0" distB="0" distL="0" distR="0" wp14:anchorId="0D9958E7" wp14:editId="63F94DCA">
            <wp:extent cx="5733415" cy="3495431"/>
            <wp:effectExtent l="0" t="0" r="635" b="0"/>
            <wp:docPr id="1342405460" name="Picture 1" descr="A graph of a number of red rectangular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405460" name="Picture 1" descr="A graph of a number of red rectangular bars&#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3415" cy="3495431"/>
                    </a:xfrm>
                    <a:prstGeom prst="rect">
                      <a:avLst/>
                    </a:prstGeom>
                    <a:noFill/>
                    <a:ln>
                      <a:noFill/>
                    </a:ln>
                  </pic:spPr>
                </pic:pic>
              </a:graphicData>
            </a:graphic>
          </wp:inline>
        </w:drawing>
      </w:r>
    </w:p>
    <w:p w14:paraId="5075E771" w14:textId="32ABB4A0" w:rsidR="006C2E9C" w:rsidRDefault="00000000" w:rsidP="00885330">
      <w:pPr>
        <w:jc w:val="center"/>
        <w:rPr>
          <w:b/>
        </w:rPr>
      </w:pPr>
      <w:r>
        <w:rPr>
          <w:b/>
        </w:rPr>
        <w:t xml:space="preserve">Figure 1: Revenue analysis of </w:t>
      </w:r>
      <w:r w:rsidR="00DB3853">
        <w:rPr>
          <w:b/>
        </w:rPr>
        <w:t>City Hotel</w:t>
      </w:r>
    </w:p>
    <w:p w14:paraId="563CB4A3" w14:textId="77777777" w:rsidR="006C2E9C" w:rsidRDefault="00000000" w:rsidP="00885330">
      <w:pPr>
        <w:jc w:val="center"/>
      </w:pPr>
      <w:r>
        <w:t>(Source: Excel-developed)</w:t>
      </w:r>
    </w:p>
    <w:p w14:paraId="71EAC234" w14:textId="796FA386" w:rsidR="006C2E9C" w:rsidRDefault="00000000" w:rsidP="00885330">
      <w:r>
        <w:t xml:space="preserve">The revenue of a company describes the sales within a limited </w:t>
      </w:r>
      <w:proofErr w:type="gramStart"/>
      <w:r>
        <w:t>period of time</w:t>
      </w:r>
      <w:proofErr w:type="gramEnd"/>
      <w:r>
        <w:t xml:space="preserve"> (CFI, 2024).  As per the above figure, it has been found that the </w:t>
      </w:r>
      <w:r w:rsidR="00DB3853">
        <w:t>City Hotel</w:t>
      </w:r>
      <w:r>
        <w:t xml:space="preserve"> generated a revenue of </w:t>
      </w:r>
      <w:r w:rsidR="009C13CA">
        <w:t>£</w:t>
      </w:r>
      <w:proofErr w:type="gramStart"/>
      <w:r>
        <w:t>2</w:t>
      </w:r>
      <w:r w:rsidR="00BA50CE">
        <w:t>,</w:t>
      </w:r>
      <w:r>
        <w:t>325</w:t>
      </w:r>
      <w:r w:rsidR="00BA50CE">
        <w:t>,</w:t>
      </w:r>
      <w:r>
        <w:t>440  in</w:t>
      </w:r>
      <w:proofErr w:type="gramEnd"/>
      <w:r>
        <w:t xml:space="preserve"> 2023 which was significantly lower than the last two years.  In 2021 and 2022 the revenue </w:t>
      </w:r>
      <w:r>
        <w:lastRenderedPageBreak/>
        <w:t xml:space="preserve">of the hotel </w:t>
      </w:r>
      <w:proofErr w:type="gramStart"/>
      <w:r>
        <w:t xml:space="preserve">was  </w:t>
      </w:r>
      <w:r w:rsidR="009C13CA">
        <w:t>£</w:t>
      </w:r>
      <w:proofErr w:type="gramEnd"/>
      <w:r>
        <w:t>5</w:t>
      </w:r>
      <w:r w:rsidR="00BA50CE">
        <w:t>,</w:t>
      </w:r>
      <w:r>
        <w:t xml:space="preserve">248,290 and  </w:t>
      </w:r>
      <w:r w:rsidR="009C13CA">
        <w:t>£</w:t>
      </w:r>
      <w:r>
        <w:t>5</w:t>
      </w:r>
      <w:r w:rsidR="00BA50CE">
        <w:t>,</w:t>
      </w:r>
      <w:r>
        <w:t xml:space="preserve">307,480. </w:t>
      </w:r>
      <w:proofErr w:type="gramStart"/>
      <w:r>
        <w:t>Thus</w:t>
      </w:r>
      <w:proofErr w:type="gramEnd"/>
      <w:r>
        <w:t xml:space="preserve"> the hotel </w:t>
      </w:r>
      <w:r w:rsidR="00DB3853">
        <w:t>City Hotel</w:t>
      </w:r>
      <w:r>
        <w:t xml:space="preserve"> found a sharp decline in revenues in 2023. </w:t>
      </w:r>
    </w:p>
    <w:p w14:paraId="562941CC" w14:textId="0BB2B03F" w:rsidR="006C2E9C" w:rsidRDefault="00000000" w:rsidP="00885330">
      <w:pPr>
        <w:rPr>
          <w:b/>
          <w:i/>
        </w:rPr>
      </w:pPr>
      <w:r>
        <w:rPr>
          <w:b/>
          <w:i/>
        </w:rPr>
        <w:t xml:space="preserve">Expenses </w:t>
      </w:r>
      <w:r w:rsidR="00DE264A" w:rsidRPr="00DE264A">
        <w:rPr>
          <w:b/>
          <w:i/>
          <w:noProof/>
        </w:rPr>
        <w:drawing>
          <wp:inline distT="0" distB="0" distL="0" distR="0" wp14:anchorId="34121C6C" wp14:editId="14CFF450">
            <wp:extent cx="5733415" cy="3013075"/>
            <wp:effectExtent l="0" t="0" r="635" b="0"/>
            <wp:docPr id="18944248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3415" cy="3013075"/>
                    </a:xfrm>
                    <a:prstGeom prst="rect">
                      <a:avLst/>
                    </a:prstGeom>
                    <a:noFill/>
                    <a:ln>
                      <a:noFill/>
                    </a:ln>
                  </pic:spPr>
                </pic:pic>
              </a:graphicData>
            </a:graphic>
          </wp:inline>
        </w:drawing>
      </w:r>
    </w:p>
    <w:p w14:paraId="07CE0129" w14:textId="24CD34E6" w:rsidR="006C2E9C" w:rsidRDefault="006C2E9C" w:rsidP="00885330">
      <w:pPr>
        <w:jc w:val="center"/>
        <w:rPr>
          <w:b/>
          <w:i/>
        </w:rPr>
      </w:pPr>
    </w:p>
    <w:p w14:paraId="050F3167" w14:textId="3C745987" w:rsidR="006C2E9C" w:rsidRDefault="00000000" w:rsidP="00885330">
      <w:pPr>
        <w:jc w:val="center"/>
        <w:rPr>
          <w:b/>
        </w:rPr>
      </w:pPr>
      <w:r>
        <w:rPr>
          <w:b/>
        </w:rPr>
        <w:t xml:space="preserve">Figure 2: Expenses of </w:t>
      </w:r>
      <w:r w:rsidR="00DB3853">
        <w:rPr>
          <w:b/>
        </w:rPr>
        <w:t>City Hotel</w:t>
      </w:r>
      <w:r>
        <w:rPr>
          <w:b/>
        </w:rPr>
        <w:t xml:space="preserve"> </w:t>
      </w:r>
    </w:p>
    <w:p w14:paraId="32E6F60A" w14:textId="77777777" w:rsidR="006C2E9C" w:rsidRDefault="00000000" w:rsidP="00885330">
      <w:pPr>
        <w:jc w:val="center"/>
      </w:pPr>
      <w:r>
        <w:t>(Source: Excel -developed)</w:t>
      </w:r>
    </w:p>
    <w:p w14:paraId="7C19BEAB" w14:textId="61F96A6D" w:rsidR="00091873" w:rsidRDefault="00BA50CE" w:rsidP="00885330">
      <w:r>
        <w:t>Expenses play a crucial role in the income statement, reflecting the company's expenditures across various business activities (CFI, 2024b). According to the figure above, the city's expenditures decreased to -£2</w:t>
      </w:r>
      <w:r w:rsidR="00DE264A">
        <w:t>,</w:t>
      </w:r>
      <w:r>
        <w:t>134</w:t>
      </w:r>
      <w:r w:rsidR="00DE264A">
        <w:t>,</w:t>
      </w:r>
      <w:r>
        <w:t>870 in 2023, compared to -£2</w:t>
      </w:r>
      <w:r w:rsidR="00DE264A">
        <w:t>,</w:t>
      </w:r>
      <w:r>
        <w:t>460</w:t>
      </w:r>
      <w:r w:rsidR="00DE264A">
        <w:t>,</w:t>
      </w:r>
      <w:r>
        <w:t xml:space="preserve">540 in 2022. This decline suggests that the </w:t>
      </w:r>
      <w:r w:rsidR="0021573D">
        <w:t>C</w:t>
      </w:r>
      <w:r>
        <w:t>ity's economic conditions have influenced a reduction in spending on business operations.</w:t>
      </w:r>
    </w:p>
    <w:p w14:paraId="64F38BA1" w14:textId="77777777" w:rsidR="00091873" w:rsidRDefault="00091873" w:rsidP="00885330"/>
    <w:p w14:paraId="13ABE3B6" w14:textId="77777777" w:rsidR="006C2E9C" w:rsidRDefault="00000000" w:rsidP="00885330">
      <w:pPr>
        <w:rPr>
          <w:b/>
          <w:i/>
        </w:rPr>
      </w:pPr>
      <w:r>
        <w:rPr>
          <w:b/>
          <w:i/>
        </w:rPr>
        <w:t xml:space="preserve">Profitability </w:t>
      </w:r>
    </w:p>
    <w:p w14:paraId="444B83B3" w14:textId="77777777" w:rsidR="006C2E9C" w:rsidRDefault="00000000" w:rsidP="00885330">
      <w:pPr>
        <w:numPr>
          <w:ilvl w:val="0"/>
          <w:numId w:val="1"/>
        </w:numPr>
        <w:rPr>
          <w:b/>
          <w:i/>
        </w:rPr>
      </w:pPr>
      <w:r>
        <w:rPr>
          <w:b/>
          <w:i/>
        </w:rPr>
        <w:t>Net Profit Margin</w:t>
      </w:r>
    </w:p>
    <w:p w14:paraId="200847EA" w14:textId="77777777" w:rsidR="006C2E9C" w:rsidRDefault="00000000" w:rsidP="00885330">
      <w:pPr>
        <w:jc w:val="center"/>
        <w:rPr>
          <w:b/>
          <w:i/>
        </w:rPr>
      </w:pPr>
      <w:r>
        <w:rPr>
          <w:b/>
          <w:i/>
          <w:noProof/>
        </w:rPr>
        <w:lastRenderedPageBreak/>
        <w:drawing>
          <wp:inline distT="114300" distB="114300" distL="114300" distR="114300" wp14:anchorId="52F83307" wp14:editId="16CA82BD">
            <wp:extent cx="5731200" cy="3441700"/>
            <wp:effectExtent l="25400" t="25400" r="25400" b="25400"/>
            <wp:docPr id="7" name="image8.png"/>
            <wp:cNvGraphicFramePr/>
            <a:graphic xmlns:a="http://schemas.openxmlformats.org/drawingml/2006/main">
              <a:graphicData uri="http://schemas.openxmlformats.org/drawingml/2006/picture">
                <pic:pic xmlns:pic="http://schemas.openxmlformats.org/drawingml/2006/picture">
                  <pic:nvPicPr>
                    <pic:cNvPr id="7" name="image8.png"/>
                    <pic:cNvPicPr/>
                  </pic:nvPicPr>
                  <pic:blipFill>
                    <a:blip r:embed="rId10"/>
                    <a:stretch>
                      <a:fillRect/>
                    </a:stretch>
                  </pic:blipFill>
                  <pic:spPr>
                    <a:xfrm>
                      <a:off x="0" y="0"/>
                      <a:ext cx="5731200" cy="3441700"/>
                    </a:xfrm>
                    <a:prstGeom prst="rect">
                      <a:avLst/>
                    </a:prstGeom>
                    <a:ln w="25400">
                      <a:solidFill>
                        <a:srgbClr val="000000"/>
                      </a:solidFill>
                      <a:prstDash val="solid"/>
                    </a:ln>
                  </pic:spPr>
                </pic:pic>
              </a:graphicData>
            </a:graphic>
          </wp:inline>
        </w:drawing>
      </w:r>
    </w:p>
    <w:p w14:paraId="78BBA655" w14:textId="21094DFF" w:rsidR="006C2E9C" w:rsidRDefault="00000000" w:rsidP="00885330">
      <w:pPr>
        <w:jc w:val="center"/>
        <w:rPr>
          <w:b/>
        </w:rPr>
      </w:pPr>
      <w:r>
        <w:rPr>
          <w:b/>
        </w:rPr>
        <w:t xml:space="preserve">Figure 3: Net Profit Margin of </w:t>
      </w:r>
      <w:r w:rsidR="00DB3853">
        <w:rPr>
          <w:b/>
        </w:rPr>
        <w:t>City Hotel</w:t>
      </w:r>
      <w:r>
        <w:rPr>
          <w:b/>
        </w:rPr>
        <w:t xml:space="preserve"> </w:t>
      </w:r>
    </w:p>
    <w:p w14:paraId="51E91246" w14:textId="77777777" w:rsidR="006C2E9C" w:rsidRDefault="00000000" w:rsidP="00885330">
      <w:pPr>
        <w:jc w:val="center"/>
      </w:pPr>
      <w:r>
        <w:t>(Source: Excel -developed)</w:t>
      </w:r>
    </w:p>
    <w:p w14:paraId="72925F11" w14:textId="60B8DC58" w:rsidR="00091873" w:rsidRDefault="00000000" w:rsidP="00885330">
      <w:r>
        <w:t xml:space="preserve">The profitability ratio defines if a company has been earning more than their expenditure within the operational activities.  In that case, the net profit ratio of the </w:t>
      </w:r>
      <w:r w:rsidR="00DB3853">
        <w:t>City Hotel</w:t>
      </w:r>
      <w:r>
        <w:t xml:space="preserve"> declined </w:t>
      </w:r>
      <w:proofErr w:type="gramStart"/>
      <w:r>
        <w:t>to  -</w:t>
      </w:r>
      <w:proofErr w:type="gramEnd"/>
      <w:r>
        <w:t xml:space="preserve">48.81% in the financial year of 2023. In 2022 this ratio was calculated to be almost 6.36% which was way higher than in 2023. </w:t>
      </w:r>
      <w:proofErr w:type="gramStart"/>
      <w:r>
        <w:t>Thus</w:t>
      </w:r>
      <w:proofErr w:type="gramEnd"/>
      <w:r>
        <w:t xml:space="preserve"> this helped in understanding that </w:t>
      </w:r>
      <w:r w:rsidR="00DB3853">
        <w:t>City Hotel</w:t>
      </w:r>
      <w:r>
        <w:t xml:space="preserve"> found that the profit in the business is lowered while expenditure is higher. </w:t>
      </w:r>
    </w:p>
    <w:p w14:paraId="3AC0B6EA" w14:textId="77777777" w:rsidR="00A02ECE" w:rsidRDefault="00A02ECE" w:rsidP="00885330"/>
    <w:p w14:paraId="4ABED5D7" w14:textId="77777777" w:rsidR="00A02ECE" w:rsidRDefault="00A02ECE" w:rsidP="00885330"/>
    <w:p w14:paraId="27F8ED6D" w14:textId="77777777" w:rsidR="00A02ECE" w:rsidRDefault="00A02ECE" w:rsidP="00885330"/>
    <w:p w14:paraId="432304A1" w14:textId="77777777" w:rsidR="00A02ECE" w:rsidRDefault="00A02ECE" w:rsidP="00885330"/>
    <w:p w14:paraId="03B4200F" w14:textId="77777777" w:rsidR="00A02ECE" w:rsidRDefault="00A02ECE" w:rsidP="00885330"/>
    <w:p w14:paraId="6B5B027C" w14:textId="77777777" w:rsidR="00A02ECE" w:rsidRDefault="00A02ECE" w:rsidP="00885330"/>
    <w:p w14:paraId="55C35123" w14:textId="77777777" w:rsidR="00A02ECE" w:rsidRDefault="00A02ECE" w:rsidP="00885330"/>
    <w:p w14:paraId="3B1256BD" w14:textId="77777777" w:rsidR="006C2E9C" w:rsidRDefault="00000000" w:rsidP="00885330">
      <w:pPr>
        <w:numPr>
          <w:ilvl w:val="0"/>
          <w:numId w:val="1"/>
        </w:numPr>
        <w:rPr>
          <w:b/>
          <w:i/>
        </w:rPr>
      </w:pPr>
      <w:r>
        <w:rPr>
          <w:b/>
          <w:i/>
        </w:rPr>
        <w:lastRenderedPageBreak/>
        <w:t>Analysis of Operating Profit Margin</w:t>
      </w:r>
    </w:p>
    <w:p w14:paraId="49965884" w14:textId="5BA2331D" w:rsidR="006C2E9C" w:rsidRDefault="00243F2C" w:rsidP="00A02ECE">
      <w:pPr>
        <w:ind w:left="720"/>
        <w:rPr>
          <w:b/>
          <w:i/>
        </w:rPr>
      </w:pPr>
      <w:r>
        <w:rPr>
          <w:b/>
          <w:i/>
          <w:noProof/>
        </w:rPr>
        <w:drawing>
          <wp:inline distT="0" distB="0" distL="0" distR="0" wp14:anchorId="3FB05CCA" wp14:editId="0EB4484F">
            <wp:extent cx="5486400" cy="3200400"/>
            <wp:effectExtent l="0" t="0" r="0" b="0"/>
            <wp:docPr id="1173478963"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7CEA136" w14:textId="63B83324" w:rsidR="006C2E9C" w:rsidRDefault="00000000" w:rsidP="00885330">
      <w:pPr>
        <w:jc w:val="center"/>
        <w:rPr>
          <w:b/>
        </w:rPr>
      </w:pPr>
      <w:r>
        <w:rPr>
          <w:b/>
        </w:rPr>
        <w:t xml:space="preserve">Figure 4: Operating profit margin of </w:t>
      </w:r>
      <w:r w:rsidR="00DB3853">
        <w:rPr>
          <w:b/>
        </w:rPr>
        <w:t>City Hotel</w:t>
      </w:r>
      <w:r>
        <w:rPr>
          <w:b/>
        </w:rPr>
        <w:t xml:space="preserve"> </w:t>
      </w:r>
    </w:p>
    <w:p w14:paraId="3D0B659D" w14:textId="77777777" w:rsidR="006C2E9C" w:rsidRDefault="00000000" w:rsidP="00885330">
      <w:pPr>
        <w:jc w:val="center"/>
      </w:pPr>
      <w:r>
        <w:t>(Source: Excel -developed)</w:t>
      </w:r>
    </w:p>
    <w:p w14:paraId="02A32AD5" w14:textId="7F0EBA3A" w:rsidR="00091873" w:rsidRDefault="00A02ECE" w:rsidP="00885330">
      <w:r>
        <w:t xml:space="preserve">According to Mahdi and Khaddafi (2020), the operating profit margin serves as a key indicator of a company's profitability relative to its sales. An analysis of the data reveals that The </w:t>
      </w:r>
      <w:r w:rsidR="00DB3853">
        <w:t>City Hotel</w:t>
      </w:r>
      <w:r>
        <w:t xml:space="preserve"> experienced a profit margin of 12.65% in 2021. This figure had a modest increase to 12.71% in 2022, suggesting some progressive performance in profitability during that period. But, in a worrying turn, the profit margin fell to -52.41% in 2023, representing that the hotel not only failed to make a profit but also experienced significant losses. This sudden drop highlights the challenges faced by the company in that fiscal year.</w:t>
      </w:r>
    </w:p>
    <w:p w14:paraId="4513F4D0" w14:textId="77777777" w:rsidR="00A02ECE" w:rsidRDefault="00A02ECE" w:rsidP="00885330"/>
    <w:p w14:paraId="067E67E7" w14:textId="77777777" w:rsidR="00A02ECE" w:rsidRDefault="00A02ECE" w:rsidP="00885330"/>
    <w:p w14:paraId="48709FC6" w14:textId="77777777" w:rsidR="00A02ECE" w:rsidRDefault="00A02ECE" w:rsidP="00885330"/>
    <w:p w14:paraId="6FB1C4AB" w14:textId="77777777" w:rsidR="00A02ECE" w:rsidRDefault="00A02ECE" w:rsidP="00885330"/>
    <w:p w14:paraId="5D486701" w14:textId="77777777" w:rsidR="00A02ECE" w:rsidRPr="00A02ECE" w:rsidRDefault="00A02ECE" w:rsidP="00885330"/>
    <w:p w14:paraId="1230D8A4" w14:textId="77777777" w:rsidR="006C2E9C" w:rsidRDefault="00000000" w:rsidP="00885330">
      <w:pPr>
        <w:rPr>
          <w:b/>
          <w:i/>
        </w:rPr>
      </w:pPr>
      <w:r>
        <w:rPr>
          <w:b/>
          <w:i/>
        </w:rPr>
        <w:lastRenderedPageBreak/>
        <w:t xml:space="preserve">Liquidity </w:t>
      </w:r>
    </w:p>
    <w:p w14:paraId="76F3D408" w14:textId="77777777" w:rsidR="006C2E9C" w:rsidRDefault="00000000" w:rsidP="00885330">
      <w:pPr>
        <w:numPr>
          <w:ilvl w:val="0"/>
          <w:numId w:val="2"/>
        </w:numPr>
        <w:rPr>
          <w:b/>
          <w:i/>
        </w:rPr>
      </w:pPr>
      <w:r>
        <w:rPr>
          <w:b/>
          <w:i/>
        </w:rPr>
        <w:t>Current ratio</w:t>
      </w:r>
    </w:p>
    <w:tbl>
      <w:tblPr>
        <w:tblW w:w="8356" w:type="dxa"/>
        <w:tblCellMar>
          <w:left w:w="0" w:type="dxa"/>
          <w:right w:w="0" w:type="dxa"/>
        </w:tblCellMar>
        <w:tblLook w:val="04A0" w:firstRow="1" w:lastRow="0" w:firstColumn="1" w:lastColumn="0" w:noHBand="0" w:noVBand="1"/>
      </w:tblPr>
      <w:tblGrid>
        <w:gridCol w:w="4245"/>
        <w:gridCol w:w="4111"/>
      </w:tblGrid>
      <w:tr w:rsidR="00C80699" w:rsidRPr="00C80699" w14:paraId="5D538FF7" w14:textId="77777777" w:rsidTr="00C80699">
        <w:trPr>
          <w:trHeight w:val="315"/>
        </w:trPr>
        <w:tc>
          <w:tcPr>
            <w:tcW w:w="4245" w:type="dxa"/>
            <w:tcBorders>
              <w:top w:val="single" w:sz="6" w:space="0" w:color="284E3F"/>
              <w:left w:val="single" w:sz="6" w:space="0" w:color="284E3F"/>
              <w:bottom w:val="single" w:sz="6" w:space="0" w:color="284E3F"/>
              <w:right w:val="single" w:sz="6" w:space="0" w:color="356854"/>
            </w:tcBorders>
            <w:shd w:val="clear" w:color="auto" w:fill="92D050"/>
            <w:tcMar>
              <w:top w:w="0" w:type="dxa"/>
              <w:left w:w="120" w:type="dxa"/>
              <w:bottom w:w="0" w:type="dxa"/>
              <w:right w:w="120" w:type="dxa"/>
            </w:tcMar>
            <w:vAlign w:val="center"/>
            <w:hideMark/>
          </w:tcPr>
          <w:p w14:paraId="06FDA562" w14:textId="77777777" w:rsidR="00C80699" w:rsidRPr="00C80699" w:rsidRDefault="00C80699" w:rsidP="00C80699">
            <w:pPr>
              <w:jc w:val="center"/>
              <w:rPr>
                <w:b/>
                <w:i/>
              </w:rPr>
            </w:pPr>
            <w:r w:rsidRPr="00C80699">
              <w:rPr>
                <w:b/>
                <w:i/>
              </w:rPr>
              <w:t>Year</w:t>
            </w:r>
          </w:p>
        </w:tc>
        <w:tc>
          <w:tcPr>
            <w:tcW w:w="4111" w:type="dxa"/>
            <w:tcBorders>
              <w:top w:val="single" w:sz="6" w:space="0" w:color="284E3F"/>
              <w:left w:val="single" w:sz="6" w:space="0" w:color="CCCCCC"/>
              <w:bottom w:val="single" w:sz="6" w:space="0" w:color="284E3F"/>
              <w:right w:val="single" w:sz="6" w:space="0" w:color="284E3F"/>
            </w:tcBorders>
            <w:shd w:val="clear" w:color="auto" w:fill="92D050"/>
            <w:tcMar>
              <w:top w:w="0" w:type="dxa"/>
              <w:left w:w="120" w:type="dxa"/>
              <w:bottom w:w="0" w:type="dxa"/>
              <w:right w:w="120" w:type="dxa"/>
            </w:tcMar>
            <w:vAlign w:val="center"/>
            <w:hideMark/>
          </w:tcPr>
          <w:p w14:paraId="4BBE446B" w14:textId="77777777" w:rsidR="00C80699" w:rsidRPr="00C80699" w:rsidRDefault="00C80699" w:rsidP="00C80699">
            <w:pPr>
              <w:jc w:val="center"/>
              <w:rPr>
                <w:b/>
                <w:i/>
              </w:rPr>
            </w:pPr>
            <w:r w:rsidRPr="00C80699">
              <w:rPr>
                <w:b/>
                <w:i/>
              </w:rPr>
              <w:t>Current Ratio</w:t>
            </w:r>
          </w:p>
        </w:tc>
      </w:tr>
      <w:tr w:rsidR="00C80699" w:rsidRPr="00C80699" w14:paraId="0DBB2AE9" w14:textId="77777777" w:rsidTr="00C80699">
        <w:trPr>
          <w:trHeight w:val="315"/>
        </w:trPr>
        <w:tc>
          <w:tcPr>
            <w:tcW w:w="4245" w:type="dxa"/>
            <w:tcBorders>
              <w:top w:val="single" w:sz="6" w:space="0" w:color="CCCCCC"/>
              <w:left w:val="single" w:sz="6" w:space="0" w:color="284E3F"/>
              <w:bottom w:val="single" w:sz="6" w:space="0" w:color="F6F8F9"/>
              <w:right w:val="single" w:sz="6" w:space="0" w:color="FFFFFF"/>
            </w:tcBorders>
            <w:shd w:val="clear" w:color="auto" w:fill="FFFFFF"/>
            <w:tcMar>
              <w:top w:w="0" w:type="dxa"/>
              <w:left w:w="120" w:type="dxa"/>
              <w:bottom w:w="0" w:type="dxa"/>
              <w:right w:w="120" w:type="dxa"/>
            </w:tcMar>
            <w:vAlign w:val="center"/>
            <w:hideMark/>
          </w:tcPr>
          <w:p w14:paraId="69C6E16D" w14:textId="77777777" w:rsidR="00C80699" w:rsidRPr="00C80699" w:rsidRDefault="00C80699" w:rsidP="00C80699">
            <w:pPr>
              <w:jc w:val="center"/>
              <w:rPr>
                <w:b/>
                <w:i/>
              </w:rPr>
            </w:pPr>
            <w:r w:rsidRPr="00C80699">
              <w:rPr>
                <w:b/>
                <w:i/>
              </w:rPr>
              <w:t>2021</w:t>
            </w:r>
          </w:p>
        </w:tc>
        <w:tc>
          <w:tcPr>
            <w:tcW w:w="4111" w:type="dxa"/>
            <w:tcBorders>
              <w:top w:val="single" w:sz="6" w:space="0" w:color="CCCCCC"/>
              <w:left w:val="single" w:sz="6" w:space="0" w:color="CCCCCC"/>
              <w:bottom w:val="single" w:sz="6" w:space="0" w:color="F6F8F9"/>
              <w:right w:val="single" w:sz="6" w:space="0" w:color="284E3F"/>
            </w:tcBorders>
            <w:shd w:val="clear" w:color="auto" w:fill="FFFFFF"/>
            <w:tcMar>
              <w:top w:w="0" w:type="dxa"/>
              <w:left w:w="120" w:type="dxa"/>
              <w:bottom w:w="0" w:type="dxa"/>
              <w:right w:w="120" w:type="dxa"/>
            </w:tcMar>
            <w:vAlign w:val="center"/>
            <w:hideMark/>
          </w:tcPr>
          <w:p w14:paraId="0DC3059E" w14:textId="77777777" w:rsidR="00C80699" w:rsidRPr="00C80699" w:rsidRDefault="00C80699" w:rsidP="00C80699">
            <w:pPr>
              <w:jc w:val="center"/>
              <w:rPr>
                <w:b/>
                <w:i/>
              </w:rPr>
            </w:pPr>
            <w:r w:rsidRPr="00C80699">
              <w:rPr>
                <w:b/>
                <w:i/>
              </w:rPr>
              <w:t>0.93</w:t>
            </w:r>
          </w:p>
        </w:tc>
      </w:tr>
      <w:tr w:rsidR="00C80699" w:rsidRPr="00C80699" w14:paraId="42B3121E" w14:textId="77777777" w:rsidTr="00C80699">
        <w:trPr>
          <w:trHeight w:val="315"/>
        </w:trPr>
        <w:tc>
          <w:tcPr>
            <w:tcW w:w="4245" w:type="dxa"/>
            <w:tcBorders>
              <w:top w:val="single" w:sz="6" w:space="0" w:color="CCCCCC"/>
              <w:left w:val="single" w:sz="6" w:space="0" w:color="284E3F"/>
              <w:bottom w:val="single" w:sz="6" w:space="0" w:color="F6F8F9"/>
              <w:right w:val="single" w:sz="6" w:space="0" w:color="F6F8F9"/>
            </w:tcBorders>
            <w:shd w:val="clear" w:color="auto" w:fill="F6F8F9"/>
            <w:tcMar>
              <w:top w:w="0" w:type="dxa"/>
              <w:left w:w="120" w:type="dxa"/>
              <w:bottom w:w="0" w:type="dxa"/>
              <w:right w:w="120" w:type="dxa"/>
            </w:tcMar>
            <w:vAlign w:val="center"/>
            <w:hideMark/>
          </w:tcPr>
          <w:p w14:paraId="6069DC13" w14:textId="77777777" w:rsidR="00C80699" w:rsidRPr="00C80699" w:rsidRDefault="00C80699" w:rsidP="00C80699">
            <w:pPr>
              <w:jc w:val="center"/>
              <w:rPr>
                <w:b/>
                <w:i/>
              </w:rPr>
            </w:pPr>
            <w:r w:rsidRPr="00C80699">
              <w:rPr>
                <w:b/>
                <w:i/>
              </w:rPr>
              <w:t>2022</w:t>
            </w:r>
          </w:p>
        </w:tc>
        <w:tc>
          <w:tcPr>
            <w:tcW w:w="4111" w:type="dxa"/>
            <w:tcBorders>
              <w:top w:val="single" w:sz="6" w:space="0" w:color="CCCCCC"/>
              <w:left w:val="single" w:sz="6" w:space="0" w:color="CCCCCC"/>
              <w:bottom w:val="single" w:sz="6" w:space="0" w:color="F6F8F9"/>
              <w:right w:val="single" w:sz="6" w:space="0" w:color="284E3F"/>
            </w:tcBorders>
            <w:shd w:val="clear" w:color="auto" w:fill="F6F8F9"/>
            <w:tcMar>
              <w:top w:w="0" w:type="dxa"/>
              <w:left w:w="120" w:type="dxa"/>
              <w:bottom w:w="0" w:type="dxa"/>
              <w:right w:w="120" w:type="dxa"/>
            </w:tcMar>
            <w:vAlign w:val="center"/>
            <w:hideMark/>
          </w:tcPr>
          <w:p w14:paraId="582C9DEA" w14:textId="77777777" w:rsidR="00C80699" w:rsidRPr="00C80699" w:rsidRDefault="00C80699" w:rsidP="00C80699">
            <w:pPr>
              <w:jc w:val="center"/>
              <w:rPr>
                <w:b/>
                <w:i/>
              </w:rPr>
            </w:pPr>
            <w:r w:rsidRPr="00C80699">
              <w:rPr>
                <w:b/>
                <w:i/>
              </w:rPr>
              <w:t>0.93</w:t>
            </w:r>
          </w:p>
        </w:tc>
      </w:tr>
      <w:tr w:rsidR="00C80699" w:rsidRPr="00C80699" w14:paraId="4E7718D5" w14:textId="77777777" w:rsidTr="00C80699">
        <w:trPr>
          <w:trHeight w:val="315"/>
        </w:trPr>
        <w:tc>
          <w:tcPr>
            <w:tcW w:w="4245" w:type="dxa"/>
            <w:tcBorders>
              <w:top w:val="single" w:sz="6" w:space="0" w:color="CCCCCC"/>
              <w:left w:val="single" w:sz="6" w:space="0" w:color="284E3F"/>
              <w:bottom w:val="single" w:sz="6" w:space="0" w:color="284E3F"/>
              <w:right w:val="single" w:sz="6" w:space="0" w:color="FFFFFF"/>
            </w:tcBorders>
            <w:shd w:val="clear" w:color="auto" w:fill="FFFFFF"/>
            <w:tcMar>
              <w:top w:w="0" w:type="dxa"/>
              <w:left w:w="120" w:type="dxa"/>
              <w:bottom w:w="0" w:type="dxa"/>
              <w:right w:w="120" w:type="dxa"/>
            </w:tcMar>
            <w:vAlign w:val="center"/>
            <w:hideMark/>
          </w:tcPr>
          <w:p w14:paraId="6ACAE941" w14:textId="77777777" w:rsidR="00C80699" w:rsidRPr="00C80699" w:rsidRDefault="00C80699" w:rsidP="00C80699">
            <w:pPr>
              <w:jc w:val="center"/>
              <w:rPr>
                <w:b/>
                <w:i/>
              </w:rPr>
            </w:pPr>
            <w:r w:rsidRPr="00C80699">
              <w:rPr>
                <w:b/>
                <w:i/>
              </w:rPr>
              <w:t>2023</w:t>
            </w:r>
          </w:p>
        </w:tc>
        <w:tc>
          <w:tcPr>
            <w:tcW w:w="4111" w:type="dxa"/>
            <w:tcBorders>
              <w:top w:val="single" w:sz="6" w:space="0" w:color="CCCCCC"/>
              <w:left w:val="single" w:sz="6" w:space="0" w:color="CCCCCC"/>
              <w:bottom w:val="single" w:sz="6" w:space="0" w:color="284E3F"/>
              <w:right w:val="single" w:sz="6" w:space="0" w:color="284E3F"/>
            </w:tcBorders>
            <w:shd w:val="clear" w:color="auto" w:fill="FFFFFF"/>
            <w:tcMar>
              <w:top w:w="0" w:type="dxa"/>
              <w:left w:w="120" w:type="dxa"/>
              <w:bottom w:w="0" w:type="dxa"/>
              <w:right w:w="120" w:type="dxa"/>
            </w:tcMar>
            <w:vAlign w:val="center"/>
            <w:hideMark/>
          </w:tcPr>
          <w:p w14:paraId="05635316" w14:textId="77777777" w:rsidR="00C80699" w:rsidRPr="00C80699" w:rsidRDefault="00C80699" w:rsidP="00C80699">
            <w:pPr>
              <w:jc w:val="center"/>
              <w:rPr>
                <w:b/>
                <w:i/>
              </w:rPr>
            </w:pPr>
            <w:r w:rsidRPr="00C80699">
              <w:rPr>
                <w:b/>
                <w:i/>
              </w:rPr>
              <w:t>0.64</w:t>
            </w:r>
          </w:p>
        </w:tc>
      </w:tr>
    </w:tbl>
    <w:p w14:paraId="523A5F64" w14:textId="76ED9BD9" w:rsidR="006C2E9C" w:rsidRPr="00C80699" w:rsidRDefault="00000000" w:rsidP="00C80699">
      <w:pPr>
        <w:spacing w:before="200"/>
        <w:rPr>
          <w:b/>
        </w:rPr>
      </w:pPr>
      <w:r>
        <w:rPr>
          <w:b/>
        </w:rPr>
        <w:t xml:space="preserve">Figure 5: Current ratio of the hotel </w:t>
      </w:r>
      <w:r>
        <w:t>(Source: Excel -developed)</w:t>
      </w:r>
    </w:p>
    <w:p w14:paraId="246A653C" w14:textId="28295850" w:rsidR="006C2E9C" w:rsidRDefault="00000000" w:rsidP="00885330">
      <w:pPr>
        <w:spacing w:after="0"/>
        <w:rPr>
          <w:color w:val="0E101A"/>
        </w:rPr>
      </w:pPr>
      <w:r>
        <w:rPr>
          <w:color w:val="0E101A"/>
        </w:rPr>
        <w:t xml:space="preserve">The current ratio defines the ability of a company to pay off its short-term obligation within one year of </w:t>
      </w:r>
      <w:proofErr w:type="gramStart"/>
      <w:r>
        <w:rPr>
          <w:color w:val="0E101A"/>
        </w:rPr>
        <w:t>time period</w:t>
      </w:r>
      <w:proofErr w:type="gramEnd"/>
      <w:r>
        <w:rPr>
          <w:color w:val="0E101A"/>
        </w:rPr>
        <w:t xml:space="preserve">.  Within the loss of the capital the </w:t>
      </w:r>
      <w:r w:rsidR="00DB3853">
        <w:rPr>
          <w:color w:val="0E101A"/>
        </w:rPr>
        <w:t>City Hotel</w:t>
      </w:r>
      <w:r>
        <w:rPr>
          <w:color w:val="0E101A"/>
        </w:rPr>
        <w:t xml:space="preserve"> found that their current ratio declined to 0.64 which was 0.93 in the previous years </w:t>
      </w:r>
      <w:r>
        <w:rPr>
          <w:b/>
          <w:i/>
          <w:color w:val="0E101A"/>
        </w:rPr>
        <w:t>[Refer to figure 5].</w:t>
      </w:r>
      <w:r>
        <w:rPr>
          <w:color w:val="0E101A"/>
        </w:rPr>
        <w:t xml:space="preserve"> This signifies that a company is only able to pay 0.64 of its short-term obligations in 2023. Hence the </w:t>
      </w:r>
      <w:r w:rsidR="00DB3853">
        <w:rPr>
          <w:color w:val="0E101A"/>
        </w:rPr>
        <w:t>City Hotel</w:t>
      </w:r>
      <w:r>
        <w:rPr>
          <w:color w:val="0E101A"/>
        </w:rPr>
        <w:t xml:space="preserve"> indeed suffered through the financial crisis during 2023.  </w:t>
      </w:r>
    </w:p>
    <w:p w14:paraId="16EE87A0" w14:textId="77777777" w:rsidR="00091873" w:rsidRDefault="00091873" w:rsidP="00885330">
      <w:pPr>
        <w:spacing w:after="0"/>
      </w:pPr>
    </w:p>
    <w:p w14:paraId="20BA6379" w14:textId="77777777" w:rsidR="006C2E9C" w:rsidRDefault="00000000" w:rsidP="00885330">
      <w:pPr>
        <w:numPr>
          <w:ilvl w:val="0"/>
          <w:numId w:val="2"/>
        </w:numPr>
        <w:rPr>
          <w:b/>
          <w:i/>
        </w:rPr>
      </w:pPr>
      <w:r>
        <w:rPr>
          <w:b/>
          <w:i/>
        </w:rPr>
        <w:t xml:space="preserve">Quick ratio </w:t>
      </w:r>
    </w:p>
    <w:p w14:paraId="2986E709" w14:textId="70F637AD" w:rsidR="006C2E9C" w:rsidRDefault="00C80699" w:rsidP="00751F0A">
      <w:pPr>
        <w:ind w:left="720"/>
        <w:rPr>
          <w:b/>
          <w:i/>
        </w:rPr>
      </w:pPr>
      <w:r>
        <w:rPr>
          <w:b/>
          <w:i/>
          <w:noProof/>
        </w:rPr>
        <w:drawing>
          <wp:inline distT="0" distB="0" distL="0" distR="0" wp14:anchorId="656FD4CD" wp14:editId="344C2E82">
            <wp:extent cx="5486400" cy="3200400"/>
            <wp:effectExtent l="0" t="0" r="0" b="0"/>
            <wp:docPr id="1458595327"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30EDA37" w14:textId="6644EDB3" w:rsidR="006C2E9C" w:rsidRPr="00751F0A" w:rsidRDefault="00000000" w:rsidP="00751F0A">
      <w:pPr>
        <w:jc w:val="center"/>
        <w:rPr>
          <w:b/>
        </w:rPr>
      </w:pPr>
      <w:r>
        <w:rPr>
          <w:b/>
        </w:rPr>
        <w:t xml:space="preserve">Figure 6: Quick ratio analysis of </w:t>
      </w:r>
      <w:r w:rsidR="00DB3853">
        <w:rPr>
          <w:b/>
        </w:rPr>
        <w:t xml:space="preserve">City Hotel </w:t>
      </w:r>
      <w:r w:rsidR="00DB3853" w:rsidRPr="00DB3853">
        <w:rPr>
          <w:bCs/>
        </w:rPr>
        <w:t>(</w:t>
      </w:r>
      <w:r>
        <w:t>Source: Excel-developed)</w:t>
      </w:r>
    </w:p>
    <w:p w14:paraId="6CC9B986" w14:textId="09545E55" w:rsidR="00091873" w:rsidRDefault="00000000" w:rsidP="00885330">
      <w:pPr>
        <w:spacing w:after="0"/>
        <w:rPr>
          <w:color w:val="0E101A"/>
        </w:rPr>
      </w:pPr>
      <w:r>
        <w:rPr>
          <w:color w:val="0E101A"/>
        </w:rPr>
        <w:lastRenderedPageBreak/>
        <w:t xml:space="preserve">The </w:t>
      </w:r>
      <w:r w:rsidR="00DB3853">
        <w:rPr>
          <w:color w:val="0E101A"/>
        </w:rPr>
        <w:t>ability</w:t>
      </w:r>
      <w:r>
        <w:rPr>
          <w:color w:val="0E101A"/>
        </w:rPr>
        <w:t xml:space="preserve"> of a company to pay off its current debts can be defined through the quick ratio analysis of the income statement of a company.   In 2021 the quick ratio of </w:t>
      </w:r>
      <w:r w:rsidR="00DB3853">
        <w:rPr>
          <w:color w:val="0E101A"/>
        </w:rPr>
        <w:t>City Hotel</w:t>
      </w:r>
      <w:r>
        <w:rPr>
          <w:color w:val="0E101A"/>
        </w:rPr>
        <w:t xml:space="preserve"> was 0.95 while in 2022 this ratio stood at 0.92</w:t>
      </w:r>
      <w:r>
        <w:rPr>
          <w:b/>
          <w:i/>
          <w:color w:val="0E101A"/>
        </w:rPr>
        <w:t xml:space="preserve"> [Refer to Figure 6].</w:t>
      </w:r>
      <w:r>
        <w:rPr>
          <w:color w:val="0E101A"/>
        </w:rPr>
        <w:t xml:space="preserve"> The analysis of </w:t>
      </w:r>
      <w:r w:rsidR="00DB3853">
        <w:rPr>
          <w:color w:val="0E101A"/>
        </w:rPr>
        <w:t xml:space="preserve">the year </w:t>
      </w:r>
      <w:r>
        <w:rPr>
          <w:color w:val="0E101A"/>
        </w:rPr>
        <w:t xml:space="preserve">2023 found that the quick ratio declined to 0.62.  </w:t>
      </w:r>
      <w:r w:rsidR="00DB3853">
        <w:rPr>
          <w:color w:val="0E101A"/>
        </w:rPr>
        <w:t>Therefore,</w:t>
      </w:r>
      <w:r>
        <w:rPr>
          <w:color w:val="0E101A"/>
        </w:rPr>
        <w:t xml:space="preserve"> this has been indicating that the company faced issues paying their current debt in the market.  </w:t>
      </w:r>
    </w:p>
    <w:p w14:paraId="3D6A3D20" w14:textId="77777777" w:rsidR="00091873" w:rsidRDefault="00091873" w:rsidP="00885330">
      <w:pPr>
        <w:spacing w:after="0"/>
      </w:pPr>
    </w:p>
    <w:p w14:paraId="220C8651" w14:textId="77777777" w:rsidR="006C2E9C" w:rsidRDefault="00000000" w:rsidP="00885330">
      <w:pPr>
        <w:rPr>
          <w:b/>
          <w:i/>
        </w:rPr>
      </w:pPr>
      <w:r>
        <w:rPr>
          <w:b/>
          <w:i/>
        </w:rPr>
        <w:t xml:space="preserve">Solvency analysis </w:t>
      </w:r>
    </w:p>
    <w:p w14:paraId="5589838D" w14:textId="77777777" w:rsidR="006C2E9C" w:rsidRDefault="00000000" w:rsidP="00885330">
      <w:pPr>
        <w:numPr>
          <w:ilvl w:val="0"/>
          <w:numId w:val="4"/>
        </w:numPr>
        <w:rPr>
          <w:b/>
          <w:i/>
        </w:rPr>
      </w:pPr>
      <w:r>
        <w:rPr>
          <w:b/>
          <w:i/>
        </w:rPr>
        <w:t>Debt-to-Equity Ratio</w:t>
      </w:r>
    </w:p>
    <w:p w14:paraId="1788A5EC" w14:textId="299C33E9" w:rsidR="006C2E9C" w:rsidRDefault="00751F0A" w:rsidP="00885330">
      <w:pPr>
        <w:jc w:val="center"/>
        <w:rPr>
          <w:b/>
          <w:i/>
        </w:rPr>
      </w:pPr>
      <w:r>
        <w:rPr>
          <w:b/>
          <w:i/>
          <w:noProof/>
        </w:rPr>
        <w:drawing>
          <wp:inline distT="0" distB="0" distL="0" distR="0" wp14:anchorId="2F03C7FC" wp14:editId="1C2D4098">
            <wp:extent cx="5486400" cy="3200400"/>
            <wp:effectExtent l="0" t="0" r="0" b="0"/>
            <wp:docPr id="2012951535"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4B8A877" w14:textId="0F13CC15" w:rsidR="006C2E9C" w:rsidRPr="00DB3853" w:rsidRDefault="00000000" w:rsidP="00DB3853">
      <w:pPr>
        <w:jc w:val="center"/>
        <w:rPr>
          <w:b/>
        </w:rPr>
      </w:pPr>
      <w:r>
        <w:rPr>
          <w:b/>
        </w:rPr>
        <w:t xml:space="preserve">Figure 7: Debt-equity </w:t>
      </w:r>
      <w:proofErr w:type="gramStart"/>
      <w:r>
        <w:rPr>
          <w:b/>
        </w:rPr>
        <w:t>ratio</w:t>
      </w:r>
      <w:r>
        <w:t>(</w:t>
      </w:r>
      <w:proofErr w:type="gramEnd"/>
      <w:r>
        <w:t>Source: Self-developed)</w:t>
      </w:r>
    </w:p>
    <w:p w14:paraId="0B239BCD" w14:textId="7FC577B3" w:rsidR="006C2E9C" w:rsidRDefault="00000000" w:rsidP="00885330">
      <w:r>
        <w:t xml:space="preserve">The debt-equity ratio defines the liabilities and debt of a company against the total equity of stakeholders (Farah, Amin and Pramudianto, 2021). The above </w:t>
      </w:r>
      <w:r w:rsidR="00DB3853" w:rsidRPr="00DB3853">
        <w:rPr>
          <w:i/>
          <w:iCs/>
        </w:rPr>
        <w:t>(</w:t>
      </w:r>
      <w:r w:rsidRPr="00DB3853">
        <w:rPr>
          <w:b/>
          <w:bCs/>
          <w:i/>
          <w:iCs/>
        </w:rPr>
        <w:t>figure 7</w:t>
      </w:r>
      <w:r w:rsidR="00DB3853" w:rsidRPr="00DB3853">
        <w:rPr>
          <w:b/>
          <w:bCs/>
          <w:i/>
          <w:iCs/>
        </w:rPr>
        <w:t>)</w:t>
      </w:r>
      <w:r>
        <w:t xml:space="preserve"> </w:t>
      </w:r>
      <w:r w:rsidR="00DB3853">
        <w:t xml:space="preserve">provides the </w:t>
      </w:r>
      <w:r>
        <w:t>analys</w:t>
      </w:r>
      <w:r w:rsidR="00DB3853">
        <w:t xml:space="preserve">is </w:t>
      </w:r>
      <w:r>
        <w:t xml:space="preserve">that in 2021 the liability and debt of the company against their stakeholder's equity was only 0.83 while in 2023 this reached 0.91. </w:t>
      </w:r>
      <w:r w:rsidR="00DB3853">
        <w:t>Thus,</w:t>
      </w:r>
      <w:r>
        <w:t xml:space="preserve"> this has been </w:t>
      </w:r>
      <w:r w:rsidR="00DB3853">
        <w:t>revealed</w:t>
      </w:r>
      <w:r>
        <w:t xml:space="preserve"> that the liability and debt of the company were higher than the total equality of stakeholders. </w:t>
      </w:r>
    </w:p>
    <w:p w14:paraId="39BA99EE" w14:textId="77777777" w:rsidR="00091873" w:rsidRDefault="00091873" w:rsidP="00885330"/>
    <w:p w14:paraId="6A017096" w14:textId="77777777" w:rsidR="00091873" w:rsidRDefault="00091873" w:rsidP="00885330"/>
    <w:p w14:paraId="13378006" w14:textId="77777777" w:rsidR="00091873" w:rsidRDefault="00091873" w:rsidP="00885330"/>
    <w:p w14:paraId="05A35F67" w14:textId="77777777" w:rsidR="00091873" w:rsidRDefault="00091873" w:rsidP="00885330"/>
    <w:p w14:paraId="0D912BB8" w14:textId="77777777" w:rsidR="00091873" w:rsidRDefault="00091873" w:rsidP="00885330"/>
    <w:p w14:paraId="701CAE48" w14:textId="77777777" w:rsidR="006C2E9C" w:rsidRDefault="00000000" w:rsidP="00885330">
      <w:pPr>
        <w:numPr>
          <w:ilvl w:val="0"/>
          <w:numId w:val="4"/>
        </w:numPr>
        <w:rPr>
          <w:b/>
          <w:i/>
        </w:rPr>
      </w:pPr>
      <w:r>
        <w:rPr>
          <w:b/>
          <w:i/>
        </w:rPr>
        <w:t>Debt-to-Assets Ratio</w:t>
      </w:r>
    </w:p>
    <w:p w14:paraId="175703CF" w14:textId="37F61676" w:rsidR="006C2E9C" w:rsidRDefault="00DB3853" w:rsidP="00885330">
      <w:pPr>
        <w:jc w:val="center"/>
        <w:rPr>
          <w:b/>
          <w:i/>
        </w:rPr>
      </w:pPr>
      <w:r>
        <w:rPr>
          <w:b/>
          <w:i/>
          <w:noProof/>
        </w:rPr>
        <w:drawing>
          <wp:inline distT="0" distB="0" distL="0" distR="0" wp14:anchorId="2095119E" wp14:editId="739B0770">
            <wp:extent cx="5486400" cy="3200400"/>
            <wp:effectExtent l="0" t="0" r="0" b="0"/>
            <wp:docPr id="1308038485"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5B5A7F3" w14:textId="0A85942C" w:rsidR="006C2E9C" w:rsidRPr="003D0228" w:rsidRDefault="00000000" w:rsidP="003D0228">
      <w:pPr>
        <w:jc w:val="center"/>
        <w:rPr>
          <w:b/>
        </w:rPr>
      </w:pPr>
      <w:r>
        <w:rPr>
          <w:b/>
        </w:rPr>
        <w:t xml:space="preserve">Figure 8: Debt-to-asset </w:t>
      </w:r>
      <w:proofErr w:type="gramStart"/>
      <w:r>
        <w:rPr>
          <w:b/>
        </w:rPr>
        <w:t>ratio</w:t>
      </w:r>
      <w:r>
        <w:t>(</w:t>
      </w:r>
      <w:proofErr w:type="gramEnd"/>
      <w:r>
        <w:t>Source: Excel-developed)</w:t>
      </w:r>
    </w:p>
    <w:p w14:paraId="64F8F09D" w14:textId="6D654E3C" w:rsidR="006C2E9C" w:rsidRDefault="00000000" w:rsidP="00885330">
      <w:pPr>
        <w:rPr>
          <w:b/>
          <w:i/>
        </w:rPr>
      </w:pPr>
      <w:r>
        <w:t xml:space="preserve">As per the above </w:t>
      </w:r>
      <w:r w:rsidR="003D0228">
        <w:t>(</w:t>
      </w:r>
      <w:r w:rsidRPr="003D0228">
        <w:rPr>
          <w:b/>
          <w:bCs/>
          <w:i/>
          <w:iCs/>
        </w:rPr>
        <w:t>figure</w:t>
      </w:r>
      <w:r w:rsidR="003D0228" w:rsidRPr="003D0228">
        <w:rPr>
          <w:b/>
          <w:bCs/>
          <w:i/>
          <w:iCs/>
        </w:rPr>
        <w:t xml:space="preserve"> </w:t>
      </w:r>
      <w:r w:rsidRPr="003D0228">
        <w:rPr>
          <w:b/>
          <w:bCs/>
          <w:i/>
          <w:iCs/>
        </w:rPr>
        <w:t>8</w:t>
      </w:r>
      <w:r w:rsidR="003D0228">
        <w:rPr>
          <w:b/>
          <w:bCs/>
          <w:i/>
          <w:iCs/>
        </w:rPr>
        <w:t>)</w:t>
      </w:r>
      <w:r w:rsidR="003D0228">
        <w:t xml:space="preserve"> </w:t>
      </w:r>
      <w:r>
        <w:t xml:space="preserve">the debt-to-asset ratio in 2023 was 0.23 for the </w:t>
      </w:r>
      <w:r w:rsidR="00DB3853">
        <w:t>City Hotel</w:t>
      </w:r>
      <w:r w:rsidR="003D0228">
        <w:t>,</w:t>
      </w:r>
      <w:r>
        <w:t xml:space="preserve"> </w:t>
      </w:r>
      <w:r w:rsidR="003D0228">
        <w:t>while</w:t>
      </w:r>
      <w:r>
        <w:t xml:space="preserve"> in 2022 this was </w:t>
      </w:r>
      <w:r w:rsidR="003D0228">
        <w:t>0.19 and</w:t>
      </w:r>
      <w:r>
        <w:t xml:space="preserve"> in 2021 there was no debt of the company. </w:t>
      </w:r>
      <w:r w:rsidR="003D0228">
        <w:t>T</w:t>
      </w:r>
      <w:r>
        <w:t xml:space="preserve">his has been indicating that company debt against their assets increased in 2023. </w:t>
      </w:r>
      <w:r w:rsidR="003D0228">
        <w:t>In this case,</w:t>
      </w:r>
      <w:r>
        <w:t xml:space="preserve"> this has caused a high risk for the company to seek investment while facing financial loss in a drastic manner.  </w:t>
      </w:r>
    </w:p>
    <w:p w14:paraId="3D33AF5F" w14:textId="700DEBB7" w:rsidR="006C2E9C" w:rsidRDefault="001E3A35" w:rsidP="00885330">
      <w:pPr>
        <w:pStyle w:val="Heading1"/>
      </w:pPr>
      <w:bookmarkStart w:id="6" w:name="_3rjme064jsvg" w:colFirst="0" w:colLast="0"/>
      <w:bookmarkStart w:id="7" w:name="_Toc182479984"/>
      <w:bookmarkStart w:id="8" w:name="_Toc182480103"/>
      <w:bookmarkEnd w:id="6"/>
      <w:r>
        <w:t xml:space="preserve">Key reasons behind the decline in profitability, </w:t>
      </w:r>
      <w:r w:rsidR="003D0228">
        <w:t>based</w:t>
      </w:r>
      <w:r>
        <w:t xml:space="preserve"> </w:t>
      </w:r>
      <w:r w:rsidR="003D0228">
        <w:t xml:space="preserve">on </w:t>
      </w:r>
      <w:r>
        <w:t>real-world events and the current economy.</w:t>
      </w:r>
      <w:bookmarkEnd w:id="7"/>
      <w:bookmarkEnd w:id="8"/>
      <w:r>
        <w:t xml:space="preserve">  </w:t>
      </w:r>
    </w:p>
    <w:p w14:paraId="02DB9E6A" w14:textId="538D06BE" w:rsidR="006C2E9C" w:rsidRDefault="00000000" w:rsidP="00885330">
      <w:r>
        <w:t xml:space="preserve">The key reasons that might be contributing to the declining financial performance of the </w:t>
      </w:r>
      <w:r w:rsidR="00DB3853">
        <w:t>City Hotel</w:t>
      </w:r>
      <w:r>
        <w:t xml:space="preserve"> may be as follows:</w:t>
      </w:r>
    </w:p>
    <w:p w14:paraId="3E590640" w14:textId="2E6523B9" w:rsidR="006C2E9C" w:rsidRDefault="00000000" w:rsidP="00885330">
      <w:pPr>
        <w:numPr>
          <w:ilvl w:val="0"/>
          <w:numId w:val="3"/>
        </w:numPr>
      </w:pPr>
      <w:r>
        <w:rPr>
          <w:b/>
        </w:rPr>
        <w:t>Transforming market dynamics</w:t>
      </w:r>
      <w:r>
        <w:t xml:space="preserve">: The UK hospitality industry is witnessing significant transformations in key consumption patterns and consumer preferences with an increasing demand for sustainable and digitalised services (Auditel, 2019). A recent report </w:t>
      </w:r>
      <w:r w:rsidR="003D0228">
        <w:t>showed</w:t>
      </w:r>
      <w:r>
        <w:t xml:space="preserve"> that non-compliance with the prevailing sustainability demands in the industry is a high-</w:t>
      </w:r>
      <w:r>
        <w:lastRenderedPageBreak/>
        <w:t xml:space="preserve">risk factor for at least 24% of all UK hospitality establishments (Chemmanur, 2024). The same holds </w:t>
      </w:r>
      <w:r w:rsidR="003D0228">
        <w:t xml:space="preserve">true </w:t>
      </w:r>
      <w:r>
        <w:t xml:space="preserve">for The </w:t>
      </w:r>
      <w:r w:rsidR="00DB3853">
        <w:t>City Hotel</w:t>
      </w:r>
      <w:r>
        <w:t xml:space="preserve"> </w:t>
      </w:r>
      <w:r w:rsidR="003D0228">
        <w:t>which</w:t>
      </w:r>
      <w:r>
        <w:t xml:space="preserve">, due to </w:t>
      </w:r>
      <w:r w:rsidR="003D0228">
        <w:t xml:space="preserve">a </w:t>
      </w:r>
      <w:r>
        <w:t xml:space="preserve">lack of disposable revenue </w:t>
      </w:r>
      <w:r w:rsidR="003D0228">
        <w:t>cannot</w:t>
      </w:r>
      <w:r>
        <w:t xml:space="preserve"> invest </w:t>
      </w:r>
      <w:r w:rsidR="003D0228">
        <w:t>effectively</w:t>
      </w:r>
      <w:r>
        <w:t xml:space="preserve"> in sustainability initiatives. </w:t>
      </w:r>
    </w:p>
    <w:p w14:paraId="78519280" w14:textId="07D22099" w:rsidR="006C2E9C" w:rsidRDefault="00000000" w:rsidP="00885330">
      <w:pPr>
        <w:numPr>
          <w:ilvl w:val="0"/>
          <w:numId w:val="3"/>
        </w:numPr>
      </w:pPr>
      <w:r>
        <w:rPr>
          <w:b/>
        </w:rPr>
        <w:t>Intensifying competition</w:t>
      </w:r>
      <w:r>
        <w:t>: Following a remarkable rebound in 2023, the UK hospitality industry is witnessing significant competition, especially in meeting employee requirements, owing to many other sectors seeking a similar skill set, such as retail and healthcare (Allianz, 2024). Competition is also increasing in the industrial sub-sectors such as restaurants, fast food chains</w:t>
      </w:r>
      <w:r w:rsidR="003D0228">
        <w:t>,</w:t>
      </w:r>
      <w:r>
        <w:t xml:space="preserve"> and many more. </w:t>
      </w:r>
      <w:r w:rsidR="003D0228">
        <w:t>During</w:t>
      </w:r>
      <w:r>
        <w:t xml:space="preserve"> such intensifying competition, the </w:t>
      </w:r>
      <w:r w:rsidR="00DB3853">
        <w:t>City Hotel</w:t>
      </w:r>
      <w:r>
        <w:t xml:space="preserve"> is struggling to </w:t>
      </w:r>
      <w:r w:rsidR="003D0228">
        <w:t>meet</w:t>
      </w:r>
      <w:r>
        <w:t xml:space="preserve"> its staff requirements, which is evident in declining employee costs from </w:t>
      </w:r>
      <w:r w:rsidR="009C13CA">
        <w:t>£</w:t>
      </w:r>
      <w:proofErr w:type="gramStart"/>
      <w:r>
        <w:t>1,724,760  in</w:t>
      </w:r>
      <w:proofErr w:type="gramEnd"/>
      <w:r>
        <w:t xml:space="preserve"> 2021 to </w:t>
      </w:r>
      <w:r w:rsidR="009C13CA">
        <w:t>£</w:t>
      </w:r>
      <w:r>
        <w:t xml:space="preserve">1,233,160 in 2023 (refer to the case study). </w:t>
      </w:r>
    </w:p>
    <w:p w14:paraId="6C6E33C1" w14:textId="5DA4C28D" w:rsidR="006C2E9C" w:rsidRDefault="00000000" w:rsidP="00885330">
      <w:pPr>
        <w:numPr>
          <w:ilvl w:val="0"/>
          <w:numId w:val="3"/>
        </w:numPr>
      </w:pPr>
      <w:r>
        <w:rPr>
          <w:b/>
        </w:rPr>
        <w:t>Inflation and economic uncertainty</w:t>
      </w:r>
      <w:r>
        <w:t>: In the UK, prevailing inflationary pressures in 2023 have given rise to the cost of doing business, as operational costs are fast reaching unsustainable rates. During this period, more than 1/3rd of the hospitality establishments in the country face</w:t>
      </w:r>
      <w:r w:rsidR="003D0228">
        <w:t>d</w:t>
      </w:r>
      <w:r>
        <w:t xml:space="preserve"> the threat of business </w:t>
      </w:r>
      <w:r w:rsidR="003D0228">
        <w:t>crash</w:t>
      </w:r>
      <w:r>
        <w:t xml:space="preserve">, while 96% of these establishments have witnessed a hike in energy expenses (UK Hospitality, 2023). This is one of the key issues impacting the </w:t>
      </w:r>
      <w:r w:rsidR="00DB3853">
        <w:t>City Hotel</w:t>
      </w:r>
      <w:r>
        <w:t xml:space="preserve"> as it has simultaneously increased operational costs while </w:t>
      </w:r>
      <w:r w:rsidR="00FF7BBB">
        <w:t>reducing</w:t>
      </w:r>
      <w:r>
        <w:t xml:space="preserve"> consumption demand. </w:t>
      </w:r>
    </w:p>
    <w:p w14:paraId="5AC46BAC" w14:textId="509A326C" w:rsidR="006C2E9C" w:rsidRDefault="00000000" w:rsidP="00885330">
      <w:pPr>
        <w:numPr>
          <w:ilvl w:val="0"/>
          <w:numId w:val="3"/>
        </w:numPr>
      </w:pPr>
      <w:r>
        <w:rPr>
          <w:b/>
        </w:rPr>
        <w:t>Labour shortage</w:t>
      </w:r>
      <w:r>
        <w:t xml:space="preserve">: According to a recent survey, more than 53% of UK hospitality </w:t>
      </w:r>
      <w:r w:rsidR="00FF7BBB">
        <w:t>institutions</w:t>
      </w:r>
      <w:r>
        <w:t xml:space="preserve"> are found to be suffering from labour shortages, leading to high employee turnover, staff burnout</w:t>
      </w:r>
      <w:r w:rsidR="00FF7BBB">
        <w:t>,</w:t>
      </w:r>
      <w:r>
        <w:t xml:space="preserve"> and a generally low morale </w:t>
      </w:r>
      <w:r w:rsidR="00FF7BBB">
        <w:t>predominant</w:t>
      </w:r>
      <w:r>
        <w:t xml:space="preserve"> in the industry (Axonify, 2024). A key solution for this issue is increased investment in employee training, development</w:t>
      </w:r>
      <w:r w:rsidR="00FF7BBB">
        <w:t>,</w:t>
      </w:r>
      <w:r>
        <w:t xml:space="preserve"> and overall well-being. This issue is likely to impact the </w:t>
      </w:r>
      <w:r w:rsidR="00FF7BBB">
        <w:t xml:space="preserve">operational </w:t>
      </w:r>
      <w:r>
        <w:t xml:space="preserve">profitability of the </w:t>
      </w:r>
      <w:r w:rsidR="00DB3853">
        <w:t>City Hotel</w:t>
      </w:r>
      <w:r>
        <w:t xml:space="preserve"> as well.</w:t>
      </w:r>
    </w:p>
    <w:p w14:paraId="3C63895D" w14:textId="37659728" w:rsidR="006C2E9C" w:rsidRDefault="00000000" w:rsidP="00885330">
      <w:pPr>
        <w:numPr>
          <w:ilvl w:val="0"/>
          <w:numId w:val="3"/>
        </w:numPr>
      </w:pPr>
      <w:r>
        <w:rPr>
          <w:b/>
        </w:rPr>
        <w:t>Technological investment requirement</w:t>
      </w:r>
      <w:r>
        <w:t xml:space="preserve">: Technological </w:t>
      </w:r>
      <w:r w:rsidR="00FF7BBB">
        <w:t>progress</w:t>
      </w:r>
      <w:r>
        <w:t xml:space="preserve"> is one of the defining features of the contemporary hospitality industry worldwide. In the UK, technological </w:t>
      </w:r>
      <w:r w:rsidR="00FF7BBB">
        <w:t>progress</w:t>
      </w:r>
      <w:r>
        <w:t xml:space="preserve"> has </w:t>
      </w:r>
      <w:r w:rsidR="00FF7BBB">
        <w:t>amended</w:t>
      </w:r>
      <w:r>
        <w:t xml:space="preserve"> the consumption patterns </w:t>
      </w:r>
      <w:r w:rsidR="00FF7BBB">
        <w:t>dominant</w:t>
      </w:r>
      <w:r>
        <w:t xml:space="preserve"> in the industry, with future guests seeking a more automated and </w:t>
      </w:r>
      <w:r w:rsidR="00FF7BBB">
        <w:t>digitalised</w:t>
      </w:r>
      <w:r>
        <w:t xml:space="preserve"> hospitality experience (</w:t>
      </w:r>
      <w:proofErr w:type="spellStart"/>
      <w:r>
        <w:t>Jiwnani</w:t>
      </w:r>
      <w:proofErr w:type="spellEnd"/>
      <w:r>
        <w:t xml:space="preserve">, 2024). Although such </w:t>
      </w:r>
      <w:r w:rsidR="00FF7BBB">
        <w:t>improvements</w:t>
      </w:r>
      <w:r>
        <w:t xml:space="preserve"> can help organisations overcome various service experience issues such as staff shortage and high wait times, they </w:t>
      </w:r>
      <w:r w:rsidR="00FF7BBB">
        <w:t>require</w:t>
      </w:r>
      <w:r>
        <w:t xml:space="preserve"> </w:t>
      </w:r>
      <w:r w:rsidR="00FF7BBB">
        <w:t>considerable</w:t>
      </w:r>
      <w:r>
        <w:t xml:space="preserve"> capital investment in technological transformation and modification. This is a major issue for </w:t>
      </w:r>
      <w:r w:rsidR="00DB3853">
        <w:t>City Hotel</w:t>
      </w:r>
      <w:r>
        <w:t xml:space="preserve"> as it lacks the necessary resources to introduce </w:t>
      </w:r>
      <w:r w:rsidR="00FF7BBB">
        <w:t>required</w:t>
      </w:r>
      <w:r>
        <w:t xml:space="preserve"> technological </w:t>
      </w:r>
      <w:r w:rsidR="00FF7BBB">
        <w:t>innovations</w:t>
      </w:r>
      <w:r>
        <w:t xml:space="preserve">. </w:t>
      </w:r>
    </w:p>
    <w:p w14:paraId="5199937E" w14:textId="77777777" w:rsidR="006C2E9C" w:rsidRDefault="00000000" w:rsidP="00885330">
      <w:pPr>
        <w:rPr>
          <w:b/>
        </w:rPr>
      </w:pPr>
      <w:r>
        <w:rPr>
          <w:b/>
        </w:rPr>
        <w:lastRenderedPageBreak/>
        <w:t>Can the hotel be saved?</w:t>
      </w:r>
    </w:p>
    <w:p w14:paraId="616BDE22" w14:textId="7DE8D70B" w:rsidR="00783AE3" w:rsidRDefault="00000000" w:rsidP="00783AE3">
      <w:pPr>
        <w:pStyle w:val="Heading1"/>
        <w:rPr>
          <w:b w:val="0"/>
          <w:bCs/>
          <w:sz w:val="24"/>
          <w:szCs w:val="24"/>
        </w:rPr>
      </w:pPr>
      <w:r w:rsidRPr="00783AE3">
        <w:rPr>
          <w:b w:val="0"/>
          <w:bCs/>
          <w:sz w:val="24"/>
          <w:szCs w:val="24"/>
        </w:rPr>
        <w:t xml:space="preserve">The </w:t>
      </w:r>
      <w:r w:rsidR="009C13CA" w:rsidRPr="00783AE3">
        <w:rPr>
          <w:b w:val="0"/>
          <w:bCs/>
          <w:sz w:val="24"/>
          <w:szCs w:val="24"/>
        </w:rPr>
        <w:t>existing</w:t>
      </w:r>
      <w:r w:rsidRPr="00783AE3">
        <w:rPr>
          <w:b w:val="0"/>
          <w:bCs/>
          <w:sz w:val="24"/>
          <w:szCs w:val="24"/>
        </w:rPr>
        <w:t xml:space="preserve"> issues impacting the </w:t>
      </w:r>
      <w:r w:rsidR="00DB3853" w:rsidRPr="00783AE3">
        <w:rPr>
          <w:b w:val="0"/>
          <w:bCs/>
          <w:sz w:val="24"/>
          <w:szCs w:val="24"/>
        </w:rPr>
        <w:t>City Hotel</w:t>
      </w:r>
      <w:r w:rsidRPr="00783AE3">
        <w:rPr>
          <w:b w:val="0"/>
          <w:bCs/>
          <w:sz w:val="24"/>
          <w:szCs w:val="24"/>
        </w:rPr>
        <w:t xml:space="preserve"> are undoubtedly </w:t>
      </w:r>
      <w:r w:rsidR="009C13CA" w:rsidRPr="00783AE3">
        <w:rPr>
          <w:b w:val="0"/>
          <w:bCs/>
          <w:sz w:val="24"/>
          <w:szCs w:val="24"/>
        </w:rPr>
        <w:t>serious</w:t>
      </w:r>
      <w:r w:rsidRPr="00783AE3">
        <w:rPr>
          <w:b w:val="0"/>
          <w:bCs/>
          <w:sz w:val="24"/>
          <w:szCs w:val="24"/>
        </w:rPr>
        <w:t xml:space="preserve">, however, the hotel can be saved with the help of strategic realignment. For instance, the hotel may seek to implement energy-efficient systems to reduce its energy costs </w:t>
      </w:r>
      <w:proofErr w:type="gramStart"/>
      <w:r w:rsidRPr="00783AE3">
        <w:rPr>
          <w:b w:val="0"/>
          <w:bCs/>
          <w:sz w:val="24"/>
          <w:szCs w:val="24"/>
        </w:rPr>
        <w:t>and also</w:t>
      </w:r>
      <w:proofErr w:type="gramEnd"/>
      <w:r w:rsidRPr="00783AE3">
        <w:rPr>
          <w:b w:val="0"/>
          <w:bCs/>
          <w:sz w:val="24"/>
          <w:szCs w:val="24"/>
        </w:rPr>
        <w:t xml:space="preserve"> meet the </w:t>
      </w:r>
      <w:r w:rsidR="009C13CA" w:rsidRPr="00783AE3">
        <w:rPr>
          <w:b w:val="0"/>
          <w:bCs/>
          <w:sz w:val="24"/>
          <w:szCs w:val="24"/>
        </w:rPr>
        <w:t>existing</w:t>
      </w:r>
      <w:r w:rsidRPr="00783AE3">
        <w:rPr>
          <w:b w:val="0"/>
          <w:bCs/>
          <w:sz w:val="24"/>
          <w:szCs w:val="24"/>
        </w:rPr>
        <w:t xml:space="preserve"> market demand for sustainability. </w:t>
      </w:r>
      <w:r w:rsidR="00FF7BBB" w:rsidRPr="00783AE3">
        <w:rPr>
          <w:b w:val="0"/>
          <w:bCs/>
          <w:sz w:val="24"/>
          <w:szCs w:val="24"/>
        </w:rPr>
        <w:t xml:space="preserve">Focus on building and maintaining strong online reviews, particularly on platforms like TripAdvisor, Google, and Booking.com, which influence customer decisions. Introducing loyalty programs, personalized experiences, and customer engagement strategies to build a loyal customer base. </w:t>
      </w:r>
      <w:bookmarkStart w:id="9" w:name="_mogeadblvedf" w:colFirst="0" w:colLast="0"/>
      <w:bookmarkStart w:id="10" w:name="_Toc182479985"/>
      <w:bookmarkStart w:id="11" w:name="_Toc182480104"/>
      <w:bookmarkEnd w:id="9"/>
      <w:r w:rsidR="00783AE3" w:rsidRPr="00783AE3">
        <w:rPr>
          <w:b w:val="0"/>
          <w:bCs/>
          <w:sz w:val="24"/>
          <w:szCs w:val="24"/>
        </w:rPr>
        <w:t xml:space="preserve">To tackle staffing challenges, the hotel could focus on enhancing employee skills through training and development programs. Partnering with tech startups that offer creative and budget-friendly solutions tailored for the hospitality sector could help the hotel stay modern and competitive without stretching </w:t>
      </w:r>
      <w:r w:rsidR="00783AE3">
        <w:rPr>
          <w:b w:val="0"/>
          <w:bCs/>
          <w:sz w:val="24"/>
          <w:szCs w:val="24"/>
        </w:rPr>
        <w:t>the</w:t>
      </w:r>
      <w:r w:rsidR="00783AE3" w:rsidRPr="00783AE3">
        <w:rPr>
          <w:b w:val="0"/>
          <w:bCs/>
          <w:sz w:val="24"/>
          <w:szCs w:val="24"/>
        </w:rPr>
        <w:t xml:space="preserve"> finances.</w:t>
      </w:r>
      <w:r w:rsidR="00783AE3">
        <w:rPr>
          <w:b w:val="0"/>
          <w:bCs/>
          <w:sz w:val="24"/>
          <w:szCs w:val="24"/>
        </w:rPr>
        <w:t xml:space="preserve"> </w:t>
      </w:r>
      <w:r w:rsidR="00783AE3" w:rsidRPr="00783AE3">
        <w:rPr>
          <w:b w:val="0"/>
          <w:bCs/>
          <w:sz w:val="24"/>
          <w:szCs w:val="24"/>
        </w:rPr>
        <w:t xml:space="preserve">Creating a clear path for career advancement within the hotel can help reduce turnover. Staff are more likely to stay if they see </w:t>
      </w:r>
      <w:r w:rsidR="00783AE3">
        <w:rPr>
          <w:b w:val="0"/>
          <w:bCs/>
          <w:sz w:val="24"/>
          <w:szCs w:val="24"/>
        </w:rPr>
        <w:t>growth opportunities</w:t>
      </w:r>
      <w:r w:rsidR="00783AE3" w:rsidRPr="00783AE3">
        <w:rPr>
          <w:b w:val="0"/>
          <w:bCs/>
          <w:sz w:val="24"/>
          <w:szCs w:val="24"/>
        </w:rPr>
        <w:t>.</w:t>
      </w:r>
    </w:p>
    <w:p w14:paraId="48B60657" w14:textId="77777777" w:rsidR="00783AE3" w:rsidRPr="00783AE3" w:rsidRDefault="00783AE3" w:rsidP="00783AE3"/>
    <w:p w14:paraId="4EF28B64" w14:textId="1265AB5E" w:rsidR="006C2E9C" w:rsidRDefault="001E3A35" w:rsidP="00885330">
      <w:pPr>
        <w:pStyle w:val="Heading1"/>
        <w:rPr>
          <w:shd w:val="clear" w:color="auto" w:fill="D5A6BD"/>
        </w:rPr>
      </w:pPr>
      <w:r>
        <w:lastRenderedPageBreak/>
        <w:t xml:space="preserve">Turnaround strategy to </w:t>
      </w:r>
      <w:r w:rsidR="009C13CA">
        <w:t xml:space="preserve">recover </w:t>
      </w:r>
      <w:r>
        <w:t>the hotel’s financial health and restore its reputation, or the most viable financial outcome for the owner.</w:t>
      </w:r>
      <w:bookmarkEnd w:id="10"/>
      <w:bookmarkEnd w:id="11"/>
      <w:r>
        <w:t xml:space="preserve">  </w:t>
      </w:r>
    </w:p>
    <w:p w14:paraId="49DA61E8" w14:textId="77777777" w:rsidR="006C2E9C" w:rsidRDefault="00000000" w:rsidP="00885330">
      <w:pPr>
        <w:pStyle w:val="Heading2"/>
      </w:pPr>
      <w:bookmarkStart w:id="12" w:name="_7l780xw33df2" w:colFirst="0" w:colLast="0"/>
      <w:bookmarkStart w:id="13" w:name="_Toc182479986"/>
      <w:bookmarkStart w:id="14" w:name="_Toc182480105"/>
      <w:bookmarkEnd w:id="12"/>
      <w:r>
        <w:t>Risk Management Analysis</w:t>
      </w:r>
      <w:bookmarkEnd w:id="13"/>
      <w:bookmarkEnd w:id="14"/>
      <w:r>
        <w:t xml:space="preserve"> </w:t>
      </w:r>
    </w:p>
    <w:tbl>
      <w:tblPr>
        <w:tblStyle w:val="a"/>
        <w:tblW w:w="9588"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8"/>
        <w:gridCol w:w="1337"/>
        <w:gridCol w:w="1337"/>
        <w:gridCol w:w="1337"/>
        <w:gridCol w:w="1337"/>
        <w:gridCol w:w="1337"/>
        <w:gridCol w:w="1565"/>
      </w:tblGrid>
      <w:tr w:rsidR="00193781" w14:paraId="4118BFE9" w14:textId="77777777" w:rsidTr="001A0B8F">
        <w:trPr>
          <w:cantSplit/>
          <w:trHeight w:val="440"/>
          <w:tblHeader/>
        </w:trPr>
        <w:tc>
          <w:tcPr>
            <w:tcW w:w="1338" w:type="dxa"/>
            <w:shd w:val="clear" w:color="auto" w:fill="auto"/>
            <w:tcMar>
              <w:top w:w="100" w:type="dxa"/>
              <w:left w:w="100" w:type="dxa"/>
              <w:bottom w:w="100" w:type="dxa"/>
              <w:right w:w="100" w:type="dxa"/>
            </w:tcMar>
          </w:tcPr>
          <w:p w14:paraId="59EACE4E" w14:textId="77777777" w:rsidR="006C2E9C" w:rsidRDefault="006C2E9C" w:rsidP="00885330">
            <w:pPr>
              <w:widowControl w:val="0"/>
              <w:jc w:val="center"/>
              <w:rPr>
                <w:b/>
              </w:rPr>
            </w:pPr>
          </w:p>
        </w:tc>
        <w:tc>
          <w:tcPr>
            <w:tcW w:w="8250" w:type="dxa"/>
            <w:gridSpan w:val="6"/>
            <w:shd w:val="clear" w:color="auto" w:fill="auto"/>
            <w:tcMar>
              <w:top w:w="100" w:type="dxa"/>
              <w:left w:w="100" w:type="dxa"/>
              <w:bottom w:w="100" w:type="dxa"/>
              <w:right w:w="100" w:type="dxa"/>
            </w:tcMar>
          </w:tcPr>
          <w:p w14:paraId="1FF97C0D" w14:textId="77777777" w:rsidR="006C2E9C" w:rsidRDefault="00000000" w:rsidP="00885330">
            <w:pPr>
              <w:widowControl w:val="0"/>
              <w:jc w:val="center"/>
              <w:rPr>
                <w:b/>
                <w:sz w:val="58"/>
                <w:szCs w:val="58"/>
              </w:rPr>
            </w:pPr>
            <w:r w:rsidRPr="00CC353F">
              <w:rPr>
                <w:b/>
                <w:color w:val="FF0000"/>
              </w:rPr>
              <w:t>Severity</w:t>
            </w:r>
            <w:r w:rsidRPr="00CC353F">
              <w:rPr>
                <w:b/>
                <w:color w:val="FF0000"/>
                <w:sz w:val="10"/>
                <w:szCs w:val="10"/>
              </w:rPr>
              <w:t xml:space="preserve"> </w:t>
            </w:r>
            <w:r w:rsidRPr="00CC353F">
              <w:rPr>
                <w:rFonts w:ascii="Cardo" w:eastAsia="Cardo" w:hAnsi="Cardo" w:cs="Cardo"/>
                <w:b/>
                <w:color w:val="FF0000"/>
                <w:sz w:val="58"/>
                <w:szCs w:val="58"/>
              </w:rPr>
              <w:t>→</w:t>
            </w:r>
          </w:p>
        </w:tc>
      </w:tr>
      <w:tr w:rsidR="00193781" w14:paraId="3CE1838D" w14:textId="77777777" w:rsidTr="001A0B8F">
        <w:trPr>
          <w:cantSplit/>
          <w:trHeight w:val="440"/>
          <w:tblHeader/>
        </w:trPr>
        <w:tc>
          <w:tcPr>
            <w:tcW w:w="1338" w:type="dxa"/>
            <w:vMerge w:val="restart"/>
            <w:shd w:val="clear" w:color="auto" w:fill="auto"/>
            <w:tcMar>
              <w:top w:w="100" w:type="dxa"/>
              <w:left w:w="100" w:type="dxa"/>
              <w:bottom w:w="100" w:type="dxa"/>
              <w:right w:w="100" w:type="dxa"/>
            </w:tcMar>
          </w:tcPr>
          <w:p w14:paraId="6D872888" w14:textId="77777777" w:rsidR="006C2E9C" w:rsidRPr="00CC353F" w:rsidRDefault="00000000" w:rsidP="00885330">
            <w:pPr>
              <w:widowControl w:val="0"/>
              <w:jc w:val="center"/>
              <w:rPr>
                <w:b/>
                <w:color w:val="5F497A" w:themeColor="accent4" w:themeShade="BF"/>
              </w:rPr>
            </w:pPr>
            <w:r w:rsidRPr="00CC353F">
              <w:rPr>
                <w:b/>
                <w:color w:val="5F497A" w:themeColor="accent4" w:themeShade="BF"/>
              </w:rPr>
              <w:t>Likelihood</w:t>
            </w:r>
          </w:p>
          <w:p w14:paraId="752ACFE8" w14:textId="77777777" w:rsidR="006C2E9C" w:rsidRDefault="00000000" w:rsidP="00885330">
            <w:pPr>
              <w:widowControl w:val="0"/>
              <w:jc w:val="center"/>
              <w:rPr>
                <w:b/>
                <w:sz w:val="82"/>
                <w:szCs w:val="82"/>
              </w:rPr>
            </w:pPr>
            <w:r w:rsidRPr="00CC353F">
              <w:rPr>
                <w:rFonts w:ascii="Cardo" w:eastAsia="Cardo" w:hAnsi="Cardo" w:cs="Cardo"/>
                <w:b/>
                <w:color w:val="5F497A" w:themeColor="accent4" w:themeShade="BF"/>
                <w:sz w:val="82"/>
                <w:szCs w:val="82"/>
              </w:rPr>
              <w:t xml:space="preserve">↑ </w:t>
            </w:r>
          </w:p>
        </w:tc>
        <w:tc>
          <w:tcPr>
            <w:tcW w:w="1337" w:type="dxa"/>
            <w:shd w:val="clear" w:color="auto" w:fill="auto"/>
            <w:tcMar>
              <w:top w:w="100" w:type="dxa"/>
              <w:left w:w="100" w:type="dxa"/>
              <w:bottom w:w="100" w:type="dxa"/>
              <w:right w:w="100" w:type="dxa"/>
            </w:tcMar>
          </w:tcPr>
          <w:p w14:paraId="248201A6" w14:textId="77777777" w:rsidR="00CC353F" w:rsidRPr="00CC353F" w:rsidRDefault="00CC353F" w:rsidP="00885330">
            <w:pPr>
              <w:widowControl w:val="0"/>
              <w:jc w:val="center"/>
              <w:rPr>
                <w:b/>
                <w:color w:val="4F81BD" w:themeColor="accent1"/>
                <w:sz w:val="20"/>
                <w:szCs w:val="20"/>
              </w:rPr>
            </w:pPr>
          </w:p>
          <w:p w14:paraId="0676E3B5" w14:textId="1C69DE4D" w:rsidR="006C2E9C" w:rsidRPr="00CC353F" w:rsidRDefault="00000000" w:rsidP="00885330">
            <w:pPr>
              <w:widowControl w:val="0"/>
              <w:jc w:val="center"/>
              <w:rPr>
                <w:b/>
                <w:color w:val="4F81BD" w:themeColor="accent1"/>
                <w:sz w:val="20"/>
                <w:szCs w:val="20"/>
              </w:rPr>
            </w:pPr>
            <w:r w:rsidRPr="00CC353F">
              <w:rPr>
                <w:b/>
                <w:color w:val="4F81BD" w:themeColor="accent1"/>
                <w:sz w:val="20"/>
                <w:szCs w:val="20"/>
              </w:rPr>
              <w:t>Measures</w:t>
            </w:r>
          </w:p>
        </w:tc>
        <w:tc>
          <w:tcPr>
            <w:tcW w:w="1337" w:type="dxa"/>
            <w:shd w:val="clear" w:color="auto" w:fill="auto"/>
            <w:tcMar>
              <w:top w:w="100" w:type="dxa"/>
              <w:left w:w="100" w:type="dxa"/>
              <w:bottom w:w="100" w:type="dxa"/>
              <w:right w:w="100" w:type="dxa"/>
            </w:tcMar>
          </w:tcPr>
          <w:p w14:paraId="1A0A43F0" w14:textId="77777777" w:rsidR="006C2E9C" w:rsidRPr="00CC353F" w:rsidRDefault="00000000" w:rsidP="00885330">
            <w:pPr>
              <w:widowControl w:val="0"/>
              <w:jc w:val="center"/>
              <w:rPr>
                <w:b/>
                <w:color w:val="FF0000"/>
                <w:sz w:val="20"/>
                <w:szCs w:val="20"/>
              </w:rPr>
            </w:pPr>
            <w:r w:rsidRPr="00CC353F">
              <w:rPr>
                <w:b/>
                <w:color w:val="FF0000"/>
                <w:sz w:val="20"/>
                <w:szCs w:val="20"/>
              </w:rPr>
              <w:t xml:space="preserve">1 Insignificant </w:t>
            </w:r>
          </w:p>
        </w:tc>
        <w:tc>
          <w:tcPr>
            <w:tcW w:w="1337" w:type="dxa"/>
            <w:shd w:val="clear" w:color="auto" w:fill="auto"/>
            <w:tcMar>
              <w:top w:w="100" w:type="dxa"/>
              <w:left w:w="100" w:type="dxa"/>
              <w:bottom w:w="100" w:type="dxa"/>
              <w:right w:w="100" w:type="dxa"/>
            </w:tcMar>
          </w:tcPr>
          <w:p w14:paraId="16DD15F9" w14:textId="77777777" w:rsidR="006C2E9C" w:rsidRPr="00CC353F" w:rsidRDefault="00000000" w:rsidP="00885330">
            <w:pPr>
              <w:widowControl w:val="0"/>
              <w:jc w:val="center"/>
              <w:rPr>
                <w:b/>
                <w:color w:val="FF0000"/>
                <w:sz w:val="20"/>
                <w:szCs w:val="20"/>
              </w:rPr>
            </w:pPr>
            <w:r w:rsidRPr="00CC353F">
              <w:rPr>
                <w:b/>
                <w:color w:val="FF0000"/>
                <w:sz w:val="20"/>
                <w:szCs w:val="20"/>
              </w:rPr>
              <w:t xml:space="preserve">2 </w:t>
            </w:r>
          </w:p>
          <w:p w14:paraId="3AA0A562" w14:textId="77777777" w:rsidR="006C2E9C" w:rsidRPr="00CC353F" w:rsidRDefault="00000000" w:rsidP="00885330">
            <w:pPr>
              <w:widowControl w:val="0"/>
              <w:jc w:val="center"/>
              <w:rPr>
                <w:b/>
                <w:color w:val="FF0000"/>
                <w:sz w:val="20"/>
                <w:szCs w:val="20"/>
              </w:rPr>
            </w:pPr>
            <w:r w:rsidRPr="00CC353F">
              <w:rPr>
                <w:b/>
                <w:color w:val="FF0000"/>
                <w:sz w:val="20"/>
                <w:szCs w:val="20"/>
              </w:rPr>
              <w:t xml:space="preserve">Minor </w:t>
            </w:r>
          </w:p>
        </w:tc>
        <w:tc>
          <w:tcPr>
            <w:tcW w:w="1337" w:type="dxa"/>
            <w:shd w:val="clear" w:color="auto" w:fill="auto"/>
            <w:tcMar>
              <w:top w:w="100" w:type="dxa"/>
              <w:left w:w="100" w:type="dxa"/>
              <w:bottom w:w="100" w:type="dxa"/>
              <w:right w:w="100" w:type="dxa"/>
            </w:tcMar>
          </w:tcPr>
          <w:p w14:paraId="3FF575B8" w14:textId="77777777" w:rsidR="006C2E9C" w:rsidRPr="00CC353F" w:rsidRDefault="00000000" w:rsidP="00885330">
            <w:pPr>
              <w:widowControl w:val="0"/>
              <w:jc w:val="center"/>
              <w:rPr>
                <w:b/>
                <w:color w:val="FF0000"/>
                <w:sz w:val="20"/>
                <w:szCs w:val="20"/>
              </w:rPr>
            </w:pPr>
            <w:r w:rsidRPr="00CC353F">
              <w:rPr>
                <w:b/>
                <w:color w:val="FF0000"/>
                <w:sz w:val="20"/>
                <w:szCs w:val="20"/>
              </w:rPr>
              <w:t>3</w:t>
            </w:r>
          </w:p>
          <w:p w14:paraId="46B1FADF" w14:textId="77777777" w:rsidR="006C2E9C" w:rsidRPr="00CC353F" w:rsidRDefault="00000000" w:rsidP="00885330">
            <w:pPr>
              <w:widowControl w:val="0"/>
              <w:jc w:val="center"/>
              <w:rPr>
                <w:b/>
                <w:color w:val="FF0000"/>
                <w:sz w:val="20"/>
                <w:szCs w:val="20"/>
              </w:rPr>
            </w:pPr>
            <w:r w:rsidRPr="00CC353F">
              <w:rPr>
                <w:b/>
                <w:color w:val="FF0000"/>
                <w:sz w:val="20"/>
                <w:szCs w:val="20"/>
              </w:rPr>
              <w:t xml:space="preserve">Moderate </w:t>
            </w:r>
          </w:p>
        </w:tc>
        <w:tc>
          <w:tcPr>
            <w:tcW w:w="1337" w:type="dxa"/>
            <w:shd w:val="clear" w:color="auto" w:fill="auto"/>
            <w:tcMar>
              <w:top w:w="100" w:type="dxa"/>
              <w:left w:w="100" w:type="dxa"/>
              <w:bottom w:w="100" w:type="dxa"/>
              <w:right w:w="100" w:type="dxa"/>
            </w:tcMar>
          </w:tcPr>
          <w:p w14:paraId="34F20D7C" w14:textId="77777777" w:rsidR="006C2E9C" w:rsidRPr="00CC353F" w:rsidRDefault="00000000" w:rsidP="00885330">
            <w:pPr>
              <w:widowControl w:val="0"/>
              <w:jc w:val="center"/>
              <w:rPr>
                <w:b/>
                <w:color w:val="FF0000"/>
                <w:sz w:val="20"/>
                <w:szCs w:val="20"/>
              </w:rPr>
            </w:pPr>
            <w:r w:rsidRPr="00CC353F">
              <w:rPr>
                <w:b/>
                <w:color w:val="FF0000"/>
                <w:sz w:val="20"/>
                <w:szCs w:val="20"/>
              </w:rPr>
              <w:t>4</w:t>
            </w:r>
          </w:p>
          <w:p w14:paraId="44FC2B08" w14:textId="77777777" w:rsidR="006C2E9C" w:rsidRPr="00CC353F" w:rsidRDefault="00000000" w:rsidP="00885330">
            <w:pPr>
              <w:widowControl w:val="0"/>
              <w:jc w:val="center"/>
              <w:rPr>
                <w:b/>
                <w:color w:val="FF0000"/>
                <w:sz w:val="20"/>
                <w:szCs w:val="20"/>
              </w:rPr>
            </w:pPr>
            <w:r w:rsidRPr="00CC353F">
              <w:rPr>
                <w:b/>
                <w:color w:val="FF0000"/>
                <w:sz w:val="20"/>
                <w:szCs w:val="20"/>
              </w:rPr>
              <w:t>Major</w:t>
            </w:r>
          </w:p>
        </w:tc>
        <w:tc>
          <w:tcPr>
            <w:tcW w:w="1565" w:type="dxa"/>
            <w:shd w:val="clear" w:color="auto" w:fill="auto"/>
            <w:tcMar>
              <w:top w:w="100" w:type="dxa"/>
              <w:left w:w="100" w:type="dxa"/>
              <w:bottom w:w="100" w:type="dxa"/>
              <w:right w:w="100" w:type="dxa"/>
            </w:tcMar>
          </w:tcPr>
          <w:p w14:paraId="190BBBB5" w14:textId="77777777" w:rsidR="006C2E9C" w:rsidRPr="00CC353F" w:rsidRDefault="00000000" w:rsidP="00885330">
            <w:pPr>
              <w:widowControl w:val="0"/>
              <w:jc w:val="center"/>
              <w:rPr>
                <w:b/>
                <w:color w:val="FF0000"/>
                <w:sz w:val="20"/>
                <w:szCs w:val="20"/>
              </w:rPr>
            </w:pPr>
            <w:r w:rsidRPr="00CC353F">
              <w:rPr>
                <w:b/>
                <w:color w:val="FF0000"/>
                <w:sz w:val="20"/>
                <w:szCs w:val="20"/>
              </w:rPr>
              <w:t>5</w:t>
            </w:r>
          </w:p>
          <w:p w14:paraId="722CD482" w14:textId="5EABA1BA" w:rsidR="006C2E9C" w:rsidRPr="00CC353F" w:rsidRDefault="001A0B8F" w:rsidP="00885330">
            <w:pPr>
              <w:widowControl w:val="0"/>
              <w:jc w:val="center"/>
              <w:rPr>
                <w:b/>
                <w:color w:val="FF0000"/>
                <w:sz w:val="20"/>
                <w:szCs w:val="20"/>
              </w:rPr>
            </w:pPr>
            <w:r>
              <w:rPr>
                <w:b/>
                <w:color w:val="FF0000"/>
                <w:sz w:val="20"/>
                <w:szCs w:val="20"/>
              </w:rPr>
              <w:t>Catastrophic</w:t>
            </w:r>
          </w:p>
        </w:tc>
      </w:tr>
      <w:tr w:rsidR="00193781" w14:paraId="2CA2513A" w14:textId="77777777" w:rsidTr="001A0B8F">
        <w:trPr>
          <w:cantSplit/>
          <w:trHeight w:val="440"/>
          <w:tblHeader/>
        </w:trPr>
        <w:tc>
          <w:tcPr>
            <w:tcW w:w="1338" w:type="dxa"/>
            <w:vMerge/>
            <w:shd w:val="clear" w:color="auto" w:fill="auto"/>
            <w:tcMar>
              <w:top w:w="100" w:type="dxa"/>
              <w:left w:w="100" w:type="dxa"/>
              <w:bottom w:w="100" w:type="dxa"/>
              <w:right w:w="100" w:type="dxa"/>
            </w:tcMar>
          </w:tcPr>
          <w:p w14:paraId="328089AC" w14:textId="77777777" w:rsidR="006C2E9C" w:rsidRDefault="006C2E9C" w:rsidP="00885330">
            <w:pPr>
              <w:widowControl w:val="0"/>
              <w:jc w:val="left"/>
              <w:rPr>
                <w:b/>
              </w:rPr>
            </w:pPr>
          </w:p>
        </w:tc>
        <w:tc>
          <w:tcPr>
            <w:tcW w:w="1337" w:type="dxa"/>
            <w:shd w:val="clear" w:color="auto" w:fill="auto"/>
            <w:tcMar>
              <w:top w:w="100" w:type="dxa"/>
              <w:left w:w="100" w:type="dxa"/>
              <w:bottom w:w="100" w:type="dxa"/>
              <w:right w:w="100" w:type="dxa"/>
            </w:tcMar>
          </w:tcPr>
          <w:p w14:paraId="082E4FF9" w14:textId="77777777" w:rsidR="006C2E9C" w:rsidRPr="00CC353F" w:rsidRDefault="00000000" w:rsidP="00885330">
            <w:pPr>
              <w:widowControl w:val="0"/>
              <w:jc w:val="center"/>
              <w:rPr>
                <w:b/>
                <w:color w:val="4F81BD" w:themeColor="accent1"/>
              </w:rPr>
            </w:pPr>
            <w:r w:rsidRPr="00CC353F">
              <w:rPr>
                <w:b/>
                <w:color w:val="4F81BD" w:themeColor="accent1"/>
              </w:rPr>
              <w:t>1</w:t>
            </w:r>
          </w:p>
          <w:p w14:paraId="73BEB7AE" w14:textId="77777777" w:rsidR="006C2E9C" w:rsidRPr="00CC353F" w:rsidRDefault="00000000" w:rsidP="00885330">
            <w:pPr>
              <w:widowControl w:val="0"/>
              <w:jc w:val="center"/>
              <w:rPr>
                <w:b/>
                <w:color w:val="4F81BD" w:themeColor="accent1"/>
              </w:rPr>
            </w:pPr>
            <w:r w:rsidRPr="00CC353F">
              <w:rPr>
                <w:b/>
                <w:color w:val="4F81BD" w:themeColor="accent1"/>
              </w:rPr>
              <w:t xml:space="preserve">Rare </w:t>
            </w:r>
          </w:p>
        </w:tc>
        <w:tc>
          <w:tcPr>
            <w:tcW w:w="1337" w:type="dxa"/>
            <w:shd w:val="clear" w:color="auto" w:fill="00FF00"/>
            <w:tcMar>
              <w:top w:w="100" w:type="dxa"/>
              <w:left w:w="100" w:type="dxa"/>
              <w:bottom w:w="100" w:type="dxa"/>
              <w:right w:w="100" w:type="dxa"/>
            </w:tcMar>
          </w:tcPr>
          <w:p w14:paraId="76997F33" w14:textId="77777777" w:rsidR="006C2E9C" w:rsidRDefault="00000000" w:rsidP="00885330">
            <w:pPr>
              <w:widowControl w:val="0"/>
              <w:jc w:val="center"/>
              <w:rPr>
                <w:b/>
              </w:rPr>
            </w:pPr>
            <w:r>
              <w:rPr>
                <w:b/>
              </w:rPr>
              <w:t>1</w:t>
            </w:r>
          </w:p>
        </w:tc>
        <w:tc>
          <w:tcPr>
            <w:tcW w:w="1337" w:type="dxa"/>
            <w:shd w:val="clear" w:color="auto" w:fill="93C47D"/>
            <w:tcMar>
              <w:top w:w="100" w:type="dxa"/>
              <w:left w:w="100" w:type="dxa"/>
              <w:bottom w:w="100" w:type="dxa"/>
              <w:right w:w="100" w:type="dxa"/>
            </w:tcMar>
          </w:tcPr>
          <w:p w14:paraId="79B1C46E" w14:textId="77777777" w:rsidR="006C2E9C" w:rsidRDefault="00000000" w:rsidP="00885330">
            <w:pPr>
              <w:widowControl w:val="0"/>
              <w:jc w:val="center"/>
              <w:rPr>
                <w:b/>
              </w:rPr>
            </w:pPr>
            <w:r>
              <w:rPr>
                <w:b/>
              </w:rPr>
              <w:t>2</w:t>
            </w:r>
          </w:p>
        </w:tc>
        <w:tc>
          <w:tcPr>
            <w:tcW w:w="1337" w:type="dxa"/>
            <w:shd w:val="clear" w:color="auto" w:fill="FFE599"/>
            <w:tcMar>
              <w:top w:w="100" w:type="dxa"/>
              <w:left w:w="100" w:type="dxa"/>
              <w:bottom w:w="100" w:type="dxa"/>
              <w:right w:w="100" w:type="dxa"/>
            </w:tcMar>
          </w:tcPr>
          <w:p w14:paraId="33C9A85F" w14:textId="77777777" w:rsidR="006C2E9C" w:rsidRDefault="00000000" w:rsidP="00885330">
            <w:pPr>
              <w:widowControl w:val="0"/>
              <w:jc w:val="center"/>
              <w:rPr>
                <w:b/>
              </w:rPr>
            </w:pPr>
            <w:r>
              <w:rPr>
                <w:b/>
              </w:rPr>
              <w:t>3</w:t>
            </w:r>
          </w:p>
        </w:tc>
        <w:tc>
          <w:tcPr>
            <w:tcW w:w="1337" w:type="dxa"/>
            <w:shd w:val="clear" w:color="auto" w:fill="FFD966"/>
            <w:tcMar>
              <w:top w:w="100" w:type="dxa"/>
              <w:left w:w="100" w:type="dxa"/>
              <w:bottom w:w="100" w:type="dxa"/>
              <w:right w:w="100" w:type="dxa"/>
            </w:tcMar>
          </w:tcPr>
          <w:p w14:paraId="5A4D1A74" w14:textId="77777777" w:rsidR="006C2E9C" w:rsidRDefault="00000000" w:rsidP="00885330">
            <w:pPr>
              <w:widowControl w:val="0"/>
              <w:jc w:val="center"/>
              <w:rPr>
                <w:b/>
              </w:rPr>
            </w:pPr>
            <w:r>
              <w:rPr>
                <w:b/>
              </w:rPr>
              <w:t>4</w:t>
            </w:r>
          </w:p>
        </w:tc>
        <w:tc>
          <w:tcPr>
            <w:tcW w:w="1565" w:type="dxa"/>
            <w:shd w:val="clear" w:color="auto" w:fill="F1C232"/>
            <w:tcMar>
              <w:top w:w="100" w:type="dxa"/>
              <w:left w:w="100" w:type="dxa"/>
              <w:bottom w:w="100" w:type="dxa"/>
              <w:right w:w="100" w:type="dxa"/>
            </w:tcMar>
          </w:tcPr>
          <w:p w14:paraId="5AFCBB17" w14:textId="77777777" w:rsidR="006C2E9C" w:rsidRDefault="00000000" w:rsidP="00885330">
            <w:pPr>
              <w:widowControl w:val="0"/>
              <w:jc w:val="center"/>
              <w:rPr>
                <w:b/>
              </w:rPr>
            </w:pPr>
            <w:r>
              <w:rPr>
                <w:b/>
              </w:rPr>
              <w:t>5</w:t>
            </w:r>
          </w:p>
        </w:tc>
      </w:tr>
      <w:tr w:rsidR="00193781" w14:paraId="1E5A45AD" w14:textId="77777777" w:rsidTr="001A0B8F">
        <w:trPr>
          <w:cantSplit/>
          <w:trHeight w:val="440"/>
          <w:tblHeader/>
        </w:trPr>
        <w:tc>
          <w:tcPr>
            <w:tcW w:w="1338" w:type="dxa"/>
            <w:vMerge/>
            <w:shd w:val="clear" w:color="auto" w:fill="auto"/>
            <w:tcMar>
              <w:top w:w="100" w:type="dxa"/>
              <w:left w:w="100" w:type="dxa"/>
              <w:bottom w:w="100" w:type="dxa"/>
              <w:right w:w="100" w:type="dxa"/>
            </w:tcMar>
          </w:tcPr>
          <w:p w14:paraId="6A12D8D0" w14:textId="77777777" w:rsidR="006C2E9C" w:rsidRDefault="006C2E9C" w:rsidP="00885330">
            <w:pPr>
              <w:widowControl w:val="0"/>
              <w:jc w:val="left"/>
              <w:rPr>
                <w:b/>
              </w:rPr>
            </w:pPr>
          </w:p>
        </w:tc>
        <w:tc>
          <w:tcPr>
            <w:tcW w:w="1337" w:type="dxa"/>
            <w:shd w:val="clear" w:color="auto" w:fill="auto"/>
            <w:tcMar>
              <w:top w:w="100" w:type="dxa"/>
              <w:left w:w="100" w:type="dxa"/>
              <w:bottom w:w="100" w:type="dxa"/>
              <w:right w:w="100" w:type="dxa"/>
            </w:tcMar>
          </w:tcPr>
          <w:p w14:paraId="70148CFC" w14:textId="77777777" w:rsidR="006C2E9C" w:rsidRPr="00CC353F" w:rsidRDefault="00000000" w:rsidP="00885330">
            <w:pPr>
              <w:widowControl w:val="0"/>
              <w:jc w:val="center"/>
              <w:rPr>
                <w:b/>
                <w:color w:val="4F81BD" w:themeColor="accent1"/>
              </w:rPr>
            </w:pPr>
            <w:r w:rsidRPr="00CC353F">
              <w:rPr>
                <w:b/>
                <w:color w:val="4F81BD" w:themeColor="accent1"/>
              </w:rPr>
              <w:t>2</w:t>
            </w:r>
          </w:p>
          <w:p w14:paraId="5F718F30" w14:textId="77777777" w:rsidR="006C2E9C" w:rsidRPr="00CC353F" w:rsidRDefault="00000000" w:rsidP="00885330">
            <w:pPr>
              <w:widowControl w:val="0"/>
              <w:jc w:val="center"/>
              <w:rPr>
                <w:b/>
                <w:color w:val="4F81BD" w:themeColor="accent1"/>
              </w:rPr>
            </w:pPr>
            <w:r w:rsidRPr="00CC353F">
              <w:rPr>
                <w:b/>
                <w:color w:val="4F81BD" w:themeColor="accent1"/>
              </w:rPr>
              <w:t>Unlikely</w:t>
            </w:r>
          </w:p>
        </w:tc>
        <w:tc>
          <w:tcPr>
            <w:tcW w:w="1337" w:type="dxa"/>
            <w:shd w:val="clear" w:color="auto" w:fill="B6D7A8"/>
            <w:tcMar>
              <w:top w:w="100" w:type="dxa"/>
              <w:left w:w="100" w:type="dxa"/>
              <w:bottom w:w="100" w:type="dxa"/>
              <w:right w:w="100" w:type="dxa"/>
            </w:tcMar>
          </w:tcPr>
          <w:p w14:paraId="228F1728" w14:textId="77777777" w:rsidR="006C2E9C" w:rsidRDefault="00000000" w:rsidP="00885330">
            <w:pPr>
              <w:widowControl w:val="0"/>
              <w:jc w:val="center"/>
              <w:rPr>
                <w:b/>
              </w:rPr>
            </w:pPr>
            <w:r>
              <w:rPr>
                <w:b/>
              </w:rPr>
              <w:t>2</w:t>
            </w:r>
          </w:p>
        </w:tc>
        <w:tc>
          <w:tcPr>
            <w:tcW w:w="1337" w:type="dxa"/>
            <w:shd w:val="clear" w:color="auto" w:fill="FFE599"/>
            <w:tcMar>
              <w:top w:w="100" w:type="dxa"/>
              <w:left w:w="100" w:type="dxa"/>
              <w:bottom w:w="100" w:type="dxa"/>
              <w:right w:w="100" w:type="dxa"/>
            </w:tcMar>
          </w:tcPr>
          <w:p w14:paraId="66781087" w14:textId="77777777" w:rsidR="006C2E9C" w:rsidRDefault="00000000" w:rsidP="00885330">
            <w:pPr>
              <w:widowControl w:val="0"/>
              <w:jc w:val="center"/>
              <w:rPr>
                <w:b/>
              </w:rPr>
            </w:pPr>
            <w:r>
              <w:rPr>
                <w:b/>
              </w:rPr>
              <w:t>4</w:t>
            </w:r>
          </w:p>
        </w:tc>
        <w:tc>
          <w:tcPr>
            <w:tcW w:w="1337" w:type="dxa"/>
            <w:shd w:val="clear" w:color="auto" w:fill="FFE599"/>
            <w:tcMar>
              <w:top w:w="100" w:type="dxa"/>
              <w:left w:w="100" w:type="dxa"/>
              <w:bottom w:w="100" w:type="dxa"/>
              <w:right w:w="100" w:type="dxa"/>
            </w:tcMar>
          </w:tcPr>
          <w:p w14:paraId="271EF152" w14:textId="77777777" w:rsidR="006C2E9C" w:rsidRDefault="00000000" w:rsidP="00885330">
            <w:pPr>
              <w:widowControl w:val="0"/>
              <w:jc w:val="center"/>
              <w:rPr>
                <w:b/>
              </w:rPr>
            </w:pPr>
            <w:r>
              <w:rPr>
                <w:b/>
              </w:rPr>
              <w:t>6</w:t>
            </w:r>
          </w:p>
        </w:tc>
        <w:tc>
          <w:tcPr>
            <w:tcW w:w="1337" w:type="dxa"/>
            <w:shd w:val="clear" w:color="auto" w:fill="FFD966"/>
            <w:tcMar>
              <w:top w:w="100" w:type="dxa"/>
              <w:left w:w="100" w:type="dxa"/>
              <w:bottom w:w="100" w:type="dxa"/>
              <w:right w:w="100" w:type="dxa"/>
            </w:tcMar>
          </w:tcPr>
          <w:p w14:paraId="691CAE4E" w14:textId="77777777" w:rsidR="006C2E9C" w:rsidRDefault="00000000" w:rsidP="00885330">
            <w:pPr>
              <w:widowControl w:val="0"/>
              <w:jc w:val="center"/>
              <w:rPr>
                <w:b/>
              </w:rPr>
            </w:pPr>
            <w:r>
              <w:rPr>
                <w:b/>
              </w:rPr>
              <w:t>8</w:t>
            </w:r>
          </w:p>
        </w:tc>
        <w:tc>
          <w:tcPr>
            <w:tcW w:w="1565" w:type="dxa"/>
            <w:shd w:val="clear" w:color="auto" w:fill="F9CB9C"/>
            <w:tcMar>
              <w:top w:w="100" w:type="dxa"/>
              <w:left w:w="100" w:type="dxa"/>
              <w:bottom w:w="100" w:type="dxa"/>
              <w:right w:w="100" w:type="dxa"/>
            </w:tcMar>
          </w:tcPr>
          <w:p w14:paraId="0C57C62C" w14:textId="77777777" w:rsidR="006C2E9C" w:rsidRDefault="00000000" w:rsidP="00885330">
            <w:pPr>
              <w:widowControl w:val="0"/>
              <w:jc w:val="center"/>
              <w:rPr>
                <w:b/>
              </w:rPr>
            </w:pPr>
            <w:r>
              <w:rPr>
                <w:b/>
              </w:rPr>
              <w:t>10</w:t>
            </w:r>
          </w:p>
        </w:tc>
      </w:tr>
      <w:tr w:rsidR="00193781" w14:paraId="3DCFA4C9" w14:textId="77777777" w:rsidTr="001A0B8F">
        <w:trPr>
          <w:cantSplit/>
          <w:trHeight w:val="440"/>
          <w:tblHeader/>
        </w:trPr>
        <w:tc>
          <w:tcPr>
            <w:tcW w:w="1338" w:type="dxa"/>
            <w:vMerge/>
            <w:shd w:val="clear" w:color="auto" w:fill="auto"/>
            <w:tcMar>
              <w:top w:w="100" w:type="dxa"/>
              <w:left w:w="100" w:type="dxa"/>
              <w:bottom w:w="100" w:type="dxa"/>
              <w:right w:w="100" w:type="dxa"/>
            </w:tcMar>
          </w:tcPr>
          <w:p w14:paraId="082FC076" w14:textId="77777777" w:rsidR="006C2E9C" w:rsidRDefault="006C2E9C" w:rsidP="00885330">
            <w:pPr>
              <w:widowControl w:val="0"/>
              <w:jc w:val="left"/>
              <w:rPr>
                <w:b/>
              </w:rPr>
            </w:pPr>
          </w:p>
        </w:tc>
        <w:tc>
          <w:tcPr>
            <w:tcW w:w="1337" w:type="dxa"/>
            <w:shd w:val="clear" w:color="auto" w:fill="auto"/>
            <w:tcMar>
              <w:top w:w="100" w:type="dxa"/>
              <w:left w:w="100" w:type="dxa"/>
              <w:bottom w:w="100" w:type="dxa"/>
              <w:right w:w="100" w:type="dxa"/>
            </w:tcMar>
          </w:tcPr>
          <w:p w14:paraId="2AF734B4" w14:textId="77777777" w:rsidR="006C2E9C" w:rsidRPr="00CC353F" w:rsidRDefault="00000000" w:rsidP="00885330">
            <w:pPr>
              <w:widowControl w:val="0"/>
              <w:jc w:val="center"/>
              <w:rPr>
                <w:b/>
                <w:color w:val="4F81BD" w:themeColor="accent1"/>
              </w:rPr>
            </w:pPr>
            <w:r w:rsidRPr="00CC353F">
              <w:rPr>
                <w:b/>
                <w:color w:val="4F81BD" w:themeColor="accent1"/>
              </w:rPr>
              <w:t>3</w:t>
            </w:r>
          </w:p>
          <w:p w14:paraId="68AD9BF4" w14:textId="77777777" w:rsidR="006C2E9C" w:rsidRPr="00CC353F" w:rsidRDefault="00000000" w:rsidP="00885330">
            <w:pPr>
              <w:widowControl w:val="0"/>
              <w:jc w:val="center"/>
              <w:rPr>
                <w:b/>
                <w:color w:val="4F81BD" w:themeColor="accent1"/>
              </w:rPr>
            </w:pPr>
            <w:r w:rsidRPr="00CC353F">
              <w:rPr>
                <w:b/>
                <w:color w:val="4F81BD" w:themeColor="accent1"/>
              </w:rPr>
              <w:t xml:space="preserve">Possible </w:t>
            </w:r>
          </w:p>
        </w:tc>
        <w:tc>
          <w:tcPr>
            <w:tcW w:w="1337" w:type="dxa"/>
            <w:shd w:val="clear" w:color="auto" w:fill="FFF2CC"/>
            <w:tcMar>
              <w:top w:w="100" w:type="dxa"/>
              <w:left w:w="100" w:type="dxa"/>
              <w:bottom w:w="100" w:type="dxa"/>
              <w:right w:w="100" w:type="dxa"/>
            </w:tcMar>
          </w:tcPr>
          <w:p w14:paraId="6744D32E" w14:textId="77777777" w:rsidR="006C2E9C" w:rsidRDefault="00000000" w:rsidP="00885330">
            <w:pPr>
              <w:widowControl w:val="0"/>
              <w:jc w:val="center"/>
              <w:rPr>
                <w:b/>
              </w:rPr>
            </w:pPr>
            <w:r>
              <w:rPr>
                <w:b/>
              </w:rPr>
              <w:t>3</w:t>
            </w:r>
          </w:p>
        </w:tc>
        <w:tc>
          <w:tcPr>
            <w:tcW w:w="1337" w:type="dxa"/>
            <w:shd w:val="clear" w:color="auto" w:fill="FFE599"/>
            <w:tcMar>
              <w:top w:w="100" w:type="dxa"/>
              <w:left w:w="100" w:type="dxa"/>
              <w:bottom w:w="100" w:type="dxa"/>
              <w:right w:w="100" w:type="dxa"/>
            </w:tcMar>
          </w:tcPr>
          <w:p w14:paraId="566668FF" w14:textId="0772A032" w:rsidR="006C2E9C" w:rsidRDefault="00000000" w:rsidP="00885330">
            <w:pPr>
              <w:widowControl w:val="0"/>
              <w:jc w:val="center"/>
              <w:rPr>
                <w:b/>
              </w:rPr>
            </w:pPr>
            <w:r>
              <w:rPr>
                <w:b/>
              </w:rPr>
              <w:t>6</w:t>
            </w:r>
            <w:r w:rsidR="0037205B">
              <w:rPr>
                <w:b/>
              </w:rPr>
              <w:t xml:space="preserve"> Moderate</w:t>
            </w:r>
          </w:p>
        </w:tc>
        <w:tc>
          <w:tcPr>
            <w:tcW w:w="1337" w:type="dxa"/>
            <w:shd w:val="clear" w:color="auto" w:fill="FFD966"/>
            <w:tcMar>
              <w:top w:w="100" w:type="dxa"/>
              <w:left w:w="100" w:type="dxa"/>
              <w:bottom w:w="100" w:type="dxa"/>
              <w:right w:w="100" w:type="dxa"/>
            </w:tcMar>
          </w:tcPr>
          <w:p w14:paraId="31D6DDF2" w14:textId="39AD1629" w:rsidR="006C2E9C" w:rsidRDefault="00000000" w:rsidP="00885330">
            <w:pPr>
              <w:widowControl w:val="0"/>
              <w:jc w:val="center"/>
              <w:rPr>
                <w:b/>
              </w:rPr>
            </w:pPr>
            <w:r>
              <w:rPr>
                <w:b/>
              </w:rPr>
              <w:t>9</w:t>
            </w:r>
            <w:r w:rsidR="0037205B">
              <w:rPr>
                <w:b/>
              </w:rPr>
              <w:t xml:space="preserve"> Moderate</w:t>
            </w:r>
          </w:p>
        </w:tc>
        <w:tc>
          <w:tcPr>
            <w:tcW w:w="1337" w:type="dxa"/>
            <w:shd w:val="clear" w:color="auto" w:fill="F6B26B"/>
            <w:tcMar>
              <w:top w:w="100" w:type="dxa"/>
              <w:left w:w="100" w:type="dxa"/>
              <w:bottom w:w="100" w:type="dxa"/>
              <w:right w:w="100" w:type="dxa"/>
            </w:tcMar>
          </w:tcPr>
          <w:p w14:paraId="2CC273A5" w14:textId="77777777" w:rsidR="0037205B" w:rsidRDefault="00000000" w:rsidP="00885330">
            <w:pPr>
              <w:widowControl w:val="0"/>
              <w:jc w:val="center"/>
              <w:rPr>
                <w:b/>
              </w:rPr>
            </w:pPr>
            <w:r>
              <w:rPr>
                <w:b/>
              </w:rPr>
              <w:t>12</w:t>
            </w:r>
            <w:r w:rsidR="0037205B">
              <w:rPr>
                <w:b/>
              </w:rPr>
              <w:t xml:space="preserve"> </w:t>
            </w:r>
          </w:p>
          <w:p w14:paraId="1B0D688E" w14:textId="63577222" w:rsidR="006C2E9C" w:rsidRDefault="0037205B" w:rsidP="00885330">
            <w:pPr>
              <w:widowControl w:val="0"/>
              <w:jc w:val="center"/>
              <w:rPr>
                <w:b/>
              </w:rPr>
            </w:pPr>
            <w:r>
              <w:rPr>
                <w:b/>
              </w:rPr>
              <w:t>Major</w:t>
            </w:r>
          </w:p>
        </w:tc>
        <w:tc>
          <w:tcPr>
            <w:tcW w:w="1565" w:type="dxa"/>
            <w:shd w:val="clear" w:color="auto" w:fill="F4CCCC"/>
            <w:tcMar>
              <w:top w:w="100" w:type="dxa"/>
              <w:left w:w="100" w:type="dxa"/>
              <w:bottom w:w="100" w:type="dxa"/>
              <w:right w:w="100" w:type="dxa"/>
            </w:tcMar>
          </w:tcPr>
          <w:p w14:paraId="6C70C8AE" w14:textId="77777777" w:rsidR="006C2E9C" w:rsidRDefault="00000000" w:rsidP="00885330">
            <w:pPr>
              <w:widowControl w:val="0"/>
              <w:jc w:val="center"/>
              <w:rPr>
                <w:b/>
              </w:rPr>
            </w:pPr>
            <w:r>
              <w:rPr>
                <w:b/>
              </w:rPr>
              <w:t>15</w:t>
            </w:r>
          </w:p>
        </w:tc>
      </w:tr>
      <w:tr w:rsidR="00193781" w14:paraId="393FC5DC" w14:textId="77777777" w:rsidTr="001A0B8F">
        <w:trPr>
          <w:cantSplit/>
          <w:trHeight w:val="440"/>
          <w:tblHeader/>
        </w:trPr>
        <w:tc>
          <w:tcPr>
            <w:tcW w:w="1338" w:type="dxa"/>
            <w:vMerge/>
            <w:shd w:val="clear" w:color="auto" w:fill="auto"/>
            <w:tcMar>
              <w:top w:w="100" w:type="dxa"/>
              <w:left w:w="100" w:type="dxa"/>
              <w:bottom w:w="100" w:type="dxa"/>
              <w:right w:w="100" w:type="dxa"/>
            </w:tcMar>
          </w:tcPr>
          <w:p w14:paraId="61F18A4F" w14:textId="77777777" w:rsidR="006C2E9C" w:rsidRDefault="006C2E9C" w:rsidP="00885330">
            <w:pPr>
              <w:widowControl w:val="0"/>
              <w:jc w:val="left"/>
              <w:rPr>
                <w:b/>
              </w:rPr>
            </w:pPr>
          </w:p>
        </w:tc>
        <w:tc>
          <w:tcPr>
            <w:tcW w:w="1337" w:type="dxa"/>
            <w:shd w:val="clear" w:color="auto" w:fill="auto"/>
            <w:tcMar>
              <w:top w:w="100" w:type="dxa"/>
              <w:left w:w="100" w:type="dxa"/>
              <w:bottom w:w="100" w:type="dxa"/>
              <w:right w:w="100" w:type="dxa"/>
            </w:tcMar>
          </w:tcPr>
          <w:p w14:paraId="0A53E9FF" w14:textId="77777777" w:rsidR="006C2E9C" w:rsidRPr="00CC353F" w:rsidRDefault="00000000" w:rsidP="00885330">
            <w:pPr>
              <w:widowControl w:val="0"/>
              <w:jc w:val="center"/>
              <w:rPr>
                <w:b/>
                <w:color w:val="4F81BD" w:themeColor="accent1"/>
              </w:rPr>
            </w:pPr>
            <w:r w:rsidRPr="00CC353F">
              <w:rPr>
                <w:b/>
                <w:color w:val="4F81BD" w:themeColor="accent1"/>
              </w:rPr>
              <w:t>4</w:t>
            </w:r>
          </w:p>
          <w:p w14:paraId="50448153" w14:textId="77777777" w:rsidR="006C2E9C" w:rsidRPr="00CC353F" w:rsidRDefault="00000000" w:rsidP="00885330">
            <w:pPr>
              <w:widowControl w:val="0"/>
              <w:jc w:val="center"/>
              <w:rPr>
                <w:b/>
                <w:color w:val="4F81BD" w:themeColor="accent1"/>
              </w:rPr>
            </w:pPr>
            <w:r w:rsidRPr="00CC353F">
              <w:rPr>
                <w:b/>
                <w:color w:val="4F81BD" w:themeColor="accent1"/>
              </w:rPr>
              <w:t xml:space="preserve">Likely </w:t>
            </w:r>
          </w:p>
        </w:tc>
        <w:tc>
          <w:tcPr>
            <w:tcW w:w="1337" w:type="dxa"/>
            <w:shd w:val="clear" w:color="auto" w:fill="FFE599"/>
            <w:tcMar>
              <w:top w:w="100" w:type="dxa"/>
              <w:left w:w="100" w:type="dxa"/>
              <w:bottom w:w="100" w:type="dxa"/>
              <w:right w:w="100" w:type="dxa"/>
            </w:tcMar>
          </w:tcPr>
          <w:p w14:paraId="6F223500" w14:textId="77777777" w:rsidR="006C2E9C" w:rsidRDefault="00000000" w:rsidP="00885330">
            <w:pPr>
              <w:widowControl w:val="0"/>
              <w:jc w:val="center"/>
              <w:rPr>
                <w:b/>
              </w:rPr>
            </w:pPr>
            <w:r>
              <w:rPr>
                <w:b/>
              </w:rPr>
              <w:t>4</w:t>
            </w:r>
          </w:p>
        </w:tc>
        <w:tc>
          <w:tcPr>
            <w:tcW w:w="1337" w:type="dxa"/>
            <w:shd w:val="clear" w:color="auto" w:fill="FFE599"/>
            <w:tcMar>
              <w:top w:w="100" w:type="dxa"/>
              <w:left w:w="100" w:type="dxa"/>
              <w:bottom w:w="100" w:type="dxa"/>
              <w:right w:w="100" w:type="dxa"/>
            </w:tcMar>
          </w:tcPr>
          <w:p w14:paraId="0E5837C4" w14:textId="77777777" w:rsidR="006C2E9C" w:rsidRDefault="00000000" w:rsidP="00885330">
            <w:pPr>
              <w:widowControl w:val="0"/>
              <w:jc w:val="center"/>
              <w:rPr>
                <w:b/>
              </w:rPr>
            </w:pPr>
            <w:r>
              <w:rPr>
                <w:b/>
              </w:rPr>
              <w:t>8</w:t>
            </w:r>
          </w:p>
        </w:tc>
        <w:tc>
          <w:tcPr>
            <w:tcW w:w="1337" w:type="dxa"/>
            <w:shd w:val="clear" w:color="auto" w:fill="F6B26B"/>
            <w:tcMar>
              <w:top w:w="100" w:type="dxa"/>
              <w:left w:w="100" w:type="dxa"/>
              <w:bottom w:w="100" w:type="dxa"/>
              <w:right w:w="100" w:type="dxa"/>
            </w:tcMar>
          </w:tcPr>
          <w:p w14:paraId="696009EE" w14:textId="77777777" w:rsidR="006C2E9C" w:rsidRDefault="00000000" w:rsidP="00885330">
            <w:pPr>
              <w:widowControl w:val="0"/>
              <w:jc w:val="center"/>
              <w:rPr>
                <w:b/>
              </w:rPr>
            </w:pPr>
            <w:r>
              <w:rPr>
                <w:b/>
              </w:rPr>
              <w:t>12</w:t>
            </w:r>
          </w:p>
        </w:tc>
        <w:tc>
          <w:tcPr>
            <w:tcW w:w="1337" w:type="dxa"/>
            <w:shd w:val="clear" w:color="auto" w:fill="EA9999"/>
            <w:tcMar>
              <w:top w:w="100" w:type="dxa"/>
              <w:left w:w="100" w:type="dxa"/>
              <w:bottom w:w="100" w:type="dxa"/>
              <w:right w:w="100" w:type="dxa"/>
            </w:tcMar>
          </w:tcPr>
          <w:p w14:paraId="2469E45A" w14:textId="77777777" w:rsidR="006C2E9C" w:rsidRDefault="00000000" w:rsidP="00885330">
            <w:pPr>
              <w:widowControl w:val="0"/>
              <w:jc w:val="center"/>
              <w:rPr>
                <w:b/>
              </w:rPr>
            </w:pPr>
            <w:r>
              <w:rPr>
                <w:b/>
              </w:rPr>
              <w:t>16</w:t>
            </w:r>
          </w:p>
        </w:tc>
        <w:tc>
          <w:tcPr>
            <w:tcW w:w="1565" w:type="dxa"/>
            <w:shd w:val="clear" w:color="auto" w:fill="E06666"/>
            <w:tcMar>
              <w:top w:w="100" w:type="dxa"/>
              <w:left w:w="100" w:type="dxa"/>
              <w:bottom w:w="100" w:type="dxa"/>
              <w:right w:w="100" w:type="dxa"/>
            </w:tcMar>
          </w:tcPr>
          <w:p w14:paraId="3C3B68C0" w14:textId="77777777" w:rsidR="006C2E9C" w:rsidRPr="001A0B8F" w:rsidRDefault="00000000" w:rsidP="00885330">
            <w:pPr>
              <w:widowControl w:val="0"/>
              <w:jc w:val="center"/>
              <w:rPr>
                <w:b/>
                <w:sz w:val="22"/>
                <w:szCs w:val="22"/>
              </w:rPr>
            </w:pPr>
            <w:r w:rsidRPr="001A0B8F">
              <w:rPr>
                <w:b/>
                <w:sz w:val="22"/>
                <w:szCs w:val="22"/>
              </w:rPr>
              <w:t>20</w:t>
            </w:r>
          </w:p>
          <w:p w14:paraId="0D6A11F6" w14:textId="12764D65" w:rsidR="0037205B" w:rsidRDefault="001A0B8F" w:rsidP="00885330">
            <w:pPr>
              <w:widowControl w:val="0"/>
              <w:jc w:val="center"/>
              <w:rPr>
                <w:b/>
              </w:rPr>
            </w:pPr>
            <w:r>
              <w:rPr>
                <w:b/>
                <w:sz w:val="22"/>
                <w:szCs w:val="22"/>
              </w:rPr>
              <w:t>Catastrophic</w:t>
            </w:r>
          </w:p>
        </w:tc>
      </w:tr>
      <w:tr w:rsidR="00193781" w14:paraId="1A1CBE04" w14:textId="77777777" w:rsidTr="001A0B8F">
        <w:trPr>
          <w:cantSplit/>
          <w:trHeight w:val="440"/>
          <w:tblHeader/>
        </w:trPr>
        <w:tc>
          <w:tcPr>
            <w:tcW w:w="1338" w:type="dxa"/>
            <w:vMerge/>
            <w:shd w:val="clear" w:color="auto" w:fill="auto"/>
            <w:tcMar>
              <w:top w:w="100" w:type="dxa"/>
              <w:left w:w="100" w:type="dxa"/>
              <w:bottom w:w="100" w:type="dxa"/>
              <w:right w:w="100" w:type="dxa"/>
            </w:tcMar>
          </w:tcPr>
          <w:p w14:paraId="5E966B4D" w14:textId="77777777" w:rsidR="006C2E9C" w:rsidRDefault="006C2E9C" w:rsidP="00885330">
            <w:pPr>
              <w:widowControl w:val="0"/>
              <w:jc w:val="left"/>
              <w:rPr>
                <w:b/>
              </w:rPr>
            </w:pPr>
          </w:p>
        </w:tc>
        <w:tc>
          <w:tcPr>
            <w:tcW w:w="1337" w:type="dxa"/>
            <w:shd w:val="clear" w:color="auto" w:fill="auto"/>
            <w:tcMar>
              <w:top w:w="100" w:type="dxa"/>
              <w:left w:w="100" w:type="dxa"/>
              <w:bottom w:w="100" w:type="dxa"/>
              <w:right w:w="100" w:type="dxa"/>
            </w:tcMar>
          </w:tcPr>
          <w:p w14:paraId="4B9F55C5" w14:textId="77777777" w:rsidR="006C2E9C" w:rsidRPr="00CC353F" w:rsidRDefault="00000000" w:rsidP="00885330">
            <w:pPr>
              <w:widowControl w:val="0"/>
              <w:jc w:val="center"/>
              <w:rPr>
                <w:b/>
                <w:color w:val="4F81BD" w:themeColor="accent1"/>
              </w:rPr>
            </w:pPr>
            <w:r w:rsidRPr="00CC353F">
              <w:rPr>
                <w:b/>
                <w:color w:val="4F81BD" w:themeColor="accent1"/>
              </w:rPr>
              <w:t>5</w:t>
            </w:r>
          </w:p>
          <w:p w14:paraId="3AAA3684" w14:textId="77777777" w:rsidR="006C2E9C" w:rsidRPr="00CC353F" w:rsidRDefault="00000000" w:rsidP="00885330">
            <w:pPr>
              <w:widowControl w:val="0"/>
              <w:jc w:val="center"/>
              <w:rPr>
                <w:b/>
                <w:color w:val="4F81BD" w:themeColor="accent1"/>
              </w:rPr>
            </w:pPr>
            <w:r w:rsidRPr="00CC353F">
              <w:rPr>
                <w:b/>
                <w:color w:val="4F81BD" w:themeColor="accent1"/>
              </w:rPr>
              <w:t xml:space="preserve">Certain </w:t>
            </w:r>
          </w:p>
        </w:tc>
        <w:tc>
          <w:tcPr>
            <w:tcW w:w="1337" w:type="dxa"/>
            <w:shd w:val="clear" w:color="auto" w:fill="FFD966"/>
            <w:tcMar>
              <w:top w:w="100" w:type="dxa"/>
              <w:left w:w="100" w:type="dxa"/>
              <w:bottom w:w="100" w:type="dxa"/>
              <w:right w:w="100" w:type="dxa"/>
            </w:tcMar>
          </w:tcPr>
          <w:p w14:paraId="2EFA3887" w14:textId="77777777" w:rsidR="006C2E9C" w:rsidRDefault="00000000" w:rsidP="00885330">
            <w:pPr>
              <w:widowControl w:val="0"/>
              <w:jc w:val="center"/>
              <w:rPr>
                <w:b/>
              </w:rPr>
            </w:pPr>
            <w:r>
              <w:rPr>
                <w:b/>
              </w:rPr>
              <w:t>5</w:t>
            </w:r>
          </w:p>
        </w:tc>
        <w:tc>
          <w:tcPr>
            <w:tcW w:w="1337" w:type="dxa"/>
            <w:shd w:val="clear" w:color="auto" w:fill="F1C232"/>
            <w:tcMar>
              <w:top w:w="100" w:type="dxa"/>
              <w:left w:w="100" w:type="dxa"/>
              <w:bottom w:w="100" w:type="dxa"/>
              <w:right w:w="100" w:type="dxa"/>
            </w:tcMar>
          </w:tcPr>
          <w:p w14:paraId="50574CF6" w14:textId="77777777" w:rsidR="006C2E9C" w:rsidRDefault="00000000" w:rsidP="00885330">
            <w:pPr>
              <w:widowControl w:val="0"/>
              <w:jc w:val="center"/>
              <w:rPr>
                <w:b/>
              </w:rPr>
            </w:pPr>
            <w:r>
              <w:rPr>
                <w:b/>
              </w:rPr>
              <w:t>10</w:t>
            </w:r>
          </w:p>
        </w:tc>
        <w:tc>
          <w:tcPr>
            <w:tcW w:w="1337" w:type="dxa"/>
            <w:shd w:val="clear" w:color="auto" w:fill="EA9999"/>
            <w:tcMar>
              <w:top w:w="100" w:type="dxa"/>
              <w:left w:w="100" w:type="dxa"/>
              <w:bottom w:w="100" w:type="dxa"/>
              <w:right w:w="100" w:type="dxa"/>
            </w:tcMar>
          </w:tcPr>
          <w:p w14:paraId="403062DE" w14:textId="77777777" w:rsidR="006C2E9C" w:rsidRDefault="00000000" w:rsidP="00885330">
            <w:pPr>
              <w:widowControl w:val="0"/>
              <w:jc w:val="center"/>
              <w:rPr>
                <w:b/>
              </w:rPr>
            </w:pPr>
            <w:r>
              <w:rPr>
                <w:b/>
              </w:rPr>
              <w:t>15</w:t>
            </w:r>
          </w:p>
        </w:tc>
        <w:tc>
          <w:tcPr>
            <w:tcW w:w="1337" w:type="dxa"/>
            <w:shd w:val="clear" w:color="auto" w:fill="E06666"/>
            <w:tcMar>
              <w:top w:w="100" w:type="dxa"/>
              <w:left w:w="100" w:type="dxa"/>
              <w:bottom w:w="100" w:type="dxa"/>
              <w:right w:w="100" w:type="dxa"/>
            </w:tcMar>
          </w:tcPr>
          <w:p w14:paraId="1B4DAEE6" w14:textId="77777777" w:rsidR="006C2E9C" w:rsidRDefault="00000000" w:rsidP="00885330">
            <w:pPr>
              <w:widowControl w:val="0"/>
              <w:jc w:val="center"/>
              <w:rPr>
                <w:b/>
              </w:rPr>
            </w:pPr>
            <w:r>
              <w:rPr>
                <w:b/>
              </w:rPr>
              <w:t>20</w:t>
            </w:r>
          </w:p>
        </w:tc>
        <w:tc>
          <w:tcPr>
            <w:tcW w:w="1565" w:type="dxa"/>
            <w:shd w:val="clear" w:color="auto" w:fill="FF0000"/>
            <w:tcMar>
              <w:top w:w="100" w:type="dxa"/>
              <w:left w:w="100" w:type="dxa"/>
              <w:bottom w:w="100" w:type="dxa"/>
              <w:right w:w="100" w:type="dxa"/>
            </w:tcMar>
          </w:tcPr>
          <w:p w14:paraId="0E3B75A4" w14:textId="77777777" w:rsidR="006C2E9C" w:rsidRDefault="00000000" w:rsidP="00885330">
            <w:pPr>
              <w:widowControl w:val="0"/>
              <w:jc w:val="center"/>
              <w:rPr>
                <w:b/>
              </w:rPr>
            </w:pPr>
            <w:r>
              <w:rPr>
                <w:b/>
              </w:rPr>
              <w:t>25</w:t>
            </w:r>
          </w:p>
        </w:tc>
      </w:tr>
    </w:tbl>
    <w:p w14:paraId="197E299E" w14:textId="77777777" w:rsidR="00783AE3" w:rsidRPr="00783AE3" w:rsidRDefault="00000000" w:rsidP="00783AE3">
      <w:pPr>
        <w:jc w:val="center"/>
        <w:rPr>
          <w:b/>
          <w:sz w:val="20"/>
          <w:szCs w:val="20"/>
        </w:rPr>
      </w:pPr>
      <w:r w:rsidRPr="00783AE3">
        <w:rPr>
          <w:b/>
          <w:sz w:val="20"/>
          <w:szCs w:val="20"/>
        </w:rPr>
        <w:t xml:space="preserve">Table </w:t>
      </w:r>
      <w:r w:rsidR="004D50EE" w:rsidRPr="00783AE3">
        <w:rPr>
          <w:b/>
          <w:sz w:val="20"/>
          <w:szCs w:val="20"/>
        </w:rPr>
        <w:t>1</w:t>
      </w:r>
      <w:r w:rsidRPr="00783AE3">
        <w:rPr>
          <w:b/>
          <w:sz w:val="20"/>
          <w:szCs w:val="20"/>
        </w:rPr>
        <w:t xml:space="preserve">: Risk </w:t>
      </w:r>
      <w:proofErr w:type="gramStart"/>
      <w:r w:rsidRPr="00783AE3">
        <w:rPr>
          <w:b/>
          <w:sz w:val="20"/>
          <w:szCs w:val="20"/>
        </w:rPr>
        <w:t>Matrix(</w:t>
      </w:r>
      <w:proofErr w:type="gramEnd"/>
      <w:r w:rsidRPr="00783AE3">
        <w:rPr>
          <w:sz w:val="20"/>
          <w:szCs w:val="20"/>
        </w:rPr>
        <w:t>Source: Self-created</w:t>
      </w:r>
      <w:r w:rsidRPr="00783AE3">
        <w:rPr>
          <w:b/>
          <w:sz w:val="20"/>
          <w:szCs w:val="20"/>
        </w:rPr>
        <w:t>)</w:t>
      </w:r>
      <w:bookmarkStart w:id="15" w:name="_Toc182480106"/>
    </w:p>
    <w:p w14:paraId="37565005" w14:textId="180F4BF2" w:rsidR="00091873" w:rsidRPr="00783AE3" w:rsidRDefault="00783AE3" w:rsidP="00783AE3">
      <w:pPr>
        <w:jc w:val="center"/>
        <w:rPr>
          <w:b/>
        </w:rPr>
      </w:pPr>
      <w:r w:rsidRPr="00783AE3">
        <w:rPr>
          <w:b/>
        </w:rPr>
        <w:t>Risk register and management plan</w:t>
      </w:r>
      <w:bookmarkEnd w:id="15"/>
    </w:p>
    <w:tbl>
      <w:tblPr>
        <w:tblStyle w:val="a0"/>
        <w:tblW w:w="922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10"/>
        <w:gridCol w:w="1560"/>
        <w:gridCol w:w="1125"/>
        <w:gridCol w:w="1500"/>
        <w:gridCol w:w="2730"/>
      </w:tblGrid>
      <w:tr w:rsidR="00193781" w:rsidRPr="00783AE3" w14:paraId="29C60BC2" w14:textId="77777777">
        <w:trPr>
          <w:cantSplit/>
          <w:tblHeader/>
        </w:trPr>
        <w:tc>
          <w:tcPr>
            <w:tcW w:w="2310" w:type="dxa"/>
            <w:shd w:val="clear" w:color="auto" w:fill="auto"/>
            <w:tcMar>
              <w:top w:w="100" w:type="dxa"/>
              <w:left w:w="100" w:type="dxa"/>
              <w:bottom w:w="100" w:type="dxa"/>
              <w:right w:w="100" w:type="dxa"/>
            </w:tcMar>
          </w:tcPr>
          <w:p w14:paraId="4EE86C80" w14:textId="77777777" w:rsidR="006C2E9C" w:rsidRPr="00783AE3" w:rsidRDefault="00000000" w:rsidP="00885330">
            <w:pPr>
              <w:widowControl w:val="0"/>
              <w:spacing w:after="0"/>
              <w:rPr>
                <w:b/>
                <w:i/>
              </w:rPr>
            </w:pPr>
            <w:r w:rsidRPr="00783AE3">
              <w:rPr>
                <w:b/>
                <w:i/>
              </w:rPr>
              <w:lastRenderedPageBreak/>
              <w:t xml:space="preserve">Risk description </w:t>
            </w:r>
          </w:p>
        </w:tc>
        <w:tc>
          <w:tcPr>
            <w:tcW w:w="1560" w:type="dxa"/>
            <w:shd w:val="clear" w:color="auto" w:fill="auto"/>
            <w:tcMar>
              <w:top w:w="100" w:type="dxa"/>
              <w:left w:w="100" w:type="dxa"/>
              <w:bottom w:w="100" w:type="dxa"/>
              <w:right w:w="100" w:type="dxa"/>
            </w:tcMar>
          </w:tcPr>
          <w:p w14:paraId="45975CEA" w14:textId="77777777" w:rsidR="006C2E9C" w:rsidRPr="00783AE3" w:rsidRDefault="00000000" w:rsidP="00885330">
            <w:pPr>
              <w:widowControl w:val="0"/>
              <w:spacing w:after="0"/>
              <w:rPr>
                <w:b/>
                <w:i/>
              </w:rPr>
            </w:pPr>
            <w:r w:rsidRPr="00783AE3">
              <w:rPr>
                <w:b/>
                <w:i/>
              </w:rPr>
              <w:t xml:space="preserve">Likelihood </w:t>
            </w:r>
          </w:p>
        </w:tc>
        <w:tc>
          <w:tcPr>
            <w:tcW w:w="1125" w:type="dxa"/>
            <w:shd w:val="clear" w:color="auto" w:fill="auto"/>
            <w:tcMar>
              <w:top w:w="100" w:type="dxa"/>
              <w:left w:w="100" w:type="dxa"/>
              <w:bottom w:w="100" w:type="dxa"/>
              <w:right w:w="100" w:type="dxa"/>
            </w:tcMar>
          </w:tcPr>
          <w:p w14:paraId="5AD464DB" w14:textId="77777777" w:rsidR="006C2E9C" w:rsidRPr="00783AE3" w:rsidRDefault="00000000" w:rsidP="00885330">
            <w:pPr>
              <w:widowControl w:val="0"/>
              <w:spacing w:after="0"/>
              <w:rPr>
                <w:b/>
                <w:i/>
              </w:rPr>
            </w:pPr>
            <w:r w:rsidRPr="00783AE3">
              <w:rPr>
                <w:b/>
                <w:i/>
              </w:rPr>
              <w:t xml:space="preserve">Severity </w:t>
            </w:r>
          </w:p>
        </w:tc>
        <w:tc>
          <w:tcPr>
            <w:tcW w:w="1500" w:type="dxa"/>
            <w:shd w:val="clear" w:color="auto" w:fill="auto"/>
            <w:tcMar>
              <w:top w:w="100" w:type="dxa"/>
              <w:left w:w="100" w:type="dxa"/>
              <w:bottom w:w="100" w:type="dxa"/>
              <w:right w:w="100" w:type="dxa"/>
            </w:tcMar>
          </w:tcPr>
          <w:p w14:paraId="212E1C52" w14:textId="77777777" w:rsidR="006C2E9C" w:rsidRPr="00783AE3" w:rsidRDefault="00000000" w:rsidP="00885330">
            <w:pPr>
              <w:widowControl w:val="0"/>
              <w:spacing w:after="0"/>
              <w:rPr>
                <w:b/>
                <w:i/>
              </w:rPr>
            </w:pPr>
            <w:r w:rsidRPr="00783AE3">
              <w:rPr>
                <w:b/>
                <w:i/>
              </w:rPr>
              <w:t>Impact</w:t>
            </w:r>
          </w:p>
        </w:tc>
        <w:tc>
          <w:tcPr>
            <w:tcW w:w="2730" w:type="dxa"/>
            <w:shd w:val="clear" w:color="auto" w:fill="auto"/>
            <w:tcMar>
              <w:top w:w="100" w:type="dxa"/>
              <w:left w:w="100" w:type="dxa"/>
              <w:bottom w:w="100" w:type="dxa"/>
              <w:right w:w="100" w:type="dxa"/>
            </w:tcMar>
          </w:tcPr>
          <w:p w14:paraId="01014BD0" w14:textId="77777777" w:rsidR="006C2E9C" w:rsidRPr="00783AE3" w:rsidRDefault="00000000" w:rsidP="00885330">
            <w:pPr>
              <w:widowControl w:val="0"/>
              <w:spacing w:after="0"/>
              <w:rPr>
                <w:b/>
                <w:i/>
              </w:rPr>
            </w:pPr>
            <w:r w:rsidRPr="00783AE3">
              <w:rPr>
                <w:b/>
                <w:i/>
              </w:rPr>
              <w:t xml:space="preserve">Mitigation </w:t>
            </w:r>
          </w:p>
        </w:tc>
      </w:tr>
      <w:tr w:rsidR="00193781" w:rsidRPr="00783AE3" w14:paraId="3E4CDFCE" w14:textId="77777777">
        <w:trPr>
          <w:cantSplit/>
          <w:tblHeader/>
        </w:trPr>
        <w:tc>
          <w:tcPr>
            <w:tcW w:w="2310" w:type="dxa"/>
            <w:shd w:val="clear" w:color="auto" w:fill="auto"/>
            <w:tcMar>
              <w:top w:w="100" w:type="dxa"/>
              <w:left w:w="100" w:type="dxa"/>
              <w:bottom w:w="100" w:type="dxa"/>
              <w:right w:w="100" w:type="dxa"/>
            </w:tcMar>
          </w:tcPr>
          <w:p w14:paraId="2DBDD6DD" w14:textId="77777777" w:rsidR="006C2E9C" w:rsidRPr="00783AE3" w:rsidRDefault="00000000" w:rsidP="00885330">
            <w:pPr>
              <w:widowControl w:val="0"/>
              <w:spacing w:after="0"/>
              <w:rPr>
                <w:b/>
              </w:rPr>
            </w:pPr>
            <w:r w:rsidRPr="00783AE3">
              <w:rPr>
                <w:b/>
              </w:rPr>
              <w:t>Transforming market dynamics</w:t>
            </w:r>
          </w:p>
        </w:tc>
        <w:tc>
          <w:tcPr>
            <w:tcW w:w="1560" w:type="dxa"/>
            <w:shd w:val="clear" w:color="auto" w:fill="auto"/>
            <w:tcMar>
              <w:top w:w="100" w:type="dxa"/>
              <w:left w:w="100" w:type="dxa"/>
              <w:bottom w:w="100" w:type="dxa"/>
              <w:right w:w="100" w:type="dxa"/>
            </w:tcMar>
          </w:tcPr>
          <w:p w14:paraId="66E8A2E7" w14:textId="77777777" w:rsidR="006C2E9C" w:rsidRPr="00783AE3" w:rsidRDefault="00000000" w:rsidP="00885330">
            <w:pPr>
              <w:widowControl w:val="0"/>
              <w:spacing w:after="0"/>
            </w:pPr>
            <w:r w:rsidRPr="00783AE3">
              <w:t>3</w:t>
            </w:r>
          </w:p>
        </w:tc>
        <w:tc>
          <w:tcPr>
            <w:tcW w:w="1125" w:type="dxa"/>
            <w:shd w:val="clear" w:color="auto" w:fill="auto"/>
            <w:tcMar>
              <w:top w:w="100" w:type="dxa"/>
              <w:left w:w="100" w:type="dxa"/>
              <w:bottom w:w="100" w:type="dxa"/>
              <w:right w:w="100" w:type="dxa"/>
            </w:tcMar>
          </w:tcPr>
          <w:p w14:paraId="05BE6C79" w14:textId="77777777" w:rsidR="006C2E9C" w:rsidRPr="00783AE3" w:rsidRDefault="00000000" w:rsidP="00885330">
            <w:pPr>
              <w:widowControl w:val="0"/>
              <w:spacing w:after="0"/>
            </w:pPr>
            <w:r w:rsidRPr="00783AE3">
              <w:t>3</w:t>
            </w:r>
          </w:p>
        </w:tc>
        <w:tc>
          <w:tcPr>
            <w:tcW w:w="1500" w:type="dxa"/>
            <w:shd w:val="clear" w:color="auto" w:fill="F1C232"/>
            <w:tcMar>
              <w:top w:w="100" w:type="dxa"/>
              <w:left w:w="100" w:type="dxa"/>
              <w:bottom w:w="100" w:type="dxa"/>
              <w:right w:w="100" w:type="dxa"/>
            </w:tcMar>
          </w:tcPr>
          <w:p w14:paraId="75541301" w14:textId="77777777" w:rsidR="006C2E9C" w:rsidRPr="00783AE3" w:rsidRDefault="00000000" w:rsidP="00885330">
            <w:pPr>
              <w:widowControl w:val="0"/>
              <w:spacing w:after="0"/>
            </w:pPr>
            <w:r w:rsidRPr="00783AE3">
              <w:t>9</w:t>
            </w:r>
          </w:p>
        </w:tc>
        <w:tc>
          <w:tcPr>
            <w:tcW w:w="2730" w:type="dxa"/>
            <w:shd w:val="clear" w:color="auto" w:fill="auto"/>
            <w:tcMar>
              <w:top w:w="100" w:type="dxa"/>
              <w:left w:w="100" w:type="dxa"/>
              <w:bottom w:w="100" w:type="dxa"/>
              <w:right w:w="100" w:type="dxa"/>
            </w:tcMar>
          </w:tcPr>
          <w:p w14:paraId="3569FE48" w14:textId="2C2E8E4F" w:rsidR="006C2E9C" w:rsidRPr="00783AE3" w:rsidRDefault="00000000" w:rsidP="00885330">
            <w:pPr>
              <w:widowControl w:val="0"/>
              <w:spacing w:after="0"/>
            </w:pPr>
            <w:r w:rsidRPr="00783AE3">
              <w:t xml:space="preserve">Increase operational efficiency along with </w:t>
            </w:r>
            <w:r w:rsidR="001A0B8F">
              <w:t>k</w:t>
            </w:r>
            <w:r w:rsidRPr="00783AE3">
              <w:t xml:space="preserve">eeping a close eye on market developments and modify business plans as needed to become more adaptable and responsive (BDC, 2024). </w:t>
            </w:r>
          </w:p>
        </w:tc>
      </w:tr>
      <w:tr w:rsidR="00193781" w:rsidRPr="00783AE3" w14:paraId="21E9FD25" w14:textId="77777777">
        <w:trPr>
          <w:cantSplit/>
          <w:tblHeader/>
        </w:trPr>
        <w:tc>
          <w:tcPr>
            <w:tcW w:w="2310" w:type="dxa"/>
            <w:shd w:val="clear" w:color="auto" w:fill="auto"/>
            <w:tcMar>
              <w:top w:w="100" w:type="dxa"/>
              <w:left w:w="100" w:type="dxa"/>
              <w:bottom w:w="100" w:type="dxa"/>
              <w:right w:w="100" w:type="dxa"/>
            </w:tcMar>
          </w:tcPr>
          <w:p w14:paraId="2632BEE6" w14:textId="77777777" w:rsidR="006C2E9C" w:rsidRPr="00783AE3" w:rsidRDefault="00000000" w:rsidP="00885330">
            <w:pPr>
              <w:widowControl w:val="0"/>
              <w:spacing w:after="0"/>
              <w:rPr>
                <w:b/>
              </w:rPr>
            </w:pPr>
            <w:r w:rsidRPr="00783AE3">
              <w:rPr>
                <w:b/>
              </w:rPr>
              <w:t>Intensifying competition</w:t>
            </w:r>
          </w:p>
        </w:tc>
        <w:tc>
          <w:tcPr>
            <w:tcW w:w="1560" w:type="dxa"/>
            <w:shd w:val="clear" w:color="auto" w:fill="auto"/>
            <w:tcMar>
              <w:top w:w="100" w:type="dxa"/>
              <w:left w:w="100" w:type="dxa"/>
              <w:bottom w:w="100" w:type="dxa"/>
              <w:right w:w="100" w:type="dxa"/>
            </w:tcMar>
          </w:tcPr>
          <w:p w14:paraId="03D247F6" w14:textId="77777777" w:rsidR="006C2E9C" w:rsidRPr="00783AE3" w:rsidRDefault="00000000" w:rsidP="00885330">
            <w:pPr>
              <w:widowControl w:val="0"/>
              <w:spacing w:after="0"/>
            </w:pPr>
            <w:r w:rsidRPr="00783AE3">
              <w:t>4</w:t>
            </w:r>
          </w:p>
        </w:tc>
        <w:tc>
          <w:tcPr>
            <w:tcW w:w="1125" w:type="dxa"/>
            <w:shd w:val="clear" w:color="auto" w:fill="auto"/>
            <w:tcMar>
              <w:top w:w="100" w:type="dxa"/>
              <w:left w:w="100" w:type="dxa"/>
              <w:bottom w:w="100" w:type="dxa"/>
              <w:right w:w="100" w:type="dxa"/>
            </w:tcMar>
          </w:tcPr>
          <w:p w14:paraId="351F6A01" w14:textId="77777777" w:rsidR="006C2E9C" w:rsidRPr="00783AE3" w:rsidRDefault="00000000" w:rsidP="00885330">
            <w:pPr>
              <w:widowControl w:val="0"/>
              <w:spacing w:after="0"/>
            </w:pPr>
            <w:r w:rsidRPr="00783AE3">
              <w:t>5</w:t>
            </w:r>
          </w:p>
        </w:tc>
        <w:tc>
          <w:tcPr>
            <w:tcW w:w="1500" w:type="dxa"/>
            <w:shd w:val="clear" w:color="auto" w:fill="E06666"/>
            <w:tcMar>
              <w:top w:w="100" w:type="dxa"/>
              <w:left w:w="100" w:type="dxa"/>
              <w:bottom w:w="100" w:type="dxa"/>
              <w:right w:w="100" w:type="dxa"/>
            </w:tcMar>
          </w:tcPr>
          <w:p w14:paraId="113286B4" w14:textId="77777777" w:rsidR="006C2E9C" w:rsidRPr="00783AE3" w:rsidRDefault="00000000" w:rsidP="00885330">
            <w:pPr>
              <w:widowControl w:val="0"/>
              <w:spacing w:after="0"/>
            </w:pPr>
            <w:r w:rsidRPr="00783AE3">
              <w:t>20</w:t>
            </w:r>
          </w:p>
        </w:tc>
        <w:tc>
          <w:tcPr>
            <w:tcW w:w="2730" w:type="dxa"/>
            <w:shd w:val="clear" w:color="auto" w:fill="auto"/>
            <w:tcMar>
              <w:top w:w="100" w:type="dxa"/>
              <w:left w:w="100" w:type="dxa"/>
              <w:bottom w:w="100" w:type="dxa"/>
              <w:right w:w="100" w:type="dxa"/>
            </w:tcMar>
          </w:tcPr>
          <w:p w14:paraId="5A664ECD" w14:textId="77777777" w:rsidR="006C2E9C" w:rsidRPr="00783AE3" w:rsidRDefault="00000000" w:rsidP="00885330">
            <w:pPr>
              <w:widowControl w:val="0"/>
              <w:spacing w:after="0"/>
            </w:pPr>
            <w:r w:rsidRPr="00783AE3">
              <w:t xml:space="preserve">Improve marketing and branding to represent the contemporary, welcoming ambience among customers. The hotel may benefit from focusing on distinctive features to set itself apart from rivals and lessen competition (Sudirjo, 2023). </w:t>
            </w:r>
          </w:p>
        </w:tc>
      </w:tr>
      <w:tr w:rsidR="00193781" w:rsidRPr="00783AE3" w14:paraId="22846300" w14:textId="77777777">
        <w:trPr>
          <w:cantSplit/>
          <w:tblHeader/>
        </w:trPr>
        <w:tc>
          <w:tcPr>
            <w:tcW w:w="2310" w:type="dxa"/>
            <w:shd w:val="clear" w:color="auto" w:fill="auto"/>
            <w:tcMar>
              <w:top w:w="100" w:type="dxa"/>
              <w:left w:w="100" w:type="dxa"/>
              <w:bottom w:w="100" w:type="dxa"/>
              <w:right w:w="100" w:type="dxa"/>
            </w:tcMar>
          </w:tcPr>
          <w:p w14:paraId="28A132C9" w14:textId="77777777" w:rsidR="006C2E9C" w:rsidRPr="00783AE3" w:rsidRDefault="00000000" w:rsidP="00885330">
            <w:pPr>
              <w:widowControl w:val="0"/>
              <w:spacing w:after="0"/>
              <w:rPr>
                <w:b/>
              </w:rPr>
            </w:pPr>
            <w:r w:rsidRPr="00783AE3">
              <w:rPr>
                <w:b/>
              </w:rPr>
              <w:t>Inflation and economic uncertainty</w:t>
            </w:r>
          </w:p>
        </w:tc>
        <w:tc>
          <w:tcPr>
            <w:tcW w:w="1560" w:type="dxa"/>
            <w:shd w:val="clear" w:color="auto" w:fill="auto"/>
            <w:tcMar>
              <w:top w:w="100" w:type="dxa"/>
              <w:left w:w="100" w:type="dxa"/>
              <w:bottom w:w="100" w:type="dxa"/>
              <w:right w:w="100" w:type="dxa"/>
            </w:tcMar>
          </w:tcPr>
          <w:p w14:paraId="4B26014A" w14:textId="77777777" w:rsidR="006C2E9C" w:rsidRPr="00783AE3" w:rsidRDefault="00000000" w:rsidP="00885330">
            <w:pPr>
              <w:widowControl w:val="0"/>
              <w:spacing w:after="0"/>
            </w:pPr>
            <w:r w:rsidRPr="00783AE3">
              <w:t>5</w:t>
            </w:r>
          </w:p>
        </w:tc>
        <w:tc>
          <w:tcPr>
            <w:tcW w:w="1125" w:type="dxa"/>
            <w:shd w:val="clear" w:color="auto" w:fill="auto"/>
            <w:tcMar>
              <w:top w:w="100" w:type="dxa"/>
              <w:left w:w="100" w:type="dxa"/>
              <w:bottom w:w="100" w:type="dxa"/>
              <w:right w:w="100" w:type="dxa"/>
            </w:tcMar>
          </w:tcPr>
          <w:p w14:paraId="0C0C5D89" w14:textId="77777777" w:rsidR="006C2E9C" w:rsidRPr="00783AE3" w:rsidRDefault="00000000" w:rsidP="00885330">
            <w:pPr>
              <w:widowControl w:val="0"/>
              <w:spacing w:after="0"/>
            </w:pPr>
            <w:r w:rsidRPr="00783AE3">
              <w:t>4</w:t>
            </w:r>
          </w:p>
        </w:tc>
        <w:tc>
          <w:tcPr>
            <w:tcW w:w="1500" w:type="dxa"/>
            <w:shd w:val="clear" w:color="auto" w:fill="E06666"/>
            <w:tcMar>
              <w:top w:w="100" w:type="dxa"/>
              <w:left w:w="100" w:type="dxa"/>
              <w:bottom w:w="100" w:type="dxa"/>
              <w:right w:w="100" w:type="dxa"/>
            </w:tcMar>
          </w:tcPr>
          <w:p w14:paraId="516D0897" w14:textId="77777777" w:rsidR="006C2E9C" w:rsidRPr="00783AE3" w:rsidRDefault="00000000" w:rsidP="00885330">
            <w:pPr>
              <w:widowControl w:val="0"/>
              <w:spacing w:after="0"/>
            </w:pPr>
            <w:r w:rsidRPr="00783AE3">
              <w:t>20</w:t>
            </w:r>
          </w:p>
        </w:tc>
        <w:tc>
          <w:tcPr>
            <w:tcW w:w="2730" w:type="dxa"/>
            <w:shd w:val="clear" w:color="auto" w:fill="auto"/>
            <w:tcMar>
              <w:top w:w="100" w:type="dxa"/>
              <w:left w:w="100" w:type="dxa"/>
              <w:bottom w:w="100" w:type="dxa"/>
              <w:right w:w="100" w:type="dxa"/>
            </w:tcMar>
          </w:tcPr>
          <w:p w14:paraId="5EEF6F0E" w14:textId="1CA024B3" w:rsidR="006C2E9C" w:rsidRPr="00783AE3" w:rsidRDefault="001A0B8F" w:rsidP="00885330">
            <w:pPr>
              <w:widowControl w:val="0"/>
              <w:spacing w:after="0"/>
            </w:pPr>
            <w:r>
              <w:t>To</w:t>
            </w:r>
            <w:r w:rsidR="00000000" w:rsidRPr="00783AE3">
              <w:t xml:space="preserve"> strengthen its financial position, the business may find it advantageous to investigate short-term funding possibilities.</w:t>
            </w:r>
          </w:p>
        </w:tc>
      </w:tr>
      <w:tr w:rsidR="00193781" w:rsidRPr="00783AE3" w14:paraId="3F22A878" w14:textId="77777777">
        <w:trPr>
          <w:cantSplit/>
          <w:tblHeader/>
        </w:trPr>
        <w:tc>
          <w:tcPr>
            <w:tcW w:w="2310" w:type="dxa"/>
            <w:shd w:val="clear" w:color="auto" w:fill="auto"/>
            <w:tcMar>
              <w:top w:w="100" w:type="dxa"/>
              <w:left w:w="100" w:type="dxa"/>
              <w:bottom w:w="100" w:type="dxa"/>
              <w:right w:w="100" w:type="dxa"/>
            </w:tcMar>
          </w:tcPr>
          <w:p w14:paraId="4BD6B497" w14:textId="77777777" w:rsidR="006C2E9C" w:rsidRPr="00783AE3" w:rsidRDefault="00000000" w:rsidP="00885330">
            <w:pPr>
              <w:widowControl w:val="0"/>
              <w:spacing w:after="0"/>
              <w:rPr>
                <w:b/>
              </w:rPr>
            </w:pPr>
            <w:r w:rsidRPr="00783AE3">
              <w:rPr>
                <w:b/>
              </w:rPr>
              <w:lastRenderedPageBreak/>
              <w:t>Labour shortage</w:t>
            </w:r>
          </w:p>
        </w:tc>
        <w:tc>
          <w:tcPr>
            <w:tcW w:w="1560" w:type="dxa"/>
            <w:shd w:val="clear" w:color="auto" w:fill="auto"/>
            <w:tcMar>
              <w:top w:w="100" w:type="dxa"/>
              <w:left w:w="100" w:type="dxa"/>
              <w:bottom w:w="100" w:type="dxa"/>
              <w:right w:w="100" w:type="dxa"/>
            </w:tcMar>
          </w:tcPr>
          <w:p w14:paraId="06DAEA89" w14:textId="77777777" w:rsidR="006C2E9C" w:rsidRPr="00783AE3" w:rsidRDefault="00000000" w:rsidP="00885330">
            <w:pPr>
              <w:widowControl w:val="0"/>
              <w:spacing w:after="0"/>
            </w:pPr>
            <w:r w:rsidRPr="00783AE3">
              <w:t>2</w:t>
            </w:r>
          </w:p>
        </w:tc>
        <w:tc>
          <w:tcPr>
            <w:tcW w:w="1125" w:type="dxa"/>
            <w:shd w:val="clear" w:color="auto" w:fill="auto"/>
            <w:tcMar>
              <w:top w:w="100" w:type="dxa"/>
              <w:left w:w="100" w:type="dxa"/>
              <w:bottom w:w="100" w:type="dxa"/>
              <w:right w:w="100" w:type="dxa"/>
            </w:tcMar>
          </w:tcPr>
          <w:p w14:paraId="17644FE8" w14:textId="77777777" w:rsidR="006C2E9C" w:rsidRPr="00783AE3" w:rsidRDefault="00000000" w:rsidP="00885330">
            <w:pPr>
              <w:widowControl w:val="0"/>
              <w:spacing w:after="0"/>
            </w:pPr>
            <w:r w:rsidRPr="00783AE3">
              <w:t>3</w:t>
            </w:r>
          </w:p>
        </w:tc>
        <w:tc>
          <w:tcPr>
            <w:tcW w:w="1500" w:type="dxa"/>
            <w:shd w:val="clear" w:color="auto" w:fill="FFE599"/>
            <w:tcMar>
              <w:top w:w="100" w:type="dxa"/>
              <w:left w:w="100" w:type="dxa"/>
              <w:bottom w:w="100" w:type="dxa"/>
              <w:right w:w="100" w:type="dxa"/>
            </w:tcMar>
          </w:tcPr>
          <w:p w14:paraId="7E5A2B5A" w14:textId="77777777" w:rsidR="006C2E9C" w:rsidRPr="00783AE3" w:rsidRDefault="00000000" w:rsidP="00885330">
            <w:pPr>
              <w:widowControl w:val="0"/>
              <w:spacing w:after="0"/>
            </w:pPr>
            <w:r w:rsidRPr="00783AE3">
              <w:t>6</w:t>
            </w:r>
          </w:p>
        </w:tc>
        <w:tc>
          <w:tcPr>
            <w:tcW w:w="2730" w:type="dxa"/>
            <w:shd w:val="clear" w:color="auto" w:fill="auto"/>
            <w:tcMar>
              <w:top w:w="100" w:type="dxa"/>
              <w:left w:w="100" w:type="dxa"/>
              <w:bottom w:w="100" w:type="dxa"/>
              <w:right w:w="100" w:type="dxa"/>
            </w:tcMar>
          </w:tcPr>
          <w:p w14:paraId="643E251D" w14:textId="77777777" w:rsidR="006C2E9C" w:rsidRPr="00783AE3" w:rsidRDefault="00000000" w:rsidP="00885330">
            <w:pPr>
              <w:widowControl w:val="0"/>
              <w:spacing w:after="0"/>
            </w:pPr>
            <w:r w:rsidRPr="00783AE3">
              <w:t>Hospitality companies may lessen the effects of a labour shortage by putting measures like competitive pay, encouraging diversity in the workforce, adopting technology, and giving flexible work schedules into practice (Eposnow, 2024).</w:t>
            </w:r>
          </w:p>
        </w:tc>
      </w:tr>
      <w:tr w:rsidR="00193781" w:rsidRPr="00783AE3" w14:paraId="0D560747" w14:textId="77777777">
        <w:trPr>
          <w:cantSplit/>
          <w:tblHeader/>
        </w:trPr>
        <w:tc>
          <w:tcPr>
            <w:tcW w:w="2310" w:type="dxa"/>
            <w:shd w:val="clear" w:color="auto" w:fill="auto"/>
            <w:tcMar>
              <w:top w:w="100" w:type="dxa"/>
              <w:left w:w="100" w:type="dxa"/>
              <w:bottom w:w="100" w:type="dxa"/>
              <w:right w:w="100" w:type="dxa"/>
            </w:tcMar>
          </w:tcPr>
          <w:p w14:paraId="2FA5E2C1" w14:textId="77777777" w:rsidR="006C2E9C" w:rsidRPr="00783AE3" w:rsidRDefault="00000000" w:rsidP="00885330">
            <w:pPr>
              <w:widowControl w:val="0"/>
              <w:spacing w:after="0"/>
              <w:rPr>
                <w:b/>
              </w:rPr>
            </w:pPr>
            <w:r w:rsidRPr="00783AE3">
              <w:rPr>
                <w:b/>
              </w:rPr>
              <w:t>Policies and regulations</w:t>
            </w:r>
          </w:p>
        </w:tc>
        <w:tc>
          <w:tcPr>
            <w:tcW w:w="1560" w:type="dxa"/>
            <w:shd w:val="clear" w:color="auto" w:fill="auto"/>
            <w:tcMar>
              <w:top w:w="100" w:type="dxa"/>
              <w:left w:w="100" w:type="dxa"/>
              <w:bottom w:w="100" w:type="dxa"/>
              <w:right w:w="100" w:type="dxa"/>
            </w:tcMar>
          </w:tcPr>
          <w:p w14:paraId="09F8D3D1" w14:textId="77777777" w:rsidR="006C2E9C" w:rsidRPr="00783AE3" w:rsidRDefault="00000000" w:rsidP="00885330">
            <w:pPr>
              <w:widowControl w:val="0"/>
              <w:spacing w:after="0"/>
            </w:pPr>
            <w:r w:rsidRPr="00783AE3">
              <w:t>3</w:t>
            </w:r>
          </w:p>
        </w:tc>
        <w:tc>
          <w:tcPr>
            <w:tcW w:w="1125" w:type="dxa"/>
            <w:shd w:val="clear" w:color="auto" w:fill="auto"/>
            <w:tcMar>
              <w:top w:w="100" w:type="dxa"/>
              <w:left w:w="100" w:type="dxa"/>
              <w:bottom w:w="100" w:type="dxa"/>
              <w:right w:w="100" w:type="dxa"/>
            </w:tcMar>
          </w:tcPr>
          <w:p w14:paraId="29E2BA44" w14:textId="77777777" w:rsidR="006C2E9C" w:rsidRPr="00783AE3" w:rsidRDefault="00000000" w:rsidP="00885330">
            <w:pPr>
              <w:widowControl w:val="0"/>
              <w:spacing w:after="0"/>
            </w:pPr>
            <w:r w:rsidRPr="00783AE3">
              <w:t>3</w:t>
            </w:r>
          </w:p>
        </w:tc>
        <w:tc>
          <w:tcPr>
            <w:tcW w:w="1500" w:type="dxa"/>
            <w:shd w:val="clear" w:color="auto" w:fill="F1C232"/>
            <w:tcMar>
              <w:top w:w="100" w:type="dxa"/>
              <w:left w:w="100" w:type="dxa"/>
              <w:bottom w:w="100" w:type="dxa"/>
              <w:right w:w="100" w:type="dxa"/>
            </w:tcMar>
          </w:tcPr>
          <w:p w14:paraId="7A108529" w14:textId="77777777" w:rsidR="006C2E9C" w:rsidRPr="00783AE3" w:rsidRDefault="00000000" w:rsidP="00885330">
            <w:pPr>
              <w:widowControl w:val="0"/>
              <w:spacing w:after="0"/>
            </w:pPr>
            <w:r w:rsidRPr="00783AE3">
              <w:t>9</w:t>
            </w:r>
          </w:p>
        </w:tc>
        <w:tc>
          <w:tcPr>
            <w:tcW w:w="2730" w:type="dxa"/>
            <w:shd w:val="clear" w:color="auto" w:fill="auto"/>
            <w:tcMar>
              <w:top w:w="100" w:type="dxa"/>
              <w:left w:w="100" w:type="dxa"/>
              <w:bottom w:w="100" w:type="dxa"/>
              <w:right w:w="100" w:type="dxa"/>
            </w:tcMar>
          </w:tcPr>
          <w:p w14:paraId="66D17A84" w14:textId="77777777" w:rsidR="006C2E9C" w:rsidRPr="00783AE3" w:rsidRDefault="00000000" w:rsidP="00885330">
            <w:pPr>
              <w:widowControl w:val="0"/>
              <w:spacing w:after="0"/>
            </w:pPr>
            <w:r w:rsidRPr="00783AE3">
              <w:t>Keeping abreast of changes to regulations and The Hotel's corporate environment may efficiently minimise waste and mitigate regulatory compliance by promoting sustainable practices (Barakagira and Paapa, 2024).</w:t>
            </w:r>
          </w:p>
        </w:tc>
      </w:tr>
      <w:tr w:rsidR="00193781" w:rsidRPr="00783AE3" w14:paraId="3CD6EF3B" w14:textId="77777777">
        <w:trPr>
          <w:cantSplit/>
          <w:tblHeader/>
        </w:trPr>
        <w:tc>
          <w:tcPr>
            <w:tcW w:w="2310" w:type="dxa"/>
            <w:shd w:val="clear" w:color="auto" w:fill="auto"/>
            <w:tcMar>
              <w:top w:w="100" w:type="dxa"/>
              <w:left w:w="100" w:type="dxa"/>
              <w:bottom w:w="100" w:type="dxa"/>
              <w:right w:w="100" w:type="dxa"/>
            </w:tcMar>
          </w:tcPr>
          <w:p w14:paraId="3861E2CB" w14:textId="77777777" w:rsidR="006C2E9C" w:rsidRPr="00783AE3" w:rsidRDefault="00000000" w:rsidP="00885330">
            <w:pPr>
              <w:widowControl w:val="0"/>
              <w:spacing w:after="0"/>
              <w:rPr>
                <w:b/>
              </w:rPr>
            </w:pPr>
            <w:r w:rsidRPr="00783AE3">
              <w:rPr>
                <w:b/>
              </w:rPr>
              <w:t>Technological investment requirement</w:t>
            </w:r>
          </w:p>
        </w:tc>
        <w:tc>
          <w:tcPr>
            <w:tcW w:w="1560" w:type="dxa"/>
            <w:shd w:val="clear" w:color="auto" w:fill="auto"/>
            <w:tcMar>
              <w:top w:w="100" w:type="dxa"/>
              <w:left w:w="100" w:type="dxa"/>
              <w:bottom w:w="100" w:type="dxa"/>
              <w:right w:w="100" w:type="dxa"/>
            </w:tcMar>
          </w:tcPr>
          <w:p w14:paraId="1E4661D6" w14:textId="77777777" w:rsidR="006C2E9C" w:rsidRPr="00783AE3" w:rsidRDefault="00000000" w:rsidP="00885330">
            <w:pPr>
              <w:widowControl w:val="0"/>
              <w:spacing w:after="0"/>
            </w:pPr>
            <w:r w:rsidRPr="00783AE3">
              <w:t>4</w:t>
            </w:r>
          </w:p>
        </w:tc>
        <w:tc>
          <w:tcPr>
            <w:tcW w:w="1125" w:type="dxa"/>
            <w:shd w:val="clear" w:color="auto" w:fill="auto"/>
            <w:tcMar>
              <w:top w:w="100" w:type="dxa"/>
              <w:left w:w="100" w:type="dxa"/>
              <w:bottom w:w="100" w:type="dxa"/>
              <w:right w:w="100" w:type="dxa"/>
            </w:tcMar>
          </w:tcPr>
          <w:p w14:paraId="0D240B4A" w14:textId="77777777" w:rsidR="006C2E9C" w:rsidRPr="00783AE3" w:rsidRDefault="00000000" w:rsidP="00885330">
            <w:pPr>
              <w:widowControl w:val="0"/>
              <w:spacing w:after="0"/>
            </w:pPr>
            <w:r w:rsidRPr="00783AE3">
              <w:t>3</w:t>
            </w:r>
          </w:p>
        </w:tc>
        <w:tc>
          <w:tcPr>
            <w:tcW w:w="1500" w:type="dxa"/>
            <w:shd w:val="clear" w:color="auto" w:fill="F6B26B"/>
            <w:tcMar>
              <w:top w:w="100" w:type="dxa"/>
              <w:left w:w="100" w:type="dxa"/>
              <w:bottom w:w="100" w:type="dxa"/>
              <w:right w:w="100" w:type="dxa"/>
            </w:tcMar>
          </w:tcPr>
          <w:p w14:paraId="3AD1C05E" w14:textId="77777777" w:rsidR="006C2E9C" w:rsidRPr="00783AE3" w:rsidRDefault="00000000" w:rsidP="00885330">
            <w:pPr>
              <w:widowControl w:val="0"/>
              <w:spacing w:after="0"/>
            </w:pPr>
            <w:r w:rsidRPr="00783AE3">
              <w:t>12</w:t>
            </w:r>
          </w:p>
        </w:tc>
        <w:tc>
          <w:tcPr>
            <w:tcW w:w="2730" w:type="dxa"/>
            <w:shd w:val="clear" w:color="auto" w:fill="auto"/>
            <w:tcMar>
              <w:top w:w="100" w:type="dxa"/>
              <w:left w:w="100" w:type="dxa"/>
              <w:bottom w:w="100" w:type="dxa"/>
              <w:right w:w="100" w:type="dxa"/>
            </w:tcMar>
          </w:tcPr>
          <w:p w14:paraId="1BCDAF9E" w14:textId="77777777" w:rsidR="006C2E9C" w:rsidRPr="00783AE3" w:rsidRDefault="00000000" w:rsidP="00885330">
            <w:pPr>
              <w:widowControl w:val="0"/>
              <w:spacing w:after="0"/>
            </w:pPr>
            <w:r w:rsidRPr="00783AE3">
              <w:t xml:space="preserve">Create a staged technology adoption strategy to guarantee improvements happen gradually without taxing resources. The hotel may also invest in technological upgrades for their business by taking out government loans.  </w:t>
            </w:r>
          </w:p>
        </w:tc>
      </w:tr>
    </w:tbl>
    <w:p w14:paraId="6BB8C286" w14:textId="395C4482" w:rsidR="006C2E9C" w:rsidRPr="00783AE3" w:rsidRDefault="00000000" w:rsidP="00BA0FDD">
      <w:pPr>
        <w:spacing w:after="0"/>
        <w:jc w:val="center"/>
        <w:rPr>
          <w:b/>
        </w:rPr>
      </w:pPr>
      <w:r w:rsidRPr="00783AE3">
        <w:rPr>
          <w:b/>
        </w:rPr>
        <w:t xml:space="preserve">Table </w:t>
      </w:r>
      <w:r w:rsidR="004D50EE" w:rsidRPr="00783AE3">
        <w:rPr>
          <w:b/>
        </w:rPr>
        <w:t>2</w:t>
      </w:r>
      <w:r w:rsidRPr="00783AE3">
        <w:rPr>
          <w:b/>
        </w:rPr>
        <w:t>: Risk register and management plan (</w:t>
      </w:r>
      <w:r w:rsidRPr="00783AE3">
        <w:t>Source: Self-created</w:t>
      </w:r>
      <w:r w:rsidRPr="00783AE3">
        <w:rPr>
          <w:b/>
        </w:rPr>
        <w:t>)</w:t>
      </w:r>
    </w:p>
    <w:p w14:paraId="12166FF4" w14:textId="77777777" w:rsidR="00783AE3" w:rsidRPr="00783AE3" w:rsidRDefault="00783AE3" w:rsidP="00BA0FDD">
      <w:pPr>
        <w:spacing w:after="0"/>
        <w:jc w:val="center"/>
        <w:rPr>
          <w:b/>
        </w:rPr>
      </w:pPr>
    </w:p>
    <w:p w14:paraId="613D4475" w14:textId="77777777" w:rsidR="00783AE3" w:rsidRPr="00783AE3" w:rsidRDefault="00783AE3" w:rsidP="00BA0FDD">
      <w:pPr>
        <w:spacing w:after="0"/>
        <w:jc w:val="center"/>
        <w:rPr>
          <w:b/>
        </w:rPr>
      </w:pPr>
    </w:p>
    <w:p w14:paraId="0D1DADDD" w14:textId="77777777" w:rsidR="00BA0FDD" w:rsidRPr="00783AE3" w:rsidRDefault="00BA0FDD" w:rsidP="001E3A35">
      <w:pPr>
        <w:pStyle w:val="Heading1"/>
        <w:rPr>
          <w:sz w:val="24"/>
          <w:szCs w:val="24"/>
        </w:rPr>
      </w:pPr>
      <w:bookmarkStart w:id="16" w:name="_Toc182480107"/>
      <w:r w:rsidRPr="00783AE3">
        <w:rPr>
          <w:sz w:val="24"/>
          <w:szCs w:val="24"/>
        </w:rPr>
        <w:t>Conclusion</w:t>
      </w:r>
      <w:bookmarkEnd w:id="16"/>
      <w:r w:rsidRPr="00783AE3">
        <w:rPr>
          <w:sz w:val="24"/>
          <w:szCs w:val="24"/>
        </w:rPr>
        <w:t xml:space="preserve">  </w:t>
      </w:r>
    </w:p>
    <w:p w14:paraId="31865C33" w14:textId="46BF18DD" w:rsidR="00BA0FDD" w:rsidRPr="00BA0FDD" w:rsidRDefault="00BA0FDD" w:rsidP="00BA0FDD">
      <w:pPr>
        <w:spacing w:after="0"/>
      </w:pPr>
      <w:bookmarkStart w:id="17" w:name="_Toc181035703"/>
      <w:r w:rsidRPr="00BA0FDD">
        <w:t xml:space="preserve">In conclusion, it can be said that the new challenges of the market dynamics for the </w:t>
      </w:r>
      <w:r w:rsidR="00DB3853">
        <w:t>City Hotel</w:t>
      </w:r>
      <w:r w:rsidRPr="00BA0FDD">
        <w:t xml:space="preserve">, the competition, inflation rates as well as the shortage of workers affect the financial performance of </w:t>
      </w:r>
      <w:r w:rsidR="00DB3853">
        <w:t>City Hotel</w:t>
      </w:r>
      <w:r w:rsidRPr="00BA0FDD">
        <w:t xml:space="preserve">. But, by following a detailed tactical approach </w:t>
      </w:r>
      <w:r w:rsidR="00CC353F">
        <w:t>with</w:t>
      </w:r>
      <w:r w:rsidRPr="00BA0FDD">
        <w:t xml:space="preserve"> strategic operational improvements, strategic market targeting, and strategic technological advancement, the hotel can successfully restore its financial status and improve its strategic opportunities. Hedging activities like using government loans to prepare technology improvements and enhance staff skill base will not only </w:t>
      </w:r>
      <w:r w:rsidR="00CC353F" w:rsidRPr="00BA0FDD">
        <w:t>improve</w:t>
      </w:r>
      <w:r w:rsidRPr="00BA0FDD">
        <w:t xml:space="preserve"> the present concerns but will also lead to long-term success amid the continuously changing prospects of the hospitality industry.</w:t>
      </w:r>
      <w:bookmarkEnd w:id="17"/>
    </w:p>
    <w:p w14:paraId="2A0B9268" w14:textId="47EB0894" w:rsidR="006C2E9C" w:rsidRDefault="00C445B5" w:rsidP="00BA0FDD">
      <w:pPr>
        <w:pStyle w:val="Heading2"/>
        <w:jc w:val="center"/>
      </w:pPr>
      <w:bookmarkStart w:id="18" w:name="_4k9uts2cu8ci" w:colFirst="0" w:colLast="0"/>
      <w:bookmarkStart w:id="19" w:name="_Toc182479987"/>
      <w:bookmarkStart w:id="20" w:name="_Toc182480108"/>
      <w:bookmarkEnd w:id="18"/>
      <w:r>
        <w:t>Recommendations</w:t>
      </w:r>
      <w:bookmarkEnd w:id="19"/>
      <w:bookmarkEnd w:id="20"/>
    </w:p>
    <w:p w14:paraId="18FC5FD9" w14:textId="0DA61931" w:rsidR="006C2E9C" w:rsidRDefault="00000000" w:rsidP="00885330">
      <w:pPr>
        <w:spacing w:after="0"/>
        <w:rPr>
          <w:b/>
        </w:rPr>
      </w:pPr>
      <w:r>
        <w:rPr>
          <w:b/>
          <w:i/>
        </w:rPr>
        <w:t xml:space="preserve">Recommendation 1: Improve operational efficiency to transform </w:t>
      </w:r>
      <w:r w:rsidR="009C13CA">
        <w:rPr>
          <w:b/>
          <w:i/>
        </w:rPr>
        <w:t xml:space="preserve">the </w:t>
      </w:r>
      <w:r>
        <w:rPr>
          <w:b/>
          <w:i/>
        </w:rPr>
        <w:t xml:space="preserve">market dynamics of the business  </w:t>
      </w:r>
      <w:r>
        <w:rPr>
          <w:b/>
        </w:rPr>
        <w:t xml:space="preserve"> </w:t>
      </w:r>
    </w:p>
    <w:p w14:paraId="24F5C6EC" w14:textId="2C3CCE00" w:rsidR="006C2E9C" w:rsidRDefault="00000000" w:rsidP="00885330">
      <w:pPr>
        <w:spacing w:after="0"/>
      </w:pPr>
      <w:r>
        <w:t xml:space="preserve">The </w:t>
      </w:r>
      <w:r w:rsidR="00DB3853">
        <w:t>City Hotel</w:t>
      </w:r>
      <w:r>
        <w:t xml:space="preserve"> can operate more efficiently which will be shown by analysing costs and finding potential for improvement. As per the opinion of Landini </w:t>
      </w:r>
      <w:r>
        <w:rPr>
          <w:i/>
        </w:rPr>
        <w:t xml:space="preserve">et al. </w:t>
      </w:r>
      <w:r>
        <w:t xml:space="preserve">(2020), In economics, </w:t>
      </w:r>
      <w:r w:rsidRPr="009C13CA">
        <w:rPr>
          <w:bCs/>
          <w:iCs/>
        </w:rPr>
        <w:t>equilibrium theory</w:t>
      </w:r>
      <w:r>
        <w:t xml:space="preserve"> describes a situation in which the competing agents' opposing goals are balanced, usually demonstrated by the equality of supply and demand, leading to steady levels of output and consumption without interruptions in business dealings. </w:t>
      </w:r>
    </w:p>
    <w:p w14:paraId="03DD2354" w14:textId="420E7132" w:rsidR="006C2E9C" w:rsidRDefault="00000000" w:rsidP="00885330">
      <w:pPr>
        <w:spacing w:after="0"/>
      </w:pPr>
      <w:r>
        <w:t xml:space="preserve">Applying the concept of equilibrium in the organisation preserves financial stability and enhances organisational performance due to the enhancement of the organisation's operational procedures. Demanding improved terms from suppliers and improving methods in the field of business services can reduce costs. The </w:t>
      </w:r>
      <w:r w:rsidR="00CC353F">
        <w:t>City H</w:t>
      </w:r>
      <w:r>
        <w:t>otel, for instance, must be able to establish patterns of staffing and, through cross-utilization of the workers, enhance flexibility, and satisfaction among the workers. Such a strategy can lower the turnover level and contribute to raising the net profit margin in a hotel by creating a more flexible and enthusiastic staff.</w:t>
      </w:r>
    </w:p>
    <w:p w14:paraId="55A10DF4" w14:textId="77777777" w:rsidR="006C2E9C" w:rsidRDefault="00000000" w:rsidP="00885330">
      <w:pPr>
        <w:spacing w:after="0"/>
        <w:rPr>
          <w:b/>
          <w:i/>
        </w:rPr>
      </w:pPr>
      <w:r>
        <w:rPr>
          <w:b/>
          <w:i/>
        </w:rPr>
        <w:t xml:space="preserve">Recommendation 2: Improve marketing and branding to cope with market competition </w:t>
      </w:r>
    </w:p>
    <w:p w14:paraId="1EA12B93" w14:textId="72262680" w:rsidR="006C2E9C" w:rsidRDefault="00000000" w:rsidP="00885330">
      <w:pPr>
        <w:spacing w:after="0"/>
      </w:pPr>
      <w:r>
        <w:t xml:space="preserve">Businesses may use digital marketing as a platform for one-on-one or individual marketing, which helps the brand stand out from the competition by creating advertising or content that shows consumers that the brand is paying attention to their specific requirements (Digital Catalyst, 2023). For example, The Ritz-Carlton shares stunning pictures and videos of the </w:t>
      </w:r>
      <w:r w:rsidR="009B258D">
        <w:lastRenderedPageBreak/>
        <w:t>abundant</w:t>
      </w:r>
      <w:r>
        <w:t xml:space="preserve"> </w:t>
      </w:r>
      <w:proofErr w:type="gramStart"/>
      <w:r>
        <w:t>experiences</w:t>
      </w:r>
      <w:proofErr w:type="gramEnd"/>
      <w:r>
        <w:t xml:space="preserve"> visitors can anticipate on social media to build a marketing story. Additionally, they interact with their fans by sharing guest images and answering comments (Giraffe Social, 2024). </w:t>
      </w:r>
    </w:p>
    <w:p w14:paraId="28116964" w14:textId="33DBB614" w:rsidR="006C2E9C" w:rsidRDefault="00000000" w:rsidP="00885330">
      <w:pPr>
        <w:spacing w:after="0"/>
      </w:pPr>
      <w:r>
        <w:t xml:space="preserve">Here, the </w:t>
      </w:r>
      <w:r w:rsidR="00DB3853">
        <w:t>City Hotel</w:t>
      </w:r>
      <w:r>
        <w:t xml:space="preserve"> can source extra value for the consumer </w:t>
      </w:r>
      <w:r w:rsidR="00EA1FE8">
        <w:t>by</w:t>
      </w:r>
      <w:r>
        <w:t xml:space="preserve"> implementing effective social media advertisement that provides an avenue through which consumers can view current images of the hotel as a modern structure that is welcoming to guests. So, </w:t>
      </w:r>
      <w:proofErr w:type="gramStart"/>
      <w:r>
        <w:t>in order to</w:t>
      </w:r>
      <w:proofErr w:type="gramEnd"/>
      <w:r>
        <w:t xml:space="preserve"> become </w:t>
      </w:r>
      <w:r w:rsidR="009B258D">
        <w:t>good</w:t>
      </w:r>
      <w:r>
        <w:t xml:space="preserve"> with few competitors the hotel must focus on its competitive advantages.  </w:t>
      </w:r>
    </w:p>
    <w:p w14:paraId="3F04E3A4" w14:textId="77777777" w:rsidR="006C2E9C" w:rsidRDefault="00000000" w:rsidP="00885330">
      <w:pPr>
        <w:spacing w:after="0"/>
        <w:rPr>
          <w:b/>
          <w:i/>
        </w:rPr>
      </w:pPr>
      <w:r>
        <w:rPr>
          <w:b/>
          <w:i/>
        </w:rPr>
        <w:t xml:space="preserve">Recommendation 3: Borrowing loans from the government </w:t>
      </w:r>
      <w:r w:rsidR="004D50EE">
        <w:rPr>
          <w:b/>
          <w:i/>
        </w:rPr>
        <w:t xml:space="preserve">and implementing policies </w:t>
      </w:r>
      <w:r>
        <w:rPr>
          <w:b/>
          <w:i/>
        </w:rPr>
        <w:t xml:space="preserve">for investment in technology and its upgradation </w:t>
      </w:r>
    </w:p>
    <w:p w14:paraId="399DDAE7" w14:textId="2AD6A897" w:rsidR="006C2E9C" w:rsidRDefault="00000000" w:rsidP="00885330">
      <w:pPr>
        <w:spacing w:after="0"/>
      </w:pPr>
      <w:r>
        <w:t>Businesses in the retail, hotel, and leisure industries can get financial assistance for their operating expenses from the Retail, hotel, and Leisure Grant Fund (RHLGF) (GOV UK, 202</w:t>
      </w:r>
      <w:r w:rsidR="004D50EE">
        <w:t>3</w:t>
      </w:r>
      <w:r>
        <w:t xml:space="preserve">). Therefore, borrowing money from the government will help The </w:t>
      </w:r>
      <w:r w:rsidR="00DB3853">
        <w:t>City Hotel</w:t>
      </w:r>
      <w:r>
        <w:t xml:space="preserve"> to invest in </w:t>
      </w:r>
      <w:r w:rsidR="004D50EE">
        <w:t xml:space="preserve">technology and help in </w:t>
      </w:r>
      <w:r w:rsidR="009B258D">
        <w:t xml:space="preserve">the </w:t>
      </w:r>
      <w:r w:rsidR="004D50EE">
        <w:t>business</w:t>
      </w:r>
      <w:r w:rsidR="009B258D">
        <w:t xml:space="preserve"> path</w:t>
      </w:r>
      <w:r w:rsidR="004D50EE">
        <w:t xml:space="preserve">. Moreover, </w:t>
      </w:r>
      <w:r w:rsidR="009B258D">
        <w:t>adjustment</w:t>
      </w:r>
      <w:r w:rsidR="004D50EE" w:rsidRPr="004D50EE">
        <w:t xml:space="preserve"> of operations in terms of cash flow analysis by working on blockchain technology will also </w:t>
      </w:r>
      <w:r w:rsidR="009B258D">
        <w:t>help</w:t>
      </w:r>
      <w:r w:rsidR="004D50EE" w:rsidRPr="004D50EE">
        <w:t xml:space="preserve"> solve the problem of the company in terms of managing operating costs and operational liabilities. Furthermore, it would make strategic sense for the company to review short-term funding to complement the company's financial position. As stated before, there is value in introducing sustainable practices that</w:t>
      </w:r>
      <w:r w:rsidR="009B258D">
        <w:t xml:space="preserve"> will</w:t>
      </w:r>
      <w:r w:rsidR="004D50EE" w:rsidRPr="004D50EE">
        <w:t xml:space="preserve"> likely result in long-term cost savings and may contain the potential of tax credits. With that </w:t>
      </w:r>
      <w:r w:rsidR="00DB3853">
        <w:t>City Hotel</w:t>
      </w:r>
      <w:r w:rsidR="004D50EE" w:rsidRPr="004D50EE">
        <w:t xml:space="preserve"> ensures that it reduces the levels of waste that it produces and at the same time is </w:t>
      </w:r>
      <w:proofErr w:type="gramStart"/>
      <w:r w:rsidR="004D50EE" w:rsidRPr="004D50EE">
        <w:t>in a position</w:t>
      </w:r>
      <w:proofErr w:type="gramEnd"/>
      <w:r w:rsidR="004D50EE" w:rsidRPr="004D50EE">
        <w:t xml:space="preserve"> to meet the required legal standards.</w:t>
      </w:r>
    </w:p>
    <w:p w14:paraId="72565BC5" w14:textId="2352F704" w:rsidR="006C2E9C" w:rsidRDefault="00000000" w:rsidP="00885330">
      <w:pPr>
        <w:pStyle w:val="Heading1"/>
      </w:pPr>
      <w:bookmarkStart w:id="21" w:name="_muxqm5idszim" w:colFirst="0" w:colLast="0"/>
      <w:bookmarkEnd w:id="21"/>
      <w:r>
        <w:br w:type="page"/>
      </w:r>
    </w:p>
    <w:p w14:paraId="760B8016" w14:textId="23BD13B5" w:rsidR="006C2E9C" w:rsidRDefault="00000000" w:rsidP="00BA0FDD">
      <w:pPr>
        <w:pStyle w:val="Heading1"/>
        <w:jc w:val="center"/>
      </w:pPr>
      <w:bookmarkStart w:id="22" w:name="_cype9bimhc3p" w:colFirst="0" w:colLast="0"/>
      <w:bookmarkStart w:id="23" w:name="_Toc182479988"/>
      <w:bookmarkStart w:id="24" w:name="_Toc182480109"/>
      <w:bookmarkEnd w:id="22"/>
      <w:r>
        <w:lastRenderedPageBreak/>
        <w:t>Reference List</w:t>
      </w:r>
      <w:bookmarkEnd w:id="23"/>
      <w:bookmarkEnd w:id="24"/>
    </w:p>
    <w:p w14:paraId="323DBF02" w14:textId="5485C25F" w:rsidR="004D50EE" w:rsidRPr="00F52FC6" w:rsidRDefault="00000000" w:rsidP="00885330">
      <w:bookmarkStart w:id="25" w:name="_dq0f481zstns" w:colFirst="0" w:colLast="0"/>
      <w:bookmarkEnd w:id="25"/>
      <w:r w:rsidRPr="00F52FC6">
        <w:t xml:space="preserve">Allianz, (2024). </w:t>
      </w:r>
      <w:r w:rsidRPr="00F52FC6">
        <w:rPr>
          <w:i/>
        </w:rPr>
        <w:t>Travel and Hospitality – Sector report – United Kingdom</w:t>
      </w:r>
      <w:r w:rsidRPr="00F52FC6">
        <w:t xml:space="preserve">. Available at: https://www.allianz-trade.com/en_GB/insights/economic-research/travel-and-hospitality-sector-report.html (Accessed: </w:t>
      </w:r>
      <w:r w:rsidR="00EA1FE8">
        <w:t>30</w:t>
      </w:r>
      <w:r w:rsidRPr="00F52FC6">
        <w:t xml:space="preserve"> October 2024)</w:t>
      </w:r>
      <w:r w:rsidR="00EA1FE8">
        <w:t>.</w:t>
      </w:r>
    </w:p>
    <w:p w14:paraId="05D582AD" w14:textId="5D244C08" w:rsidR="004D50EE" w:rsidRPr="00F52FC6" w:rsidRDefault="00000000" w:rsidP="00885330">
      <w:r w:rsidRPr="00F52FC6">
        <w:t xml:space="preserve">Auditel, (2019). </w:t>
      </w:r>
      <w:r w:rsidRPr="00F52FC6">
        <w:rPr>
          <w:i/>
        </w:rPr>
        <w:t xml:space="preserve">Market Dynamics </w:t>
      </w:r>
      <w:proofErr w:type="gramStart"/>
      <w:r w:rsidRPr="00F52FC6">
        <w:rPr>
          <w:i/>
        </w:rPr>
        <w:t>The</w:t>
      </w:r>
      <w:proofErr w:type="gramEnd"/>
      <w:r w:rsidRPr="00F52FC6">
        <w:rPr>
          <w:i/>
        </w:rPr>
        <w:t xml:space="preserve"> Hospitality Sector</w:t>
      </w:r>
      <w:r w:rsidRPr="00F52FC6">
        <w:t xml:space="preserve">. Available at: https://auditel.co.uk/wp-content/uploads/Market-Dynamics-Hospitality-WebSpreads.pdf (Accessed: </w:t>
      </w:r>
      <w:r w:rsidR="00EA1FE8">
        <w:t>30</w:t>
      </w:r>
      <w:r w:rsidRPr="00F52FC6">
        <w:t xml:space="preserve"> October 2024)</w:t>
      </w:r>
      <w:r w:rsidR="00EA1FE8">
        <w:t>.</w:t>
      </w:r>
    </w:p>
    <w:p w14:paraId="6B02DD3E" w14:textId="30F90AE9" w:rsidR="004D50EE" w:rsidRPr="00F52FC6" w:rsidRDefault="00000000" w:rsidP="00885330">
      <w:r w:rsidRPr="00F52FC6">
        <w:t xml:space="preserve">Axonify, (2024). </w:t>
      </w:r>
      <w:r w:rsidRPr="00F52FC6">
        <w:rPr>
          <w:i/>
        </w:rPr>
        <w:t>U.K. Hospitality Industry Faces Significant Challenges Amid Labour Shortages and Employee Burnout, Reveals New Survey</w:t>
      </w:r>
      <w:r w:rsidRPr="00F52FC6">
        <w:t>. Available at: https://axonify.com/en-uk/news/hospitality-survey-2024/ (Accessed: 2</w:t>
      </w:r>
      <w:r w:rsidR="00EA1FE8">
        <w:t>5</w:t>
      </w:r>
      <w:r w:rsidRPr="00F52FC6">
        <w:t xml:space="preserve"> October 2024)</w:t>
      </w:r>
      <w:r w:rsidR="00EA1FE8">
        <w:t>.</w:t>
      </w:r>
    </w:p>
    <w:p w14:paraId="67EE8EC7" w14:textId="77777777" w:rsidR="004D50EE" w:rsidRPr="00F52FC6" w:rsidRDefault="00000000" w:rsidP="00885330">
      <w:pPr>
        <w:rPr>
          <w:lang w:val="en-IN"/>
        </w:rPr>
      </w:pPr>
      <w:r w:rsidRPr="00F52FC6">
        <w:rPr>
          <w:lang w:val="en-IN"/>
        </w:rPr>
        <w:t xml:space="preserve">Barakagira, A. and Paapa, C., (2024). ‘Green practices implementation for environmental sustainability by five-star hotels in Kampala, Uganda.’ </w:t>
      </w:r>
      <w:r w:rsidRPr="00F52FC6">
        <w:rPr>
          <w:i/>
          <w:iCs/>
          <w:lang w:val="en-IN"/>
        </w:rPr>
        <w:t>Environment, Development and Sustainability</w:t>
      </w:r>
      <w:r w:rsidRPr="00F52FC6">
        <w:rPr>
          <w:lang w:val="en-IN"/>
        </w:rPr>
        <w:t xml:space="preserve">, </w:t>
      </w:r>
      <w:r w:rsidRPr="00F52FC6">
        <w:rPr>
          <w:i/>
          <w:iCs/>
          <w:lang w:val="en-IN"/>
        </w:rPr>
        <w:t>26</w:t>
      </w:r>
      <w:r w:rsidRPr="00F52FC6">
        <w:rPr>
          <w:lang w:val="en-IN"/>
        </w:rPr>
        <w:t>(4), pp.9421-9437.</w:t>
      </w:r>
    </w:p>
    <w:p w14:paraId="45E860DA" w14:textId="16BBF7CD" w:rsidR="004D50EE" w:rsidRPr="00F52FC6" w:rsidRDefault="00000000" w:rsidP="00885330">
      <w:pPr>
        <w:rPr>
          <w:lang w:val="en-IN"/>
        </w:rPr>
      </w:pPr>
      <w:r w:rsidRPr="00F52FC6">
        <w:rPr>
          <w:lang w:val="en-IN"/>
        </w:rPr>
        <w:t xml:space="preserve">BDC, (2024). </w:t>
      </w:r>
      <w:r w:rsidRPr="00F52FC6">
        <w:rPr>
          <w:i/>
          <w:iCs/>
          <w:lang w:val="en-IN"/>
        </w:rPr>
        <w:t xml:space="preserve">What is operational </w:t>
      </w:r>
      <w:proofErr w:type="gramStart"/>
      <w:r w:rsidRPr="00F52FC6">
        <w:rPr>
          <w:i/>
          <w:iCs/>
          <w:lang w:val="en-IN"/>
        </w:rPr>
        <w:t>efficiency?.</w:t>
      </w:r>
      <w:proofErr w:type="gramEnd"/>
      <w:r w:rsidRPr="00F52FC6">
        <w:rPr>
          <w:i/>
          <w:iCs/>
          <w:lang w:val="en-IN"/>
        </w:rPr>
        <w:t xml:space="preserve"> </w:t>
      </w:r>
      <w:r w:rsidRPr="00F52FC6">
        <w:rPr>
          <w:lang w:val="en-IN"/>
        </w:rPr>
        <w:t xml:space="preserve">Available at: </w:t>
      </w:r>
      <w:hyperlink r:id="rId15" w:history="1">
        <w:r w:rsidR="004D50EE" w:rsidRPr="00F52FC6">
          <w:rPr>
            <w:rStyle w:val="Hyperlink"/>
            <w:color w:val="auto"/>
            <w:u w:val="none"/>
            <w:lang w:val="en-IN"/>
          </w:rPr>
          <w:t>https://www.bdc.ca/en/articles-tools/operations/operational-efficiency/3-critical-factors-operational-efficiency</w:t>
        </w:r>
      </w:hyperlink>
      <w:r w:rsidRPr="00F52FC6">
        <w:rPr>
          <w:lang w:val="en-IN"/>
        </w:rPr>
        <w:t xml:space="preserve"> (Accessed: </w:t>
      </w:r>
      <w:r w:rsidR="00EA1FE8">
        <w:rPr>
          <w:lang w:val="en-IN"/>
        </w:rPr>
        <w:t>30</w:t>
      </w:r>
      <w:r w:rsidRPr="00F52FC6">
        <w:rPr>
          <w:lang w:val="en-IN"/>
        </w:rPr>
        <w:t xml:space="preserve"> October 2024) </w:t>
      </w:r>
    </w:p>
    <w:p w14:paraId="7ED86EFF" w14:textId="543FDC73" w:rsidR="004D50EE" w:rsidRPr="00F52FC6" w:rsidRDefault="00000000" w:rsidP="00885330">
      <w:r w:rsidRPr="00F52FC6">
        <w:t xml:space="preserve">CFI, (2024a). </w:t>
      </w:r>
      <w:r w:rsidRPr="00F52FC6">
        <w:rPr>
          <w:i/>
        </w:rPr>
        <w:t xml:space="preserve">Revenue. </w:t>
      </w:r>
      <w:r w:rsidRPr="00F52FC6">
        <w:t xml:space="preserve"> Available at:  https://corporatefinanceinstitute.com/resources/accounting/revenue/ (Accessed: 2</w:t>
      </w:r>
      <w:r w:rsidR="00EA1FE8">
        <w:t>5</w:t>
      </w:r>
      <w:r w:rsidRPr="00F52FC6">
        <w:t xml:space="preserve"> October 2024</w:t>
      </w:r>
      <w:proofErr w:type="gramStart"/>
      <w:r w:rsidRPr="00F52FC6">
        <w:t xml:space="preserve">) </w:t>
      </w:r>
      <w:r w:rsidR="00EA1FE8">
        <w:t>.</w:t>
      </w:r>
      <w:proofErr w:type="gramEnd"/>
      <w:r w:rsidRPr="00F52FC6">
        <w:t xml:space="preserve"> </w:t>
      </w:r>
    </w:p>
    <w:p w14:paraId="50272ABE" w14:textId="275A74CE" w:rsidR="004D50EE" w:rsidRPr="00F52FC6" w:rsidRDefault="00000000" w:rsidP="00885330">
      <w:r w:rsidRPr="00F52FC6">
        <w:t xml:space="preserve">CFI, (2024b). </w:t>
      </w:r>
      <w:r w:rsidRPr="00F52FC6">
        <w:rPr>
          <w:i/>
        </w:rPr>
        <w:t xml:space="preserve"> Expenses. </w:t>
      </w:r>
      <w:r w:rsidRPr="00F52FC6">
        <w:t xml:space="preserve"> Available at: https://corporatefinanceinstitute.com/resources/accounting/expenses/ (Accessed: 26 October 2024)</w:t>
      </w:r>
      <w:r w:rsidR="00EA1FE8">
        <w:t>.</w:t>
      </w:r>
      <w:r w:rsidRPr="00F52FC6">
        <w:t xml:space="preserve">  </w:t>
      </w:r>
    </w:p>
    <w:p w14:paraId="099F897A" w14:textId="1C814C57" w:rsidR="004D50EE" w:rsidRPr="00F52FC6" w:rsidRDefault="00000000" w:rsidP="00885330">
      <w:r w:rsidRPr="00F52FC6">
        <w:t xml:space="preserve">Chemmanur, A., (2024). </w:t>
      </w:r>
      <w:r w:rsidRPr="00F52FC6">
        <w:rPr>
          <w:i/>
        </w:rPr>
        <w:t>Sustainability in the hospitality industry</w:t>
      </w:r>
      <w:r w:rsidRPr="00F52FC6">
        <w:t xml:space="preserve">. Available at: https://www.deloitte.com/uk/en/Industries/consumer/blogs/sustainability-in-the-hospitality-industry.html (Accessed: </w:t>
      </w:r>
      <w:r w:rsidR="00EA1FE8">
        <w:t>30</w:t>
      </w:r>
      <w:r w:rsidRPr="00F52FC6">
        <w:t xml:space="preserve"> October 2024)</w:t>
      </w:r>
      <w:r w:rsidR="00EA1FE8">
        <w:t>.</w:t>
      </w:r>
    </w:p>
    <w:p w14:paraId="4869C79D" w14:textId="77777777" w:rsidR="004D50EE" w:rsidRPr="00F52FC6" w:rsidRDefault="00000000" w:rsidP="00885330">
      <w:r w:rsidRPr="00F52FC6">
        <w:t xml:space="preserve">Coles, T., Ritchie, B.W. and Wang, J., (2021). ‘Building business resilience to external shocks: Conceptualising the role of social networks to small tourism &amp; hospitality </w:t>
      </w:r>
      <w:proofErr w:type="gramStart"/>
      <w:r w:rsidRPr="00F52FC6">
        <w:t>businesses’</w:t>
      </w:r>
      <w:proofErr w:type="gramEnd"/>
      <w:r w:rsidRPr="00F52FC6">
        <w:t xml:space="preserve">. </w:t>
      </w:r>
      <w:r w:rsidRPr="00F52FC6">
        <w:rPr>
          <w:i/>
        </w:rPr>
        <w:t>Journal of Hospitality and Tourism Management</w:t>
      </w:r>
      <w:r w:rsidRPr="00F52FC6">
        <w:t>, 48, pp.210-219.</w:t>
      </w:r>
    </w:p>
    <w:p w14:paraId="1D1BB804" w14:textId="056205B3" w:rsidR="004D50EE" w:rsidRPr="00F52FC6" w:rsidRDefault="00000000" w:rsidP="00885330">
      <w:pPr>
        <w:rPr>
          <w:lang w:val="en-IN"/>
        </w:rPr>
      </w:pPr>
      <w:r w:rsidRPr="00F52FC6">
        <w:rPr>
          <w:lang w:val="en-IN"/>
        </w:rPr>
        <w:lastRenderedPageBreak/>
        <w:t xml:space="preserve">Digital Catalyst, (2023). </w:t>
      </w:r>
      <w:r w:rsidRPr="00F52FC6">
        <w:rPr>
          <w:i/>
          <w:iCs/>
          <w:lang w:val="en-IN"/>
        </w:rPr>
        <w:t xml:space="preserve">What Are The Main Advantages And Disadvantages of Digital </w:t>
      </w:r>
      <w:proofErr w:type="gramStart"/>
      <w:r w:rsidRPr="00F52FC6">
        <w:rPr>
          <w:i/>
          <w:iCs/>
          <w:lang w:val="en-IN"/>
        </w:rPr>
        <w:t>Marketing?.</w:t>
      </w:r>
      <w:proofErr w:type="gramEnd"/>
      <w:r w:rsidRPr="00F52FC6">
        <w:rPr>
          <w:i/>
          <w:iCs/>
          <w:lang w:val="en-IN"/>
        </w:rPr>
        <w:t xml:space="preserve"> </w:t>
      </w:r>
      <w:r w:rsidRPr="00F52FC6">
        <w:rPr>
          <w:lang w:val="en-IN"/>
        </w:rPr>
        <w:t xml:space="preserve">Available at: </w:t>
      </w:r>
      <w:hyperlink r:id="rId16" w:history="1">
        <w:r w:rsidR="004D50EE" w:rsidRPr="00F52FC6">
          <w:rPr>
            <w:rStyle w:val="Hyperlink"/>
            <w:color w:val="auto"/>
            <w:u w:val="none"/>
            <w:lang w:val="en-IN"/>
          </w:rPr>
          <w:t>https://digitalcatalyst.in/blog/what-are-the-main-advantages-and-disadvantages-of-digital-marketing/</w:t>
        </w:r>
      </w:hyperlink>
      <w:r w:rsidRPr="00F52FC6">
        <w:rPr>
          <w:lang w:val="en-IN"/>
        </w:rPr>
        <w:t xml:space="preserve"> (Accessed: </w:t>
      </w:r>
      <w:r w:rsidR="00EA1FE8">
        <w:rPr>
          <w:lang w:val="en-IN"/>
        </w:rPr>
        <w:t>02 November</w:t>
      </w:r>
      <w:r w:rsidRPr="00F52FC6">
        <w:rPr>
          <w:lang w:val="en-IN"/>
        </w:rPr>
        <w:t xml:space="preserve"> 2024)</w:t>
      </w:r>
      <w:r w:rsidR="00EA1FE8">
        <w:rPr>
          <w:lang w:val="en-IN"/>
        </w:rPr>
        <w:t>.</w:t>
      </w:r>
    </w:p>
    <w:p w14:paraId="4B6F2D18" w14:textId="584C6240" w:rsidR="004D50EE" w:rsidRPr="00F52FC6" w:rsidRDefault="00000000" w:rsidP="00885330">
      <w:pPr>
        <w:rPr>
          <w:lang w:val="en-IN"/>
        </w:rPr>
      </w:pPr>
      <w:r w:rsidRPr="00F52FC6">
        <w:rPr>
          <w:lang w:val="en-IN"/>
        </w:rPr>
        <w:t xml:space="preserve">Eposnow, (2024). </w:t>
      </w:r>
      <w:r w:rsidRPr="00F52FC6">
        <w:rPr>
          <w:i/>
          <w:iCs/>
          <w:lang w:val="en-IN"/>
        </w:rPr>
        <w:t xml:space="preserve">Labor Shortage in Hospitality Industry: Addressing Challenges. </w:t>
      </w:r>
      <w:r w:rsidRPr="00F52FC6">
        <w:rPr>
          <w:lang w:val="en-IN"/>
        </w:rPr>
        <w:t xml:space="preserve">Available at: </w:t>
      </w:r>
      <w:hyperlink r:id="rId17" w:history="1">
        <w:r w:rsidR="004D50EE" w:rsidRPr="00F52FC6">
          <w:rPr>
            <w:rStyle w:val="Hyperlink"/>
            <w:color w:val="auto"/>
            <w:u w:val="none"/>
            <w:lang w:val="en-IN"/>
          </w:rPr>
          <w:t>https://www.eposnow.com/au/resources/labor-shortage-in-hospitality-industry/</w:t>
        </w:r>
      </w:hyperlink>
      <w:r w:rsidRPr="00F52FC6">
        <w:rPr>
          <w:lang w:val="en-IN"/>
        </w:rPr>
        <w:t xml:space="preserve"> (Accessed: </w:t>
      </w:r>
      <w:r w:rsidR="00EA1FE8">
        <w:rPr>
          <w:lang w:val="en-IN"/>
        </w:rPr>
        <w:t>25</w:t>
      </w:r>
      <w:r w:rsidRPr="00F52FC6">
        <w:rPr>
          <w:lang w:val="en-IN"/>
        </w:rPr>
        <w:t xml:space="preserve"> October 2024)</w:t>
      </w:r>
      <w:r w:rsidR="00EA1FE8">
        <w:rPr>
          <w:lang w:val="en-IN"/>
        </w:rPr>
        <w:t>.</w:t>
      </w:r>
    </w:p>
    <w:p w14:paraId="0321E20A" w14:textId="77777777" w:rsidR="004D50EE" w:rsidRPr="00F52FC6" w:rsidRDefault="00000000" w:rsidP="00885330">
      <w:r w:rsidRPr="00F52FC6">
        <w:rPr>
          <w:highlight w:val="white"/>
        </w:rPr>
        <w:t xml:space="preserve">Farah, I., Amin, C. and Pramudianto, P., (2021). ‘The Effect of Debt </w:t>
      </w:r>
      <w:proofErr w:type="gramStart"/>
      <w:r w:rsidRPr="00F52FC6">
        <w:rPr>
          <w:highlight w:val="white"/>
        </w:rPr>
        <w:t>To</w:t>
      </w:r>
      <w:proofErr w:type="gramEnd"/>
      <w:r w:rsidRPr="00F52FC6">
        <w:rPr>
          <w:highlight w:val="white"/>
        </w:rPr>
        <w:t xml:space="preserve"> Asset Ratio, Long Term Debt To Equity Ratio and Time Interest Earned Ratio on Profitability’. </w:t>
      </w:r>
      <w:r w:rsidRPr="00F52FC6">
        <w:rPr>
          <w:i/>
          <w:highlight w:val="white"/>
        </w:rPr>
        <w:t>Bina Bangsa International Journal of Business and Management</w:t>
      </w:r>
      <w:r w:rsidRPr="00F52FC6">
        <w:rPr>
          <w:highlight w:val="white"/>
        </w:rPr>
        <w:t xml:space="preserve">, </w:t>
      </w:r>
      <w:r w:rsidRPr="00F52FC6">
        <w:rPr>
          <w:i/>
          <w:highlight w:val="white"/>
        </w:rPr>
        <w:t>1</w:t>
      </w:r>
      <w:r w:rsidRPr="00F52FC6">
        <w:rPr>
          <w:highlight w:val="white"/>
        </w:rPr>
        <w:t>(1), pp.68-78.</w:t>
      </w:r>
    </w:p>
    <w:p w14:paraId="45E957D3" w14:textId="610B9668" w:rsidR="004D50EE" w:rsidRPr="00F52FC6" w:rsidRDefault="00000000" w:rsidP="00885330">
      <w:r w:rsidRPr="00F52FC6">
        <w:t xml:space="preserve">Forbes, (2024). </w:t>
      </w:r>
      <w:r w:rsidRPr="00F52FC6">
        <w:rPr>
          <w:i/>
        </w:rPr>
        <w:t xml:space="preserve">Navigating The Balance: Growth Vs. Profitability </w:t>
      </w:r>
      <w:proofErr w:type="gramStart"/>
      <w:r w:rsidRPr="00F52FC6">
        <w:rPr>
          <w:i/>
        </w:rPr>
        <w:t>In</w:t>
      </w:r>
      <w:proofErr w:type="gramEnd"/>
      <w:r w:rsidRPr="00F52FC6">
        <w:rPr>
          <w:i/>
        </w:rPr>
        <w:t xml:space="preserve"> Business. </w:t>
      </w:r>
      <w:r w:rsidRPr="00F52FC6">
        <w:t xml:space="preserve"> Available at: https://www.forbes.com/councils/forbesfinancecouncil/2024/03/21/navigating-the-balance-growth-vs-profitability-in-business/ (Accessed: 24 October 2024)</w:t>
      </w:r>
      <w:r w:rsidR="00EA1FE8">
        <w:t>.</w:t>
      </w:r>
      <w:r w:rsidRPr="00F52FC6">
        <w:t xml:space="preserve">  </w:t>
      </w:r>
    </w:p>
    <w:p w14:paraId="23DB0A5B" w14:textId="70BF73DC" w:rsidR="004D50EE" w:rsidRPr="00F52FC6" w:rsidRDefault="00000000" w:rsidP="00885330">
      <w:pPr>
        <w:rPr>
          <w:lang w:val="en-IN"/>
        </w:rPr>
      </w:pPr>
      <w:r w:rsidRPr="00F52FC6">
        <w:rPr>
          <w:lang w:val="en-IN"/>
        </w:rPr>
        <w:t xml:space="preserve">Giraffe Social, (2024). </w:t>
      </w:r>
      <w:r w:rsidRPr="00F52FC6">
        <w:rPr>
          <w:i/>
          <w:iCs/>
          <w:lang w:val="en-IN"/>
        </w:rPr>
        <w:t xml:space="preserve">Social Media Strategies for Hotels: Enhancing Online Visibility &amp; Guest Experience. </w:t>
      </w:r>
      <w:r w:rsidRPr="00F52FC6">
        <w:rPr>
          <w:lang w:val="en-IN"/>
        </w:rPr>
        <w:t xml:space="preserve">Available at: </w:t>
      </w:r>
      <w:hyperlink r:id="rId18" w:anchor=":~:text=Tools%20like%20Hootsuite%2C%20Sprout%20Social,explore%20the%20destinations%20they%20visit" w:history="1">
        <w:r w:rsidR="004D50EE" w:rsidRPr="00F52FC6">
          <w:rPr>
            <w:rStyle w:val="Hyperlink"/>
            <w:color w:val="auto"/>
            <w:u w:val="none"/>
            <w:lang w:val="en-IN"/>
          </w:rPr>
          <w:t>https://www.giraffesocialmedia.co.uk/social-media-strategies-for-hotels/#</w:t>
        </w:r>
      </w:hyperlink>
      <w:r w:rsidRPr="00F52FC6">
        <w:rPr>
          <w:lang w:val="en-IN"/>
        </w:rPr>
        <w:t xml:space="preserve"> (Accessed: </w:t>
      </w:r>
      <w:r w:rsidR="00EA1FE8">
        <w:rPr>
          <w:lang w:val="en-IN"/>
        </w:rPr>
        <w:t>30</w:t>
      </w:r>
      <w:r w:rsidRPr="00F52FC6">
        <w:rPr>
          <w:lang w:val="en-IN"/>
        </w:rPr>
        <w:t xml:space="preserve"> October 2024). </w:t>
      </w:r>
    </w:p>
    <w:p w14:paraId="2529013A" w14:textId="7B114832" w:rsidR="004D50EE" w:rsidRPr="00F52FC6" w:rsidRDefault="00000000" w:rsidP="00885330">
      <w:r w:rsidRPr="00F52FC6">
        <w:rPr>
          <w:lang w:val="en-IN"/>
        </w:rPr>
        <w:t xml:space="preserve">GOV UK, (2024). </w:t>
      </w:r>
      <w:r w:rsidRPr="00F52FC6">
        <w:rPr>
          <w:i/>
          <w:iCs/>
          <w:lang w:val="en-IN"/>
        </w:rPr>
        <w:t xml:space="preserve">COVID-19 business grant funding schemes: guidance for local authorities. </w:t>
      </w:r>
      <w:r w:rsidRPr="00F52FC6">
        <w:rPr>
          <w:lang w:val="en-IN"/>
        </w:rPr>
        <w:t xml:space="preserve">Available at: </w:t>
      </w:r>
      <w:hyperlink r:id="rId19" w:anchor=":~:text=The%20Restart%20Grant%20was%20available,of%20up%20to%20%C2%A318%2C000" w:history="1">
        <w:r w:rsidR="004D50EE" w:rsidRPr="00F52FC6">
          <w:rPr>
            <w:rStyle w:val="Hyperlink"/>
            <w:color w:val="auto"/>
            <w:u w:val="none"/>
            <w:lang w:val="en-IN"/>
          </w:rPr>
          <w:t>https://www.gov.uk/government/publications/local-restrictions-support-grants-lrsg-and-additional-restrictions-grant-arg-guidance-for-local-authorities#</w:t>
        </w:r>
      </w:hyperlink>
      <w:r w:rsidRPr="00F52FC6">
        <w:rPr>
          <w:lang w:val="en-IN"/>
        </w:rPr>
        <w:t xml:space="preserve"> (Accessed: </w:t>
      </w:r>
      <w:r w:rsidR="00EA1FE8">
        <w:rPr>
          <w:lang w:val="en-IN"/>
        </w:rPr>
        <w:t>02 November</w:t>
      </w:r>
      <w:r w:rsidRPr="00F52FC6">
        <w:rPr>
          <w:lang w:val="en-IN"/>
        </w:rPr>
        <w:t xml:space="preserve"> 2024)</w:t>
      </w:r>
      <w:r w:rsidR="00EA1FE8">
        <w:rPr>
          <w:lang w:val="en-IN"/>
        </w:rPr>
        <w:t>.</w:t>
      </w:r>
    </w:p>
    <w:p w14:paraId="3120E271" w14:textId="415528F6" w:rsidR="004D50EE" w:rsidRPr="00F52FC6" w:rsidRDefault="00000000" w:rsidP="00885330">
      <w:r w:rsidRPr="00F52FC6">
        <w:t xml:space="preserve">Jiwnani, L., (2024). </w:t>
      </w:r>
      <w:r w:rsidRPr="00F52FC6">
        <w:rPr>
          <w:i/>
        </w:rPr>
        <w:t>The hospitality guest of the future</w:t>
      </w:r>
      <w:r w:rsidRPr="00F52FC6">
        <w:t xml:space="preserve">. Available at: https://www.deloitte.com/uk/en/Industries/consumer/blogs/the-hospitality-guest-of-the-future.html (Accessed: </w:t>
      </w:r>
      <w:r w:rsidR="00EA1FE8">
        <w:t>30</w:t>
      </w:r>
      <w:r w:rsidRPr="00F52FC6">
        <w:t xml:space="preserve"> October 2024)</w:t>
      </w:r>
      <w:r w:rsidR="00EA1FE8">
        <w:t>.</w:t>
      </w:r>
    </w:p>
    <w:p w14:paraId="559BD0C2" w14:textId="77777777" w:rsidR="004D50EE" w:rsidRDefault="00000000" w:rsidP="00885330">
      <w:pPr>
        <w:rPr>
          <w:lang w:val="en-IN"/>
        </w:rPr>
      </w:pPr>
      <w:r w:rsidRPr="00F52FC6">
        <w:rPr>
          <w:lang w:val="en-IN"/>
        </w:rPr>
        <w:t xml:space="preserve">Landini, S., Gallegati, M. and Barkley Rosser Jr, J., (2020). ‘Consistency and incompleteness in general equilibrium theory.’ </w:t>
      </w:r>
      <w:r w:rsidRPr="00F52FC6">
        <w:rPr>
          <w:i/>
          <w:iCs/>
          <w:lang w:val="en-IN"/>
        </w:rPr>
        <w:t>Journal of Evolutionary Economics</w:t>
      </w:r>
      <w:r w:rsidRPr="00F52FC6">
        <w:rPr>
          <w:lang w:val="en-IN"/>
        </w:rPr>
        <w:t xml:space="preserve">, </w:t>
      </w:r>
      <w:r w:rsidRPr="00F52FC6">
        <w:rPr>
          <w:i/>
          <w:iCs/>
          <w:lang w:val="en-IN"/>
        </w:rPr>
        <w:t>30</w:t>
      </w:r>
      <w:r w:rsidRPr="00F52FC6">
        <w:rPr>
          <w:lang w:val="en-IN"/>
        </w:rPr>
        <w:t>(1), pp.205-230. </w:t>
      </w:r>
    </w:p>
    <w:p w14:paraId="4766CE6B" w14:textId="31B2D72B" w:rsidR="00DB30CD" w:rsidRPr="00F52FC6" w:rsidRDefault="00DB30CD" w:rsidP="00885330">
      <w:pPr>
        <w:rPr>
          <w:lang w:val="en-IN"/>
        </w:rPr>
      </w:pPr>
      <w:r w:rsidRPr="00DB30CD">
        <w:rPr>
          <w:lang w:val="en-IN"/>
        </w:rPr>
        <w:t xml:space="preserve">Lee, S., Song, H. J., Yoon, H., Kim, C.-S., &amp; Ham, S., 2024. Resilience of the hospitality industry during crises: A comparison between the 2008 financial crisis and COVID-19. International Journal of Hospitality Management, 116, 103622. Available at: https://doi.org/10.1016/j.ijhm.2023.103622 </w:t>
      </w:r>
      <w:r>
        <w:rPr>
          <w:lang w:val="en-IN"/>
        </w:rPr>
        <w:t>(</w:t>
      </w:r>
      <w:r w:rsidRPr="00DB30CD">
        <w:rPr>
          <w:lang w:val="en-IN"/>
        </w:rPr>
        <w:t>Accessed</w:t>
      </w:r>
      <w:r>
        <w:rPr>
          <w:lang w:val="en-IN"/>
        </w:rPr>
        <w:t>: 02</w:t>
      </w:r>
      <w:r w:rsidRPr="00DB30CD">
        <w:rPr>
          <w:lang w:val="en-IN"/>
        </w:rPr>
        <w:t xml:space="preserve"> November 2024</w:t>
      </w:r>
      <w:r>
        <w:rPr>
          <w:lang w:val="en-IN"/>
        </w:rPr>
        <w:t>)</w:t>
      </w:r>
      <w:r w:rsidRPr="00DB30CD">
        <w:rPr>
          <w:lang w:val="en-IN"/>
        </w:rPr>
        <w:t>.</w:t>
      </w:r>
    </w:p>
    <w:p w14:paraId="55A475CC" w14:textId="77777777" w:rsidR="004D50EE" w:rsidRDefault="00000000" w:rsidP="00885330">
      <w:r w:rsidRPr="00F52FC6">
        <w:rPr>
          <w:highlight w:val="white"/>
        </w:rPr>
        <w:lastRenderedPageBreak/>
        <w:t xml:space="preserve">Mahdi, M. and Khaddafi, M., (2020). ‘The influence of gross profit margin, operating profit margin and net profit margin on the stock price of consumer good industry in the Indonesia stock exchange on 2012-2014’. </w:t>
      </w:r>
      <w:r w:rsidRPr="00F52FC6">
        <w:rPr>
          <w:i/>
          <w:highlight w:val="white"/>
        </w:rPr>
        <w:t>International Journal of Business, Economics, and Social Development</w:t>
      </w:r>
      <w:r w:rsidRPr="00F52FC6">
        <w:rPr>
          <w:highlight w:val="white"/>
        </w:rPr>
        <w:t xml:space="preserve">, </w:t>
      </w:r>
      <w:r w:rsidRPr="00F52FC6">
        <w:rPr>
          <w:i/>
          <w:highlight w:val="white"/>
        </w:rPr>
        <w:t>1</w:t>
      </w:r>
      <w:r w:rsidRPr="00F52FC6">
        <w:rPr>
          <w:highlight w:val="white"/>
        </w:rPr>
        <w:t>(3), pp.153-163.</w:t>
      </w:r>
    </w:p>
    <w:p w14:paraId="3C706130" w14:textId="1606F417" w:rsidR="00CC353F" w:rsidRPr="00F52FC6" w:rsidRDefault="00CC353F" w:rsidP="00885330">
      <w:r w:rsidRPr="00CC353F">
        <w:t>Martin, A. (2019). The Practical Guide to Understanding and Raising Hotel Profitability (1st ed.). Routledge</w:t>
      </w:r>
      <w:r w:rsidRPr="00CC353F">
        <w:rPr>
          <w:color w:val="5F497A" w:themeColor="accent4" w:themeShade="BF"/>
        </w:rPr>
        <w:t xml:space="preserve">. </w:t>
      </w:r>
      <w:hyperlink r:id="rId20" w:history="1">
        <w:r w:rsidRPr="00CC353F">
          <w:rPr>
            <w:rStyle w:val="Hyperlink"/>
            <w:color w:val="auto"/>
            <w:u w:val="none"/>
          </w:rPr>
          <w:t>https://doi.org/10.4324/9780429266416 (Accessed</w:t>
        </w:r>
      </w:hyperlink>
      <w:r w:rsidRPr="00CC353F">
        <w:t xml:space="preserve"> 12 November 2024).</w:t>
      </w:r>
    </w:p>
    <w:p w14:paraId="2147EC5A" w14:textId="77777777" w:rsidR="004D50EE" w:rsidRDefault="00000000" w:rsidP="00885330">
      <w:pPr>
        <w:rPr>
          <w:lang w:val="en-IN"/>
        </w:rPr>
      </w:pPr>
      <w:r w:rsidRPr="00F52FC6">
        <w:rPr>
          <w:lang w:val="en-IN"/>
        </w:rPr>
        <w:t xml:space="preserve">Sudirjo, F., (2023). ‘Marketing Strategy in Improving Product Competitiveness in the Global Market.’ </w:t>
      </w:r>
      <w:r w:rsidRPr="00F52FC6">
        <w:rPr>
          <w:i/>
          <w:iCs/>
          <w:lang w:val="en-IN"/>
        </w:rPr>
        <w:t>Journal of Contemporary Administration and Management (ADMAN)</w:t>
      </w:r>
      <w:r w:rsidRPr="00F52FC6">
        <w:rPr>
          <w:lang w:val="en-IN"/>
        </w:rPr>
        <w:t xml:space="preserve">, </w:t>
      </w:r>
      <w:r w:rsidRPr="00F52FC6">
        <w:rPr>
          <w:i/>
          <w:iCs/>
          <w:lang w:val="en-IN"/>
        </w:rPr>
        <w:t>1</w:t>
      </w:r>
      <w:r w:rsidRPr="00F52FC6">
        <w:rPr>
          <w:lang w:val="en-IN"/>
        </w:rPr>
        <w:t>(2), pp.63-69.</w:t>
      </w:r>
    </w:p>
    <w:p w14:paraId="093F4665" w14:textId="54166216" w:rsidR="00F7438F" w:rsidRPr="00F52FC6" w:rsidRDefault="00F7438F" w:rsidP="00885330">
      <w:pPr>
        <w:rPr>
          <w:lang w:val="en-IN"/>
        </w:rPr>
      </w:pPr>
      <w:proofErr w:type="spellStart"/>
      <w:r w:rsidRPr="00F7438F">
        <w:rPr>
          <w:lang w:val="en-IN"/>
        </w:rPr>
        <w:t>Toubes</w:t>
      </w:r>
      <w:proofErr w:type="spellEnd"/>
      <w:r w:rsidRPr="00F7438F">
        <w:rPr>
          <w:lang w:val="en-IN"/>
        </w:rPr>
        <w:t xml:space="preserve">, D.R. (2021) Risk, crisis, and disaster management in small and medium-sized tourism enterprises. Edited by D.R. </w:t>
      </w:r>
      <w:proofErr w:type="spellStart"/>
      <w:r w:rsidRPr="00F7438F">
        <w:rPr>
          <w:lang w:val="en-IN"/>
        </w:rPr>
        <w:t>Toubes</w:t>
      </w:r>
      <w:proofErr w:type="spellEnd"/>
      <w:r w:rsidRPr="00F7438F">
        <w:rPr>
          <w:lang w:val="en-IN"/>
        </w:rPr>
        <w:t xml:space="preserve"> and N. Araujo-Vila. Hershey, PA: IGI Global. Available at: </w:t>
      </w:r>
      <w:hyperlink r:id="rId21" w:history="1">
        <w:r w:rsidRPr="00F7438F">
          <w:rPr>
            <w:rStyle w:val="Hyperlink"/>
            <w:color w:val="auto"/>
            <w:u w:val="none"/>
            <w:lang w:val="en-IN"/>
          </w:rPr>
          <w:t>https://doi.org/10.4018/978-1-7998-6996-2.(Accessed</w:t>
        </w:r>
      </w:hyperlink>
      <w:r w:rsidRPr="00F7438F">
        <w:rPr>
          <w:lang w:val="en-IN"/>
        </w:rPr>
        <w:t xml:space="preserve"> 12 November 2024).</w:t>
      </w:r>
    </w:p>
    <w:p w14:paraId="5F42F8FB" w14:textId="781B1081" w:rsidR="004D50EE" w:rsidRPr="00F52FC6" w:rsidRDefault="00000000" w:rsidP="00885330">
      <w:r w:rsidRPr="00F52FC6">
        <w:t xml:space="preserve">UK Hospitality, (2023). </w:t>
      </w:r>
      <w:r w:rsidRPr="00F52FC6">
        <w:rPr>
          <w:i/>
        </w:rPr>
        <w:t>Third of hospitality businesses at risk of going bust due to soaring costs</w:t>
      </w:r>
      <w:r w:rsidRPr="00F52FC6">
        <w:t xml:space="preserve">. Available at: https://www.ukhospitality.org.uk/third-of-hospitality-businesses-at-risk-of-going-bust-due-to-soaring-costs/ (Accessed: </w:t>
      </w:r>
      <w:r w:rsidR="00EA1FE8">
        <w:t>25</w:t>
      </w:r>
      <w:r w:rsidRPr="00F52FC6">
        <w:t xml:space="preserve"> October 2024)</w:t>
      </w:r>
      <w:r w:rsidR="00EA1FE8">
        <w:t>.</w:t>
      </w:r>
    </w:p>
    <w:p w14:paraId="2756AF8B" w14:textId="77777777" w:rsidR="006C2E9C" w:rsidRDefault="006C2E9C" w:rsidP="00885330">
      <w:pPr>
        <w:rPr>
          <w:color w:val="222222"/>
          <w:highlight w:val="white"/>
        </w:rPr>
      </w:pPr>
    </w:p>
    <w:sectPr w:rsidR="006C2E9C" w:rsidSect="00885330">
      <w:headerReference w:type="default" r:id="rId22"/>
      <w:footerReference w:type="default" r:id="rId2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3D849B" w14:textId="77777777" w:rsidR="00FD5A95" w:rsidRDefault="00FD5A95">
      <w:pPr>
        <w:spacing w:after="0" w:line="240" w:lineRule="auto"/>
      </w:pPr>
      <w:r>
        <w:separator/>
      </w:r>
    </w:p>
  </w:endnote>
  <w:endnote w:type="continuationSeparator" w:id="0">
    <w:p w14:paraId="7192B834" w14:textId="77777777" w:rsidR="00FD5A95" w:rsidRDefault="00FD5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BCC05B7-7342-4639-82C2-C46D1E247545}"/>
  </w:font>
  <w:font w:name="Cambria">
    <w:panose1 w:val="02040503050406030204"/>
    <w:charset w:val="00"/>
    <w:family w:val="roman"/>
    <w:pitch w:val="variable"/>
    <w:sig w:usb0="E00006FF" w:usb1="420024FF" w:usb2="02000000" w:usb3="00000000" w:csb0="0000019F" w:csb1="00000000"/>
    <w:embedRegular r:id="rId2" w:fontKey="{43B926E2-4DB8-43EF-9045-1903AA2D0F93}"/>
    <w:embedBold r:id="rId3" w:fontKey="{19AE5618-74B7-433D-AE5C-14417C080CF9}"/>
  </w:font>
  <w:font w:name="Cardo">
    <w:altName w:val="Calibri"/>
    <w:charset w:val="00"/>
    <w:family w:val="auto"/>
    <w:pitch w:val="default"/>
    <w:sig w:usb0="00000000" w:usb1="00000000" w:usb2="00000000" w:usb3="00000000" w:csb0="00000001" w:csb1="00000000"/>
    <w:embedRegular r:id="rId4" w:fontKey="{B92C0711-268B-49B6-8AA3-D8F2B7BBEBAA}"/>
    <w:embedBold r:id="rId5" w:fontKey="{829ACE8D-0BBD-4492-A215-214E9F29465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27475085"/>
      <w:docPartObj>
        <w:docPartGallery w:val="Page Numbers (Bottom of Page)"/>
        <w:docPartUnique/>
      </w:docPartObj>
    </w:sdtPr>
    <w:sdtEndPr>
      <w:rPr>
        <w:noProof/>
      </w:rPr>
    </w:sdtEndPr>
    <w:sdtContent>
      <w:p w14:paraId="680EB442" w14:textId="77777777" w:rsidR="00316D4C" w:rsidRDefault="00000000">
        <w:pPr>
          <w:pStyle w:val="Footer"/>
          <w:jc w:val="right"/>
        </w:pPr>
        <w:r w:rsidRPr="00316D4C">
          <w:rPr>
            <w:sz w:val="20"/>
            <w:szCs w:val="20"/>
          </w:rPr>
          <w:fldChar w:fldCharType="begin"/>
        </w:r>
        <w:r w:rsidRPr="00316D4C">
          <w:rPr>
            <w:sz w:val="20"/>
            <w:szCs w:val="20"/>
          </w:rPr>
          <w:instrText xml:space="preserve"> PAGE   \* MERGEFORMAT </w:instrText>
        </w:r>
        <w:r w:rsidRPr="00316D4C">
          <w:rPr>
            <w:sz w:val="20"/>
            <w:szCs w:val="20"/>
          </w:rPr>
          <w:fldChar w:fldCharType="separate"/>
        </w:r>
        <w:r w:rsidRPr="00316D4C">
          <w:rPr>
            <w:noProof/>
            <w:sz w:val="20"/>
            <w:szCs w:val="20"/>
          </w:rPr>
          <w:t>2</w:t>
        </w:r>
        <w:r w:rsidRPr="00316D4C">
          <w:rPr>
            <w:noProof/>
            <w:sz w:val="20"/>
            <w:szCs w:val="20"/>
          </w:rPr>
          <w:fldChar w:fldCharType="end"/>
        </w:r>
      </w:p>
    </w:sdtContent>
  </w:sdt>
  <w:p w14:paraId="17262C15" w14:textId="77777777" w:rsidR="00316D4C" w:rsidRDefault="00316D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12E35E" w14:textId="77777777" w:rsidR="00FD5A95" w:rsidRDefault="00FD5A95">
      <w:pPr>
        <w:spacing w:after="0" w:line="240" w:lineRule="auto"/>
      </w:pPr>
      <w:r>
        <w:separator/>
      </w:r>
    </w:p>
  </w:footnote>
  <w:footnote w:type="continuationSeparator" w:id="0">
    <w:p w14:paraId="233377CB" w14:textId="77777777" w:rsidR="00FD5A95" w:rsidRDefault="00FD5A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CC3E6A" w14:textId="679E5DA8" w:rsidR="00C445B5" w:rsidRDefault="00C445B5">
    <w:pPr>
      <w:pStyle w:val="Header"/>
    </w:pPr>
    <w:r>
      <w:rPr>
        <w:noProof/>
      </w:rPr>
      <w:drawing>
        <wp:inline distT="0" distB="0" distL="0" distR="0" wp14:anchorId="3F5DBDE9" wp14:editId="45A50ADB">
          <wp:extent cx="1536065" cy="658495"/>
          <wp:effectExtent l="0" t="0" r="6985" b="8255"/>
          <wp:docPr id="202871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6065" cy="65849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926865"/>
    <w:multiLevelType w:val="multilevel"/>
    <w:tmpl w:val="96A0EE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90E1964"/>
    <w:multiLevelType w:val="multilevel"/>
    <w:tmpl w:val="A84289F8"/>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33D4A27"/>
    <w:multiLevelType w:val="multilevel"/>
    <w:tmpl w:val="15C6BA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DF0306A"/>
    <w:multiLevelType w:val="multilevel"/>
    <w:tmpl w:val="0BA62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33257224">
    <w:abstractNumId w:val="3"/>
  </w:num>
  <w:num w:numId="2" w16cid:durableId="1324164806">
    <w:abstractNumId w:val="0"/>
  </w:num>
  <w:num w:numId="3" w16cid:durableId="1822772599">
    <w:abstractNumId w:val="1"/>
  </w:num>
  <w:num w:numId="4" w16cid:durableId="15726927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E9C"/>
    <w:rsid w:val="000019FD"/>
    <w:rsid w:val="00091873"/>
    <w:rsid w:val="00133F5B"/>
    <w:rsid w:val="00193781"/>
    <w:rsid w:val="001A0B8F"/>
    <w:rsid w:val="001A3B38"/>
    <w:rsid w:val="001E3A35"/>
    <w:rsid w:val="0021573D"/>
    <w:rsid w:val="00243F2C"/>
    <w:rsid w:val="002924D2"/>
    <w:rsid w:val="002D1708"/>
    <w:rsid w:val="00316D4C"/>
    <w:rsid w:val="0037205B"/>
    <w:rsid w:val="003D0228"/>
    <w:rsid w:val="003D52F8"/>
    <w:rsid w:val="00444A3F"/>
    <w:rsid w:val="0047455F"/>
    <w:rsid w:val="004D50EE"/>
    <w:rsid w:val="004F0E21"/>
    <w:rsid w:val="00513E63"/>
    <w:rsid w:val="00553C55"/>
    <w:rsid w:val="005D7F8F"/>
    <w:rsid w:val="006A6D67"/>
    <w:rsid w:val="006C2E9C"/>
    <w:rsid w:val="00734BE0"/>
    <w:rsid w:val="00751F0A"/>
    <w:rsid w:val="00751F6D"/>
    <w:rsid w:val="00783AE3"/>
    <w:rsid w:val="007E2774"/>
    <w:rsid w:val="00801E0B"/>
    <w:rsid w:val="00841B9E"/>
    <w:rsid w:val="00856E71"/>
    <w:rsid w:val="00871984"/>
    <w:rsid w:val="00885330"/>
    <w:rsid w:val="008B26EC"/>
    <w:rsid w:val="009B258D"/>
    <w:rsid w:val="009C13CA"/>
    <w:rsid w:val="00A02ECE"/>
    <w:rsid w:val="00AA64DE"/>
    <w:rsid w:val="00AE5AB1"/>
    <w:rsid w:val="00B2323D"/>
    <w:rsid w:val="00B25080"/>
    <w:rsid w:val="00B576E9"/>
    <w:rsid w:val="00BA0FDD"/>
    <w:rsid w:val="00BA50CE"/>
    <w:rsid w:val="00C445B5"/>
    <w:rsid w:val="00C50B5F"/>
    <w:rsid w:val="00C80699"/>
    <w:rsid w:val="00CC353F"/>
    <w:rsid w:val="00DB30CD"/>
    <w:rsid w:val="00DB3853"/>
    <w:rsid w:val="00DE264A"/>
    <w:rsid w:val="00DE6957"/>
    <w:rsid w:val="00E06084"/>
    <w:rsid w:val="00E543E9"/>
    <w:rsid w:val="00E80D9F"/>
    <w:rsid w:val="00EA1FE8"/>
    <w:rsid w:val="00F04824"/>
    <w:rsid w:val="00F52FC6"/>
    <w:rsid w:val="00F7438F"/>
    <w:rsid w:val="00FD5A95"/>
    <w:rsid w:val="00FF7B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442F5"/>
  <w15:docId w15:val="{0D78C08C-5505-4A58-85ED-5CAB51659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outlineLvl w:val="0"/>
    </w:pPr>
    <w:rPr>
      <w:b/>
      <w:sz w:val="28"/>
      <w:szCs w:val="28"/>
    </w:rPr>
  </w:style>
  <w:style w:type="paragraph" w:styleId="Heading2">
    <w:name w:val="heading 2"/>
    <w:basedOn w:val="Normal"/>
    <w:next w:val="Normal"/>
    <w:uiPriority w:val="9"/>
    <w:unhideWhenUsed/>
    <w:qFormat/>
    <w:pPr>
      <w:keepNext/>
      <w:keepLines/>
      <w:spacing w:after="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316D4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E3A35"/>
    <w:pPr>
      <w:tabs>
        <w:tab w:val="right" w:leader="dot" w:pos="9019"/>
      </w:tabs>
      <w:spacing w:after="100"/>
    </w:pPr>
    <w:rPr>
      <w:b/>
      <w:bCs/>
      <w:noProof/>
    </w:rPr>
  </w:style>
  <w:style w:type="paragraph" w:styleId="TOC2">
    <w:name w:val="toc 2"/>
    <w:basedOn w:val="Normal"/>
    <w:next w:val="Normal"/>
    <w:autoRedefine/>
    <w:uiPriority w:val="39"/>
    <w:unhideWhenUsed/>
    <w:rsid w:val="00316D4C"/>
    <w:pPr>
      <w:spacing w:after="100"/>
      <w:ind w:left="240"/>
    </w:pPr>
  </w:style>
  <w:style w:type="character" w:styleId="Hyperlink">
    <w:name w:val="Hyperlink"/>
    <w:basedOn w:val="DefaultParagraphFont"/>
    <w:uiPriority w:val="99"/>
    <w:unhideWhenUsed/>
    <w:rsid w:val="00316D4C"/>
    <w:rPr>
      <w:color w:val="0000FF" w:themeColor="hyperlink"/>
      <w:u w:val="single"/>
    </w:rPr>
  </w:style>
  <w:style w:type="paragraph" w:styleId="Header">
    <w:name w:val="header"/>
    <w:basedOn w:val="Normal"/>
    <w:link w:val="HeaderChar"/>
    <w:uiPriority w:val="99"/>
    <w:unhideWhenUsed/>
    <w:rsid w:val="00316D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6D4C"/>
  </w:style>
  <w:style w:type="paragraph" w:styleId="Footer">
    <w:name w:val="footer"/>
    <w:basedOn w:val="Normal"/>
    <w:link w:val="FooterChar"/>
    <w:uiPriority w:val="99"/>
    <w:unhideWhenUsed/>
    <w:rsid w:val="00316D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6D4C"/>
  </w:style>
  <w:style w:type="character" w:styleId="UnresolvedMention">
    <w:name w:val="Unresolved Mention"/>
    <w:basedOn w:val="DefaultParagraphFont"/>
    <w:uiPriority w:val="99"/>
    <w:semiHidden/>
    <w:unhideWhenUsed/>
    <w:rsid w:val="004D50EE"/>
    <w:rPr>
      <w:color w:val="605E5C"/>
      <w:shd w:val="clear" w:color="auto" w:fill="E1DFDD"/>
    </w:rPr>
  </w:style>
  <w:style w:type="character" w:styleId="LineNumber">
    <w:name w:val="line number"/>
    <w:basedOn w:val="DefaultParagraphFont"/>
    <w:uiPriority w:val="99"/>
    <w:semiHidden/>
    <w:unhideWhenUsed/>
    <w:rsid w:val="00885330"/>
  </w:style>
  <w:style w:type="character" w:styleId="FollowedHyperlink">
    <w:name w:val="FollowedHyperlink"/>
    <w:basedOn w:val="DefaultParagraphFont"/>
    <w:uiPriority w:val="99"/>
    <w:semiHidden/>
    <w:unhideWhenUsed/>
    <w:rsid w:val="009C13C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93505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hyperlink" Target="https://www.giraffesocialmedia.co.uk/social-media-strategies-for-hotels/" TargetMode="External"/><Relationship Id="rId3" Type="http://schemas.openxmlformats.org/officeDocument/2006/relationships/styles" Target="styles.xml"/><Relationship Id="rId21" Type="http://schemas.openxmlformats.org/officeDocument/2006/relationships/hyperlink" Target="https://doi.org/10.4018/978-1-7998-6996-2.(Accessed" TargetMode="Externa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hyperlink" Target="https://www.eposnow.com/au/resources/labor-shortage-in-hospitality-industr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igitalcatalyst.in/blog/what-are-the-main-advantages-and-disadvantages-of-digital-marketing/" TargetMode="External"/><Relationship Id="rId20" Type="http://schemas.openxmlformats.org/officeDocument/2006/relationships/hyperlink" Target="https://doi.org/10.4324/9780429266416%20(Access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dc.ca/en/articles-tools/operations/operational-efficiency/3-critical-factors-operational-efficiency"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gov.uk/government/publications/local-restrictions-support-grants-lrsg-and-additional-restrictions-grant-arg-guidance-for-local-authoriti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 Id="rId22"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r>
              <a:rPr lang="en-US"/>
              <a:t>Profitability Ratio</a:t>
            </a:r>
          </a:p>
        </c:rich>
      </c:tx>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2-438B-4F15-A93E-08D6CF697A55}"/>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438B-4F15-A93E-08D6CF697A55}"/>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1-438B-4F15-A93E-08D6CF697A55}"/>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4-438B-4F15-A93E-08D6CF697A55}"/>
              </c:ext>
            </c:extLst>
          </c:dPt>
          <c:dLbls>
            <c:dLbl>
              <c:idx val="0"/>
              <c:tx>
                <c:rich>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fld id="{FBA4775D-68F3-4C4A-8B1B-8D823440CED9}" type="CATEGORYNAME">
                      <a:rPr lang="en-US"/>
                      <a:pPr>
                        <a:defRPr/>
                      </a:pPr>
                      <a:t>[CATEGORY NAME]</a:t>
                    </a:fld>
                    <a:r>
                      <a:rPr lang="en-US" baseline="0"/>
                      <a:t>
</a:t>
                    </a:r>
                    <a:fld id="{777D3922-1824-41B5-9C8D-C94999A3C083}" type="VALUE">
                      <a:rPr lang="en-US" baseline="0"/>
                      <a:pPr>
                        <a:defRPr/>
                      </a:pPr>
                      <a:t>[VALUE]</a:t>
                    </a:fld>
                    <a:endParaRPr lang="en-US" baseline="0"/>
                  </a:p>
                </c:rich>
              </c:tx>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438B-4F15-A93E-08D6CF697A55}"/>
                </c:ext>
              </c:extLst>
            </c:dLbl>
            <c:dLbl>
              <c:idx val="1"/>
              <c:tx>
                <c:rich>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fld id="{E20B3B08-0535-41D3-89E2-8E1CDE9CAB5D}" type="CATEGORYNAME">
                      <a:rPr lang="en-US"/>
                      <a:pPr>
                        <a:defRPr>
                          <a:solidFill>
                            <a:schemeClr val="accent1"/>
                          </a:solidFill>
                        </a:defRPr>
                      </a:pPr>
                      <a:t>[CATEGORY NAME]</a:t>
                    </a:fld>
                    <a:r>
                      <a:rPr lang="en-US" baseline="0"/>
                      <a:t>
</a:t>
                    </a:r>
                    <a:fld id="{85BEB817-54CF-499A-9524-9B61A7B285CC}" type="VALUE">
                      <a:rPr lang="en-US" baseline="0"/>
                      <a:pPr>
                        <a:defRPr>
                          <a:solidFill>
                            <a:schemeClr val="accent1"/>
                          </a:solidFill>
                        </a:defRPr>
                      </a:pPr>
                      <a:t>[VALUE]</a:t>
                    </a:fld>
                    <a:endParaRPr lang="en-US" baseline="0"/>
                  </a:p>
                </c:rich>
              </c:tx>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438B-4F15-A93E-08D6CF697A55}"/>
                </c:ext>
              </c:extLst>
            </c:dLbl>
            <c:dLbl>
              <c:idx val="2"/>
              <c:tx>
                <c:rich>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fld id="{C494CC2E-3AD1-444F-A641-AF3E38B45329}" type="CATEGORYNAME">
                      <a:rPr lang="en-US"/>
                      <a:pPr>
                        <a:defRPr>
                          <a:solidFill>
                            <a:schemeClr val="accent1"/>
                          </a:solidFill>
                        </a:defRPr>
                      </a:pPr>
                      <a:t>[CATEGORY NAME]</a:t>
                    </a:fld>
                    <a:r>
                      <a:rPr lang="en-US" baseline="0"/>
                      <a:t>
</a:t>
                    </a:r>
                    <a:fld id="{BD5CC347-1E38-43DF-A88D-791C25E8BE6C}" type="VALUE">
                      <a:rPr lang="en-US" baseline="0"/>
                      <a:pPr>
                        <a:defRPr>
                          <a:solidFill>
                            <a:schemeClr val="accent1"/>
                          </a:solidFill>
                        </a:defRPr>
                      </a:pPr>
                      <a:t>[VALUE]</a:t>
                    </a:fld>
                    <a:endParaRPr lang="en-US" baseline="0"/>
                  </a:p>
                </c:rich>
              </c:tx>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438B-4F15-A93E-08D6CF697A55}"/>
                </c:ext>
              </c:extLst>
            </c:dLbl>
            <c:dLbl>
              <c:idx val="3"/>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4-438B-4F15-A93E-08D6CF697A55}"/>
                </c:ext>
              </c:extLst>
            </c:dLbl>
            <c:spPr>
              <a:solidFill>
                <a:sysClr val="window" lastClr="FFFFFF">
                  <a:alpha val="90000"/>
                </a:sysClr>
              </a:solidFill>
              <a:ln w="12700" cap="flat" cmpd="sng" algn="ctr">
                <a:solidFill>
                  <a:srgbClr val="4F81BD"/>
                </a:solidFill>
                <a:round/>
              </a:ln>
              <a:effectLst>
                <a:outerShdw blurRad="50800" dist="38100" dir="2700000" algn="tl" rotWithShape="0">
                  <a:srgbClr val="4F81BD">
                    <a:lumMod val="75000"/>
                    <a:alpha val="40000"/>
                  </a:srgbClr>
                </a:outerShdw>
              </a:effectLst>
            </c:sp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numRef>
              <c:f>Sheet1!$A$2:$A$5</c:f>
              <c:numCache>
                <c:formatCode>General</c:formatCode>
                <c:ptCount val="4"/>
                <c:pt idx="0">
                  <c:v>2021</c:v>
                </c:pt>
                <c:pt idx="1">
                  <c:v>2022</c:v>
                </c:pt>
                <c:pt idx="2">
                  <c:v>2023</c:v>
                </c:pt>
              </c:numCache>
            </c:numRef>
          </c:cat>
          <c:val>
            <c:numRef>
              <c:f>Sheet1!$B$2:$B$5</c:f>
              <c:numCache>
                <c:formatCode>General</c:formatCode>
                <c:ptCount val="4"/>
                <c:pt idx="0">
                  <c:v>12.65</c:v>
                </c:pt>
                <c:pt idx="1">
                  <c:v>12.71</c:v>
                </c:pt>
                <c:pt idx="2">
                  <c:v>-52.41</c:v>
                </c:pt>
              </c:numCache>
            </c:numRef>
          </c:val>
          <c:extLst>
            <c:ext xmlns:c16="http://schemas.microsoft.com/office/drawing/2014/chart" uri="{C3380CC4-5D6E-409C-BE32-E72D297353CC}">
              <c16:uniqueId val="{00000000-438B-4F15-A93E-08D6CF697A55}"/>
            </c:ext>
          </c:extLst>
        </c:ser>
        <c:dLbls>
          <c:dLblPos val="inEnd"/>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Quick Ratio</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Column1</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Sheet1!$A$2:$A$5</c:f>
              <c:numCache>
                <c:formatCode>General</c:formatCode>
                <c:ptCount val="4"/>
                <c:pt idx="0">
                  <c:v>2021</c:v>
                </c:pt>
                <c:pt idx="1">
                  <c:v>2022</c:v>
                </c:pt>
                <c:pt idx="2">
                  <c:v>2023</c:v>
                </c:pt>
              </c:numCache>
            </c:numRef>
          </c:cat>
          <c:val>
            <c:numRef>
              <c:f>Sheet1!$B$2:$B$5</c:f>
              <c:numCache>
                <c:formatCode>General</c:formatCode>
                <c:ptCount val="4"/>
                <c:pt idx="0">
                  <c:v>0.95</c:v>
                </c:pt>
                <c:pt idx="1">
                  <c:v>0.92</c:v>
                </c:pt>
                <c:pt idx="2">
                  <c:v>0.62</c:v>
                </c:pt>
              </c:numCache>
            </c:numRef>
          </c:val>
          <c:extLst>
            <c:ext xmlns:c16="http://schemas.microsoft.com/office/drawing/2014/chart" uri="{C3380CC4-5D6E-409C-BE32-E72D297353CC}">
              <c16:uniqueId val="{00000000-F03D-4B82-B2DD-D01416FB207B}"/>
            </c:ext>
          </c:extLst>
        </c:ser>
        <c:dLbls>
          <c:dLblPos val="ctr"/>
          <c:showLegendKey val="0"/>
          <c:showVal val="1"/>
          <c:showCatName val="0"/>
          <c:showSerName val="0"/>
          <c:showPercent val="0"/>
          <c:showBubbleSize val="0"/>
        </c:dLbls>
        <c:gapWidth val="150"/>
        <c:axId val="128850336"/>
        <c:axId val="128848416"/>
      </c:barChart>
      <c:catAx>
        <c:axId val="12885033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28848416"/>
        <c:crosses val="autoZero"/>
        <c:auto val="1"/>
        <c:lblAlgn val="ctr"/>
        <c:lblOffset val="100"/>
        <c:noMultiLvlLbl val="0"/>
      </c:catAx>
      <c:valAx>
        <c:axId val="12884841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28850336"/>
        <c:crosses val="autoZero"/>
        <c:crossBetween val="between"/>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600" b="1">
                <a:solidFill>
                  <a:srgbClr val="FF0000"/>
                </a:solidFill>
              </a:rPr>
              <a:t>Debt</a:t>
            </a:r>
            <a:r>
              <a:rPr lang="en-GB" sz="1600" b="1" baseline="0">
                <a:solidFill>
                  <a:srgbClr val="FF0000"/>
                </a:solidFill>
              </a:rPr>
              <a:t>-Equity Ratio</a:t>
            </a:r>
            <a:endParaRPr lang="en-GB" sz="1600" b="1">
              <a:solidFill>
                <a:srgbClr val="FF0000"/>
              </a:solidFill>
            </a:endParaRPr>
          </a:p>
        </c:rich>
      </c:tx>
      <c:layout>
        <c:manualLayout>
          <c:xMode val="edge"/>
          <c:yMode val="edge"/>
          <c:x val="0.30517351997666958"/>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numRef>
              <c:f>Sheet1!$A$2:$A$5</c:f>
              <c:numCache>
                <c:formatCode>General</c:formatCode>
                <c:ptCount val="4"/>
                <c:pt idx="0">
                  <c:v>2021</c:v>
                </c:pt>
                <c:pt idx="1">
                  <c:v>2022</c:v>
                </c:pt>
                <c:pt idx="2">
                  <c:v>2023</c:v>
                </c:pt>
              </c:numCache>
            </c:numRef>
          </c:cat>
          <c:val>
            <c:numRef>
              <c:f>Sheet1!$B$2:$B$5</c:f>
              <c:numCache>
                <c:formatCode>General</c:formatCode>
                <c:ptCount val="4"/>
                <c:pt idx="0">
                  <c:v>0.83</c:v>
                </c:pt>
                <c:pt idx="1">
                  <c:v>0.84</c:v>
                </c:pt>
                <c:pt idx="2">
                  <c:v>0.91</c:v>
                </c:pt>
              </c:numCache>
            </c:numRef>
          </c:val>
          <c:extLst>
            <c:ext xmlns:c16="http://schemas.microsoft.com/office/drawing/2014/chart" uri="{C3380CC4-5D6E-409C-BE32-E72D297353CC}">
              <c16:uniqueId val="{00000000-0E17-4F76-9929-EF76F624EED4}"/>
            </c:ext>
          </c:extLst>
        </c:ser>
        <c:ser>
          <c:idx val="1"/>
          <c:order val="1"/>
          <c:tx>
            <c:strRef>
              <c:f>Sheet1!$C$1</c:f>
              <c:strCache>
                <c:ptCount val="1"/>
                <c:pt idx="0">
                  <c:v>Column1</c:v>
                </c:pt>
              </c:strCache>
            </c:strRef>
          </c:tx>
          <c:spPr>
            <a:solidFill>
              <a:schemeClr val="accent2"/>
            </a:solidFill>
            <a:ln>
              <a:noFill/>
            </a:ln>
            <a:effectLst/>
          </c:spPr>
          <c:invertIfNegative val="0"/>
          <c:cat>
            <c:numRef>
              <c:f>Sheet1!$A$2:$A$5</c:f>
              <c:numCache>
                <c:formatCode>General</c:formatCode>
                <c:ptCount val="4"/>
                <c:pt idx="0">
                  <c:v>2021</c:v>
                </c:pt>
                <c:pt idx="1">
                  <c:v>2022</c:v>
                </c:pt>
                <c:pt idx="2">
                  <c:v>2023</c:v>
                </c:pt>
              </c:numCache>
            </c:numRef>
          </c:cat>
          <c:val>
            <c:numRef>
              <c:f>Sheet1!$C$2:$C$5</c:f>
              <c:numCache>
                <c:formatCode>General</c:formatCode>
                <c:ptCount val="4"/>
              </c:numCache>
            </c:numRef>
          </c:val>
          <c:extLst>
            <c:ext xmlns:c16="http://schemas.microsoft.com/office/drawing/2014/chart" uri="{C3380CC4-5D6E-409C-BE32-E72D297353CC}">
              <c16:uniqueId val="{00000001-0E17-4F76-9929-EF76F624EED4}"/>
            </c:ext>
          </c:extLst>
        </c:ser>
        <c:ser>
          <c:idx val="2"/>
          <c:order val="2"/>
          <c:tx>
            <c:strRef>
              <c:f>Sheet1!$D$1</c:f>
              <c:strCache>
                <c:ptCount val="1"/>
                <c:pt idx="0">
                  <c:v>Column2</c:v>
                </c:pt>
              </c:strCache>
            </c:strRef>
          </c:tx>
          <c:spPr>
            <a:solidFill>
              <a:schemeClr val="accent3"/>
            </a:solidFill>
            <a:ln>
              <a:noFill/>
            </a:ln>
            <a:effectLst/>
          </c:spPr>
          <c:invertIfNegative val="0"/>
          <c:cat>
            <c:numRef>
              <c:f>Sheet1!$A$2:$A$5</c:f>
              <c:numCache>
                <c:formatCode>General</c:formatCode>
                <c:ptCount val="4"/>
                <c:pt idx="0">
                  <c:v>2021</c:v>
                </c:pt>
                <c:pt idx="1">
                  <c:v>2022</c:v>
                </c:pt>
                <c:pt idx="2">
                  <c:v>2023</c:v>
                </c:pt>
              </c:numCache>
            </c:numRef>
          </c:cat>
          <c:val>
            <c:numRef>
              <c:f>Sheet1!$D$2:$D$5</c:f>
              <c:numCache>
                <c:formatCode>General</c:formatCode>
                <c:ptCount val="4"/>
              </c:numCache>
            </c:numRef>
          </c:val>
          <c:extLst>
            <c:ext xmlns:c16="http://schemas.microsoft.com/office/drawing/2014/chart" uri="{C3380CC4-5D6E-409C-BE32-E72D297353CC}">
              <c16:uniqueId val="{00000002-0E17-4F76-9929-EF76F624EED4}"/>
            </c:ext>
          </c:extLst>
        </c:ser>
        <c:dLbls>
          <c:showLegendKey val="0"/>
          <c:showVal val="0"/>
          <c:showCatName val="0"/>
          <c:showSerName val="0"/>
          <c:showPercent val="0"/>
          <c:showBubbleSize val="0"/>
        </c:dLbls>
        <c:gapWidth val="219"/>
        <c:overlap val="-27"/>
        <c:axId val="2104789632"/>
        <c:axId val="2104785312"/>
      </c:barChart>
      <c:catAx>
        <c:axId val="2104789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4785312"/>
        <c:crosses val="autoZero"/>
        <c:auto val="1"/>
        <c:lblAlgn val="ctr"/>
        <c:lblOffset val="100"/>
        <c:noMultiLvlLbl val="0"/>
      </c:catAx>
      <c:valAx>
        <c:axId val="21047853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47896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Total Debt/Total Assets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Sheet1!$A$2:$A$5</c:f>
              <c:numCache>
                <c:formatCode>General</c:formatCode>
                <c:ptCount val="4"/>
                <c:pt idx="0">
                  <c:v>2021</c:v>
                </c:pt>
                <c:pt idx="1">
                  <c:v>2022</c:v>
                </c:pt>
                <c:pt idx="2">
                  <c:v>2023</c:v>
                </c:pt>
              </c:numCache>
            </c:numRef>
          </c:cat>
          <c:val>
            <c:numRef>
              <c:f>Sheet1!$B$2:$B$5</c:f>
              <c:numCache>
                <c:formatCode>General</c:formatCode>
                <c:ptCount val="4"/>
                <c:pt idx="0">
                  <c:v>0</c:v>
                </c:pt>
                <c:pt idx="1">
                  <c:v>0.19</c:v>
                </c:pt>
                <c:pt idx="2">
                  <c:v>0.23</c:v>
                </c:pt>
              </c:numCache>
            </c:numRef>
          </c:val>
          <c:extLst>
            <c:ext xmlns:c16="http://schemas.microsoft.com/office/drawing/2014/chart" uri="{C3380CC4-5D6E-409C-BE32-E72D297353CC}">
              <c16:uniqueId val="{00000000-C248-42D4-9997-FAD861DEC09E}"/>
            </c:ext>
          </c:extLst>
        </c:ser>
        <c:ser>
          <c:idx val="1"/>
          <c:order val="1"/>
          <c:tx>
            <c:strRef>
              <c:f>Sheet1!$C$1</c:f>
              <c:strCache>
                <c:ptCount val="1"/>
                <c:pt idx="0">
                  <c:v>Column1</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Sheet1!$A$2:$A$5</c:f>
              <c:numCache>
                <c:formatCode>General</c:formatCode>
                <c:ptCount val="4"/>
                <c:pt idx="0">
                  <c:v>2021</c:v>
                </c:pt>
                <c:pt idx="1">
                  <c:v>2022</c:v>
                </c:pt>
                <c:pt idx="2">
                  <c:v>2023</c:v>
                </c:pt>
              </c:numCache>
            </c:numRef>
          </c:cat>
          <c:val>
            <c:numRef>
              <c:f>Sheet1!$C$2:$C$5</c:f>
              <c:numCache>
                <c:formatCode>General</c:formatCode>
                <c:ptCount val="4"/>
              </c:numCache>
            </c:numRef>
          </c:val>
          <c:extLst>
            <c:ext xmlns:c16="http://schemas.microsoft.com/office/drawing/2014/chart" uri="{C3380CC4-5D6E-409C-BE32-E72D297353CC}">
              <c16:uniqueId val="{00000001-C248-42D4-9997-FAD861DEC09E}"/>
            </c:ext>
          </c:extLst>
        </c:ser>
        <c:ser>
          <c:idx val="2"/>
          <c:order val="2"/>
          <c:tx>
            <c:strRef>
              <c:f>Sheet1!$D$1</c:f>
              <c:strCache>
                <c:ptCount val="1"/>
                <c:pt idx="0">
                  <c:v>Series 3</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Sheet1!$A$2:$A$5</c:f>
              <c:numCache>
                <c:formatCode>General</c:formatCode>
                <c:ptCount val="4"/>
                <c:pt idx="0">
                  <c:v>2021</c:v>
                </c:pt>
                <c:pt idx="1">
                  <c:v>2022</c:v>
                </c:pt>
                <c:pt idx="2">
                  <c:v>2023</c:v>
                </c:pt>
              </c:numCache>
            </c:numRef>
          </c:cat>
          <c:val>
            <c:numRef>
              <c:f>Sheet1!$D$2:$D$5</c:f>
              <c:numCache>
                <c:formatCode>General</c:formatCode>
                <c:ptCount val="4"/>
              </c:numCache>
            </c:numRef>
          </c:val>
          <c:extLst>
            <c:ext xmlns:c16="http://schemas.microsoft.com/office/drawing/2014/chart" uri="{C3380CC4-5D6E-409C-BE32-E72D297353CC}">
              <c16:uniqueId val="{00000002-C248-42D4-9997-FAD861DEC09E}"/>
            </c:ext>
          </c:extLst>
        </c:ser>
        <c:dLbls>
          <c:dLblPos val="inEnd"/>
          <c:showLegendKey val="0"/>
          <c:showVal val="1"/>
          <c:showCatName val="0"/>
          <c:showSerName val="0"/>
          <c:showPercent val="0"/>
          <c:showBubbleSize val="0"/>
        </c:dLbls>
        <c:gapWidth val="65"/>
        <c:axId val="282210432"/>
        <c:axId val="282208512"/>
      </c:barChart>
      <c:catAx>
        <c:axId val="282210432"/>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82208512"/>
        <c:crosses val="autoZero"/>
        <c:auto val="1"/>
        <c:lblAlgn val="ctr"/>
        <c:lblOffset val="100"/>
        <c:noMultiLvlLbl val="0"/>
      </c:catAx>
      <c:valAx>
        <c:axId val="282208512"/>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822104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E9E8B-BD64-41B2-B4F5-5F24EF988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561</TotalTime>
  <Pages>20</Pages>
  <Words>3332</Words>
  <Characters>20426</Characters>
  <Application>Microsoft Office Word</Application>
  <DocSecurity>0</DocSecurity>
  <Lines>523</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Olga Brinza-Pasa</cp:lastModifiedBy>
  <cp:revision>9</cp:revision>
  <dcterms:created xsi:type="dcterms:W3CDTF">2024-11-14T11:30:00Z</dcterms:created>
  <dcterms:modified xsi:type="dcterms:W3CDTF">2024-11-14T20:07:00Z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45134e1e1beebc3fbb6bacd31511b975922442f92327074bd02f2fa761306dda</vt:lpwstr>
  </property>
</Properties>
</file>