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8542" w:type="dxa"/>
        <w:tblLook w:val="04A0" w:firstRow="1" w:lastRow="0" w:firstColumn="1" w:lastColumn="0" w:noHBand="0" w:noVBand="1"/>
      </w:tblPr>
      <w:tblGrid>
        <w:gridCol w:w="1961"/>
        <w:gridCol w:w="6581"/>
      </w:tblGrid>
      <w:tr w:rsidR="00336E44" w:rsidRPr="00336E44" w14:paraId="6BB160F3" w14:textId="77777777" w:rsidTr="00FC799F">
        <w:trPr>
          <w:trHeight w:val="345"/>
        </w:trPr>
        <w:tc>
          <w:tcPr>
            <w:tcW w:w="0" w:type="auto"/>
            <w:hideMark/>
          </w:tcPr>
          <w:p w14:paraId="4231B3D9" w14:textId="77777777" w:rsidR="00336E44" w:rsidRPr="00336E44" w:rsidRDefault="00336E44" w:rsidP="00336E44">
            <w:pPr>
              <w:spacing w:after="160" w:line="278" w:lineRule="auto"/>
              <w:jc w:val="center"/>
              <w:rPr>
                <w:lang w:val="en-US"/>
              </w:rPr>
            </w:pPr>
            <w:r w:rsidRPr="00336E44">
              <w:rPr>
                <w:lang w:val="en-US"/>
              </w:rPr>
              <w:t>Student Name</w:t>
            </w:r>
          </w:p>
        </w:tc>
        <w:tc>
          <w:tcPr>
            <w:tcW w:w="0" w:type="auto"/>
            <w:hideMark/>
          </w:tcPr>
          <w:p w14:paraId="07CD57E3" w14:textId="2A7B7AB9" w:rsidR="00336E44" w:rsidRPr="00336E44" w:rsidRDefault="001A78C1" w:rsidP="001A78C1">
            <w:pPr>
              <w:spacing w:after="160" w:line="278" w:lineRule="auto"/>
              <w:rPr>
                <w:lang w:val="en-US"/>
              </w:rPr>
            </w:pPr>
            <w:r>
              <w:rPr>
                <w:lang w:val="en-US"/>
              </w:rPr>
              <w:t>Mariuza Aguiar</w:t>
            </w:r>
          </w:p>
        </w:tc>
      </w:tr>
      <w:tr w:rsidR="00336E44" w:rsidRPr="00336E44" w14:paraId="0AD49819" w14:textId="77777777" w:rsidTr="00FC799F">
        <w:trPr>
          <w:trHeight w:val="337"/>
        </w:trPr>
        <w:tc>
          <w:tcPr>
            <w:tcW w:w="0" w:type="auto"/>
            <w:hideMark/>
          </w:tcPr>
          <w:p w14:paraId="0EE1410B" w14:textId="77777777" w:rsidR="00336E44" w:rsidRPr="00336E44" w:rsidRDefault="00336E44" w:rsidP="00336E44">
            <w:pPr>
              <w:spacing w:after="160" w:line="278" w:lineRule="auto"/>
              <w:jc w:val="center"/>
              <w:rPr>
                <w:lang w:val="en-US"/>
              </w:rPr>
            </w:pPr>
            <w:r w:rsidRPr="00336E44">
              <w:rPr>
                <w:lang w:val="en-US"/>
              </w:rPr>
              <w:t>Student Number</w:t>
            </w:r>
          </w:p>
        </w:tc>
        <w:tc>
          <w:tcPr>
            <w:tcW w:w="0" w:type="auto"/>
            <w:hideMark/>
          </w:tcPr>
          <w:p w14:paraId="7288F2B9" w14:textId="15AED055" w:rsidR="00336E44" w:rsidRPr="00336E44" w:rsidRDefault="001A78C1" w:rsidP="001A78C1">
            <w:pPr>
              <w:spacing w:after="160" w:line="278" w:lineRule="auto"/>
              <w:rPr>
                <w:lang w:val="en-US"/>
              </w:rPr>
            </w:pPr>
            <w:r>
              <w:rPr>
                <w:lang w:val="en-US"/>
              </w:rPr>
              <w:t>2440642</w:t>
            </w:r>
          </w:p>
        </w:tc>
      </w:tr>
      <w:tr w:rsidR="00336E44" w:rsidRPr="00336E44" w14:paraId="55862608" w14:textId="77777777" w:rsidTr="00FC799F">
        <w:trPr>
          <w:trHeight w:val="345"/>
        </w:trPr>
        <w:tc>
          <w:tcPr>
            <w:tcW w:w="0" w:type="auto"/>
            <w:hideMark/>
          </w:tcPr>
          <w:p w14:paraId="18DBB859" w14:textId="77777777" w:rsidR="00336E44" w:rsidRPr="00336E44" w:rsidRDefault="00336E44" w:rsidP="00336E44">
            <w:pPr>
              <w:spacing w:after="160" w:line="278" w:lineRule="auto"/>
              <w:jc w:val="center"/>
              <w:rPr>
                <w:lang w:val="en-US"/>
              </w:rPr>
            </w:pPr>
            <w:r w:rsidRPr="00336E44">
              <w:rPr>
                <w:lang w:val="en-US"/>
              </w:rPr>
              <w:t>Module Code</w:t>
            </w:r>
          </w:p>
        </w:tc>
        <w:tc>
          <w:tcPr>
            <w:tcW w:w="0" w:type="auto"/>
            <w:hideMark/>
          </w:tcPr>
          <w:p w14:paraId="403BE9D3" w14:textId="0DB50A97" w:rsidR="00336E44" w:rsidRPr="00336E44" w:rsidRDefault="001A78C1" w:rsidP="001A78C1">
            <w:pPr>
              <w:spacing w:after="160" w:line="278" w:lineRule="auto"/>
              <w:rPr>
                <w:lang w:val="en-US"/>
              </w:rPr>
            </w:pPr>
            <w:r>
              <w:rPr>
                <w:lang w:val="en-US"/>
              </w:rPr>
              <w:t>LCHS4003</w:t>
            </w:r>
          </w:p>
        </w:tc>
      </w:tr>
      <w:tr w:rsidR="00336E44" w:rsidRPr="00336E44" w14:paraId="77ABF62C" w14:textId="77777777" w:rsidTr="00FC799F">
        <w:trPr>
          <w:trHeight w:val="337"/>
        </w:trPr>
        <w:tc>
          <w:tcPr>
            <w:tcW w:w="0" w:type="auto"/>
            <w:hideMark/>
          </w:tcPr>
          <w:p w14:paraId="166DEDB4" w14:textId="77777777" w:rsidR="00336E44" w:rsidRPr="00336E44" w:rsidRDefault="00336E44" w:rsidP="00336E44">
            <w:pPr>
              <w:spacing w:after="160" w:line="278" w:lineRule="auto"/>
              <w:jc w:val="center"/>
              <w:rPr>
                <w:lang w:val="en-US"/>
              </w:rPr>
            </w:pPr>
            <w:r w:rsidRPr="00336E44">
              <w:rPr>
                <w:lang w:val="en-US"/>
              </w:rPr>
              <w:t>Module Title</w:t>
            </w:r>
          </w:p>
        </w:tc>
        <w:tc>
          <w:tcPr>
            <w:tcW w:w="0" w:type="auto"/>
            <w:hideMark/>
          </w:tcPr>
          <w:p w14:paraId="1244E258" w14:textId="72044A2B" w:rsidR="00336E44" w:rsidRPr="00336E44" w:rsidRDefault="001A78C1" w:rsidP="001A78C1">
            <w:pPr>
              <w:spacing w:after="160" w:line="278" w:lineRule="auto"/>
              <w:rPr>
                <w:lang w:val="en-US"/>
              </w:rPr>
            </w:pPr>
            <w:r>
              <w:rPr>
                <w:lang w:val="en-US"/>
              </w:rPr>
              <w:t>Introduction to Public Health</w:t>
            </w:r>
          </w:p>
        </w:tc>
      </w:tr>
      <w:tr w:rsidR="00336E44" w:rsidRPr="00336E44" w14:paraId="0798BB08" w14:textId="77777777" w:rsidTr="00FC799F">
        <w:trPr>
          <w:trHeight w:val="345"/>
        </w:trPr>
        <w:tc>
          <w:tcPr>
            <w:tcW w:w="0" w:type="auto"/>
            <w:hideMark/>
          </w:tcPr>
          <w:p w14:paraId="1B0FFCA2" w14:textId="77777777" w:rsidR="00336E44" w:rsidRPr="00336E44" w:rsidRDefault="00336E44" w:rsidP="00336E44">
            <w:pPr>
              <w:spacing w:after="160" w:line="278" w:lineRule="auto"/>
              <w:jc w:val="center"/>
              <w:rPr>
                <w:lang w:val="en-US"/>
              </w:rPr>
            </w:pPr>
            <w:r w:rsidRPr="00336E44">
              <w:rPr>
                <w:lang w:val="en-US"/>
              </w:rPr>
              <w:t>Assignment Title</w:t>
            </w:r>
          </w:p>
        </w:tc>
        <w:tc>
          <w:tcPr>
            <w:tcW w:w="0" w:type="auto"/>
            <w:hideMark/>
          </w:tcPr>
          <w:p w14:paraId="4F5B9610" w14:textId="77777777" w:rsidR="00336E44" w:rsidRPr="00336E44" w:rsidRDefault="00336E44" w:rsidP="00336E44">
            <w:pPr>
              <w:spacing w:after="160" w:line="278" w:lineRule="auto"/>
              <w:jc w:val="center"/>
              <w:rPr>
                <w:lang w:val="en-US"/>
              </w:rPr>
            </w:pPr>
            <w:r w:rsidRPr="00336E44">
              <w:rPr>
                <w:i/>
                <w:iCs/>
                <w:lang w:val="en-US"/>
              </w:rPr>
              <w:t xml:space="preserve">Professional Practice Skills in the Context of </w:t>
            </w:r>
            <w:proofErr w:type="spellStart"/>
            <w:r w:rsidRPr="00336E44">
              <w:rPr>
                <w:i/>
                <w:iCs/>
                <w:lang w:val="en-US"/>
              </w:rPr>
              <w:t>Mrs</w:t>
            </w:r>
            <w:proofErr w:type="spellEnd"/>
            <w:r w:rsidRPr="00336E44">
              <w:rPr>
                <w:i/>
                <w:iCs/>
                <w:lang w:val="en-US"/>
              </w:rPr>
              <w:t xml:space="preserve"> Mann’s Care</w:t>
            </w:r>
          </w:p>
        </w:tc>
      </w:tr>
      <w:tr w:rsidR="00336E44" w:rsidRPr="00336E44" w14:paraId="018970C5" w14:textId="77777777" w:rsidTr="00FC799F">
        <w:trPr>
          <w:trHeight w:val="337"/>
        </w:trPr>
        <w:tc>
          <w:tcPr>
            <w:tcW w:w="0" w:type="auto"/>
            <w:hideMark/>
          </w:tcPr>
          <w:p w14:paraId="094BE5DF" w14:textId="77777777" w:rsidR="00336E44" w:rsidRPr="00336E44" w:rsidRDefault="00336E44" w:rsidP="00336E44">
            <w:pPr>
              <w:spacing w:after="160" w:line="278" w:lineRule="auto"/>
              <w:jc w:val="center"/>
              <w:rPr>
                <w:lang w:val="en-US"/>
              </w:rPr>
            </w:pPr>
            <w:r w:rsidRPr="00336E44">
              <w:rPr>
                <w:lang w:val="en-US"/>
              </w:rPr>
              <w:t>Lecturer’s Name</w:t>
            </w:r>
          </w:p>
        </w:tc>
        <w:tc>
          <w:tcPr>
            <w:tcW w:w="0" w:type="auto"/>
            <w:hideMark/>
          </w:tcPr>
          <w:p w14:paraId="3FBE45D2" w14:textId="2D1E1951" w:rsidR="00336E44" w:rsidRPr="00336E44" w:rsidRDefault="001A78C1" w:rsidP="001A78C1">
            <w:pPr>
              <w:spacing w:after="160" w:line="278" w:lineRule="auto"/>
              <w:rPr>
                <w:lang w:val="en-US"/>
              </w:rPr>
            </w:pPr>
            <w:r>
              <w:rPr>
                <w:lang w:val="en-US"/>
              </w:rPr>
              <w:t>Brian Mashumba</w:t>
            </w:r>
          </w:p>
        </w:tc>
      </w:tr>
      <w:tr w:rsidR="00336E44" w:rsidRPr="00336E44" w14:paraId="4BC203A6" w14:textId="77777777" w:rsidTr="00FC799F">
        <w:trPr>
          <w:trHeight w:val="345"/>
        </w:trPr>
        <w:tc>
          <w:tcPr>
            <w:tcW w:w="0" w:type="auto"/>
            <w:hideMark/>
          </w:tcPr>
          <w:p w14:paraId="10B7E320" w14:textId="5645BD84" w:rsidR="00336E44" w:rsidRPr="00336E44" w:rsidRDefault="00336E44" w:rsidP="00784070">
            <w:pPr>
              <w:spacing w:after="160" w:line="278" w:lineRule="auto"/>
              <w:rPr>
                <w:lang w:val="en-US"/>
              </w:rPr>
            </w:pPr>
          </w:p>
        </w:tc>
        <w:tc>
          <w:tcPr>
            <w:tcW w:w="0" w:type="auto"/>
            <w:hideMark/>
          </w:tcPr>
          <w:p w14:paraId="799106E2" w14:textId="77777777" w:rsidR="00336E44" w:rsidRPr="00336E44" w:rsidRDefault="00336E44" w:rsidP="00336E44">
            <w:pPr>
              <w:spacing w:after="160" w:line="278" w:lineRule="auto"/>
              <w:jc w:val="center"/>
              <w:rPr>
                <w:lang w:val="en-US"/>
              </w:rPr>
            </w:pPr>
          </w:p>
        </w:tc>
      </w:tr>
      <w:tr w:rsidR="00336E44" w:rsidRPr="00336E44" w14:paraId="31136EA7" w14:textId="77777777" w:rsidTr="00FC799F">
        <w:trPr>
          <w:trHeight w:val="337"/>
        </w:trPr>
        <w:tc>
          <w:tcPr>
            <w:tcW w:w="0" w:type="auto"/>
          </w:tcPr>
          <w:p w14:paraId="6D12DCFB" w14:textId="1F197AB0" w:rsidR="00336E44" w:rsidRPr="00336E44" w:rsidRDefault="00336E44" w:rsidP="00336E44">
            <w:pPr>
              <w:spacing w:after="160" w:line="278" w:lineRule="auto"/>
              <w:jc w:val="center"/>
              <w:rPr>
                <w:lang w:val="en-US"/>
              </w:rPr>
            </w:pPr>
          </w:p>
        </w:tc>
        <w:tc>
          <w:tcPr>
            <w:tcW w:w="0" w:type="auto"/>
          </w:tcPr>
          <w:p w14:paraId="07B475AF" w14:textId="77777777" w:rsidR="00336E44" w:rsidRPr="00336E44" w:rsidRDefault="00336E44" w:rsidP="00784070">
            <w:pPr>
              <w:spacing w:after="160" w:line="278" w:lineRule="auto"/>
              <w:rPr>
                <w:lang w:val="en-US"/>
              </w:rPr>
            </w:pPr>
          </w:p>
        </w:tc>
      </w:tr>
    </w:tbl>
    <w:p w14:paraId="72D59A65" w14:textId="77777777" w:rsidR="00EE7BFE" w:rsidRDefault="00EE7BFE" w:rsidP="00336E44">
      <w:pPr>
        <w:spacing w:line="278" w:lineRule="auto"/>
        <w:jc w:val="center"/>
        <w:rPr>
          <w:rFonts w:eastAsiaTheme="majorEastAsia" w:cstheme="majorBidi"/>
          <w:b/>
          <w:color w:val="000000" w:themeColor="text1"/>
          <w:szCs w:val="40"/>
        </w:rPr>
      </w:pPr>
      <w:r>
        <w:br w:type="page"/>
      </w:r>
    </w:p>
    <w:sdt>
      <w:sdtPr>
        <w:rPr>
          <w:rFonts w:ascii="Arial" w:eastAsiaTheme="minorHAnsi" w:hAnsi="Arial" w:cs="Arial"/>
          <w:color w:val="auto"/>
          <w:kern w:val="2"/>
          <w:sz w:val="24"/>
          <w:szCs w:val="24"/>
          <w:lang w:val="en-GB"/>
          <w14:ligatures w14:val="standardContextual"/>
        </w:rPr>
        <w:id w:val="-627701105"/>
        <w:docPartObj>
          <w:docPartGallery w:val="Table of Contents"/>
          <w:docPartUnique/>
        </w:docPartObj>
      </w:sdtPr>
      <w:sdtEndPr>
        <w:rPr>
          <w:rFonts w:cstheme="minorBidi"/>
          <w:b/>
          <w:bCs/>
          <w:noProof/>
        </w:rPr>
      </w:sdtEndPr>
      <w:sdtContent>
        <w:p w14:paraId="16C027F9" w14:textId="3DF4A42F" w:rsidR="00336E44" w:rsidRPr="007F4ADA" w:rsidRDefault="00336E44" w:rsidP="00336E44">
          <w:pPr>
            <w:pStyle w:val="TOCHeading"/>
            <w:jc w:val="center"/>
            <w:rPr>
              <w:rFonts w:ascii="Arial" w:hAnsi="Arial" w:cs="Arial"/>
              <w:color w:val="auto"/>
            </w:rPr>
          </w:pPr>
          <w:r w:rsidRPr="007F4ADA">
            <w:rPr>
              <w:rFonts w:ascii="Arial" w:hAnsi="Arial" w:cs="Arial"/>
              <w:color w:val="auto"/>
            </w:rPr>
            <w:t>Table of Contents</w:t>
          </w:r>
        </w:p>
        <w:p w14:paraId="62CF656E" w14:textId="13A8248D" w:rsidR="00336E44" w:rsidRDefault="00336E44">
          <w:pPr>
            <w:pStyle w:val="TOC1"/>
            <w:tabs>
              <w:tab w:val="right" w:leader="dot" w:pos="9350"/>
            </w:tabs>
            <w:rPr>
              <w:noProof/>
            </w:rPr>
          </w:pPr>
          <w:r>
            <w:fldChar w:fldCharType="begin"/>
          </w:r>
          <w:r>
            <w:instrText xml:space="preserve"> TOC \o "1-3" \h \z \u </w:instrText>
          </w:r>
          <w:r>
            <w:fldChar w:fldCharType="separate"/>
          </w:r>
          <w:hyperlink w:anchor="_Toc216772434" w:history="1">
            <w:r w:rsidRPr="00B6216E">
              <w:rPr>
                <w:rStyle w:val="Hyperlink"/>
                <w:noProof/>
              </w:rPr>
              <w:t>Introduction</w:t>
            </w:r>
            <w:r>
              <w:rPr>
                <w:noProof/>
                <w:webHidden/>
              </w:rPr>
              <w:tab/>
            </w:r>
            <w:r>
              <w:rPr>
                <w:noProof/>
                <w:webHidden/>
              </w:rPr>
              <w:fldChar w:fldCharType="begin"/>
            </w:r>
            <w:r>
              <w:rPr>
                <w:noProof/>
                <w:webHidden/>
              </w:rPr>
              <w:instrText xml:space="preserve"> PAGEREF _Toc216772434 \h </w:instrText>
            </w:r>
            <w:r>
              <w:rPr>
                <w:noProof/>
                <w:webHidden/>
              </w:rPr>
            </w:r>
            <w:r>
              <w:rPr>
                <w:noProof/>
                <w:webHidden/>
              </w:rPr>
              <w:fldChar w:fldCharType="separate"/>
            </w:r>
            <w:r>
              <w:rPr>
                <w:noProof/>
                <w:webHidden/>
              </w:rPr>
              <w:t>3</w:t>
            </w:r>
            <w:r>
              <w:rPr>
                <w:noProof/>
                <w:webHidden/>
              </w:rPr>
              <w:fldChar w:fldCharType="end"/>
            </w:r>
          </w:hyperlink>
        </w:p>
        <w:p w14:paraId="49732286" w14:textId="69345030" w:rsidR="00336E44" w:rsidRDefault="00336E44">
          <w:pPr>
            <w:pStyle w:val="TOC1"/>
            <w:tabs>
              <w:tab w:val="right" w:leader="dot" w:pos="9350"/>
            </w:tabs>
            <w:rPr>
              <w:noProof/>
            </w:rPr>
          </w:pPr>
          <w:hyperlink w:anchor="_Toc216772435" w:history="1">
            <w:r w:rsidRPr="00B6216E">
              <w:rPr>
                <w:rStyle w:val="Hyperlink"/>
                <w:noProof/>
              </w:rPr>
              <w:t>Importance of Effective Communication in the Context of Mrs Mann’s Care</w:t>
            </w:r>
            <w:r>
              <w:rPr>
                <w:noProof/>
                <w:webHidden/>
              </w:rPr>
              <w:tab/>
            </w:r>
            <w:r>
              <w:rPr>
                <w:noProof/>
                <w:webHidden/>
              </w:rPr>
              <w:fldChar w:fldCharType="begin"/>
            </w:r>
            <w:r>
              <w:rPr>
                <w:noProof/>
                <w:webHidden/>
              </w:rPr>
              <w:instrText xml:space="preserve"> PAGEREF _Toc216772435 \h </w:instrText>
            </w:r>
            <w:r>
              <w:rPr>
                <w:noProof/>
                <w:webHidden/>
              </w:rPr>
            </w:r>
            <w:r>
              <w:rPr>
                <w:noProof/>
                <w:webHidden/>
              </w:rPr>
              <w:fldChar w:fldCharType="separate"/>
            </w:r>
            <w:r>
              <w:rPr>
                <w:noProof/>
                <w:webHidden/>
              </w:rPr>
              <w:t>3</w:t>
            </w:r>
            <w:r>
              <w:rPr>
                <w:noProof/>
                <w:webHidden/>
              </w:rPr>
              <w:fldChar w:fldCharType="end"/>
            </w:r>
          </w:hyperlink>
        </w:p>
        <w:p w14:paraId="6100484B" w14:textId="5940299F" w:rsidR="00336E44" w:rsidRDefault="00336E44">
          <w:pPr>
            <w:pStyle w:val="TOC1"/>
            <w:tabs>
              <w:tab w:val="right" w:leader="dot" w:pos="9350"/>
            </w:tabs>
            <w:rPr>
              <w:noProof/>
            </w:rPr>
          </w:pPr>
          <w:hyperlink w:anchor="_Toc216772436" w:history="1">
            <w:r w:rsidRPr="00B6216E">
              <w:rPr>
                <w:rStyle w:val="Hyperlink"/>
                <w:noProof/>
              </w:rPr>
              <w:t>Importance of Good Administrative Skills and Data Protection in Professional Practice</w:t>
            </w:r>
            <w:r>
              <w:rPr>
                <w:noProof/>
                <w:webHidden/>
              </w:rPr>
              <w:tab/>
            </w:r>
            <w:r>
              <w:rPr>
                <w:noProof/>
                <w:webHidden/>
              </w:rPr>
              <w:fldChar w:fldCharType="begin"/>
            </w:r>
            <w:r>
              <w:rPr>
                <w:noProof/>
                <w:webHidden/>
              </w:rPr>
              <w:instrText xml:space="preserve"> PAGEREF _Toc216772436 \h </w:instrText>
            </w:r>
            <w:r>
              <w:rPr>
                <w:noProof/>
                <w:webHidden/>
              </w:rPr>
            </w:r>
            <w:r>
              <w:rPr>
                <w:noProof/>
                <w:webHidden/>
              </w:rPr>
              <w:fldChar w:fldCharType="separate"/>
            </w:r>
            <w:r>
              <w:rPr>
                <w:noProof/>
                <w:webHidden/>
              </w:rPr>
              <w:t>4</w:t>
            </w:r>
            <w:r>
              <w:rPr>
                <w:noProof/>
                <w:webHidden/>
              </w:rPr>
              <w:fldChar w:fldCharType="end"/>
            </w:r>
          </w:hyperlink>
        </w:p>
        <w:p w14:paraId="62E24860" w14:textId="726DC83E" w:rsidR="00336E44" w:rsidRDefault="00336E44">
          <w:pPr>
            <w:pStyle w:val="TOC1"/>
            <w:tabs>
              <w:tab w:val="right" w:leader="dot" w:pos="9350"/>
            </w:tabs>
            <w:rPr>
              <w:noProof/>
            </w:rPr>
          </w:pPr>
          <w:hyperlink w:anchor="_Toc216772437" w:history="1">
            <w:r w:rsidRPr="00B6216E">
              <w:rPr>
                <w:rStyle w:val="Hyperlink"/>
                <w:noProof/>
              </w:rPr>
              <w:t>Importance of Collaborative Working with Other Professionals</w:t>
            </w:r>
            <w:r>
              <w:rPr>
                <w:noProof/>
                <w:webHidden/>
              </w:rPr>
              <w:tab/>
            </w:r>
            <w:r>
              <w:rPr>
                <w:noProof/>
                <w:webHidden/>
              </w:rPr>
              <w:fldChar w:fldCharType="begin"/>
            </w:r>
            <w:r>
              <w:rPr>
                <w:noProof/>
                <w:webHidden/>
              </w:rPr>
              <w:instrText xml:space="preserve"> PAGEREF _Toc216772437 \h </w:instrText>
            </w:r>
            <w:r>
              <w:rPr>
                <w:noProof/>
                <w:webHidden/>
              </w:rPr>
            </w:r>
            <w:r>
              <w:rPr>
                <w:noProof/>
                <w:webHidden/>
              </w:rPr>
              <w:fldChar w:fldCharType="separate"/>
            </w:r>
            <w:r>
              <w:rPr>
                <w:noProof/>
                <w:webHidden/>
              </w:rPr>
              <w:t>6</w:t>
            </w:r>
            <w:r>
              <w:rPr>
                <w:noProof/>
                <w:webHidden/>
              </w:rPr>
              <w:fldChar w:fldCharType="end"/>
            </w:r>
          </w:hyperlink>
        </w:p>
        <w:p w14:paraId="1DFF70A1" w14:textId="5D514450" w:rsidR="00336E44" w:rsidRDefault="00336E44">
          <w:pPr>
            <w:pStyle w:val="TOC1"/>
            <w:tabs>
              <w:tab w:val="right" w:leader="dot" w:pos="9350"/>
            </w:tabs>
            <w:rPr>
              <w:noProof/>
            </w:rPr>
          </w:pPr>
          <w:hyperlink w:anchor="_Toc216772438" w:history="1">
            <w:r w:rsidRPr="00B6216E">
              <w:rPr>
                <w:rStyle w:val="Hyperlink"/>
                <w:noProof/>
              </w:rPr>
              <w:t>Conclusion</w:t>
            </w:r>
            <w:r>
              <w:rPr>
                <w:noProof/>
                <w:webHidden/>
              </w:rPr>
              <w:tab/>
            </w:r>
            <w:r>
              <w:rPr>
                <w:noProof/>
                <w:webHidden/>
              </w:rPr>
              <w:fldChar w:fldCharType="begin"/>
            </w:r>
            <w:r>
              <w:rPr>
                <w:noProof/>
                <w:webHidden/>
              </w:rPr>
              <w:instrText xml:space="preserve"> PAGEREF _Toc216772438 \h </w:instrText>
            </w:r>
            <w:r>
              <w:rPr>
                <w:noProof/>
                <w:webHidden/>
              </w:rPr>
            </w:r>
            <w:r>
              <w:rPr>
                <w:noProof/>
                <w:webHidden/>
              </w:rPr>
              <w:fldChar w:fldCharType="separate"/>
            </w:r>
            <w:r>
              <w:rPr>
                <w:noProof/>
                <w:webHidden/>
              </w:rPr>
              <w:t>7</w:t>
            </w:r>
            <w:r>
              <w:rPr>
                <w:noProof/>
                <w:webHidden/>
              </w:rPr>
              <w:fldChar w:fldCharType="end"/>
            </w:r>
          </w:hyperlink>
        </w:p>
        <w:p w14:paraId="25FA802D" w14:textId="1A468604" w:rsidR="00336E44" w:rsidRDefault="00336E44">
          <w:pPr>
            <w:pStyle w:val="TOC1"/>
            <w:tabs>
              <w:tab w:val="right" w:leader="dot" w:pos="9350"/>
            </w:tabs>
            <w:rPr>
              <w:noProof/>
            </w:rPr>
          </w:pPr>
          <w:hyperlink w:anchor="_Toc216772439" w:history="1">
            <w:r w:rsidRPr="00B6216E">
              <w:rPr>
                <w:rStyle w:val="Hyperlink"/>
                <w:noProof/>
              </w:rPr>
              <w:t>References</w:t>
            </w:r>
            <w:r>
              <w:rPr>
                <w:noProof/>
                <w:webHidden/>
              </w:rPr>
              <w:tab/>
            </w:r>
            <w:r>
              <w:rPr>
                <w:noProof/>
                <w:webHidden/>
              </w:rPr>
              <w:fldChar w:fldCharType="begin"/>
            </w:r>
            <w:r>
              <w:rPr>
                <w:noProof/>
                <w:webHidden/>
              </w:rPr>
              <w:instrText xml:space="preserve"> PAGEREF _Toc216772439 \h </w:instrText>
            </w:r>
            <w:r>
              <w:rPr>
                <w:noProof/>
                <w:webHidden/>
              </w:rPr>
            </w:r>
            <w:r>
              <w:rPr>
                <w:noProof/>
                <w:webHidden/>
              </w:rPr>
              <w:fldChar w:fldCharType="separate"/>
            </w:r>
            <w:r>
              <w:rPr>
                <w:noProof/>
                <w:webHidden/>
              </w:rPr>
              <w:t>8</w:t>
            </w:r>
            <w:r>
              <w:rPr>
                <w:noProof/>
                <w:webHidden/>
              </w:rPr>
              <w:fldChar w:fldCharType="end"/>
            </w:r>
          </w:hyperlink>
        </w:p>
        <w:p w14:paraId="60D069E9" w14:textId="2F846857" w:rsidR="00EE7BFE" w:rsidRPr="00FC799F" w:rsidRDefault="00336E44" w:rsidP="00FC799F">
          <w:r>
            <w:rPr>
              <w:b/>
              <w:bCs/>
              <w:noProof/>
            </w:rPr>
            <w:fldChar w:fldCharType="end"/>
          </w:r>
        </w:p>
      </w:sdtContent>
    </w:sdt>
    <w:p w14:paraId="6F79B777" w14:textId="07910098" w:rsidR="00EE7BFE" w:rsidRDefault="00EE7BFE" w:rsidP="00EE7BFE">
      <w:pPr>
        <w:pStyle w:val="Heading1"/>
      </w:pPr>
      <w:bookmarkStart w:id="0" w:name="_Toc216772434"/>
      <w:r>
        <w:t>Introduction</w:t>
      </w:r>
      <w:bookmarkEnd w:id="0"/>
      <w:r>
        <w:t xml:space="preserve"> </w:t>
      </w:r>
    </w:p>
    <w:p w14:paraId="75379788" w14:textId="721A49D8" w:rsidR="00EE7BFE" w:rsidRDefault="00EE7BFE" w:rsidP="00EE7BFE">
      <w:r>
        <w:t>Health and social care in any profession relies on effective communication, strong administration</w:t>
      </w:r>
      <w:r w:rsidR="00AD08A2">
        <w:t>, and good working partnerships</w:t>
      </w:r>
      <w:r>
        <w:t xml:space="preserve"> with others to promote effective practise. This report concentrates on a case study of Mrs Mann</w:t>
      </w:r>
      <w:r w:rsidR="00AD08A2">
        <w:t>, a 72-year-old female who was recently released from the</w:t>
      </w:r>
      <w:r>
        <w:t xml:space="preserve"> hospital and the subject of hip replacement surgery. Mrs Mann is staying alone and receiving domiciliary care twice </w:t>
      </w:r>
      <w:r w:rsidR="00AD08A2">
        <w:t>a day to help her with</w:t>
      </w:r>
      <w:r>
        <w:t xml:space="preserve"> personal care and mobility. She speaks Urdu as her first language and has a poor command of the English language</w:t>
      </w:r>
      <w:r w:rsidR="00AD08A2">
        <w:t>,</w:t>
      </w:r>
      <w:r>
        <w:t xml:space="preserve"> and her daughter assists in communication regularly. Various professionals participate in her care</w:t>
      </w:r>
      <w:r w:rsidR="00AD08A2">
        <w:t xml:space="preserve">, such as care workers, a GP and a </w:t>
      </w:r>
      <w:r>
        <w:t>community physiotherapist. It is in this particular context that this report talks of the significance of proper communication, good administration skills and teamwork in the context that involved the care of Mrs Mann</w:t>
      </w:r>
      <w:r w:rsidR="00AD08A2">
        <w:t>, coupled with the reference to applicable legislation, policy framework and professional advice, to critically examine how safe, equitable and person-centred</w:t>
      </w:r>
      <w:r>
        <w:t xml:space="preserve"> care could be accomplished.</w:t>
      </w:r>
    </w:p>
    <w:p w14:paraId="1A870D94" w14:textId="77777777" w:rsidR="00EE7BFE" w:rsidRDefault="00EE7BFE" w:rsidP="00EE7BFE">
      <w:pPr>
        <w:pStyle w:val="Heading1"/>
      </w:pPr>
      <w:bookmarkStart w:id="1" w:name="_Toc216772435"/>
      <w:r w:rsidRPr="00EE7BFE">
        <w:t>Importance of Effective Communication in the Context of Mrs Mann’s Care</w:t>
      </w:r>
      <w:bookmarkEnd w:id="1"/>
    </w:p>
    <w:p w14:paraId="09B839D7" w14:textId="2AC72802" w:rsidR="00EE7BFE" w:rsidRDefault="00EE7BFE" w:rsidP="00EE7BFE">
      <w:r>
        <w:t xml:space="preserve">Proper communication is </w:t>
      </w:r>
      <w:r w:rsidR="00AD08A2">
        <w:t>the keystone to safe, high-quality,</w:t>
      </w:r>
      <w:r>
        <w:t xml:space="preserve"> and person-centred care delivery. In the case of Mrs Mann, lack of effective communication was another factor that led to slow medication change, illustrating that ineffective communication can uphold the lack of patient safety and care continuity (WHO, 2021). After being discharged </w:t>
      </w:r>
      <w:r w:rsidR="00AD08A2">
        <w:t>from hospitals, effective communication is required to make sure that the service users are aware of their treatment schedules, medication schedules</w:t>
      </w:r>
      <w:r>
        <w:t>, and rehabilitation objectives.</w:t>
      </w:r>
    </w:p>
    <w:p w14:paraId="4EFC5237" w14:textId="11789B6C" w:rsidR="00EE7BFE" w:rsidRDefault="00AD08A2" w:rsidP="00EE7BFE">
      <w:r>
        <w:t xml:space="preserve">Mrs Mann's poor English </w:t>
      </w:r>
      <w:r w:rsidR="00EE7BFE">
        <w:t xml:space="preserve">has become </w:t>
      </w:r>
      <w:r>
        <w:t>a massive</w:t>
      </w:r>
      <w:r w:rsidR="00EE7BFE">
        <w:t xml:space="preserve"> problem in communication. Health and social care providers are provided with a legal obligation </w:t>
      </w:r>
      <w:r>
        <w:t>to make</w:t>
      </w:r>
      <w:r w:rsidR="00EE7BFE">
        <w:t xml:space="preserve"> reasonable adjustments to avoid discrimination and guarantee equal access to services under the Equality Act 2010. Lack of proper communication support puts Mrs Mann at the risk of indirect discrimination</w:t>
      </w:r>
      <w:r>
        <w:t>;</w:t>
      </w:r>
      <w:r w:rsidR="00EE7BFE">
        <w:t xml:space="preserve"> she may not fully comprehend any information pertaining to her care or may not be able to easily communicate her concerns. Some of the reasonable adjustments involve hiring professional interpreters, supplying written materials in translated versions, and even giving extra communication time (NHS England, 2021). These initiatives aid in dignity, autonomy and informed choice.</w:t>
      </w:r>
    </w:p>
    <w:p w14:paraId="0FA672CA" w14:textId="65B632B2" w:rsidR="00EE7BFE" w:rsidRDefault="00EE7BFE" w:rsidP="00EE7BFE">
      <w:r>
        <w:t>The model based on the SMCR communication, by Berlo, is a helpful model to analyse the communication in this case. The same source of communication</w:t>
      </w:r>
      <w:r w:rsidR="00AD08A2">
        <w:t>, like care workers or clinicians, should exhibit cultural awareness and not assume</w:t>
      </w:r>
      <w:r>
        <w:t xml:space="preserve"> understanding. The message should also be specific, understandable and custom to the needs of Mrs Mann, especially when </w:t>
      </w:r>
      <w:r w:rsidR="00AD08A2">
        <w:t>it is</w:t>
      </w:r>
      <w:r>
        <w:t xml:space="preserve"> about changes in medication or moving instructions. The medium used should be well chosen to incorporate the use of the word</w:t>
      </w:r>
      <w:r w:rsidR="00AD08A2">
        <w:t>,</w:t>
      </w:r>
      <w:r>
        <w:t xml:space="preserve"> as well as written care strategies where necessary. Mrs Mann</w:t>
      </w:r>
      <w:r w:rsidR="00AD08A2">
        <w:t>, who is the receiver,</w:t>
      </w:r>
      <w:r>
        <w:t xml:space="preserve"> needs to be helped to accurately decipher the message and be given a chance to raise questions and seek clarification of the message (Berlo, 1960).</w:t>
      </w:r>
    </w:p>
    <w:p w14:paraId="15C69456" w14:textId="7C797D83" w:rsidR="00EE7BFE" w:rsidRDefault="00EE7BFE" w:rsidP="00EE7BFE">
      <w:r>
        <w:t xml:space="preserve">Being dependent on family members to interpret can add the risk of miscommunication and breach of confidentiality, which </w:t>
      </w:r>
      <w:r w:rsidR="00AD08A2">
        <w:t>can be very inconvenient</w:t>
      </w:r>
      <w:r>
        <w:t>. Professional interpreters are utilised to make sure that information is accurate and avoid breaching professional boundaries, especially when communicating sensitive data (ICO, 2023). Person-centred practises uphold the values of engagement of service users in making decisions regarding their care in a manner that considers and values their preferences and capabilities (HEE, 2020).</w:t>
      </w:r>
    </w:p>
    <w:p w14:paraId="61B201D2" w14:textId="6F844BA9" w:rsidR="00EE7BFE" w:rsidRDefault="00EE7BFE" w:rsidP="00EE7BFE">
      <w:r>
        <w:t xml:space="preserve">Understanding also has to be verified </w:t>
      </w:r>
      <w:r w:rsidR="00AD08A2">
        <w:t>when</w:t>
      </w:r>
      <w:r>
        <w:t xml:space="preserve"> communicating effectively. The principles of shared decision making </w:t>
      </w:r>
      <w:r w:rsidR="00AD08A2">
        <w:t>promote</w:t>
      </w:r>
      <w:r>
        <w:t xml:space="preserve"> the assurance of the professionals that the service user has received information and that they feel empowered to make decisions regarding care (NICE, 2021). With the use of equality-based strategies of communication and systematic communication frameworks, professionals could help to minimise misunderstanding, foster inclusion and increase safety in the context of care provided by Mrs Mann.</w:t>
      </w:r>
    </w:p>
    <w:p w14:paraId="7177A160" w14:textId="2D650201" w:rsidR="00EE7BFE" w:rsidRDefault="00EE7BFE" w:rsidP="00EE7BFE">
      <w:pPr>
        <w:pStyle w:val="Heading1"/>
      </w:pPr>
      <w:bookmarkStart w:id="2" w:name="_Toc216772436"/>
      <w:r w:rsidRPr="00EE7BFE">
        <w:t>Importance of Good Administrative Skills and Data Protection in Professional Practice</w:t>
      </w:r>
      <w:bookmarkEnd w:id="2"/>
    </w:p>
    <w:p w14:paraId="0AF282DD" w14:textId="300E26A1" w:rsidR="00EE7BFE" w:rsidRDefault="00EE7BFE" w:rsidP="00EE7BFE">
      <w:r>
        <w:t xml:space="preserve">The proper skills </w:t>
      </w:r>
      <w:r w:rsidR="00AD08A2">
        <w:t xml:space="preserve">in administration are required for successful and efficient professional judgement, especially when </w:t>
      </w:r>
      <w:r>
        <w:t>working in more complicated community care environments. The failure to document and communicate consistently and capture all information with misses in the case of Mrs Mann led to delays in changes to medication</w:t>
      </w:r>
      <w:r w:rsidR="00AD08A2">
        <w:t>,</w:t>
      </w:r>
      <w:r>
        <w:t xml:space="preserve"> thus demonstrating how administrative failure can have a direct effect on the safety of the patient. Effective record keeping helps in continuity of care, informed decision-making and professional accountability (RCN, 2021).</w:t>
      </w:r>
    </w:p>
    <w:p w14:paraId="682E69E6" w14:textId="79F4FB36" w:rsidR="00EE7BFE" w:rsidRDefault="00EE7BFE" w:rsidP="00EE7BFE">
      <w:r>
        <w:t xml:space="preserve">Records of high quality must be correct, </w:t>
      </w:r>
      <w:r w:rsidR="00AD08A2">
        <w:t>up-to-date</w:t>
      </w:r>
      <w:r>
        <w:t xml:space="preserve">, readable and should be easily attributable to the professional filling in. The </w:t>
      </w:r>
      <w:r w:rsidR="00AD08A2">
        <w:t>documents</w:t>
      </w:r>
      <w:r>
        <w:t xml:space="preserve"> in domiciliary care should contain all the current medication prescriptions, physiotherapy, mobility, pain, and any escalations observed. Incomplete or lack of consistency in the documentation can motivate professionals to work based on assumptions, making their mistakes and duplication more possible (CQC, 2022).</w:t>
      </w:r>
    </w:p>
    <w:p w14:paraId="6A10DDCC" w14:textId="161B0D7F" w:rsidR="00EE7BFE" w:rsidRDefault="00EE7BFE" w:rsidP="00EE7BFE">
      <w:r>
        <w:t>The legal basis of managing personal and sensitive information is offered through the Data Protection Act 2018 and UK GDPR. Data about the health of Mrs Mann has to be treated legally, reasonably and openly, and only the interested parties in her care have access to it (ICO, 2023). Data protection is an act that is founded on accuracy, though, in particular cases, such as a medication record, data protection and accuracy can be crucial</w:t>
      </w:r>
      <w:r w:rsidR="00AD08A2">
        <w:t>,</w:t>
      </w:r>
      <w:r>
        <w:t xml:space="preserve"> as a mistake could have severe consequences. It is a duty of professionals to make sure that records are maintained and that information flows across the care team </w:t>
      </w:r>
      <w:r w:rsidR="00AD08A2">
        <w:t>effectively</w:t>
      </w:r>
      <w:r>
        <w:t>.</w:t>
      </w:r>
    </w:p>
    <w:p w14:paraId="0E7843D1" w14:textId="2B044FC9" w:rsidR="00EE7BFE" w:rsidRDefault="00EE7BFE" w:rsidP="00EE7BFE">
      <w:r>
        <w:t>The consideration of confidentiality is increased once the family members help in communication. Although the daughter of Mrs Mann offers great help, a professional has to make sure that the information exchange does not overstep the desires and abilities of Mrs Mann. The storage of records in homes implies a tight physical security of records and the safeguard of electronic systems in order to avoid unauthorised access (Data Protection Act 2018).</w:t>
      </w:r>
    </w:p>
    <w:p w14:paraId="36CE5DD3" w14:textId="29E1783A" w:rsidR="00EE7BFE" w:rsidRDefault="00EE7BFE" w:rsidP="00EE7BFE">
      <w:r>
        <w:t xml:space="preserve">Optimisation recommendations on medicines emphasise the need to have clear documentation to facilitate safe prescribing and administration (NICE, 2023). Strong administrative practises also facilitate organisational learning because they give an opportunity to review and implement </w:t>
      </w:r>
      <w:r w:rsidR="00AD08A2">
        <w:t>improvements</w:t>
      </w:r>
      <w:r>
        <w:t xml:space="preserve"> of incidents (WHO, 2021). Through proper administration, quality assurance and patient safety in the care of Mrs Mann</w:t>
      </w:r>
      <w:r w:rsidR="00AD08A2">
        <w:t>, it</w:t>
      </w:r>
      <w:r>
        <w:t xml:space="preserve"> is therefore legal compliance based on administration.</w:t>
      </w:r>
      <w:r w:rsidR="00236A67">
        <w:t xml:space="preserve"> </w:t>
      </w:r>
      <w:r w:rsidR="00236A67" w:rsidRPr="00236A67">
        <w:t xml:space="preserve">In addition, effective administrative systems support transparency and accountability within professional practice. Clear audit trails allow organisations to monitor compliance with documentation standards and identify areas for improvement. Regular review of records ensures that care plans remain current and responsive to changing needs. Such practices align with </w:t>
      </w:r>
      <w:r w:rsidR="00AD08A2">
        <w:t>reasonable</w:t>
      </w:r>
      <w:r w:rsidR="00236A67" w:rsidRPr="00236A67">
        <w:t xml:space="preserve"> governance expectations and strengthen organisational responsibility for maintaining safe and high-quality care delivery (CQC, 2022).</w:t>
      </w:r>
    </w:p>
    <w:p w14:paraId="594F7A53" w14:textId="77777777" w:rsidR="00EE7BFE" w:rsidRDefault="00EE7BFE" w:rsidP="00EE7BFE">
      <w:pPr>
        <w:pStyle w:val="Heading1"/>
      </w:pPr>
      <w:bookmarkStart w:id="3" w:name="_Toc216772437"/>
      <w:r w:rsidRPr="00EE7BFE">
        <w:t>Importance of Collaborative Working with Other Professionals</w:t>
      </w:r>
      <w:bookmarkEnd w:id="3"/>
    </w:p>
    <w:p w14:paraId="70CCEEAF" w14:textId="0A6CAEB8" w:rsidR="00EE7BFE" w:rsidRDefault="00EE7BFE" w:rsidP="00EE7BFE">
      <w:r>
        <w:t xml:space="preserve">Working collaboratively is necessary in the care given to Mrs Mann because of a variety of professionals involved in the health and social care services. The </w:t>
      </w:r>
      <w:r w:rsidR="00AD08A2">
        <w:t>well-being</w:t>
      </w:r>
      <w:r>
        <w:t xml:space="preserve"> of her recovery relies on the synchronised efforts of domiciliary care providers, GP and community physiotherapist. Each specialist has a different task in facilitating mobility, associated pain management and medication safety. Bifurcating the working leads to the possibility of communication failures and </w:t>
      </w:r>
      <w:r w:rsidR="00AD08A2">
        <w:t>slowdown</w:t>
      </w:r>
      <w:r>
        <w:t>, as the recent medication incident shows (NHS England, 2022).</w:t>
      </w:r>
    </w:p>
    <w:p w14:paraId="371052FA" w14:textId="495261AC" w:rsidR="00EE7BFE" w:rsidRDefault="00EE7BFE" w:rsidP="00EE7BFE">
      <w:r>
        <w:t>Proper cooperation necessitates role definition</w:t>
      </w:r>
      <w:r w:rsidR="00AD08A2">
        <w:t>, organised communication,</w:t>
      </w:r>
      <w:r>
        <w:t xml:space="preserve"> and responsibility and accountability. The frequent exchange of information would make sure that professionals are aware of up-to-date care plans and can act quickly in response to the revision of the condition of Mrs Mann. </w:t>
      </w:r>
      <w:r w:rsidR="00AD08A2">
        <w:t xml:space="preserve">An organised process of handover enhances uniformity and decreases the </w:t>
      </w:r>
      <w:r>
        <w:t>chances of omissions (WHO, 2021).</w:t>
      </w:r>
    </w:p>
    <w:p w14:paraId="670CEC0B" w14:textId="3141C41E" w:rsidR="00EE7BFE" w:rsidRDefault="00EE7BFE" w:rsidP="00EE7BFE">
      <w:r>
        <w:t xml:space="preserve">Multi-agency working is complicated by language issues. Information may be understood differently without the professionals having a common understanding of the care goals and instructions of Mrs Mann. Reviewing </w:t>
      </w:r>
      <w:r w:rsidR="00AD08A2">
        <w:t>necessary</w:t>
      </w:r>
      <w:r>
        <w:t xml:space="preserve"> documentation with professional interpreters and recording agreed plans in a format that can be understood helps in achieving transparency and fairness (NHS England, 2021).</w:t>
      </w:r>
    </w:p>
    <w:p w14:paraId="1F2D8116" w14:textId="6F220C7C" w:rsidR="00EE7BFE" w:rsidRDefault="00EE7BFE" w:rsidP="00EE7BFE">
      <w:r>
        <w:t xml:space="preserve">The usual pitfalls in collaborative working are time constraints, variation in organisational priorities and information governance issues. The integrated care models encourage joint planning and responsibility to overcome those issues and achieve better results among service users with </w:t>
      </w:r>
      <w:r w:rsidR="00AD08A2">
        <w:t>multiple needs</w:t>
      </w:r>
      <w:r>
        <w:t xml:space="preserve"> (NHS England, 2022). Through efficient cooperation, the professionals have an opportunity to improve continuity, minimise risk and aid recovery </w:t>
      </w:r>
      <w:r w:rsidR="00AD08A2">
        <w:t>for</w:t>
      </w:r>
      <w:r>
        <w:t xml:space="preserve"> Mrs Mann.</w:t>
      </w:r>
    </w:p>
    <w:p w14:paraId="252991F4" w14:textId="52FABC98" w:rsidR="00EE7BFE" w:rsidRDefault="00EE7BFE" w:rsidP="00EE7BFE">
      <w:pPr>
        <w:pStyle w:val="Heading1"/>
      </w:pPr>
      <w:bookmarkStart w:id="4" w:name="_Toc216772438"/>
      <w:r>
        <w:t>Conclusion</w:t>
      </w:r>
      <w:bookmarkEnd w:id="4"/>
      <w:r>
        <w:t xml:space="preserve"> </w:t>
      </w:r>
    </w:p>
    <w:p w14:paraId="0E22442A" w14:textId="188A00AD" w:rsidR="00F4176B" w:rsidRDefault="00EE7BFE" w:rsidP="00F4176B">
      <w:r>
        <w:t xml:space="preserve">This report has emphasised the role of </w:t>
      </w:r>
      <w:r w:rsidR="00AD08A2">
        <w:t>proper communication, excellent administrative skills and teamwork</w:t>
      </w:r>
      <w:r>
        <w:t xml:space="preserve"> in providing safe and fair care to Mrs Mann. The lack of communication and unclear </w:t>
      </w:r>
      <w:r w:rsidR="00AD08A2">
        <w:t>documentation revealed the weak points in her care pathway, proving that equality-based communication is required, proper document keeping and multi-disciplinary</w:t>
      </w:r>
      <w:r>
        <w:t xml:space="preserve"> coordination. Care implementation on the basis of the Equality Act 2010 and Data Protection Act 2018 will guarantee that care is legal, inclusive and that it takes into account the individual needs. This is made possible through person-centred approaches, which are backed up by effective communication models and sound administrative practises to ensure that service users understand and participate in their care. Enhanced continuity and safety are further achieved with collaborative working in the health and social care services. Enhancement of these professional skills is the key to the prevention of safety incidents</w:t>
      </w:r>
      <w:r w:rsidR="00AD08A2">
        <w:t>, recidivism,</w:t>
      </w:r>
      <w:r>
        <w:t xml:space="preserve"> and the improvement of quality outcomes in the case of Mrs Mann and other service users within the same community care and care environment.</w:t>
      </w:r>
    </w:p>
    <w:p w14:paraId="4E9D6026" w14:textId="4CF60F48" w:rsidR="00EE7BFE" w:rsidRDefault="00336E44" w:rsidP="00336E44">
      <w:pPr>
        <w:pStyle w:val="Heading1"/>
      </w:pPr>
      <w:bookmarkStart w:id="5" w:name="_Toc216772439"/>
      <w:r>
        <w:t>References</w:t>
      </w:r>
      <w:bookmarkEnd w:id="5"/>
      <w:r>
        <w:t xml:space="preserve"> </w:t>
      </w:r>
    </w:p>
    <w:p w14:paraId="7372989C" w14:textId="77777777" w:rsidR="005C3424" w:rsidRPr="0078037D" w:rsidRDefault="005C3424" w:rsidP="00336E44">
      <w:pPr>
        <w:ind w:left="720" w:hanging="720"/>
        <w:rPr>
          <w:lang w:val="en-US"/>
        </w:rPr>
      </w:pPr>
      <w:r w:rsidRPr="0078037D">
        <w:rPr>
          <w:lang w:val="en-US"/>
        </w:rPr>
        <w:t>Berlo, D.K. (1960)</w:t>
      </w:r>
      <w:r>
        <w:rPr>
          <w:lang w:val="en-US"/>
        </w:rPr>
        <w:t>.</w:t>
      </w:r>
      <w:r w:rsidRPr="0078037D">
        <w:rPr>
          <w:lang w:val="en-US"/>
        </w:rPr>
        <w:t xml:space="preserve"> </w:t>
      </w:r>
      <w:r w:rsidRPr="0078037D">
        <w:rPr>
          <w:i/>
          <w:iCs/>
          <w:lang w:val="en-US"/>
        </w:rPr>
        <w:t>The Process of Communication</w:t>
      </w:r>
      <w:r w:rsidRPr="0078037D">
        <w:rPr>
          <w:lang w:val="en-US"/>
        </w:rPr>
        <w:t>. New York: Holt, Rinehart and Winston.</w:t>
      </w:r>
      <w:r w:rsidRPr="0078037D">
        <w:rPr>
          <w:lang w:val="en-US"/>
        </w:rPr>
        <w:br/>
      </w:r>
      <w:r w:rsidRPr="0078037D">
        <w:rPr>
          <w:i/>
          <w:iCs/>
          <w:lang w:val="en-US"/>
        </w:rPr>
        <w:t>(Foundational communication model used analytically alongside contemporary policy)</w:t>
      </w:r>
    </w:p>
    <w:p w14:paraId="0E558266" w14:textId="77777777" w:rsidR="005C3424" w:rsidRPr="0078037D" w:rsidRDefault="005C3424" w:rsidP="00336E44">
      <w:pPr>
        <w:ind w:left="720" w:hanging="720"/>
        <w:rPr>
          <w:lang w:val="en-US"/>
        </w:rPr>
      </w:pPr>
      <w:r w:rsidRPr="0078037D">
        <w:rPr>
          <w:lang w:val="en-US"/>
        </w:rPr>
        <w:t xml:space="preserve">Care Quality Commission (CQC). (2022) </w:t>
      </w:r>
      <w:r w:rsidRPr="0078037D">
        <w:rPr>
          <w:i/>
          <w:iCs/>
          <w:lang w:val="en-US"/>
        </w:rPr>
        <w:t>Regulation 17: Good Governance</w:t>
      </w:r>
      <w:r w:rsidRPr="0078037D">
        <w:rPr>
          <w:lang w:val="en-US"/>
        </w:rPr>
        <w:t>. London: CQC.</w:t>
      </w:r>
    </w:p>
    <w:p w14:paraId="017841EC" w14:textId="77777777" w:rsidR="005C3424" w:rsidRPr="0078037D" w:rsidRDefault="005C3424" w:rsidP="00336E44">
      <w:pPr>
        <w:ind w:left="720" w:hanging="720"/>
        <w:rPr>
          <w:lang w:val="en-US"/>
        </w:rPr>
      </w:pPr>
      <w:r w:rsidRPr="0078037D">
        <w:rPr>
          <w:lang w:val="en-US"/>
        </w:rPr>
        <w:t xml:space="preserve">Data Protection Act 2018. (2018) </w:t>
      </w:r>
      <w:r w:rsidRPr="0078037D">
        <w:rPr>
          <w:i/>
          <w:iCs/>
          <w:lang w:val="en-US"/>
        </w:rPr>
        <w:t>Data Protection Act 2018</w:t>
      </w:r>
      <w:r w:rsidRPr="0078037D">
        <w:rPr>
          <w:lang w:val="en-US"/>
        </w:rPr>
        <w:t>. London: The Stationery Office.</w:t>
      </w:r>
    </w:p>
    <w:p w14:paraId="7D85BD6B" w14:textId="77777777" w:rsidR="005C3424" w:rsidRPr="0078037D" w:rsidRDefault="005C3424" w:rsidP="00336E44">
      <w:pPr>
        <w:ind w:left="720" w:hanging="720"/>
        <w:rPr>
          <w:lang w:val="en-US"/>
        </w:rPr>
      </w:pPr>
      <w:r w:rsidRPr="0078037D">
        <w:rPr>
          <w:lang w:val="en-US"/>
        </w:rPr>
        <w:t xml:space="preserve">Equality Act 2010. (2010) </w:t>
      </w:r>
      <w:r w:rsidRPr="0078037D">
        <w:rPr>
          <w:i/>
          <w:iCs/>
          <w:lang w:val="en-US"/>
        </w:rPr>
        <w:t>Equality Act 2010</w:t>
      </w:r>
      <w:r w:rsidRPr="0078037D">
        <w:rPr>
          <w:lang w:val="en-US"/>
        </w:rPr>
        <w:t>. London: The Stationery Office.</w:t>
      </w:r>
    </w:p>
    <w:p w14:paraId="0EC0A50A" w14:textId="77777777" w:rsidR="005C3424" w:rsidRPr="0078037D" w:rsidRDefault="005C3424" w:rsidP="00336E44">
      <w:pPr>
        <w:ind w:left="720" w:hanging="720"/>
        <w:rPr>
          <w:lang w:val="en-US"/>
        </w:rPr>
      </w:pPr>
      <w:r w:rsidRPr="0078037D">
        <w:rPr>
          <w:lang w:val="en-US"/>
        </w:rPr>
        <w:t xml:space="preserve">Health Education England (HEE). (2020) </w:t>
      </w:r>
      <w:r w:rsidRPr="0078037D">
        <w:rPr>
          <w:i/>
          <w:iCs/>
          <w:lang w:val="en-US"/>
        </w:rPr>
        <w:t>Person-</w:t>
      </w:r>
      <w:proofErr w:type="spellStart"/>
      <w:r w:rsidRPr="0078037D">
        <w:rPr>
          <w:i/>
          <w:iCs/>
          <w:lang w:val="en-US"/>
        </w:rPr>
        <w:t>centred</w:t>
      </w:r>
      <w:proofErr w:type="spellEnd"/>
      <w:r w:rsidRPr="0078037D">
        <w:rPr>
          <w:i/>
          <w:iCs/>
          <w:lang w:val="en-US"/>
        </w:rPr>
        <w:t xml:space="preserve"> Approaches in Health and Social Care</w:t>
      </w:r>
      <w:r w:rsidRPr="0078037D">
        <w:rPr>
          <w:lang w:val="en-US"/>
        </w:rPr>
        <w:t>. London: HEE.</w:t>
      </w:r>
    </w:p>
    <w:p w14:paraId="0F8836B2" w14:textId="77777777" w:rsidR="005C3424" w:rsidRPr="0078037D" w:rsidRDefault="005C3424" w:rsidP="00336E44">
      <w:pPr>
        <w:ind w:left="720" w:hanging="720"/>
        <w:rPr>
          <w:lang w:val="en-US"/>
        </w:rPr>
      </w:pPr>
      <w:r w:rsidRPr="0078037D">
        <w:rPr>
          <w:lang w:val="en-US"/>
        </w:rPr>
        <w:t xml:space="preserve">Information Commissioner’s Office (ICO). (2023) </w:t>
      </w:r>
      <w:r w:rsidRPr="0078037D">
        <w:rPr>
          <w:i/>
          <w:iCs/>
          <w:lang w:val="en-US"/>
        </w:rPr>
        <w:t>Guide to the UK General Data Protection Regulation (UK GDPR)</w:t>
      </w:r>
      <w:r w:rsidRPr="0078037D">
        <w:rPr>
          <w:lang w:val="en-US"/>
        </w:rPr>
        <w:t xml:space="preserve">. Available at: </w:t>
      </w:r>
      <w:hyperlink r:id="rId6" w:tgtFrame="_new" w:history="1">
        <w:r w:rsidRPr="0078037D">
          <w:rPr>
            <w:rStyle w:val="Hyperlink"/>
            <w:lang w:val="en-US"/>
          </w:rPr>
          <w:t>https://ico.org.uk</w:t>
        </w:r>
      </w:hyperlink>
      <w:r w:rsidRPr="0078037D">
        <w:rPr>
          <w:lang w:val="en-US"/>
        </w:rPr>
        <w:t xml:space="preserve"> (Accessed: 2025).</w:t>
      </w:r>
    </w:p>
    <w:p w14:paraId="77A6F7C5" w14:textId="77777777" w:rsidR="005C3424" w:rsidRPr="0078037D" w:rsidRDefault="005C3424" w:rsidP="00336E44">
      <w:pPr>
        <w:ind w:left="720" w:hanging="720"/>
        <w:rPr>
          <w:lang w:val="en-US"/>
        </w:rPr>
      </w:pPr>
      <w:r w:rsidRPr="0078037D">
        <w:rPr>
          <w:lang w:val="en-US"/>
        </w:rPr>
        <w:t xml:space="preserve">National Institute for Health and Care Excellence (NICE). (2021) </w:t>
      </w:r>
      <w:r w:rsidRPr="0078037D">
        <w:rPr>
          <w:i/>
          <w:iCs/>
          <w:lang w:val="en-US"/>
        </w:rPr>
        <w:t>Shared decision making (NG197)</w:t>
      </w:r>
      <w:r w:rsidRPr="0078037D">
        <w:rPr>
          <w:lang w:val="en-US"/>
        </w:rPr>
        <w:t>. London: NICE.</w:t>
      </w:r>
    </w:p>
    <w:p w14:paraId="5B7C27BE" w14:textId="77777777" w:rsidR="005C3424" w:rsidRPr="0078037D" w:rsidRDefault="005C3424" w:rsidP="00336E44">
      <w:pPr>
        <w:ind w:left="720" w:hanging="720"/>
        <w:rPr>
          <w:lang w:val="en-US"/>
        </w:rPr>
      </w:pPr>
      <w:r w:rsidRPr="0078037D">
        <w:rPr>
          <w:lang w:val="en-US"/>
        </w:rPr>
        <w:t xml:space="preserve">National Institute for Health and Care Excellence (NICE). (2023) </w:t>
      </w:r>
      <w:r w:rsidRPr="0078037D">
        <w:rPr>
          <w:i/>
          <w:iCs/>
          <w:lang w:val="en-US"/>
        </w:rPr>
        <w:t xml:space="preserve">Medicines </w:t>
      </w:r>
      <w:proofErr w:type="spellStart"/>
      <w:r w:rsidRPr="0078037D">
        <w:rPr>
          <w:i/>
          <w:iCs/>
          <w:lang w:val="en-US"/>
        </w:rPr>
        <w:t>optimisation</w:t>
      </w:r>
      <w:proofErr w:type="spellEnd"/>
      <w:r w:rsidRPr="0078037D">
        <w:rPr>
          <w:i/>
          <w:iCs/>
          <w:lang w:val="en-US"/>
        </w:rPr>
        <w:t>: the safe and effective use of medicines to enable the best possible outcomes (NG5)</w:t>
      </w:r>
      <w:r w:rsidRPr="0078037D">
        <w:rPr>
          <w:lang w:val="en-US"/>
        </w:rPr>
        <w:t>. London: NICE.</w:t>
      </w:r>
    </w:p>
    <w:p w14:paraId="450D8282" w14:textId="77777777" w:rsidR="005C3424" w:rsidRPr="0078037D" w:rsidRDefault="005C3424" w:rsidP="00336E44">
      <w:pPr>
        <w:ind w:left="720" w:hanging="720"/>
        <w:rPr>
          <w:lang w:val="en-US"/>
        </w:rPr>
      </w:pPr>
      <w:r w:rsidRPr="0078037D">
        <w:rPr>
          <w:lang w:val="en-US"/>
        </w:rPr>
        <w:t xml:space="preserve">NHS England. (2021) </w:t>
      </w:r>
      <w:r w:rsidRPr="0078037D">
        <w:rPr>
          <w:i/>
          <w:iCs/>
          <w:lang w:val="en-US"/>
        </w:rPr>
        <w:t>Accessible Information Standard: Specification</w:t>
      </w:r>
      <w:r w:rsidRPr="0078037D">
        <w:rPr>
          <w:lang w:val="en-US"/>
        </w:rPr>
        <w:t>. London: NHS England.</w:t>
      </w:r>
    </w:p>
    <w:p w14:paraId="325490F1" w14:textId="77777777" w:rsidR="005C3424" w:rsidRPr="0078037D" w:rsidRDefault="005C3424" w:rsidP="00336E44">
      <w:pPr>
        <w:ind w:left="720" w:hanging="720"/>
        <w:rPr>
          <w:lang w:val="en-US"/>
        </w:rPr>
      </w:pPr>
      <w:r w:rsidRPr="0078037D">
        <w:rPr>
          <w:lang w:val="en-US"/>
        </w:rPr>
        <w:t xml:space="preserve">NHS England. (2022) </w:t>
      </w:r>
      <w:r w:rsidRPr="0078037D">
        <w:rPr>
          <w:i/>
          <w:iCs/>
          <w:lang w:val="en-US"/>
        </w:rPr>
        <w:t>Integrated Care Systems: Design Framework</w:t>
      </w:r>
      <w:r w:rsidRPr="0078037D">
        <w:rPr>
          <w:lang w:val="en-US"/>
        </w:rPr>
        <w:t>. London: NHS England.</w:t>
      </w:r>
    </w:p>
    <w:p w14:paraId="71492D9D" w14:textId="77777777" w:rsidR="005C3424" w:rsidRPr="0078037D" w:rsidRDefault="005C3424" w:rsidP="00336E44">
      <w:pPr>
        <w:ind w:left="720" w:hanging="720"/>
        <w:rPr>
          <w:lang w:val="en-US"/>
        </w:rPr>
      </w:pPr>
      <w:r w:rsidRPr="0078037D">
        <w:rPr>
          <w:lang w:val="en-US"/>
        </w:rPr>
        <w:t xml:space="preserve">Royal College of Nursing (RCN). (2021) </w:t>
      </w:r>
      <w:r w:rsidRPr="0078037D">
        <w:rPr>
          <w:i/>
          <w:iCs/>
          <w:lang w:val="en-US"/>
        </w:rPr>
        <w:t>Principles of Record Keeping</w:t>
      </w:r>
      <w:r w:rsidRPr="0078037D">
        <w:rPr>
          <w:lang w:val="en-US"/>
        </w:rPr>
        <w:t>. London: RCN.</w:t>
      </w:r>
    </w:p>
    <w:p w14:paraId="6B7B3EEB" w14:textId="7C27D043" w:rsidR="00847237" w:rsidRPr="00F4176B" w:rsidRDefault="005C3424" w:rsidP="00F4176B">
      <w:pPr>
        <w:ind w:left="720" w:hanging="720"/>
        <w:rPr>
          <w:lang w:val="en-US"/>
        </w:rPr>
      </w:pPr>
      <w:r w:rsidRPr="0078037D">
        <w:rPr>
          <w:lang w:val="en-US"/>
        </w:rPr>
        <w:t xml:space="preserve">World Health </w:t>
      </w:r>
      <w:proofErr w:type="spellStart"/>
      <w:r>
        <w:rPr>
          <w:lang w:val="en-US"/>
        </w:rPr>
        <w:t>Organisation</w:t>
      </w:r>
      <w:proofErr w:type="spellEnd"/>
      <w:r w:rsidRPr="0078037D">
        <w:rPr>
          <w:lang w:val="en-US"/>
        </w:rPr>
        <w:t xml:space="preserve"> (WHO). (2021) </w:t>
      </w:r>
      <w:r w:rsidRPr="0078037D">
        <w:rPr>
          <w:i/>
          <w:iCs/>
          <w:lang w:val="en-US"/>
        </w:rPr>
        <w:t>Global Patient Safety Action Plan 2021–2030</w:t>
      </w:r>
      <w:r w:rsidRPr="0078037D">
        <w:rPr>
          <w:lang w:val="en-US"/>
        </w:rPr>
        <w:t>. Geneva: WHO.</w:t>
      </w:r>
    </w:p>
    <w:sectPr w:rsidR="00847237" w:rsidRPr="00F4176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E783C" w14:textId="77777777" w:rsidR="008663CC" w:rsidRDefault="008663CC" w:rsidP="00336E44">
      <w:pPr>
        <w:spacing w:after="0" w:line="240" w:lineRule="auto"/>
      </w:pPr>
      <w:r>
        <w:separator/>
      </w:r>
    </w:p>
  </w:endnote>
  <w:endnote w:type="continuationSeparator" w:id="0">
    <w:p w14:paraId="4638A8A6" w14:textId="77777777" w:rsidR="008663CC" w:rsidRDefault="008663CC" w:rsidP="00336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4311802"/>
      <w:docPartObj>
        <w:docPartGallery w:val="Page Numbers (Bottom of Page)"/>
        <w:docPartUnique/>
      </w:docPartObj>
    </w:sdtPr>
    <w:sdtEndPr>
      <w:rPr>
        <w:color w:val="7F7F7F" w:themeColor="background1" w:themeShade="7F"/>
        <w:spacing w:val="60"/>
      </w:rPr>
    </w:sdtEndPr>
    <w:sdtContent>
      <w:p w14:paraId="4C609858" w14:textId="010C4A9F" w:rsidR="00336E44" w:rsidRDefault="00336E4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61D6AB" w14:textId="77777777" w:rsidR="00336E44" w:rsidRDefault="00336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5DB26" w14:textId="77777777" w:rsidR="008663CC" w:rsidRDefault="008663CC" w:rsidP="00336E44">
      <w:pPr>
        <w:spacing w:after="0" w:line="240" w:lineRule="auto"/>
      </w:pPr>
      <w:r>
        <w:separator/>
      </w:r>
    </w:p>
  </w:footnote>
  <w:footnote w:type="continuationSeparator" w:id="0">
    <w:p w14:paraId="07C673CA" w14:textId="77777777" w:rsidR="008663CC" w:rsidRDefault="008663CC" w:rsidP="00336E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BFE"/>
    <w:rsid w:val="00066225"/>
    <w:rsid w:val="000C3894"/>
    <w:rsid w:val="001A78C1"/>
    <w:rsid w:val="00236A67"/>
    <w:rsid w:val="00286EE3"/>
    <w:rsid w:val="00303AF1"/>
    <w:rsid w:val="00336E44"/>
    <w:rsid w:val="004B6EEC"/>
    <w:rsid w:val="005C3424"/>
    <w:rsid w:val="00617883"/>
    <w:rsid w:val="006900B1"/>
    <w:rsid w:val="00784070"/>
    <w:rsid w:val="007F4ADA"/>
    <w:rsid w:val="00847237"/>
    <w:rsid w:val="008663CC"/>
    <w:rsid w:val="00A7557D"/>
    <w:rsid w:val="00AD08A2"/>
    <w:rsid w:val="00BA28A6"/>
    <w:rsid w:val="00C4058C"/>
    <w:rsid w:val="00CF13B2"/>
    <w:rsid w:val="00E046EA"/>
    <w:rsid w:val="00EA3D17"/>
    <w:rsid w:val="00EE7BFE"/>
    <w:rsid w:val="00F4176B"/>
    <w:rsid w:val="00F56C36"/>
    <w:rsid w:val="00FB5D93"/>
    <w:rsid w:val="00FC79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A0942"/>
  <w15:chartTrackingRefBased/>
  <w15:docId w15:val="{08F3FD66-D8C3-4AA5-89AC-E763953FF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A67"/>
    <w:pPr>
      <w:spacing w:line="360" w:lineRule="auto"/>
      <w:jc w:val="both"/>
    </w:pPr>
    <w:rPr>
      <w:rFonts w:ascii="Arial" w:hAnsi="Arial"/>
      <w:lang w:val="en-GB"/>
    </w:rPr>
  </w:style>
  <w:style w:type="paragraph" w:styleId="Heading1">
    <w:name w:val="heading 1"/>
    <w:basedOn w:val="Normal"/>
    <w:next w:val="Normal"/>
    <w:link w:val="Heading1Char"/>
    <w:uiPriority w:val="9"/>
    <w:qFormat/>
    <w:rsid w:val="00617883"/>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semiHidden/>
    <w:unhideWhenUsed/>
    <w:qFormat/>
    <w:rsid w:val="00617883"/>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semiHidden/>
    <w:unhideWhenUsed/>
    <w:qFormat/>
    <w:rsid w:val="000C3894"/>
    <w:pPr>
      <w:keepNext/>
      <w:keepLines/>
      <w:spacing w:before="160" w:after="80"/>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semiHidden/>
    <w:unhideWhenUsed/>
    <w:qFormat/>
    <w:rsid w:val="00EE7BF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7BF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E7BF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7BF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7BF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7BF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883"/>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semiHidden/>
    <w:rsid w:val="00617883"/>
    <w:rPr>
      <w:rFonts w:ascii="Times New Roman" w:eastAsiaTheme="majorEastAsia" w:hAnsi="Times New Roman" w:cstheme="majorBidi"/>
      <w:b/>
      <w:i/>
      <w:color w:val="000000" w:themeColor="text1"/>
      <w:szCs w:val="32"/>
      <w:lang w:val="en-GB"/>
    </w:rPr>
  </w:style>
  <w:style w:type="character" w:customStyle="1" w:styleId="Heading3Char">
    <w:name w:val="Heading 3 Char"/>
    <w:basedOn w:val="DefaultParagraphFont"/>
    <w:link w:val="Heading3"/>
    <w:uiPriority w:val="9"/>
    <w:semiHidden/>
    <w:rsid w:val="000C3894"/>
    <w:rPr>
      <w:rFonts w:ascii="Times New Roman" w:eastAsiaTheme="majorEastAsia" w:hAnsi="Times New Roman" w:cstheme="majorBidi"/>
      <w:b/>
      <w:i/>
      <w:color w:val="000000" w:themeColor="text1"/>
      <w:szCs w:val="28"/>
      <w:u w:val="single"/>
      <w:lang w:val="en-GB"/>
    </w:rPr>
  </w:style>
  <w:style w:type="character" w:customStyle="1" w:styleId="Heading4Char">
    <w:name w:val="Heading 4 Char"/>
    <w:basedOn w:val="DefaultParagraphFont"/>
    <w:link w:val="Heading4"/>
    <w:uiPriority w:val="9"/>
    <w:semiHidden/>
    <w:rsid w:val="00EE7BF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EE7BF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EE7BF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E7BF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E7BF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E7BF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E7B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BF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E7BF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BF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E7BFE"/>
    <w:pPr>
      <w:spacing w:before="160"/>
      <w:jc w:val="center"/>
    </w:pPr>
    <w:rPr>
      <w:i/>
      <w:iCs/>
      <w:color w:val="404040" w:themeColor="text1" w:themeTint="BF"/>
    </w:rPr>
  </w:style>
  <w:style w:type="character" w:customStyle="1" w:styleId="QuoteChar">
    <w:name w:val="Quote Char"/>
    <w:basedOn w:val="DefaultParagraphFont"/>
    <w:link w:val="Quote"/>
    <w:uiPriority w:val="29"/>
    <w:rsid w:val="00EE7BFE"/>
    <w:rPr>
      <w:rFonts w:ascii="Times New Roman" w:hAnsi="Times New Roman"/>
      <w:i/>
      <w:iCs/>
      <w:color w:val="404040" w:themeColor="text1" w:themeTint="BF"/>
      <w:lang w:val="en-GB"/>
    </w:rPr>
  </w:style>
  <w:style w:type="paragraph" w:styleId="ListParagraph">
    <w:name w:val="List Paragraph"/>
    <w:basedOn w:val="Normal"/>
    <w:uiPriority w:val="34"/>
    <w:qFormat/>
    <w:rsid w:val="00EE7BFE"/>
    <w:pPr>
      <w:ind w:left="720"/>
      <w:contextualSpacing/>
    </w:pPr>
  </w:style>
  <w:style w:type="character" w:styleId="IntenseEmphasis">
    <w:name w:val="Intense Emphasis"/>
    <w:basedOn w:val="DefaultParagraphFont"/>
    <w:uiPriority w:val="21"/>
    <w:qFormat/>
    <w:rsid w:val="00EE7BFE"/>
    <w:rPr>
      <w:i/>
      <w:iCs/>
      <w:color w:val="2F5496" w:themeColor="accent1" w:themeShade="BF"/>
    </w:rPr>
  </w:style>
  <w:style w:type="paragraph" w:styleId="IntenseQuote">
    <w:name w:val="Intense Quote"/>
    <w:basedOn w:val="Normal"/>
    <w:next w:val="Normal"/>
    <w:link w:val="IntenseQuoteChar"/>
    <w:uiPriority w:val="30"/>
    <w:qFormat/>
    <w:rsid w:val="00EE7B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7BF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EE7BFE"/>
    <w:rPr>
      <w:b/>
      <w:bCs/>
      <w:smallCaps/>
      <w:color w:val="2F5496" w:themeColor="accent1" w:themeShade="BF"/>
      <w:spacing w:val="5"/>
    </w:rPr>
  </w:style>
  <w:style w:type="paragraph" w:styleId="Header">
    <w:name w:val="header"/>
    <w:basedOn w:val="Normal"/>
    <w:link w:val="HeaderChar"/>
    <w:uiPriority w:val="99"/>
    <w:unhideWhenUsed/>
    <w:rsid w:val="00336E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6E44"/>
    <w:rPr>
      <w:rFonts w:ascii="Arial" w:hAnsi="Arial"/>
      <w:lang w:val="en-GB"/>
    </w:rPr>
  </w:style>
  <w:style w:type="paragraph" w:styleId="Footer">
    <w:name w:val="footer"/>
    <w:basedOn w:val="Normal"/>
    <w:link w:val="FooterChar"/>
    <w:uiPriority w:val="99"/>
    <w:unhideWhenUsed/>
    <w:rsid w:val="00336E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6E44"/>
    <w:rPr>
      <w:rFonts w:ascii="Arial" w:hAnsi="Arial"/>
      <w:lang w:val="en-GB"/>
    </w:rPr>
  </w:style>
  <w:style w:type="character" w:styleId="Hyperlink">
    <w:name w:val="Hyperlink"/>
    <w:basedOn w:val="DefaultParagraphFont"/>
    <w:uiPriority w:val="99"/>
    <w:unhideWhenUsed/>
    <w:rsid w:val="00336E44"/>
    <w:rPr>
      <w:color w:val="0563C1" w:themeColor="hyperlink"/>
      <w:u w:val="single"/>
    </w:rPr>
  </w:style>
  <w:style w:type="paragraph" w:styleId="TOCHeading">
    <w:name w:val="TOC Heading"/>
    <w:basedOn w:val="Heading1"/>
    <w:next w:val="Normal"/>
    <w:uiPriority w:val="39"/>
    <w:unhideWhenUsed/>
    <w:qFormat/>
    <w:rsid w:val="00336E44"/>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36E44"/>
    <w:pPr>
      <w:spacing w:after="100"/>
    </w:pPr>
  </w:style>
  <w:style w:type="table" w:styleId="TableGrid">
    <w:name w:val="Table Grid"/>
    <w:basedOn w:val="TableNormal"/>
    <w:uiPriority w:val="39"/>
    <w:rsid w:val="00336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co.org.uk"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1889</Words>
  <Characters>10769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Mariuza Nankervis</cp:lastModifiedBy>
  <cp:revision>2</cp:revision>
  <dcterms:created xsi:type="dcterms:W3CDTF">2025-12-17T23:32:00Z</dcterms:created>
  <dcterms:modified xsi:type="dcterms:W3CDTF">2025-12-17T23:32:00Z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bbbafbe3-7749-403c-ab4c-83fd5332f5f6</vt:lpwstr>
  </property>
</Properties>
</file>