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A02C9" w14:textId="77777777" w:rsidR="00263254" w:rsidRPr="00263254" w:rsidRDefault="00263254" w:rsidP="002E09BB">
      <w:pPr>
        <w:spacing w:line="360" w:lineRule="auto"/>
        <w:jc w:val="center"/>
        <w:rPr>
          <w:rFonts w:ascii="Times New Roman" w:hAnsi="Times New Roman" w:cs="Times New Roman"/>
          <w:sz w:val="24"/>
          <w:szCs w:val="24"/>
        </w:rPr>
      </w:pPr>
      <w:r w:rsidRPr="00263254">
        <w:rPr>
          <w:rFonts w:ascii="Times New Roman" w:hAnsi="Times New Roman" w:cs="Times New Roman"/>
          <w:b/>
          <w:bCs/>
          <w:sz w:val="24"/>
          <w:szCs w:val="24"/>
          <w:u w:val="single"/>
        </w:rPr>
        <w:t>A critical exploration of Barriers facing universal education in Mali, South Africa and the role of Governments and international organisations in seeking to overcome these barriers by Naomi Oddie.</w:t>
      </w:r>
    </w:p>
    <w:p w14:paraId="29497E1C" w14:textId="77777777" w:rsidR="00263254" w:rsidRPr="00263254" w:rsidRDefault="00263254" w:rsidP="002E09BB">
      <w:pPr>
        <w:spacing w:line="360" w:lineRule="auto"/>
        <w:jc w:val="both"/>
        <w:rPr>
          <w:rFonts w:ascii="Times New Roman" w:hAnsi="Times New Roman" w:cs="Times New Roman"/>
          <w:sz w:val="24"/>
          <w:szCs w:val="24"/>
        </w:rPr>
      </w:pPr>
    </w:p>
    <w:p w14:paraId="0377CEA5" w14:textId="54AE2C39"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The topic of education today is one of </w:t>
      </w:r>
      <w:r w:rsidR="00790FFD" w:rsidRPr="00263254">
        <w:rPr>
          <w:rFonts w:ascii="Times New Roman" w:hAnsi="Times New Roman" w:cs="Times New Roman"/>
          <w:sz w:val="24"/>
          <w:szCs w:val="24"/>
        </w:rPr>
        <w:t>immense importance</w:t>
      </w:r>
      <w:r w:rsidRPr="00263254">
        <w:rPr>
          <w:rFonts w:ascii="Times New Roman" w:hAnsi="Times New Roman" w:cs="Times New Roman"/>
          <w:sz w:val="24"/>
          <w:szCs w:val="24"/>
        </w:rPr>
        <w:t xml:space="preserve"> especially after the effects covid </w:t>
      </w:r>
      <w:r w:rsidR="000F7218" w:rsidRPr="00263254">
        <w:rPr>
          <w:rFonts w:ascii="Times New Roman" w:hAnsi="Times New Roman" w:cs="Times New Roman"/>
          <w:sz w:val="24"/>
          <w:szCs w:val="24"/>
        </w:rPr>
        <w:t>nineteen</w:t>
      </w:r>
      <w:r w:rsidRPr="00263254">
        <w:rPr>
          <w:rFonts w:ascii="Times New Roman" w:hAnsi="Times New Roman" w:cs="Times New Roman"/>
          <w:sz w:val="24"/>
          <w:szCs w:val="24"/>
        </w:rPr>
        <w:t xml:space="preserve"> has had and is still having upon our children’s education and mental health. (Gray 2008) Globally children’s education and rights have been a topic of conversation for </w:t>
      </w:r>
      <w:r w:rsidR="00790FFD">
        <w:rPr>
          <w:rFonts w:ascii="Times New Roman" w:hAnsi="Times New Roman" w:cs="Times New Roman"/>
          <w:sz w:val="24"/>
          <w:szCs w:val="24"/>
        </w:rPr>
        <w:t>a great</w:t>
      </w:r>
      <w:r w:rsidRPr="00263254">
        <w:rPr>
          <w:rFonts w:ascii="Times New Roman" w:hAnsi="Times New Roman" w:cs="Times New Roman"/>
          <w:sz w:val="24"/>
          <w:szCs w:val="24"/>
        </w:rPr>
        <w:t xml:space="preserve"> </w:t>
      </w:r>
      <w:proofErr w:type="gramStart"/>
      <w:r w:rsidRPr="00263254">
        <w:rPr>
          <w:rFonts w:ascii="Times New Roman" w:hAnsi="Times New Roman" w:cs="Times New Roman"/>
          <w:sz w:val="24"/>
          <w:szCs w:val="24"/>
        </w:rPr>
        <w:t>many</w:t>
      </w:r>
      <w:proofErr w:type="gramEnd"/>
      <w:r w:rsidRPr="00263254">
        <w:rPr>
          <w:rFonts w:ascii="Times New Roman" w:hAnsi="Times New Roman" w:cs="Times New Roman"/>
          <w:sz w:val="24"/>
          <w:szCs w:val="24"/>
        </w:rPr>
        <w:t xml:space="preserve"> years. The knowledge that education is the key to escaping poverty and helping to develop socioeconomic mobility in the majority world countries points out issues such as lack of funding, training of teachers or lack thereof, classroom and resources access and gender inequality, among </w:t>
      </w:r>
      <w:proofErr w:type="gramStart"/>
      <w:r w:rsidR="00790FFD">
        <w:rPr>
          <w:rFonts w:ascii="Times New Roman" w:hAnsi="Times New Roman" w:cs="Times New Roman"/>
          <w:sz w:val="24"/>
          <w:szCs w:val="24"/>
        </w:rPr>
        <w:t>a large number of</w:t>
      </w:r>
      <w:proofErr w:type="gramEnd"/>
      <w:r w:rsidRPr="00263254">
        <w:rPr>
          <w:rFonts w:ascii="Times New Roman" w:hAnsi="Times New Roman" w:cs="Times New Roman"/>
          <w:sz w:val="24"/>
          <w:szCs w:val="24"/>
        </w:rPr>
        <w:t xml:space="preserve"> other issues in poor countries. and how the world needs to step up and help to increase access to education in these low to middle-income countries to help them out of poverty.</w:t>
      </w:r>
    </w:p>
    <w:p w14:paraId="263F3495" w14:textId="458E309B"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In 2015 the United Nations came together to get everyone to agree on a universal call of action to end poverty, improve the prospects and lives of everyone everywhere and protect the planet. They developed as a part of the agenda for sustainable development </w:t>
      </w:r>
      <w:r w:rsidR="000F7218" w:rsidRPr="00263254">
        <w:rPr>
          <w:rFonts w:ascii="Times New Roman" w:hAnsi="Times New Roman" w:cs="Times New Roman"/>
          <w:sz w:val="24"/>
          <w:szCs w:val="24"/>
        </w:rPr>
        <w:t>seventeen</w:t>
      </w:r>
      <w:r w:rsidRPr="00263254">
        <w:rPr>
          <w:rFonts w:ascii="Times New Roman" w:hAnsi="Times New Roman" w:cs="Times New Roman"/>
          <w:sz w:val="24"/>
          <w:szCs w:val="24"/>
        </w:rPr>
        <w:t xml:space="preserve"> goals that would be adopted by all UN member states naming them the sustainable development goals. A part of this was to set out a 15-year plan in order to achieve these goals by 2030, (United Nations, 2020) building on the UN 1924 Declaration of Human Rights (The declaration of Geneva) and the 1989 UN convention on the rights of a child’s 54 articles (UNCRC) the hope was that by joining together and having a plan for the future change would eradicate poverty and improve the lives of children worldwide.</w:t>
      </w:r>
    </w:p>
    <w:p w14:paraId="61D10B26" w14:textId="34E44FF6"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According to UNESCO (2022) in 2018 an estimated 258 million children were unable to attend school due to barriers to their learning. In order to achieve the global goal of quality education by 2030 set by the United Nations in 2015 as part of the </w:t>
      </w:r>
      <w:r w:rsidR="000F7218" w:rsidRPr="00263254">
        <w:rPr>
          <w:rFonts w:ascii="Times New Roman" w:hAnsi="Times New Roman" w:cs="Times New Roman"/>
          <w:sz w:val="24"/>
          <w:szCs w:val="24"/>
        </w:rPr>
        <w:t>seventeen</w:t>
      </w:r>
      <w:r w:rsidRPr="00263254">
        <w:rPr>
          <w:rFonts w:ascii="Times New Roman" w:hAnsi="Times New Roman" w:cs="Times New Roman"/>
          <w:sz w:val="24"/>
          <w:szCs w:val="24"/>
        </w:rPr>
        <w:t xml:space="preserve"> global goals, the world has to step up, take notice of these barriers and look at how we can help countries to overcome them </w:t>
      </w:r>
    </w:p>
    <w:p w14:paraId="2BA59489" w14:textId="5DA6EC95"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By 2018 although progress has been made in </w:t>
      </w:r>
      <w:proofErr w:type="gramStart"/>
      <w:r w:rsidRPr="00263254">
        <w:rPr>
          <w:rFonts w:ascii="Times New Roman" w:hAnsi="Times New Roman" w:cs="Times New Roman"/>
          <w:sz w:val="24"/>
          <w:szCs w:val="24"/>
        </w:rPr>
        <w:t>many</w:t>
      </w:r>
      <w:proofErr w:type="gramEnd"/>
      <w:r w:rsidRPr="00263254">
        <w:rPr>
          <w:rFonts w:ascii="Times New Roman" w:hAnsi="Times New Roman" w:cs="Times New Roman"/>
          <w:sz w:val="24"/>
          <w:szCs w:val="24"/>
        </w:rPr>
        <w:t xml:space="preserve"> countries, overall action in order to meet the goals has not yet advanced at the scale or the speed that is required and we need to usher in </w:t>
      </w:r>
      <w:r w:rsidR="001814F4" w:rsidRPr="00263254">
        <w:rPr>
          <w:rFonts w:ascii="Times New Roman" w:hAnsi="Times New Roman" w:cs="Times New Roman"/>
          <w:sz w:val="24"/>
          <w:szCs w:val="24"/>
        </w:rPr>
        <w:t>an ardent desire</w:t>
      </w:r>
      <w:r w:rsidRPr="00263254">
        <w:rPr>
          <w:rFonts w:ascii="Times New Roman" w:hAnsi="Times New Roman" w:cs="Times New Roman"/>
          <w:sz w:val="24"/>
          <w:szCs w:val="24"/>
        </w:rPr>
        <w:t xml:space="preserve"> to progress in action in order to achieve the goals by 2030. </w:t>
      </w:r>
    </w:p>
    <w:p w14:paraId="0A401C8C"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lastRenderedPageBreak/>
        <w:t> In 2019 the SDG summit world leaders called for a decade of action and pledged to deploy financial aid and national implementation strengthening schools to achieve the goals leaving “no one behind”. (UN 2020)</w:t>
      </w:r>
    </w:p>
    <w:p w14:paraId="5893D2FE" w14:textId="191D6421"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Unfortunately, the question of is the UNCRC universal? comes into question. Edwards, (2015:59) makes us think with criticism about the UNCRC as it is the ideas of a western view of families and their childhoods that presumes that parents will designate education overwork. It </w:t>
      </w:r>
      <w:r w:rsidR="000F7218" w:rsidRPr="00263254">
        <w:rPr>
          <w:rFonts w:ascii="Times New Roman" w:hAnsi="Times New Roman" w:cs="Times New Roman"/>
          <w:sz w:val="24"/>
          <w:szCs w:val="24"/>
        </w:rPr>
        <w:t>does not</w:t>
      </w:r>
      <w:r w:rsidRPr="00263254">
        <w:rPr>
          <w:rFonts w:ascii="Times New Roman" w:hAnsi="Times New Roman" w:cs="Times New Roman"/>
          <w:sz w:val="24"/>
          <w:szCs w:val="24"/>
        </w:rPr>
        <w:t xml:space="preserve"> recognise the choices poverty-stricken families must make between education and the need to continue existing. (Edwards, 2015: 69)</w:t>
      </w:r>
    </w:p>
    <w:p w14:paraId="3A123397"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One such country is Mali in South Africa,</w:t>
      </w:r>
    </w:p>
    <w:p w14:paraId="6751EF1C" w14:textId="65E08E76"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Mali is one of the eighth largest countries in Africa with a population today of around </w:t>
      </w:r>
      <w:r w:rsidR="000F7218" w:rsidRPr="00263254">
        <w:rPr>
          <w:rFonts w:ascii="Times New Roman" w:hAnsi="Times New Roman" w:cs="Times New Roman"/>
          <w:sz w:val="24"/>
          <w:szCs w:val="24"/>
        </w:rPr>
        <w:t>twenty</w:t>
      </w:r>
      <w:r w:rsidRPr="00263254">
        <w:rPr>
          <w:rFonts w:ascii="Times New Roman" w:hAnsi="Times New Roman" w:cs="Times New Roman"/>
          <w:sz w:val="24"/>
          <w:szCs w:val="24"/>
        </w:rPr>
        <w:t xml:space="preserve"> million people (worldometer 2022) with dozens of ethnic groups each with their own language, traditions and history. Although most people who live in Mali speak </w:t>
      </w:r>
      <w:r w:rsidR="00452F79">
        <w:rPr>
          <w:rFonts w:ascii="Times New Roman" w:hAnsi="Times New Roman" w:cs="Times New Roman"/>
          <w:sz w:val="24"/>
          <w:szCs w:val="24"/>
        </w:rPr>
        <w:t>multiple</w:t>
      </w:r>
      <w:r w:rsidRPr="00263254">
        <w:rPr>
          <w:rFonts w:ascii="Times New Roman" w:hAnsi="Times New Roman" w:cs="Times New Roman"/>
          <w:sz w:val="24"/>
          <w:szCs w:val="24"/>
        </w:rPr>
        <w:t xml:space="preserve"> languages the official language is French and is the dominant language of the government, that of formal education and the media. But the language Bamana has become steadily more popular since it was the language the French colonial army who used it to communicate with the locals and was used in other institutions such as missionaries who were teaching there. It has also become popular as a local form of language in which they communicate as it is spoken by over 80% of the population. (iexplore.com 2022)</w:t>
      </w:r>
    </w:p>
    <w:p w14:paraId="4D4EFB69"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w:t>
      </w:r>
    </w:p>
    <w:p w14:paraId="6A0FB6BF"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w:t>
      </w:r>
    </w:p>
    <w:p w14:paraId="77E2A1CA"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Africa itself in 1990 developed its own Charter on the Rights and Welfare of the Child seeking to address issues that are widespread in Africa and not addressed by the convention on the rights of the child such as harmful traditional practices like female genital mutilation, child pregnancies, segregation (Apartheid), displacement within the country and the education of gifted children. Mali as part of Africa signed this agreement.</w:t>
      </w:r>
    </w:p>
    <w:p w14:paraId="4C65AB82" w14:textId="1A085DCE"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Looking at Mali’s past</w:t>
      </w:r>
      <w:r w:rsidR="002E09BB">
        <w:rPr>
          <w:rFonts w:ascii="Times New Roman" w:hAnsi="Times New Roman" w:cs="Times New Roman"/>
          <w:sz w:val="24"/>
          <w:szCs w:val="24"/>
        </w:rPr>
        <w:t>,</w:t>
      </w:r>
      <w:r w:rsidRPr="00263254">
        <w:rPr>
          <w:rFonts w:ascii="Times New Roman" w:hAnsi="Times New Roman" w:cs="Times New Roman"/>
          <w:sz w:val="24"/>
          <w:szCs w:val="24"/>
        </w:rPr>
        <w:t xml:space="preserve"> one can see that it was once part of a thriving empire and one of the largest countries in Africa, known for its important trading routes in gold and salt as well as its artists and scholars. But its decline began way back in the 1400s due to over </w:t>
      </w:r>
      <w:r w:rsidR="000F7218" w:rsidRPr="00263254">
        <w:rPr>
          <w:rFonts w:ascii="Times New Roman" w:hAnsi="Times New Roman" w:cs="Times New Roman"/>
          <w:sz w:val="24"/>
          <w:szCs w:val="24"/>
        </w:rPr>
        <w:t>two hundred</w:t>
      </w:r>
      <w:r w:rsidRPr="00263254">
        <w:rPr>
          <w:rFonts w:ascii="Times New Roman" w:hAnsi="Times New Roman" w:cs="Times New Roman"/>
          <w:sz w:val="24"/>
          <w:szCs w:val="24"/>
        </w:rPr>
        <w:t xml:space="preserve"> years of conflict in the area this then resulted in the colonisation by the French in 1890 for 70 years all of this caused the area to become destitute and underdeveloped, and oppressed the Malian </w:t>
      </w:r>
      <w:r w:rsidRPr="00263254">
        <w:rPr>
          <w:rFonts w:ascii="Times New Roman" w:hAnsi="Times New Roman" w:cs="Times New Roman"/>
          <w:sz w:val="24"/>
          <w:szCs w:val="24"/>
        </w:rPr>
        <w:lastRenderedPageBreak/>
        <w:t>people changing their language, and exploiting its produce and oppressing its people. (This can be linked to Said’s post-colonial social theory 1978) </w:t>
      </w:r>
    </w:p>
    <w:p w14:paraId="73716E12" w14:textId="1AB5486F"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This was especially true within its education system which was basically non-existent in fact </w:t>
      </w:r>
      <w:proofErr w:type="gramStart"/>
      <w:r w:rsidRPr="00263254">
        <w:rPr>
          <w:rFonts w:ascii="Times New Roman" w:hAnsi="Times New Roman" w:cs="Times New Roman"/>
          <w:sz w:val="24"/>
          <w:szCs w:val="24"/>
        </w:rPr>
        <w:t>most of</w:t>
      </w:r>
      <w:proofErr w:type="gramEnd"/>
      <w:r w:rsidRPr="00263254">
        <w:rPr>
          <w:rFonts w:ascii="Times New Roman" w:hAnsi="Times New Roman" w:cs="Times New Roman"/>
          <w:sz w:val="24"/>
          <w:szCs w:val="24"/>
        </w:rPr>
        <w:t xml:space="preserve"> its poor education had been developed through charities such as missionaries and its secondary education </w:t>
      </w:r>
      <w:r w:rsidR="000F7218" w:rsidRPr="00263254">
        <w:rPr>
          <w:rFonts w:ascii="Times New Roman" w:hAnsi="Times New Roman" w:cs="Times New Roman"/>
          <w:sz w:val="24"/>
          <w:szCs w:val="24"/>
        </w:rPr>
        <w:t>did not</w:t>
      </w:r>
      <w:r w:rsidRPr="00263254">
        <w:rPr>
          <w:rFonts w:ascii="Times New Roman" w:hAnsi="Times New Roman" w:cs="Times New Roman"/>
          <w:sz w:val="24"/>
          <w:szCs w:val="24"/>
        </w:rPr>
        <w:t xml:space="preserve"> exist. It </w:t>
      </w:r>
      <w:r w:rsidR="000F7218" w:rsidRPr="00263254">
        <w:rPr>
          <w:rFonts w:ascii="Times New Roman" w:hAnsi="Times New Roman" w:cs="Times New Roman"/>
          <w:sz w:val="24"/>
          <w:szCs w:val="24"/>
        </w:rPr>
        <w:t>was not</w:t>
      </w:r>
      <w:r w:rsidRPr="00263254">
        <w:rPr>
          <w:rFonts w:ascii="Times New Roman" w:hAnsi="Times New Roman" w:cs="Times New Roman"/>
          <w:sz w:val="24"/>
          <w:szCs w:val="24"/>
        </w:rPr>
        <w:t xml:space="preserve"> until after its independence that the first government of Mali launched </w:t>
      </w:r>
      <w:proofErr w:type="gramStart"/>
      <w:r w:rsidRPr="00263254">
        <w:rPr>
          <w:rFonts w:ascii="Times New Roman" w:hAnsi="Times New Roman" w:cs="Times New Roman"/>
          <w:sz w:val="24"/>
          <w:szCs w:val="24"/>
        </w:rPr>
        <w:t>many</w:t>
      </w:r>
      <w:proofErr w:type="gramEnd"/>
      <w:r w:rsidRPr="00263254">
        <w:rPr>
          <w:rFonts w:ascii="Times New Roman" w:hAnsi="Times New Roman" w:cs="Times New Roman"/>
          <w:sz w:val="24"/>
          <w:szCs w:val="24"/>
        </w:rPr>
        <w:t xml:space="preserve"> education reforms and set out a massive schooling campaign to develop all areas of schooling. (AACARO 2021) Its land has also been devastated by droughts and famines in the 1980s which again hit families killing many thousands of people. </w:t>
      </w:r>
    </w:p>
    <w:p w14:paraId="61988C31" w14:textId="5013CCDB"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   In 2012 a war broke out between southern and northern parts of Mali, disrupting the schooling of over 700,000 children due to its violence and causing the closure of 115 schools, which were either, destroyed or looted, some were even left with unexploded bombs too dangerous to access. Out of the 700,000 children who were affected, 200,000 still had no access to school a year later, the war caused threats against schools and caused the destruction of the school infrastructure and equipment. It has also led to a shortage of teachers and a breakdown in the pedagogical support system because of the </w:t>
      </w:r>
      <w:r w:rsidR="001814F4" w:rsidRPr="00263254">
        <w:rPr>
          <w:rFonts w:ascii="Times New Roman" w:hAnsi="Times New Roman" w:cs="Times New Roman"/>
          <w:sz w:val="24"/>
          <w:szCs w:val="24"/>
        </w:rPr>
        <w:t>substantial numbers</w:t>
      </w:r>
      <w:r w:rsidRPr="00263254">
        <w:rPr>
          <w:rFonts w:ascii="Times New Roman" w:hAnsi="Times New Roman" w:cs="Times New Roman"/>
          <w:sz w:val="24"/>
          <w:szCs w:val="24"/>
        </w:rPr>
        <w:t xml:space="preserve"> of displacements within the population (global partnership org 2021.)</w:t>
      </w:r>
    </w:p>
    <w:p w14:paraId="3447241F" w14:textId="76B49DC3"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Since 2012 an estimated 1,500 to 3,524 people have been killed, men, women and children, this has caused it to become one of the poorest countries in the world with 40 % of its population living below the poverty line, Ocheni and Nwankwo (2012). Families are in a severe </w:t>
      </w:r>
      <w:r w:rsidR="001814F4" w:rsidRPr="00263254">
        <w:rPr>
          <w:rFonts w:ascii="Times New Roman" w:hAnsi="Times New Roman" w:cs="Times New Roman"/>
          <w:sz w:val="24"/>
          <w:szCs w:val="24"/>
        </w:rPr>
        <w:t>monetary crisis</w:t>
      </w:r>
      <w:r w:rsidRPr="00263254">
        <w:rPr>
          <w:rFonts w:ascii="Times New Roman" w:hAnsi="Times New Roman" w:cs="Times New Roman"/>
          <w:sz w:val="24"/>
          <w:szCs w:val="24"/>
        </w:rPr>
        <w:t xml:space="preserve"> making it difficult for them to send their children to school needing them to work in order to have enough money to survive.</w:t>
      </w:r>
    </w:p>
    <w:p w14:paraId="28417774"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According to the World Bank’s UNESCO institute for statistics report (2021) only an estimated 27-30 % of the total population of Mali are able to read and write, and only 12% of these, are female. This is among the lowest rates in the whole of Africa. </w:t>
      </w:r>
    </w:p>
    <w:p w14:paraId="72906DD6"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Although the government has tried to give open schools access to children who have been displaced in the south of Mali, this has caused overcrowding, which has affected the quality of education that is being received.</w:t>
      </w:r>
    </w:p>
    <w:p w14:paraId="29D29CA3"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K12’s (2004-2022) academic paper, tells us that, although in principle public education was provided free and is compulsory for 7- to 16-year-olds, enrolment was low, this is largely in </w:t>
      </w:r>
      <w:r w:rsidRPr="00263254">
        <w:rPr>
          <w:rFonts w:ascii="Times New Roman" w:hAnsi="Times New Roman" w:cs="Times New Roman"/>
          <w:sz w:val="24"/>
          <w:szCs w:val="24"/>
        </w:rPr>
        <w:lastRenderedPageBreak/>
        <w:t>part due to additional costs that parents had to pay, such as books, supplies, uniforms and other fees that are all required to be able to attend public school. </w:t>
      </w:r>
    </w:p>
    <w:p w14:paraId="0FCFD04A"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Secondary and vocational schools were also known to charge for equipment, up to $600 a year which in a country where the average yearly wage is just $500, was just not affordable to most people. Completion rates for pupils were also low especially for females. In 2003 only 36% of pupils in Mali completed primary school (this is even lower for females.) In the late 1990’s it was recorded that only 15% of children in Mali enrolled in secondary school. </w:t>
      </w:r>
    </w:p>
    <w:p w14:paraId="32766DC4"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The Mali education system itself has been plagued by a total lack of schools in rural areas and shortages of teachers and teaching materials. only 47% of children as of 2019 completed primary school this indicates that below half of the population of Mali are receiving their basic human rights as agreed in the Convention on the Right of the Child article 28 (UNCRC 1990) and agreed by Mali in 1990. (ACFA 2020) </w:t>
      </w:r>
    </w:p>
    <w:p w14:paraId="045DCB9A"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Another barrier is that gender discrimination within the country plays a huge role. Even if a girl does pass the entrance exams for secondary school, many are denied placement due to their gender. In 2008, 80,000 students passed the entrance exams, 17,000, 40% of whom were girls, were still denied a placement. This puts the UNCRC’s article 29 into focus by the government allowing gender discrimination it is taking away the rights of women and encourages others to have a low opinion of them thereby not fulfilling article 29. </w:t>
      </w:r>
    </w:p>
    <w:p w14:paraId="1D588CCB" w14:textId="17CBEAAD"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Although the government did increase funding for primary education in the hopes of reaching the universal primary education goal by 2015 (in line with the international Millennium development goals) and they did see a 12% increase of girls enrolling and a 10% increase in boys. </w:t>
      </w:r>
      <w:r w:rsidR="000F7218" w:rsidRPr="00263254">
        <w:rPr>
          <w:rFonts w:ascii="Times New Roman" w:hAnsi="Times New Roman" w:cs="Times New Roman"/>
          <w:sz w:val="24"/>
          <w:szCs w:val="24"/>
        </w:rPr>
        <w:t>Thirty-five percent</w:t>
      </w:r>
      <w:r w:rsidRPr="00263254">
        <w:rPr>
          <w:rFonts w:ascii="Times New Roman" w:hAnsi="Times New Roman" w:cs="Times New Roman"/>
          <w:sz w:val="24"/>
          <w:szCs w:val="24"/>
        </w:rPr>
        <w:t xml:space="preserve"> of children in primary will still not meet secondary school requirements due to poor schooling and by increasing the numbers even this small amount has overtaxed the secondary school system. </w:t>
      </w:r>
    </w:p>
    <w:p w14:paraId="691E03E9"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According to Kellogg 2018, another barrier to education is child marriage, and child labour, which is still commonplace throughout Mali, girls as young as 14 or 15 are married often without their consent to much older men, the prospect of a dowery given to the family of the bride leads those who live in poverty to withdraw daughters from education and arrange a marriage for them at a young age which ultimately ends their schooling and education. Children often miss schooling or girls are taken out of school, due to expectations at home of cooking, cleaning and caring for younger children due to adults having to work or children and boys due to having to work themselves in order to help their families afford to feed them.</w:t>
      </w:r>
    </w:p>
    <w:p w14:paraId="3F88FC61"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lastRenderedPageBreak/>
        <w:t>By looking at Lange’s (2003) Background paper prepared for the Education for All Global Monitoring Report 2003/4 it clearly shown that while the government had made progress towards improving basic education opportunities for all, with an increase in admissions of more than one million in 2001/2002 in primary schools with the number of girls growing quicker than boys overall and a 135,990 rise in secondary schools, (unfortunately in the second stage of education no progress was made to reduce the gender gap for over 12 years). </w:t>
      </w:r>
    </w:p>
    <w:p w14:paraId="0546DCF3"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with plans to invest in an expanded education system for both secondary and academic vocational schooling in order to try to meet demands, it is still facing many challenges in order to reach its UN goals by 2030. Such as the low completion rate and gender ratio gap in secondary schools, the quality of education that has to be enhanced in order to meet standards and the dropout rates being so high.</w:t>
      </w:r>
    </w:p>
    <w:p w14:paraId="0A97033D" w14:textId="58B596B5"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And to top it all off, in 2020 the worldwide covid-19 epidemic hit Mali. Schools were not equipped for online /distance learning and leaving children stranded with no schooling According to The World Bank (2022) the resulting effects of the socio-political crisis, combined with the effects of covid, have led Mali into a recession of its economy and accelerated its public debt, putting an end to over ten years of progress towards poverty reduction and pushing a further 900,000 of its people into poverty it also resulted in the closure of all its schools due to the high risk involved and the stay at home orders. </w:t>
      </w:r>
      <w:r w:rsidR="00492DCB" w:rsidRPr="00263254">
        <w:rPr>
          <w:rFonts w:ascii="Times New Roman" w:hAnsi="Times New Roman" w:cs="Times New Roman"/>
          <w:sz w:val="24"/>
          <w:szCs w:val="24"/>
        </w:rPr>
        <w:t>(Crenn</w:t>
      </w:r>
      <w:r w:rsidRPr="00263254">
        <w:rPr>
          <w:rFonts w:ascii="Times New Roman" w:hAnsi="Times New Roman" w:cs="Times New Roman"/>
          <w:sz w:val="24"/>
          <w:szCs w:val="24"/>
        </w:rPr>
        <w:t xml:space="preserve"> 2021)</w:t>
      </w:r>
    </w:p>
    <w:p w14:paraId="5E63EE09"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People lost income due to the curfew given during covid, and many businesses has to close. Basic necessities soared in price and issues rose due to many not believing in covid at all thinking it was just a chest cold or a disease only westerners caught. Because Army detachments abandoned their posts due to fears for their families, extremist groups were able to re-establish in areas where they had previously been kicked out of this added more problems to the government’s security for the area. (ACCORD 2020)</w:t>
      </w:r>
    </w:p>
    <w:p w14:paraId="3AAFB5EC" w14:textId="77777777" w:rsidR="00263254" w:rsidRPr="00263254" w:rsidRDefault="00263254" w:rsidP="002E09BB">
      <w:pPr>
        <w:spacing w:line="360" w:lineRule="auto"/>
        <w:jc w:val="both"/>
        <w:rPr>
          <w:rFonts w:ascii="Times New Roman" w:hAnsi="Times New Roman" w:cs="Times New Roman"/>
          <w:sz w:val="24"/>
          <w:szCs w:val="24"/>
        </w:rPr>
      </w:pPr>
    </w:p>
    <w:p w14:paraId="01E2F2BC"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Looking back at all these past factors (especially covid 19) it is obvious that all have had a detrimental effect on education in Mali.</w:t>
      </w:r>
    </w:p>
    <w:p w14:paraId="7A86BB29" w14:textId="130D4628"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By looking at Mali’s government itself it is clear it has great issues, but have attempted to improve, Since the 1990s they have introduced sector-wide planning and policy, increased budgets for schools, and restructured its departments, yet still, it remains behind in both its vision and the application of policy. Its curriculum policy is continuously changing, </w:t>
      </w:r>
      <w:r w:rsidRPr="00263254">
        <w:rPr>
          <w:rFonts w:ascii="Times New Roman" w:hAnsi="Times New Roman" w:cs="Times New Roman"/>
          <w:sz w:val="24"/>
          <w:szCs w:val="24"/>
        </w:rPr>
        <w:lastRenderedPageBreak/>
        <w:t xml:space="preserve">decentralisation is not </w:t>
      </w:r>
      <w:r w:rsidR="000F7218" w:rsidRPr="00263254">
        <w:rPr>
          <w:rFonts w:ascii="Times New Roman" w:hAnsi="Times New Roman" w:cs="Times New Roman"/>
          <w:sz w:val="24"/>
          <w:szCs w:val="24"/>
        </w:rPr>
        <w:t>conducted</w:t>
      </w:r>
      <w:r w:rsidRPr="00263254">
        <w:rPr>
          <w:rFonts w:ascii="Times New Roman" w:hAnsi="Times New Roman" w:cs="Times New Roman"/>
          <w:sz w:val="24"/>
          <w:szCs w:val="24"/>
        </w:rPr>
        <w:t xml:space="preserve"> correctly, and there is a great need to improve the management of finances within the ministry of education. </w:t>
      </w:r>
    </w:p>
    <w:p w14:paraId="1DC6FBD3"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By looking at social theories such as Bourdieu’s 1986 social capital theory (Bourdieu 1986 p 241) and why the war started in Mali you can clearly see the way cultural capital has been affected and played a massive role in Mali when individuals such as the government and the opposing political fractions caused a war to develop it clearly was due to the inequalities felt by the north of the country and the pursuit of power and status.</w:t>
      </w:r>
    </w:p>
    <w:p w14:paraId="75B795A8"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Although Africa has agreed to follow the UN’s global development goals when one looks at Globalisation theories such as homogenisation and dependency theory there is a concern that is growing that the poor in particular will suffer instead of benefiting from globalisation, it also becomes relevant as progress is made towards developing Mali’s education system that many children within the country come for indigenous backgrounds in the outskirts of Mali where there is no schools and children are taught by the elders in their villages lessons on life skills, customs and traditions which wouldn’t otherwise be taught in westernised schooling within the centre of Mali and the worry is that this could be lost. It raises questions about how African/ Mali people will be able to develop their African humanity and sociability in a modernised world. (BERTHÉLEMY 2006 p1)</w:t>
      </w:r>
    </w:p>
    <w:p w14:paraId="1EF53D3A" w14:textId="77777777" w:rsidR="00263254" w:rsidRPr="00263254" w:rsidRDefault="00263254" w:rsidP="002E09BB">
      <w:pPr>
        <w:spacing w:line="360" w:lineRule="auto"/>
        <w:jc w:val="both"/>
        <w:rPr>
          <w:rFonts w:ascii="Times New Roman" w:hAnsi="Times New Roman" w:cs="Times New Roman"/>
          <w:sz w:val="24"/>
          <w:szCs w:val="24"/>
        </w:rPr>
      </w:pPr>
    </w:p>
    <w:p w14:paraId="413AA2D3" w14:textId="77777777"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When weighing up the nature and effect of any developments made in Mali it seems like a big weighing scales always just about to tip over despite the attempt to balance it, According to Bastagli and Toulmin (2014) positive economic growth in agriculture only resulted in slow capita growth rates, the rise in investors who are an important source of revenue for Mali despite initiatives continue to face difficulties such as inadequate infostructure and poor human resources. The development of primary Education increasing numbers of children attending school ends up in the overtaxing of the secondary school system. </w:t>
      </w:r>
    </w:p>
    <w:p w14:paraId="018560CF" w14:textId="3DBEAB53"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Fundamentally corruption is another challenge in Mali. And in one’s personal opinion is the main barrier to change. corruption runs deep within the highest orders of institutions at every level of the state. Citizens report consistently on </w:t>
      </w:r>
      <w:r w:rsidR="00790FFD" w:rsidRPr="00263254">
        <w:rPr>
          <w:rFonts w:ascii="Times New Roman" w:hAnsi="Times New Roman" w:cs="Times New Roman"/>
          <w:sz w:val="24"/>
          <w:szCs w:val="24"/>
        </w:rPr>
        <w:t>prominent levels</w:t>
      </w:r>
      <w:r w:rsidRPr="00263254">
        <w:rPr>
          <w:rFonts w:ascii="Times New Roman" w:hAnsi="Times New Roman" w:cs="Times New Roman"/>
          <w:sz w:val="24"/>
          <w:szCs w:val="24"/>
        </w:rPr>
        <w:t xml:space="preserve"> of corruption and trust in state institutions is extremely low years of humanitarian and military interventions have been targeted at trying to restore stability and even state authority has been shown to be inadequate to stop the violence. the corruption has allowed the multidimensional crisis to be carried </w:t>
      </w:r>
      <w:r w:rsidRPr="00263254">
        <w:rPr>
          <w:rFonts w:ascii="Times New Roman" w:hAnsi="Times New Roman" w:cs="Times New Roman"/>
          <w:sz w:val="24"/>
          <w:szCs w:val="24"/>
        </w:rPr>
        <w:lastRenderedPageBreak/>
        <w:t xml:space="preserve">forward by eating into the unfair treatment and the detachment between the </w:t>
      </w:r>
      <w:r w:rsidR="00790FFD" w:rsidRPr="00263254">
        <w:rPr>
          <w:rFonts w:ascii="Times New Roman" w:hAnsi="Times New Roman" w:cs="Times New Roman"/>
          <w:sz w:val="24"/>
          <w:szCs w:val="24"/>
        </w:rPr>
        <w:t>diverse cultural</w:t>
      </w:r>
      <w:r w:rsidRPr="00263254">
        <w:rPr>
          <w:rFonts w:ascii="Times New Roman" w:hAnsi="Times New Roman" w:cs="Times New Roman"/>
          <w:sz w:val="24"/>
          <w:szCs w:val="24"/>
        </w:rPr>
        <w:t xml:space="preserve"> groups. (Bak, 2020)</w:t>
      </w:r>
    </w:p>
    <w:p w14:paraId="74DF84BE" w14:textId="0714EBBD" w:rsidR="00263254" w:rsidRP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xml:space="preserve">Mali is trying hard to overcome these many barriers, by allowing other countries to help give advice, and financial aid to find ways to improve Mali for example in 1997 save the children fund set up a formal discussion process with donors, government, village communities and non-government groups aiming to make education more accessible to village children in Douentza in Mali equal places were given to girls and the inclusion of disabled children which was encouraged by the fund as a non-negational. The idea was </w:t>
      </w:r>
      <w:r w:rsidR="00790FFD" w:rsidRPr="00263254">
        <w:rPr>
          <w:rFonts w:ascii="Times New Roman" w:hAnsi="Times New Roman" w:cs="Times New Roman"/>
          <w:sz w:val="24"/>
          <w:szCs w:val="24"/>
        </w:rPr>
        <w:t>a remarkable success</w:t>
      </w:r>
      <w:r w:rsidRPr="00263254">
        <w:rPr>
          <w:rFonts w:ascii="Times New Roman" w:hAnsi="Times New Roman" w:cs="Times New Roman"/>
          <w:sz w:val="24"/>
          <w:szCs w:val="24"/>
        </w:rPr>
        <w:t>, and the government are trying to continue this in other villages (Stubbs 2000)</w:t>
      </w:r>
    </w:p>
    <w:p w14:paraId="3DF458EC" w14:textId="77777777" w:rsidR="00263254" w:rsidRPr="00263254" w:rsidRDefault="00263254" w:rsidP="002E09BB">
      <w:pPr>
        <w:spacing w:line="360" w:lineRule="auto"/>
        <w:jc w:val="both"/>
        <w:rPr>
          <w:rFonts w:ascii="Times New Roman" w:hAnsi="Times New Roman" w:cs="Times New Roman"/>
          <w:sz w:val="24"/>
          <w:szCs w:val="24"/>
        </w:rPr>
      </w:pPr>
    </w:p>
    <w:p w14:paraId="62042A54" w14:textId="6B9B3A4E" w:rsidR="00263254" w:rsidRDefault="00263254" w:rsidP="002E09BB">
      <w:pPr>
        <w:spacing w:line="360" w:lineRule="auto"/>
        <w:jc w:val="both"/>
        <w:rPr>
          <w:rFonts w:ascii="Times New Roman" w:hAnsi="Times New Roman" w:cs="Times New Roman"/>
          <w:sz w:val="24"/>
          <w:szCs w:val="24"/>
        </w:rPr>
      </w:pPr>
      <w:r w:rsidRPr="00263254">
        <w:rPr>
          <w:rFonts w:ascii="Times New Roman" w:hAnsi="Times New Roman" w:cs="Times New Roman"/>
          <w:sz w:val="24"/>
          <w:szCs w:val="24"/>
        </w:rPr>
        <w:t> In conclusion by looking at the challenges that Mali faces it seems like a never-ending vicious cycle of poverty, that unless barriers such as corruption and gender inequality are not taken care of will continue to grow. By allowing other countries to support, guide and help to finance Mali is going in the right direction to help to end poverty but one wonders if the corruption runs too deep to ever make any significant change to the poverty in the area, The need for Africa to have its own charter makes sense due to its differing circumstances and un westernised culture which the UNCRC doesn’t allow for although it seems to be that the bare minimum is being done in order to try to meet standards by the actual country by 2030 as it is too consumed by political infractions/war. If Mali is ever to achieve the goals by 2030 much more support is going to be needed especially after covid-19, which has broken down any progress that had been made towards education and the action to end poverty</w:t>
      </w:r>
      <w:r w:rsidR="001814F4" w:rsidRPr="00263254">
        <w:rPr>
          <w:rFonts w:ascii="Times New Roman" w:hAnsi="Times New Roman" w:cs="Times New Roman"/>
          <w:sz w:val="24"/>
          <w:szCs w:val="24"/>
        </w:rPr>
        <w:t xml:space="preserve">. </w:t>
      </w:r>
    </w:p>
    <w:p w14:paraId="4A9D7AF8" w14:textId="168362F9" w:rsidR="00D762DD" w:rsidRDefault="00D762DD" w:rsidP="002E09BB">
      <w:pPr>
        <w:spacing w:line="360" w:lineRule="auto"/>
        <w:jc w:val="both"/>
        <w:rPr>
          <w:rFonts w:ascii="Times New Roman" w:hAnsi="Times New Roman" w:cs="Times New Roman"/>
          <w:sz w:val="24"/>
          <w:szCs w:val="24"/>
        </w:rPr>
      </w:pPr>
    </w:p>
    <w:p w14:paraId="4978ACFE" w14:textId="35917181" w:rsidR="00D762DD" w:rsidRDefault="00D762DD" w:rsidP="002E09BB">
      <w:pPr>
        <w:spacing w:line="360" w:lineRule="auto"/>
        <w:jc w:val="both"/>
        <w:rPr>
          <w:rFonts w:ascii="Times New Roman" w:hAnsi="Times New Roman" w:cs="Times New Roman"/>
          <w:sz w:val="24"/>
          <w:szCs w:val="24"/>
        </w:rPr>
      </w:pPr>
    </w:p>
    <w:p w14:paraId="27BC248D" w14:textId="77D30205" w:rsidR="00D762DD" w:rsidRDefault="00D762DD" w:rsidP="002E09BB">
      <w:pPr>
        <w:spacing w:line="360" w:lineRule="auto"/>
        <w:jc w:val="both"/>
        <w:rPr>
          <w:rFonts w:ascii="Times New Roman" w:hAnsi="Times New Roman" w:cs="Times New Roman"/>
          <w:sz w:val="24"/>
          <w:szCs w:val="24"/>
        </w:rPr>
      </w:pPr>
    </w:p>
    <w:p w14:paraId="750180FC" w14:textId="55BE3776" w:rsidR="00D762DD" w:rsidRDefault="00D762DD" w:rsidP="002E09BB">
      <w:pPr>
        <w:spacing w:line="360" w:lineRule="auto"/>
        <w:jc w:val="both"/>
        <w:rPr>
          <w:rFonts w:ascii="Times New Roman" w:hAnsi="Times New Roman" w:cs="Times New Roman"/>
          <w:sz w:val="24"/>
          <w:szCs w:val="24"/>
        </w:rPr>
      </w:pPr>
    </w:p>
    <w:p w14:paraId="7D6283B4" w14:textId="4763886D" w:rsidR="00D762DD" w:rsidRDefault="00D762DD" w:rsidP="002E09BB">
      <w:pPr>
        <w:spacing w:line="360" w:lineRule="auto"/>
        <w:jc w:val="both"/>
        <w:rPr>
          <w:rFonts w:ascii="Times New Roman" w:hAnsi="Times New Roman" w:cs="Times New Roman"/>
          <w:sz w:val="24"/>
          <w:szCs w:val="24"/>
        </w:rPr>
      </w:pPr>
    </w:p>
    <w:p w14:paraId="50759723" w14:textId="4A33F5E0" w:rsidR="00D762DD" w:rsidRDefault="00D762DD" w:rsidP="002E09BB">
      <w:pPr>
        <w:spacing w:line="360" w:lineRule="auto"/>
        <w:jc w:val="both"/>
        <w:rPr>
          <w:rFonts w:ascii="Times New Roman" w:hAnsi="Times New Roman" w:cs="Times New Roman"/>
          <w:sz w:val="24"/>
          <w:szCs w:val="24"/>
        </w:rPr>
      </w:pPr>
    </w:p>
    <w:p w14:paraId="466C7C40" w14:textId="4AE76FFA" w:rsidR="00D762DD" w:rsidRDefault="00D762DD" w:rsidP="002E09BB">
      <w:pPr>
        <w:spacing w:line="360" w:lineRule="auto"/>
        <w:jc w:val="both"/>
        <w:rPr>
          <w:rFonts w:ascii="Times New Roman" w:hAnsi="Times New Roman" w:cs="Times New Roman"/>
          <w:sz w:val="24"/>
          <w:szCs w:val="24"/>
        </w:rPr>
      </w:pPr>
    </w:p>
    <w:p w14:paraId="2BBFA3A9" w14:textId="71F65C10" w:rsidR="00D762DD" w:rsidRDefault="00D762DD" w:rsidP="002E09BB">
      <w:pPr>
        <w:spacing w:line="360" w:lineRule="auto"/>
        <w:jc w:val="both"/>
        <w:rPr>
          <w:rFonts w:ascii="Times New Roman" w:hAnsi="Times New Roman" w:cs="Times New Roman"/>
          <w:sz w:val="24"/>
          <w:szCs w:val="24"/>
        </w:rPr>
      </w:pPr>
    </w:p>
    <w:p w14:paraId="1336D191" w14:textId="391275FA" w:rsidR="00D762DD" w:rsidRDefault="00D762DD" w:rsidP="002E09BB">
      <w:pPr>
        <w:spacing w:line="360" w:lineRule="auto"/>
        <w:jc w:val="both"/>
        <w:rPr>
          <w:rFonts w:ascii="Times New Roman" w:hAnsi="Times New Roman" w:cs="Times New Roman"/>
          <w:sz w:val="24"/>
          <w:szCs w:val="24"/>
        </w:rPr>
      </w:pPr>
    </w:p>
    <w:p w14:paraId="1444CA8B" w14:textId="2E1AFE5B" w:rsidR="00D762DD" w:rsidRDefault="00D762DD" w:rsidP="002E09BB">
      <w:pPr>
        <w:spacing w:line="360" w:lineRule="auto"/>
        <w:jc w:val="both"/>
        <w:rPr>
          <w:rFonts w:ascii="Times New Roman" w:hAnsi="Times New Roman" w:cs="Times New Roman"/>
          <w:sz w:val="24"/>
          <w:szCs w:val="24"/>
        </w:rPr>
      </w:pPr>
    </w:p>
    <w:p w14:paraId="626267DD" w14:textId="77777777" w:rsidR="00D762DD" w:rsidRPr="00D762DD" w:rsidRDefault="00D762DD" w:rsidP="00D762DD">
      <w:pPr>
        <w:spacing w:line="360" w:lineRule="auto"/>
        <w:jc w:val="center"/>
        <w:rPr>
          <w:rFonts w:ascii="Times New Roman" w:hAnsi="Times New Roman" w:cs="Times New Roman"/>
          <w:b/>
          <w:bCs/>
          <w:sz w:val="24"/>
          <w:szCs w:val="24"/>
          <w:u w:val="single"/>
        </w:rPr>
      </w:pPr>
      <w:r w:rsidRPr="00D762DD">
        <w:rPr>
          <w:rFonts w:ascii="Times New Roman" w:hAnsi="Times New Roman" w:cs="Times New Roman"/>
          <w:b/>
          <w:bCs/>
          <w:sz w:val="24"/>
          <w:szCs w:val="24"/>
          <w:u w:val="single"/>
        </w:rPr>
        <w:t>References</w:t>
      </w:r>
    </w:p>
    <w:p w14:paraId="74378451"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ACCORD (2020) “the effects of covid-19 on the situation in Mali” Available at: </w:t>
      </w:r>
      <w:hyperlink r:id="rId6" w:history="1">
        <w:r w:rsidRPr="00D762DD">
          <w:rPr>
            <w:rStyle w:val="Hyperlink"/>
            <w:rFonts w:ascii="Times New Roman" w:hAnsi="Times New Roman" w:cs="Times New Roman"/>
            <w:sz w:val="24"/>
            <w:szCs w:val="24"/>
          </w:rPr>
          <w:t>https://www.accord.org.za/analysis/the-effects-of-covid-19-on-the-situation-in-mali/</w:t>
        </w:r>
      </w:hyperlink>
      <w:r w:rsidRPr="00D762DD">
        <w:rPr>
          <w:rFonts w:ascii="Times New Roman" w:hAnsi="Times New Roman" w:cs="Times New Roman"/>
          <w:sz w:val="24"/>
          <w:szCs w:val="24"/>
        </w:rPr>
        <w:t xml:space="preserve"> (Accessed March 2022)</w:t>
      </w:r>
    </w:p>
    <w:p w14:paraId="10DBFB02"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ACFA (2020) “Education in Mali -- ACFA’s role in driving systematic change” Available at: </w:t>
      </w:r>
      <w:hyperlink r:id="rId7" w:history="1">
        <w:r w:rsidRPr="00D762DD">
          <w:rPr>
            <w:rStyle w:val="Hyperlink"/>
            <w:rFonts w:ascii="Times New Roman" w:hAnsi="Times New Roman" w:cs="Times New Roman"/>
            <w:sz w:val="24"/>
            <w:szCs w:val="24"/>
          </w:rPr>
          <w:t>https://www.acfacorp.org/news/education-in-mali-acfas-role-in-driving-systematic-change</w:t>
        </w:r>
      </w:hyperlink>
      <w:r w:rsidRPr="00D762DD">
        <w:rPr>
          <w:rFonts w:ascii="Times New Roman" w:hAnsi="Times New Roman" w:cs="Times New Roman"/>
          <w:sz w:val="24"/>
          <w:szCs w:val="24"/>
        </w:rPr>
        <w:t xml:space="preserve"> (Accessed March 2022)</w:t>
      </w:r>
    </w:p>
    <w:p w14:paraId="62393EA3"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Bastagli and Toulmin (2014) “Mali: Economic Factors Behind the Crisis” Available at: </w:t>
      </w:r>
      <w:hyperlink r:id="rId8" w:history="1">
        <w:r w:rsidRPr="00D762DD">
          <w:rPr>
            <w:rStyle w:val="Hyperlink"/>
            <w:rFonts w:ascii="Times New Roman" w:hAnsi="Times New Roman" w:cs="Times New Roman"/>
            <w:sz w:val="24"/>
            <w:szCs w:val="24"/>
          </w:rPr>
          <w:t>https://www.europarl.europa.eu/RegData/etudes/etudes/join/2014/433754/EXPO-DEVE_ET(2014)433754_EN.pdf</w:t>
        </w:r>
      </w:hyperlink>
      <w:r w:rsidRPr="00D762DD">
        <w:rPr>
          <w:rFonts w:ascii="Times New Roman" w:hAnsi="Times New Roman" w:cs="Times New Roman"/>
          <w:sz w:val="24"/>
          <w:szCs w:val="24"/>
        </w:rPr>
        <w:t xml:space="preserve"> (Accessed March 2022)</w:t>
      </w:r>
    </w:p>
    <w:p w14:paraId="4924D4EC"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 Bak, M.; (2020) Mali: Overview of corruption and anti-corruption. Bergen: U4 Anti-Corruption Resource Centre, Chr. Michelsen Institute. Available at:  </w:t>
      </w:r>
      <w:hyperlink r:id="rId9" w:history="1">
        <w:r w:rsidRPr="00D762DD">
          <w:rPr>
            <w:rStyle w:val="Hyperlink"/>
            <w:rFonts w:ascii="Times New Roman" w:hAnsi="Times New Roman" w:cs="Times New Roman"/>
            <w:sz w:val="24"/>
            <w:szCs w:val="24"/>
          </w:rPr>
          <w:t>https://www.u4.no/publications/mali-overview-of-corruption-and-anti-corruption-2020</w:t>
        </w:r>
      </w:hyperlink>
      <w:r w:rsidRPr="00D762DD">
        <w:rPr>
          <w:rFonts w:ascii="Times New Roman" w:hAnsi="Times New Roman" w:cs="Times New Roman"/>
          <w:sz w:val="24"/>
          <w:szCs w:val="24"/>
        </w:rPr>
        <w:t xml:space="preserve"> (Accessed March 2022)</w:t>
      </w:r>
    </w:p>
    <w:p w14:paraId="2509362E" w14:textId="4D36084D" w:rsidR="00D762DD" w:rsidRPr="00D762DD" w:rsidRDefault="00492DCB"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Berthélemy, J</w:t>
      </w:r>
      <w:r w:rsidR="00D762DD" w:rsidRPr="00D762DD">
        <w:rPr>
          <w:rFonts w:ascii="Times New Roman" w:hAnsi="Times New Roman" w:cs="Times New Roman"/>
          <w:sz w:val="24"/>
          <w:szCs w:val="24"/>
        </w:rPr>
        <w:t>-C. (2006) “globalization and challenges for education</w:t>
      </w:r>
    </w:p>
    <w:p w14:paraId="6D705162" w14:textId="50A07B0D"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in least developed countries” Available </w:t>
      </w:r>
      <w:r w:rsidR="00492DCB" w:rsidRPr="00D762DD">
        <w:rPr>
          <w:rFonts w:ascii="Times New Roman" w:hAnsi="Times New Roman" w:cs="Times New Roman"/>
          <w:sz w:val="24"/>
          <w:szCs w:val="24"/>
        </w:rPr>
        <w:t>at:</w:t>
      </w:r>
      <w:r w:rsidRPr="00D762DD">
        <w:rPr>
          <w:rFonts w:ascii="Times New Roman" w:hAnsi="Times New Roman" w:cs="Times New Roman"/>
          <w:sz w:val="24"/>
          <w:szCs w:val="24"/>
        </w:rPr>
        <w:t xml:space="preserve"> </w:t>
      </w:r>
      <w:hyperlink r:id="rId10" w:history="1">
        <w:r w:rsidRPr="00D762DD">
          <w:rPr>
            <w:rStyle w:val="Hyperlink"/>
            <w:rFonts w:ascii="Times New Roman" w:hAnsi="Times New Roman" w:cs="Times New Roman"/>
            <w:sz w:val="24"/>
            <w:szCs w:val="24"/>
          </w:rPr>
          <w:t>http://www.pass.va/content/dam/scienzesociali/pdf/es7/es7-berthelemy.pdf</w:t>
        </w:r>
      </w:hyperlink>
      <w:r w:rsidRPr="00D762DD">
        <w:rPr>
          <w:rFonts w:ascii="Times New Roman" w:hAnsi="Times New Roman" w:cs="Times New Roman"/>
          <w:sz w:val="24"/>
          <w:szCs w:val="24"/>
        </w:rPr>
        <w:t xml:space="preserve"> (Accessed Feb 2022)</w:t>
      </w:r>
    </w:p>
    <w:p w14:paraId="08EF122B"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Bourdieu, P. 1986. “The Forms of Capital.” Pp. 241–58 in Handbook of theory and research for the sociology of education, edited by J. G. Richardson. New York: Greenwood Press </w:t>
      </w:r>
    </w:p>
    <w:p w14:paraId="5698AEF2"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Crenn, J (2021) “The joy of going back to school in the time of Covid-19” Available at: </w:t>
      </w:r>
      <w:hyperlink r:id="rId11" w:history="1">
        <w:r w:rsidRPr="00D762DD">
          <w:rPr>
            <w:rStyle w:val="Hyperlink"/>
            <w:rFonts w:ascii="Times New Roman" w:hAnsi="Times New Roman" w:cs="Times New Roman"/>
            <w:sz w:val="24"/>
            <w:szCs w:val="24"/>
          </w:rPr>
          <w:t>https://www.unicef.org/mali/en/stories/joy-going-back-school-time-covid-19</w:t>
        </w:r>
      </w:hyperlink>
      <w:r w:rsidRPr="00D762DD">
        <w:rPr>
          <w:rFonts w:ascii="Times New Roman" w:hAnsi="Times New Roman" w:cs="Times New Roman"/>
          <w:sz w:val="24"/>
          <w:szCs w:val="24"/>
        </w:rPr>
        <w:t xml:space="preserve"> (Accessed March 2022)</w:t>
      </w:r>
    </w:p>
    <w:p w14:paraId="3A7C6403"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Edwards, M. (2015). Global Childhoods, Northwich: Critical Thinking Publishing.</w:t>
      </w:r>
    </w:p>
    <w:p w14:paraId="5115A8B8"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Global partnership org (2021) “Education in Mali” Available at:  </w:t>
      </w:r>
      <w:hyperlink r:id="rId12" w:history="1">
        <w:r w:rsidRPr="00D762DD">
          <w:rPr>
            <w:rStyle w:val="Hyperlink"/>
            <w:rFonts w:ascii="Times New Roman" w:hAnsi="Times New Roman" w:cs="Times New Roman"/>
            <w:sz w:val="24"/>
            <w:szCs w:val="24"/>
          </w:rPr>
          <w:t>https://www.globalpartnership.org/where-we-work/mali</w:t>
        </w:r>
      </w:hyperlink>
      <w:r w:rsidRPr="00D762DD">
        <w:rPr>
          <w:rFonts w:ascii="Times New Roman" w:hAnsi="Times New Roman" w:cs="Times New Roman"/>
          <w:sz w:val="24"/>
          <w:szCs w:val="24"/>
        </w:rPr>
        <w:t xml:space="preserve"> (Accessed March 2022)</w:t>
      </w:r>
    </w:p>
    <w:p w14:paraId="46F68EAF"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lastRenderedPageBreak/>
        <w:t xml:space="preserve">Iexplore.com (2022) “Mali history and culture” Available at: </w:t>
      </w:r>
      <w:hyperlink r:id="rId13" w:history="1">
        <w:r w:rsidRPr="00D762DD">
          <w:rPr>
            <w:rStyle w:val="Hyperlink"/>
            <w:rFonts w:ascii="Times New Roman" w:hAnsi="Times New Roman" w:cs="Times New Roman"/>
            <w:sz w:val="24"/>
            <w:szCs w:val="24"/>
          </w:rPr>
          <w:t>https://www.iexplore.com/articles/travel-guides/africa/mali/history-and-culture#:~:text=From%20the%20nomadic%20Tuareg%2C%20Fulani,and%20occupations%20over%20the%20centuries</w:t>
        </w:r>
      </w:hyperlink>
      <w:r w:rsidRPr="00D762DD">
        <w:rPr>
          <w:rFonts w:ascii="Times New Roman" w:hAnsi="Times New Roman" w:cs="Times New Roman"/>
          <w:sz w:val="24"/>
          <w:szCs w:val="24"/>
        </w:rPr>
        <w:t>. (Accessed March 2022)</w:t>
      </w:r>
    </w:p>
    <w:p w14:paraId="7BCCA25E"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K12Academics (2004-2022) “Education in Mali” Available at: </w:t>
      </w:r>
      <w:hyperlink r:id="rId14" w:history="1">
        <w:r w:rsidRPr="00D762DD">
          <w:rPr>
            <w:rStyle w:val="Hyperlink"/>
            <w:rFonts w:ascii="Times New Roman" w:hAnsi="Times New Roman" w:cs="Times New Roman"/>
            <w:sz w:val="24"/>
            <w:szCs w:val="24"/>
          </w:rPr>
          <w:t>https://www.k12academics.com/Education%20Worldwide/education-mali</w:t>
        </w:r>
      </w:hyperlink>
      <w:r w:rsidRPr="00D762DD">
        <w:rPr>
          <w:rFonts w:ascii="Times New Roman" w:hAnsi="Times New Roman" w:cs="Times New Roman"/>
          <w:sz w:val="24"/>
          <w:szCs w:val="24"/>
        </w:rPr>
        <w:t xml:space="preserve"> (Accessed Feb 2022)</w:t>
      </w:r>
    </w:p>
    <w:p w14:paraId="747DE555"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Kellogg, N.C (2018) “Improvements for girls’ education in Mali” Available at: </w:t>
      </w:r>
      <w:hyperlink r:id="rId15" w:history="1">
        <w:r w:rsidRPr="00D762DD">
          <w:rPr>
            <w:rStyle w:val="Hyperlink"/>
            <w:rFonts w:ascii="Times New Roman" w:hAnsi="Times New Roman" w:cs="Times New Roman"/>
            <w:sz w:val="24"/>
            <w:szCs w:val="24"/>
          </w:rPr>
          <w:t>https://borgenproject.org/tag/child-marriage-in-mali/</w:t>
        </w:r>
      </w:hyperlink>
      <w:r w:rsidRPr="00D762DD">
        <w:rPr>
          <w:rFonts w:ascii="Times New Roman" w:hAnsi="Times New Roman" w:cs="Times New Roman"/>
          <w:sz w:val="24"/>
          <w:szCs w:val="24"/>
        </w:rPr>
        <w:t xml:space="preserve"> (Accessed March 2022)</w:t>
      </w:r>
    </w:p>
    <w:p w14:paraId="1CD3F161" w14:textId="4F65E9B8"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Lange, M-F (2003) “Paper commissioned </w:t>
      </w:r>
      <w:r w:rsidR="00492DCB" w:rsidRPr="00D762DD">
        <w:rPr>
          <w:rFonts w:ascii="Times New Roman" w:hAnsi="Times New Roman" w:cs="Times New Roman"/>
          <w:sz w:val="24"/>
          <w:szCs w:val="24"/>
        </w:rPr>
        <w:t>for the EFA Global Monitoring Report 2003</w:t>
      </w:r>
      <w:r w:rsidRPr="00D762DD">
        <w:rPr>
          <w:rFonts w:ascii="Times New Roman" w:hAnsi="Times New Roman" w:cs="Times New Roman"/>
          <w:sz w:val="24"/>
          <w:szCs w:val="24"/>
        </w:rPr>
        <w:t>/</w:t>
      </w:r>
      <w:r w:rsidR="00492DCB" w:rsidRPr="00D762DD">
        <w:rPr>
          <w:rFonts w:ascii="Times New Roman" w:hAnsi="Times New Roman" w:cs="Times New Roman"/>
          <w:sz w:val="24"/>
          <w:szCs w:val="24"/>
        </w:rPr>
        <w:t>4, The Leap to Equality</w:t>
      </w:r>
      <w:r w:rsidRPr="00D762DD">
        <w:rPr>
          <w:rFonts w:ascii="Times New Roman" w:hAnsi="Times New Roman" w:cs="Times New Roman"/>
          <w:sz w:val="24"/>
          <w:szCs w:val="24"/>
        </w:rPr>
        <w:t xml:space="preserve">”. Available at: </w:t>
      </w:r>
      <w:hyperlink r:id="rId16" w:history="1">
        <w:r w:rsidRPr="00D762DD">
          <w:rPr>
            <w:rStyle w:val="Hyperlink"/>
            <w:rFonts w:ascii="Times New Roman" w:hAnsi="Times New Roman" w:cs="Times New Roman"/>
            <w:sz w:val="24"/>
            <w:szCs w:val="24"/>
          </w:rPr>
          <w:t>https://unesdoc.unesco.org/ark:/48223/pf0000146795_eng</w:t>
        </w:r>
      </w:hyperlink>
      <w:r w:rsidRPr="00D762DD">
        <w:rPr>
          <w:rFonts w:ascii="Times New Roman" w:hAnsi="Times New Roman" w:cs="Times New Roman"/>
          <w:sz w:val="24"/>
          <w:szCs w:val="24"/>
        </w:rPr>
        <w:t xml:space="preserve"> (Accessed March 2022)</w:t>
      </w:r>
    </w:p>
    <w:p w14:paraId="09DFE7B0"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Nwanko, B,C. and Ocheni, S (2012) “Analysis of colonialism and its impact in Africa” Available at: </w:t>
      </w:r>
      <w:hyperlink r:id="rId17" w:history="1">
        <w:r w:rsidRPr="00D762DD">
          <w:rPr>
            <w:rStyle w:val="Hyperlink"/>
            <w:rFonts w:ascii="Times New Roman" w:hAnsi="Times New Roman" w:cs="Times New Roman"/>
            <w:sz w:val="24"/>
            <w:szCs w:val="24"/>
          </w:rPr>
          <w:t>https://www.tralac.org/images/News/Documents/Analysis_of_Colonialism_and_Its_Impact_in_Africa_Ocheni_and_Nwankwo_CSCanada_2012.pdf</w:t>
        </w:r>
      </w:hyperlink>
      <w:r w:rsidRPr="00D762DD">
        <w:rPr>
          <w:rFonts w:ascii="Times New Roman" w:hAnsi="Times New Roman" w:cs="Times New Roman"/>
          <w:sz w:val="24"/>
          <w:szCs w:val="24"/>
        </w:rPr>
        <w:t xml:space="preserve">  (Accessed Feb 2022)</w:t>
      </w:r>
    </w:p>
    <w:p w14:paraId="6DC80F6B" w14:textId="6E17A55E"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Said, E (2003) “orientalism” [11</w:t>
      </w:r>
      <w:r w:rsidRPr="00D762DD">
        <w:rPr>
          <w:rFonts w:ascii="Times New Roman" w:hAnsi="Times New Roman" w:cs="Times New Roman"/>
          <w:sz w:val="24"/>
          <w:szCs w:val="24"/>
          <w:vertAlign w:val="superscript"/>
        </w:rPr>
        <w:t>th</w:t>
      </w:r>
      <w:r w:rsidRPr="00D762DD">
        <w:rPr>
          <w:rFonts w:ascii="Times New Roman" w:hAnsi="Times New Roman" w:cs="Times New Roman"/>
          <w:sz w:val="24"/>
          <w:szCs w:val="24"/>
        </w:rPr>
        <w:t xml:space="preserve"> </w:t>
      </w:r>
      <w:r w:rsidR="00492DCB" w:rsidRPr="00D762DD">
        <w:rPr>
          <w:rFonts w:ascii="Times New Roman" w:hAnsi="Times New Roman" w:cs="Times New Roman"/>
          <w:sz w:val="24"/>
          <w:szCs w:val="24"/>
        </w:rPr>
        <w:t>edition] published</w:t>
      </w:r>
      <w:r w:rsidRPr="00D762DD">
        <w:rPr>
          <w:rFonts w:ascii="Times New Roman" w:hAnsi="Times New Roman" w:cs="Times New Roman"/>
          <w:sz w:val="24"/>
          <w:szCs w:val="24"/>
        </w:rPr>
        <w:t xml:space="preserve"> by Penguin: London UK Originally published: </w:t>
      </w:r>
      <w:r w:rsidR="00492DCB" w:rsidRPr="00D762DD">
        <w:rPr>
          <w:rFonts w:ascii="Times New Roman" w:hAnsi="Times New Roman" w:cs="Times New Roman"/>
          <w:sz w:val="24"/>
          <w:szCs w:val="24"/>
        </w:rPr>
        <w:t>London:</w:t>
      </w:r>
      <w:r w:rsidRPr="00D762DD">
        <w:rPr>
          <w:rFonts w:ascii="Times New Roman" w:hAnsi="Times New Roman" w:cs="Times New Roman"/>
          <w:sz w:val="24"/>
          <w:szCs w:val="24"/>
        </w:rPr>
        <w:t xml:space="preserve"> Routledge &amp; Kegan Paul, 1978 </w:t>
      </w:r>
    </w:p>
    <w:p w14:paraId="2F047CD3"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Stubbs, S (2000) “Overcoming barriers to inclusion in Douentza, Mali” Available at: </w:t>
      </w:r>
      <w:hyperlink r:id="rId18" w:history="1">
        <w:r w:rsidRPr="00D762DD">
          <w:rPr>
            <w:rStyle w:val="Hyperlink"/>
            <w:rFonts w:ascii="Times New Roman" w:hAnsi="Times New Roman" w:cs="Times New Roman"/>
            <w:sz w:val="24"/>
            <w:szCs w:val="24"/>
          </w:rPr>
          <w:t>https://www.eenet.org.uk/enabling-education-review/enabling-education-4/newsletter-4/4-9/</w:t>
        </w:r>
      </w:hyperlink>
      <w:r w:rsidRPr="00D762DD">
        <w:rPr>
          <w:rFonts w:ascii="Times New Roman" w:hAnsi="Times New Roman" w:cs="Times New Roman"/>
          <w:sz w:val="24"/>
          <w:szCs w:val="24"/>
        </w:rPr>
        <w:t xml:space="preserve">   Accessed March 2022</w:t>
      </w:r>
    </w:p>
    <w:p w14:paraId="5A35755B"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UENSCO (2022) “Out-of-School Children and Youth” Available at: </w:t>
      </w:r>
      <w:hyperlink r:id="rId19" w:history="1">
        <w:r w:rsidRPr="00D762DD">
          <w:rPr>
            <w:rStyle w:val="Hyperlink"/>
            <w:rFonts w:ascii="Times New Roman" w:hAnsi="Times New Roman" w:cs="Times New Roman"/>
            <w:sz w:val="24"/>
            <w:szCs w:val="24"/>
          </w:rPr>
          <w:t>http://uis.unesco.org/en/topic/out-school-children-and-youth</w:t>
        </w:r>
      </w:hyperlink>
      <w:r w:rsidRPr="00D762DD">
        <w:rPr>
          <w:rFonts w:ascii="Times New Roman" w:hAnsi="Times New Roman" w:cs="Times New Roman"/>
          <w:sz w:val="24"/>
          <w:szCs w:val="24"/>
        </w:rPr>
        <w:t xml:space="preserve"> (Accessed Feb 2022)</w:t>
      </w:r>
    </w:p>
    <w:p w14:paraId="4FE40192"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UNCRC (1990) “The United Nations Convention On The rights of the Child”[pdf] Available at: </w:t>
      </w:r>
      <w:hyperlink r:id="rId20" w:history="1">
        <w:r w:rsidRPr="00D762DD">
          <w:rPr>
            <w:rStyle w:val="Hyperlink"/>
            <w:rFonts w:ascii="Times New Roman" w:hAnsi="Times New Roman" w:cs="Times New Roman"/>
            <w:sz w:val="24"/>
            <w:szCs w:val="24"/>
          </w:rPr>
          <w:t>https://downloads.unicef.org.uk/wp-content/uploads/2010/05/UNCRC_united_nations_convention_on_the_rights_of_the_child.pdf</w:t>
        </w:r>
      </w:hyperlink>
      <w:r w:rsidRPr="00D762DD">
        <w:rPr>
          <w:rFonts w:ascii="Times New Roman" w:hAnsi="Times New Roman" w:cs="Times New Roman"/>
          <w:sz w:val="24"/>
          <w:szCs w:val="24"/>
        </w:rPr>
        <w:t xml:space="preserve"> (Accessed Feb 2022)</w:t>
      </w:r>
    </w:p>
    <w:p w14:paraId="791D0BE3" w14:textId="251CB175"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UN (1924) “Declaration of Human Rights” Available </w:t>
      </w:r>
      <w:r w:rsidR="00492DCB" w:rsidRPr="00D762DD">
        <w:rPr>
          <w:rFonts w:ascii="Times New Roman" w:hAnsi="Times New Roman" w:cs="Times New Roman"/>
          <w:sz w:val="24"/>
          <w:szCs w:val="24"/>
        </w:rPr>
        <w:t>at:</w:t>
      </w:r>
      <w:r w:rsidRPr="00D762DD">
        <w:rPr>
          <w:rFonts w:ascii="Times New Roman" w:hAnsi="Times New Roman" w:cs="Times New Roman"/>
          <w:sz w:val="24"/>
          <w:szCs w:val="24"/>
        </w:rPr>
        <w:t xml:space="preserve"> </w:t>
      </w:r>
      <w:hyperlink r:id="rId21" w:history="1">
        <w:r w:rsidRPr="00D762DD">
          <w:rPr>
            <w:rStyle w:val="Hyperlink"/>
            <w:rFonts w:ascii="Times New Roman" w:hAnsi="Times New Roman" w:cs="Times New Roman"/>
            <w:sz w:val="24"/>
            <w:szCs w:val="24"/>
          </w:rPr>
          <w:t>http://www.un-documents.net/gdrc1924.htm</w:t>
        </w:r>
      </w:hyperlink>
      <w:r w:rsidRPr="00D762DD">
        <w:rPr>
          <w:rFonts w:ascii="Times New Roman" w:hAnsi="Times New Roman" w:cs="Times New Roman"/>
          <w:sz w:val="24"/>
          <w:szCs w:val="24"/>
        </w:rPr>
        <w:t xml:space="preserve"> (Accessed March 2022)</w:t>
      </w:r>
    </w:p>
    <w:p w14:paraId="6A5DF91A"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lastRenderedPageBreak/>
        <w:t xml:space="preserve">UN (1989) “ convention on the rights of a child (UNCRC)” Available at: </w:t>
      </w:r>
      <w:hyperlink r:id="rId22" w:history="1">
        <w:r w:rsidRPr="00D762DD">
          <w:rPr>
            <w:rStyle w:val="Hyperlink"/>
            <w:rFonts w:ascii="Times New Roman" w:hAnsi="Times New Roman" w:cs="Times New Roman"/>
            <w:sz w:val="24"/>
            <w:szCs w:val="24"/>
          </w:rPr>
          <w:t>https://downloads.unicef.org.uk/wp-content/uploads/2010/05/UNCRC_united_nations_convention_on_the_rights_of_the_child.pdf</w:t>
        </w:r>
      </w:hyperlink>
      <w:r w:rsidRPr="00D762DD">
        <w:rPr>
          <w:rFonts w:ascii="Times New Roman" w:hAnsi="Times New Roman" w:cs="Times New Roman"/>
          <w:sz w:val="24"/>
          <w:szCs w:val="24"/>
        </w:rPr>
        <w:t xml:space="preserve"> (Accessed March 2022)</w:t>
      </w:r>
    </w:p>
    <w:p w14:paraId="322A3B2E" w14:textId="77777777" w:rsidR="00D762DD" w:rsidRPr="00D762DD" w:rsidRDefault="00D762DD" w:rsidP="00D762DD">
      <w:pPr>
        <w:spacing w:line="360" w:lineRule="auto"/>
        <w:jc w:val="both"/>
        <w:rPr>
          <w:rStyle w:val="Hyperlink"/>
          <w:rFonts w:ascii="Times New Roman" w:hAnsi="Times New Roman" w:cs="Times New Roman"/>
          <w:sz w:val="24"/>
          <w:szCs w:val="24"/>
        </w:rPr>
      </w:pPr>
      <w:r w:rsidRPr="00D762DD">
        <w:rPr>
          <w:rFonts w:ascii="Times New Roman" w:hAnsi="Times New Roman" w:cs="Times New Roman"/>
          <w:sz w:val="24"/>
          <w:szCs w:val="24"/>
        </w:rPr>
        <w:fldChar w:fldCharType="begin"/>
      </w:r>
      <w:r w:rsidRPr="00D762DD">
        <w:rPr>
          <w:rFonts w:ascii="Times New Roman" w:hAnsi="Times New Roman" w:cs="Times New Roman"/>
          <w:sz w:val="24"/>
          <w:szCs w:val="24"/>
        </w:rPr>
        <w:instrText xml:space="preserve"> HYPERLINK "https://www.un.org/sustainabledevelopment/development-agenda/" </w:instrText>
      </w:r>
      <w:r w:rsidRPr="00D762DD">
        <w:rPr>
          <w:rFonts w:ascii="Times New Roman" w:hAnsi="Times New Roman" w:cs="Times New Roman"/>
          <w:sz w:val="24"/>
          <w:szCs w:val="24"/>
        </w:rPr>
        <w:fldChar w:fldCharType="separate"/>
      </w:r>
      <w:r w:rsidRPr="00D762DD">
        <w:rPr>
          <w:rStyle w:val="Hyperlink"/>
          <w:rFonts w:ascii="Times New Roman" w:hAnsi="Times New Roman" w:cs="Times New Roman"/>
          <w:sz w:val="24"/>
          <w:szCs w:val="24"/>
        </w:rPr>
        <w:t>UN (2020) “The Sustainable Development Agenda” Available at: https://www.un.org/sustainabledevelopment/development-agenda/  (Accessed March 2022)</w:t>
      </w:r>
    </w:p>
    <w:p w14:paraId="192D1A4C"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fldChar w:fldCharType="end"/>
      </w:r>
    </w:p>
    <w:p w14:paraId="72568D21"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World Bank (2021) “UNESCO institute for statistics report” Available at: </w:t>
      </w:r>
      <w:hyperlink r:id="rId23" w:history="1">
        <w:r w:rsidRPr="00D762DD">
          <w:rPr>
            <w:rStyle w:val="Hyperlink"/>
            <w:rFonts w:ascii="Times New Roman" w:hAnsi="Times New Roman" w:cs="Times New Roman"/>
            <w:sz w:val="24"/>
            <w:szCs w:val="24"/>
          </w:rPr>
          <w:t>https://data.worldbank.org/indicator/SE.ADT.LITR.FE.ZS?locations=ML</w:t>
        </w:r>
      </w:hyperlink>
      <w:r w:rsidRPr="00D762DD">
        <w:rPr>
          <w:rFonts w:ascii="Times New Roman" w:hAnsi="Times New Roman" w:cs="Times New Roman"/>
          <w:sz w:val="24"/>
          <w:szCs w:val="24"/>
        </w:rPr>
        <w:t xml:space="preserve"> (Accessed Feb 2022)</w:t>
      </w:r>
    </w:p>
    <w:p w14:paraId="7D711BAD" w14:textId="77777777" w:rsidR="00D762DD" w:rsidRPr="00D762DD" w:rsidRDefault="00D762DD" w:rsidP="00D762DD">
      <w:pPr>
        <w:spacing w:line="360" w:lineRule="auto"/>
        <w:jc w:val="both"/>
        <w:rPr>
          <w:rFonts w:ascii="Times New Roman" w:hAnsi="Times New Roman" w:cs="Times New Roman"/>
          <w:sz w:val="24"/>
          <w:szCs w:val="24"/>
        </w:rPr>
      </w:pPr>
      <w:r w:rsidRPr="00D762DD">
        <w:rPr>
          <w:rFonts w:ascii="Times New Roman" w:hAnsi="Times New Roman" w:cs="Times New Roman"/>
          <w:sz w:val="24"/>
          <w:szCs w:val="24"/>
        </w:rPr>
        <w:t xml:space="preserve">Worldometer (2022) [graph] “Mali population live” Available at: </w:t>
      </w:r>
      <w:hyperlink r:id="rId24" w:history="1">
        <w:r w:rsidRPr="00D762DD">
          <w:rPr>
            <w:rStyle w:val="Hyperlink"/>
            <w:rFonts w:ascii="Times New Roman" w:hAnsi="Times New Roman" w:cs="Times New Roman"/>
            <w:sz w:val="24"/>
            <w:szCs w:val="24"/>
          </w:rPr>
          <w:t>https://www.worldometers.info/world-population/mali-population/</w:t>
        </w:r>
      </w:hyperlink>
      <w:r w:rsidRPr="00D762DD">
        <w:rPr>
          <w:rFonts w:ascii="Times New Roman" w:hAnsi="Times New Roman" w:cs="Times New Roman"/>
          <w:sz w:val="24"/>
          <w:szCs w:val="24"/>
        </w:rPr>
        <w:t xml:space="preserve"> (Accessed March 2022)</w:t>
      </w:r>
    </w:p>
    <w:p w14:paraId="5C9CA3F3" w14:textId="77777777" w:rsidR="00D762DD" w:rsidRPr="00263254" w:rsidRDefault="00D762DD" w:rsidP="002E09BB">
      <w:pPr>
        <w:spacing w:line="360" w:lineRule="auto"/>
        <w:jc w:val="both"/>
        <w:rPr>
          <w:rFonts w:ascii="Times New Roman" w:hAnsi="Times New Roman" w:cs="Times New Roman"/>
          <w:sz w:val="24"/>
          <w:szCs w:val="24"/>
        </w:rPr>
      </w:pPr>
    </w:p>
    <w:p w14:paraId="700F6C5E" w14:textId="77777777" w:rsidR="00C37B29" w:rsidRPr="00263254" w:rsidRDefault="00A83C57" w:rsidP="002E09BB">
      <w:pPr>
        <w:spacing w:line="360" w:lineRule="auto"/>
        <w:jc w:val="both"/>
        <w:rPr>
          <w:rFonts w:ascii="Times New Roman" w:hAnsi="Times New Roman" w:cs="Times New Roman"/>
          <w:sz w:val="24"/>
          <w:szCs w:val="24"/>
        </w:rPr>
      </w:pPr>
    </w:p>
    <w:sectPr w:rsidR="00C37B29" w:rsidRPr="0026325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A5BDC" w14:textId="77777777" w:rsidR="00A83C57" w:rsidRDefault="00A83C57" w:rsidP="00D762DD">
      <w:pPr>
        <w:spacing w:after="0" w:line="240" w:lineRule="auto"/>
      </w:pPr>
      <w:r>
        <w:separator/>
      </w:r>
    </w:p>
  </w:endnote>
  <w:endnote w:type="continuationSeparator" w:id="0">
    <w:p w14:paraId="3CAC3391" w14:textId="77777777" w:rsidR="00A83C57" w:rsidRDefault="00A83C57" w:rsidP="00D76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327583"/>
      <w:docPartObj>
        <w:docPartGallery w:val="Page Numbers (Bottom of Page)"/>
        <w:docPartUnique/>
      </w:docPartObj>
    </w:sdtPr>
    <w:sdtEndPr>
      <w:rPr>
        <w:noProof/>
      </w:rPr>
    </w:sdtEndPr>
    <w:sdtContent>
      <w:p w14:paraId="0D96083B" w14:textId="0DDF478A" w:rsidR="00D762DD" w:rsidRDefault="00D762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DEFBD" w14:textId="77777777" w:rsidR="00D762DD" w:rsidRDefault="00D76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42F20" w14:textId="77777777" w:rsidR="00A83C57" w:rsidRDefault="00A83C57" w:rsidP="00D762DD">
      <w:pPr>
        <w:spacing w:after="0" w:line="240" w:lineRule="auto"/>
      </w:pPr>
      <w:r>
        <w:separator/>
      </w:r>
    </w:p>
  </w:footnote>
  <w:footnote w:type="continuationSeparator" w:id="0">
    <w:p w14:paraId="63351D5D" w14:textId="77777777" w:rsidR="00A83C57" w:rsidRDefault="00A83C57" w:rsidP="00D762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54"/>
    <w:rsid w:val="000F7218"/>
    <w:rsid w:val="001814F4"/>
    <w:rsid w:val="00263254"/>
    <w:rsid w:val="002E09BB"/>
    <w:rsid w:val="00354FED"/>
    <w:rsid w:val="00452F79"/>
    <w:rsid w:val="00492DCB"/>
    <w:rsid w:val="00790FFD"/>
    <w:rsid w:val="008D0B95"/>
    <w:rsid w:val="00A83C57"/>
    <w:rsid w:val="00D450A0"/>
    <w:rsid w:val="00D762DD"/>
    <w:rsid w:val="00F41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D833"/>
  <w15:chartTrackingRefBased/>
  <w15:docId w15:val="{054FC771-1E1D-4D9B-BF8F-99479CF1E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2DD"/>
  </w:style>
  <w:style w:type="paragraph" w:styleId="Footer">
    <w:name w:val="footer"/>
    <w:basedOn w:val="Normal"/>
    <w:link w:val="FooterChar"/>
    <w:uiPriority w:val="99"/>
    <w:unhideWhenUsed/>
    <w:rsid w:val="00D76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2DD"/>
  </w:style>
  <w:style w:type="character" w:styleId="Hyperlink">
    <w:name w:val="Hyperlink"/>
    <w:basedOn w:val="DefaultParagraphFont"/>
    <w:uiPriority w:val="99"/>
    <w:unhideWhenUsed/>
    <w:rsid w:val="00D762DD"/>
    <w:rPr>
      <w:color w:val="0563C1" w:themeColor="hyperlink"/>
      <w:u w:val="single"/>
    </w:rPr>
  </w:style>
  <w:style w:type="character" w:styleId="UnresolvedMention">
    <w:name w:val="Unresolved Mention"/>
    <w:basedOn w:val="DefaultParagraphFont"/>
    <w:uiPriority w:val="99"/>
    <w:semiHidden/>
    <w:unhideWhenUsed/>
    <w:rsid w:val="00D762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447714">
      <w:bodyDiv w:val="1"/>
      <w:marLeft w:val="0"/>
      <w:marRight w:val="0"/>
      <w:marTop w:val="0"/>
      <w:marBottom w:val="0"/>
      <w:divBdr>
        <w:top w:val="none" w:sz="0" w:space="0" w:color="auto"/>
        <w:left w:val="none" w:sz="0" w:space="0" w:color="auto"/>
        <w:bottom w:val="none" w:sz="0" w:space="0" w:color="auto"/>
        <w:right w:val="none" w:sz="0" w:space="0" w:color="auto"/>
      </w:divBdr>
    </w:div>
    <w:div w:id="126958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parl.europa.eu/RegData/etudes/etudes/join/2014/433754/EXPO-DEVE_ET(2014)433754_EN.pdf" TargetMode="External"/><Relationship Id="rId13" Type="http://schemas.openxmlformats.org/officeDocument/2006/relationships/hyperlink" Target="https://www.iexplore.com/articles/travel-guides/africa/mali/history-and-culture#:~:text=From%20the%20nomadic%20Tuareg%2C%20Fulani,and%20occupations%20over%20the%20centuries" TargetMode="External"/><Relationship Id="rId18" Type="http://schemas.openxmlformats.org/officeDocument/2006/relationships/hyperlink" Target="https://www.eenet.org.uk/enabling-education-review/enabling-education-4/newsletter-4/4-9/"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un-documents.net/gdrc1924.htm" TargetMode="External"/><Relationship Id="rId7" Type="http://schemas.openxmlformats.org/officeDocument/2006/relationships/hyperlink" Target="https://www.acfacorp.org/news/education-in-mali-acfas-role-in-driving-systematic-change" TargetMode="External"/><Relationship Id="rId12" Type="http://schemas.openxmlformats.org/officeDocument/2006/relationships/hyperlink" Target="https://www.globalpartnership.org/where-we-work/mali" TargetMode="External"/><Relationship Id="rId17" Type="http://schemas.openxmlformats.org/officeDocument/2006/relationships/hyperlink" Target="https://www.tralac.org/images/News/Documents/Analysis_of_Colonialism_and_Its_Impact_in_Africa_Ocheni_and_Nwankwo_CSCanada_2012.pdf"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unesdoc.unesco.org/ark:/48223/pf0000146795_eng" TargetMode="External"/><Relationship Id="rId20" Type="http://schemas.openxmlformats.org/officeDocument/2006/relationships/hyperlink" Target="https://downloads.unicef.org.uk/wp-content/uploads/2010/05/UNCRC_united_nations_convention_on_the_rights_of_the_child.pdf" TargetMode="External"/><Relationship Id="rId1" Type="http://schemas.openxmlformats.org/officeDocument/2006/relationships/styles" Target="styles.xml"/><Relationship Id="rId6" Type="http://schemas.openxmlformats.org/officeDocument/2006/relationships/hyperlink" Target="https://www.accord.org.za/analysis/the-effects-of-covid-19-on-the-situation-in-mali/" TargetMode="External"/><Relationship Id="rId11" Type="http://schemas.openxmlformats.org/officeDocument/2006/relationships/hyperlink" Target="https://www.unicef.org/mali/en/stories/joy-going-back-school-time-covid-19" TargetMode="External"/><Relationship Id="rId24" Type="http://schemas.openxmlformats.org/officeDocument/2006/relationships/hyperlink" Target="https://www.worldometers.info/world-population/mali-population/" TargetMode="External"/><Relationship Id="rId5" Type="http://schemas.openxmlformats.org/officeDocument/2006/relationships/endnotes" Target="endnotes.xml"/><Relationship Id="rId15" Type="http://schemas.openxmlformats.org/officeDocument/2006/relationships/hyperlink" Target="https://borgenproject.org/tag/child-marriage-in-mali/" TargetMode="External"/><Relationship Id="rId23" Type="http://schemas.openxmlformats.org/officeDocument/2006/relationships/hyperlink" Target="https://data.worldbank.org/indicator/SE.ADT.LITR.FE.ZS?locations=ML" TargetMode="External"/><Relationship Id="rId10" Type="http://schemas.openxmlformats.org/officeDocument/2006/relationships/hyperlink" Target="http://www.pass.va/content/dam/scienzesociali/pdf/es7/es7-berthelemy.pdf" TargetMode="External"/><Relationship Id="rId19" Type="http://schemas.openxmlformats.org/officeDocument/2006/relationships/hyperlink" Target="http://uis.unesco.org/en/topic/out-school-children-and-youth" TargetMode="External"/><Relationship Id="rId4" Type="http://schemas.openxmlformats.org/officeDocument/2006/relationships/footnotes" Target="footnotes.xml"/><Relationship Id="rId9" Type="http://schemas.openxmlformats.org/officeDocument/2006/relationships/hyperlink" Target="https://www.u4.no/publications/mali-overview-of-corruption-and-anti-corruption-2020" TargetMode="External"/><Relationship Id="rId14" Type="http://schemas.openxmlformats.org/officeDocument/2006/relationships/hyperlink" Target="https://www.k12academics.com/Education%20Worldwide/education-mali" TargetMode="External"/><Relationship Id="rId22" Type="http://schemas.openxmlformats.org/officeDocument/2006/relationships/hyperlink" Target="https://downloads.unicef.org.uk/wp-content/uploads/2010/05/UNCRC_united_nations_convention_on_the_rights_of_the_child.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3453</Words>
  <Characters>19685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oddie</dc:creator>
  <cp:keywords/>
  <dc:description/>
  <cp:lastModifiedBy>naomi oddie</cp:lastModifiedBy>
  <cp:revision>2</cp:revision>
  <dcterms:created xsi:type="dcterms:W3CDTF">2022-03-06T23:23:00Z</dcterms:created>
  <dcterms:modified xsi:type="dcterms:W3CDTF">2022-03-06T23:44:00Z</dcterms:modified>
</cp:coreProperties>
</file>