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50D9D" w14:textId="77777777" w:rsidR="00230137" w:rsidRPr="008E73B4" w:rsidRDefault="00230137" w:rsidP="00CC1695">
      <w:pPr>
        <w:jc w:val="both"/>
        <w:rPr>
          <w:rFonts w:ascii="Arial" w:hAnsi="Arial" w:cs="Arial"/>
          <w:b/>
          <w:bCs/>
          <w:sz w:val="20"/>
          <w:szCs w:val="20"/>
        </w:rPr>
      </w:pPr>
    </w:p>
    <w:p w14:paraId="45CE9F77" w14:textId="77777777" w:rsidR="00BD08BE" w:rsidRPr="008E73B4" w:rsidRDefault="00BD08BE" w:rsidP="00CC1695">
      <w:pPr>
        <w:spacing w:after="120" w:line="360" w:lineRule="auto"/>
        <w:jc w:val="both"/>
        <w:rPr>
          <w:rFonts w:ascii="Arial" w:hAnsi="Arial" w:cs="Arial"/>
          <w:b/>
          <w:sz w:val="20"/>
          <w:szCs w:val="20"/>
        </w:rPr>
      </w:pPr>
      <w:bookmarkStart w:id="0" w:name="_Hlk213766442"/>
    </w:p>
    <w:p w14:paraId="7E8DB10D" w14:textId="77777777" w:rsidR="00BD08BE" w:rsidRPr="008E73B4" w:rsidRDefault="00BD08BE" w:rsidP="00CC1695">
      <w:pPr>
        <w:spacing w:after="120" w:line="360" w:lineRule="auto"/>
        <w:jc w:val="both"/>
        <w:rPr>
          <w:rFonts w:ascii="Arial" w:hAnsi="Arial" w:cs="Arial"/>
          <w:b/>
          <w:sz w:val="20"/>
          <w:szCs w:val="20"/>
        </w:rPr>
      </w:pPr>
    </w:p>
    <w:p w14:paraId="317CA191" w14:textId="77777777" w:rsidR="00BD08BE" w:rsidRPr="008E73B4" w:rsidRDefault="00BD08BE" w:rsidP="00CC1695">
      <w:pPr>
        <w:spacing w:after="120" w:line="360" w:lineRule="auto"/>
        <w:jc w:val="both"/>
        <w:rPr>
          <w:rFonts w:ascii="Arial" w:hAnsi="Arial" w:cs="Arial"/>
          <w:b/>
          <w:sz w:val="20"/>
          <w:szCs w:val="20"/>
        </w:rPr>
      </w:pPr>
    </w:p>
    <w:p w14:paraId="0DDD11F2" w14:textId="576858A8" w:rsidR="00BD08BE" w:rsidRPr="008E73B4" w:rsidRDefault="00BD08BE" w:rsidP="00CC1695">
      <w:pPr>
        <w:spacing w:after="120" w:line="360" w:lineRule="auto"/>
        <w:jc w:val="both"/>
        <w:rPr>
          <w:rFonts w:ascii="Arial" w:hAnsi="Arial" w:cs="Arial"/>
          <w:b/>
          <w:sz w:val="20"/>
          <w:szCs w:val="20"/>
        </w:rPr>
      </w:pPr>
    </w:p>
    <w:p w14:paraId="0A32C509" w14:textId="77777777" w:rsidR="00BD08BE" w:rsidRPr="008E73B4" w:rsidRDefault="00BD08BE" w:rsidP="00CC1695">
      <w:pPr>
        <w:spacing w:after="120" w:line="360" w:lineRule="auto"/>
        <w:jc w:val="both"/>
        <w:rPr>
          <w:rFonts w:ascii="Arial" w:hAnsi="Arial" w:cs="Arial"/>
          <w:b/>
          <w:sz w:val="20"/>
          <w:szCs w:val="20"/>
        </w:rPr>
      </w:pPr>
    </w:p>
    <w:p w14:paraId="7CF1FEB6" w14:textId="77777777" w:rsidR="00BD08BE" w:rsidRPr="008E73B4" w:rsidRDefault="00BD08BE" w:rsidP="00CC1695">
      <w:pPr>
        <w:spacing w:after="120" w:line="360" w:lineRule="auto"/>
        <w:jc w:val="both"/>
        <w:rPr>
          <w:rFonts w:ascii="Arial" w:hAnsi="Arial" w:cs="Arial"/>
          <w:b/>
          <w:sz w:val="20"/>
          <w:szCs w:val="20"/>
        </w:rPr>
      </w:pPr>
    </w:p>
    <w:p w14:paraId="1764E56B" w14:textId="77777777" w:rsidR="00BD08BE" w:rsidRPr="008E73B4" w:rsidRDefault="00BD08BE" w:rsidP="00CC1695">
      <w:pPr>
        <w:spacing w:after="120" w:line="360" w:lineRule="auto"/>
        <w:jc w:val="both"/>
        <w:rPr>
          <w:rFonts w:ascii="Arial" w:hAnsi="Arial" w:cs="Arial"/>
          <w:b/>
          <w:sz w:val="20"/>
          <w:szCs w:val="20"/>
        </w:rPr>
      </w:pPr>
    </w:p>
    <w:p w14:paraId="6720A75A" w14:textId="3165546F" w:rsidR="00230137" w:rsidRPr="008E73B4" w:rsidRDefault="00230137" w:rsidP="00BD08BE">
      <w:pPr>
        <w:spacing w:after="120" w:line="360" w:lineRule="auto"/>
        <w:jc w:val="center"/>
        <w:rPr>
          <w:rFonts w:ascii="Arial" w:hAnsi="Arial" w:cs="Arial"/>
          <w:b/>
        </w:rPr>
      </w:pPr>
      <w:r w:rsidRPr="008E73B4">
        <w:rPr>
          <w:rFonts w:ascii="Arial" w:hAnsi="Arial" w:cs="Arial"/>
          <w:b/>
        </w:rPr>
        <w:t>MSc Software Engineering and AI</w:t>
      </w:r>
    </w:p>
    <w:p w14:paraId="6AC12679" w14:textId="14C1EB1A" w:rsidR="00230137" w:rsidRPr="008E73B4" w:rsidRDefault="00230137" w:rsidP="00BD08BE">
      <w:pPr>
        <w:spacing w:after="120" w:line="360" w:lineRule="auto"/>
        <w:jc w:val="center"/>
        <w:rPr>
          <w:rFonts w:ascii="Arial" w:hAnsi="Arial" w:cs="Arial"/>
          <w:b/>
          <w:bCs/>
        </w:rPr>
      </w:pPr>
      <w:r w:rsidRPr="008E73B4">
        <w:rPr>
          <w:rFonts w:ascii="Arial" w:hAnsi="Arial" w:cs="Arial"/>
          <w:b/>
        </w:rPr>
        <w:t>Data Mining &amp; Visualisation</w:t>
      </w:r>
    </w:p>
    <w:p w14:paraId="0EEDD6B0" w14:textId="77777777" w:rsidR="00230137" w:rsidRPr="008E73B4" w:rsidRDefault="00230137" w:rsidP="00BD08BE">
      <w:pPr>
        <w:spacing w:before="120" w:after="120"/>
        <w:jc w:val="center"/>
        <w:rPr>
          <w:rFonts w:ascii="Arial" w:hAnsi="Arial" w:cs="Arial"/>
          <w:b/>
        </w:rPr>
      </w:pPr>
      <w:r w:rsidRPr="008E73B4">
        <w:rPr>
          <w:rFonts w:ascii="Arial" w:hAnsi="Arial" w:cs="Arial"/>
          <w:b/>
          <w:bCs/>
        </w:rPr>
        <w:t xml:space="preserve">Component 2 - </w:t>
      </w:r>
      <w:r w:rsidRPr="008E73B4">
        <w:rPr>
          <w:rFonts w:ascii="Arial" w:hAnsi="Arial" w:cs="Arial"/>
          <w:b/>
        </w:rPr>
        <w:t>Exploratory Data Analysis, Report and Demonstration</w:t>
      </w:r>
    </w:p>
    <w:p w14:paraId="5551D289" w14:textId="77777777" w:rsidR="00230137" w:rsidRPr="008E73B4" w:rsidRDefault="00230137" w:rsidP="00BD08BE">
      <w:pPr>
        <w:spacing w:line="360" w:lineRule="auto"/>
        <w:jc w:val="center"/>
        <w:rPr>
          <w:rFonts w:ascii="Arial" w:hAnsi="Arial" w:cs="Arial"/>
          <w:b/>
          <w:bCs/>
        </w:rPr>
      </w:pPr>
      <w:r w:rsidRPr="008E73B4">
        <w:rPr>
          <w:rFonts w:ascii="Arial" w:hAnsi="Arial" w:cs="Arial"/>
          <w:b/>
          <w:bCs/>
        </w:rPr>
        <w:t>Rabeya Begum</w:t>
      </w:r>
    </w:p>
    <w:p w14:paraId="3F06BF3D" w14:textId="77777777" w:rsidR="00230137" w:rsidRPr="008E73B4" w:rsidRDefault="00230137" w:rsidP="00BD08BE">
      <w:pPr>
        <w:spacing w:line="360" w:lineRule="auto"/>
        <w:jc w:val="center"/>
        <w:rPr>
          <w:rFonts w:ascii="Arial" w:hAnsi="Arial" w:cs="Arial"/>
          <w:b/>
          <w:bCs/>
        </w:rPr>
      </w:pPr>
      <w:r w:rsidRPr="008E73B4">
        <w:rPr>
          <w:rFonts w:ascii="Arial" w:hAnsi="Arial" w:cs="Arial"/>
          <w:b/>
          <w:bCs/>
        </w:rPr>
        <w:t>2209407</w:t>
      </w:r>
    </w:p>
    <w:p w14:paraId="00E36F77" w14:textId="77777777" w:rsidR="00230137" w:rsidRPr="008E73B4" w:rsidRDefault="00230137" w:rsidP="00BD08BE">
      <w:pPr>
        <w:spacing w:line="360" w:lineRule="auto"/>
        <w:jc w:val="center"/>
        <w:rPr>
          <w:rFonts w:ascii="Arial" w:hAnsi="Arial" w:cs="Arial"/>
          <w:b/>
          <w:bCs/>
        </w:rPr>
      </w:pPr>
      <w:r w:rsidRPr="008E73B4">
        <w:rPr>
          <w:rFonts w:ascii="Arial" w:hAnsi="Arial" w:cs="Arial"/>
          <w:b/>
          <w:bCs/>
        </w:rPr>
        <w:t>Dr Nouh Elmitwally</w:t>
      </w:r>
    </w:p>
    <w:p w14:paraId="3037D5B7" w14:textId="77777777" w:rsidR="00230137" w:rsidRPr="008E73B4" w:rsidRDefault="00230137" w:rsidP="00BD08BE">
      <w:pPr>
        <w:spacing w:line="360" w:lineRule="auto"/>
        <w:jc w:val="center"/>
        <w:rPr>
          <w:rFonts w:ascii="Arial" w:hAnsi="Arial" w:cs="Arial"/>
          <w:b/>
          <w:bCs/>
        </w:rPr>
      </w:pPr>
      <w:r w:rsidRPr="008E73B4">
        <w:rPr>
          <w:rFonts w:ascii="Arial" w:hAnsi="Arial" w:cs="Arial"/>
          <w:b/>
          <w:bCs/>
          <w:lang w:val="en-US"/>
        </w:rPr>
        <w:t>21</w:t>
      </w:r>
      <w:r w:rsidRPr="008E73B4">
        <w:rPr>
          <w:rFonts w:ascii="Arial" w:hAnsi="Arial" w:cs="Arial"/>
          <w:b/>
          <w:bCs/>
          <w:vertAlign w:val="superscript"/>
          <w:lang w:val="en-US"/>
        </w:rPr>
        <w:t>st</w:t>
      </w:r>
      <w:r w:rsidRPr="008E73B4">
        <w:rPr>
          <w:rFonts w:ascii="Arial" w:hAnsi="Arial" w:cs="Arial"/>
          <w:b/>
          <w:bCs/>
          <w:lang w:val="en-US"/>
        </w:rPr>
        <w:t xml:space="preserve"> November 2025</w:t>
      </w:r>
    </w:p>
    <w:p w14:paraId="690E8AC5" w14:textId="77777777" w:rsidR="00230137" w:rsidRPr="008E73B4" w:rsidRDefault="00230137" w:rsidP="00BD08BE">
      <w:pPr>
        <w:spacing w:line="360" w:lineRule="auto"/>
        <w:jc w:val="center"/>
        <w:rPr>
          <w:rFonts w:ascii="Arial" w:hAnsi="Arial" w:cs="Arial"/>
          <w:b/>
          <w:bCs/>
        </w:rPr>
      </w:pPr>
      <w:r w:rsidRPr="008E73B4">
        <w:rPr>
          <w:rFonts w:ascii="Arial" w:hAnsi="Arial" w:cs="Arial"/>
          <w:b/>
          <w:bCs/>
        </w:rPr>
        <w:t>University of Wales Trinity St David – Quay place</w:t>
      </w:r>
    </w:p>
    <w:bookmarkEnd w:id="0"/>
    <w:p w14:paraId="6DEEA33C" w14:textId="77777777" w:rsidR="00230137" w:rsidRPr="008E73B4" w:rsidRDefault="00230137" w:rsidP="00CC1695">
      <w:pPr>
        <w:jc w:val="both"/>
        <w:rPr>
          <w:rFonts w:ascii="Arial" w:hAnsi="Arial" w:cs="Arial"/>
          <w:sz w:val="20"/>
          <w:szCs w:val="20"/>
        </w:rPr>
      </w:pPr>
    </w:p>
    <w:p w14:paraId="76F91A19" w14:textId="77777777" w:rsidR="00230137" w:rsidRPr="008E73B4" w:rsidRDefault="00230137" w:rsidP="00CC1695">
      <w:pPr>
        <w:jc w:val="both"/>
        <w:rPr>
          <w:rFonts w:ascii="Arial" w:hAnsi="Arial" w:cs="Arial"/>
          <w:sz w:val="20"/>
          <w:szCs w:val="20"/>
        </w:rPr>
      </w:pPr>
    </w:p>
    <w:p w14:paraId="4D6B2119" w14:textId="77777777" w:rsidR="00230137" w:rsidRPr="008E73B4" w:rsidRDefault="00230137" w:rsidP="00CC1695">
      <w:pPr>
        <w:jc w:val="both"/>
        <w:rPr>
          <w:rFonts w:ascii="Arial" w:hAnsi="Arial" w:cs="Arial"/>
          <w:sz w:val="20"/>
          <w:szCs w:val="20"/>
        </w:rPr>
      </w:pPr>
    </w:p>
    <w:p w14:paraId="21E1AB34" w14:textId="77777777" w:rsidR="00230137" w:rsidRPr="008E73B4" w:rsidRDefault="00230137" w:rsidP="00CC1695">
      <w:pPr>
        <w:jc w:val="both"/>
        <w:rPr>
          <w:rFonts w:ascii="Arial" w:hAnsi="Arial" w:cs="Arial"/>
          <w:sz w:val="20"/>
          <w:szCs w:val="20"/>
        </w:rPr>
      </w:pPr>
    </w:p>
    <w:p w14:paraId="6971ABAD" w14:textId="77777777" w:rsidR="00230137" w:rsidRPr="008E73B4" w:rsidRDefault="00230137" w:rsidP="00CC1695">
      <w:pPr>
        <w:jc w:val="both"/>
        <w:rPr>
          <w:rFonts w:ascii="Arial" w:hAnsi="Arial" w:cs="Arial"/>
          <w:sz w:val="20"/>
          <w:szCs w:val="20"/>
        </w:rPr>
      </w:pPr>
    </w:p>
    <w:p w14:paraId="48D3F81E" w14:textId="77777777" w:rsidR="00230137" w:rsidRPr="008E73B4" w:rsidRDefault="00230137" w:rsidP="00CC1695">
      <w:pPr>
        <w:jc w:val="both"/>
        <w:rPr>
          <w:rFonts w:ascii="Arial" w:hAnsi="Arial" w:cs="Arial"/>
          <w:sz w:val="20"/>
          <w:szCs w:val="20"/>
        </w:rPr>
      </w:pPr>
    </w:p>
    <w:p w14:paraId="5AF256CF" w14:textId="77777777" w:rsidR="00643963" w:rsidRPr="008E73B4" w:rsidRDefault="00643963" w:rsidP="00CC1695">
      <w:pPr>
        <w:jc w:val="both"/>
        <w:rPr>
          <w:rFonts w:ascii="Arial" w:hAnsi="Arial" w:cs="Arial"/>
          <w:sz w:val="20"/>
          <w:szCs w:val="20"/>
        </w:rPr>
      </w:pPr>
    </w:p>
    <w:p w14:paraId="7CFACAD7" w14:textId="77777777" w:rsidR="00643963" w:rsidRPr="008E73B4" w:rsidRDefault="00643963" w:rsidP="00CC1695">
      <w:pPr>
        <w:jc w:val="both"/>
        <w:rPr>
          <w:rFonts w:ascii="Arial" w:hAnsi="Arial" w:cs="Arial"/>
          <w:sz w:val="20"/>
          <w:szCs w:val="20"/>
        </w:rPr>
      </w:pPr>
    </w:p>
    <w:p w14:paraId="1FB519EE" w14:textId="77777777" w:rsidR="00643963" w:rsidRPr="008E73B4" w:rsidRDefault="00643963" w:rsidP="00CC1695">
      <w:pPr>
        <w:jc w:val="both"/>
        <w:rPr>
          <w:rFonts w:ascii="Arial" w:hAnsi="Arial" w:cs="Arial"/>
          <w:sz w:val="20"/>
          <w:szCs w:val="20"/>
        </w:rPr>
      </w:pPr>
    </w:p>
    <w:p w14:paraId="06E282CD" w14:textId="77777777" w:rsidR="00230137" w:rsidRPr="008E73B4" w:rsidRDefault="00230137" w:rsidP="00CC1695">
      <w:pPr>
        <w:jc w:val="both"/>
        <w:rPr>
          <w:rFonts w:ascii="Arial" w:hAnsi="Arial" w:cs="Arial"/>
          <w:sz w:val="20"/>
          <w:szCs w:val="20"/>
        </w:rPr>
      </w:pPr>
    </w:p>
    <w:p w14:paraId="3AC0952A" w14:textId="77777777" w:rsidR="00230137" w:rsidRPr="008E73B4" w:rsidRDefault="00230137" w:rsidP="00CC1695">
      <w:pPr>
        <w:jc w:val="both"/>
        <w:rPr>
          <w:rFonts w:ascii="Arial" w:hAnsi="Arial" w:cs="Arial"/>
          <w:sz w:val="20"/>
          <w:szCs w:val="20"/>
        </w:rPr>
      </w:pPr>
    </w:p>
    <w:p w14:paraId="092749EC" w14:textId="77777777" w:rsidR="00230137" w:rsidRPr="008E73B4" w:rsidRDefault="00230137" w:rsidP="00CC1695">
      <w:pPr>
        <w:jc w:val="both"/>
        <w:rPr>
          <w:rFonts w:ascii="Arial" w:hAnsi="Arial" w:cs="Arial"/>
          <w:sz w:val="20"/>
          <w:szCs w:val="20"/>
        </w:rPr>
      </w:pPr>
    </w:p>
    <w:p w14:paraId="434B9829" w14:textId="77777777" w:rsidR="00230137" w:rsidRPr="008E73B4" w:rsidRDefault="00230137" w:rsidP="00CC1695">
      <w:pPr>
        <w:jc w:val="both"/>
        <w:rPr>
          <w:rFonts w:ascii="Arial" w:hAnsi="Arial" w:cs="Arial"/>
          <w:sz w:val="20"/>
          <w:szCs w:val="20"/>
        </w:rPr>
      </w:pPr>
    </w:p>
    <w:p w14:paraId="461923ED" w14:textId="77777777" w:rsidR="00230137" w:rsidRPr="008E73B4" w:rsidRDefault="00230137" w:rsidP="00CC1695">
      <w:pPr>
        <w:jc w:val="both"/>
        <w:rPr>
          <w:rFonts w:ascii="Arial" w:hAnsi="Arial" w:cs="Arial"/>
          <w:sz w:val="20"/>
          <w:szCs w:val="20"/>
        </w:rPr>
      </w:pPr>
    </w:p>
    <w:p w14:paraId="578C0C3D" w14:textId="77777777" w:rsidR="004052EF" w:rsidRPr="008E73B4" w:rsidRDefault="004052EF" w:rsidP="00CC1695">
      <w:pPr>
        <w:jc w:val="both"/>
        <w:rPr>
          <w:rFonts w:ascii="Arial" w:hAnsi="Arial" w:cs="Arial"/>
          <w:sz w:val="20"/>
          <w:szCs w:val="20"/>
        </w:rPr>
      </w:pPr>
    </w:p>
    <w:p w14:paraId="325B8168" w14:textId="77777777" w:rsidR="00230137" w:rsidRPr="008E73B4" w:rsidRDefault="00230137" w:rsidP="00CC1695">
      <w:pPr>
        <w:tabs>
          <w:tab w:val="left" w:pos="1530"/>
        </w:tabs>
        <w:jc w:val="both"/>
        <w:rPr>
          <w:rFonts w:ascii="Arial" w:hAnsi="Arial" w:cs="Arial"/>
          <w:sz w:val="20"/>
          <w:szCs w:val="20"/>
        </w:rPr>
      </w:pPr>
      <w:r w:rsidRPr="008E73B4">
        <w:rPr>
          <w:rFonts w:ascii="Arial" w:hAnsi="Arial" w:cs="Arial"/>
          <w:sz w:val="20"/>
          <w:szCs w:val="20"/>
        </w:rPr>
        <w:tab/>
      </w:r>
    </w:p>
    <w:sdt>
      <w:sdtPr>
        <w:rPr>
          <w:rFonts w:ascii="Arial" w:eastAsiaTheme="minorHAnsi" w:hAnsi="Arial" w:cs="Arial"/>
          <w:color w:val="auto"/>
          <w:kern w:val="2"/>
          <w:sz w:val="20"/>
          <w:szCs w:val="20"/>
          <w:lang w:val="en-GB"/>
          <w14:ligatures w14:val="standardContextual"/>
        </w:rPr>
        <w:id w:val="-377316226"/>
        <w:docPartObj>
          <w:docPartGallery w:val="Table of Contents"/>
          <w:docPartUnique/>
        </w:docPartObj>
      </w:sdtPr>
      <w:sdtEndPr>
        <w:rPr>
          <w:b/>
          <w:bCs/>
          <w:noProof/>
        </w:rPr>
      </w:sdtEndPr>
      <w:sdtContent>
        <w:p w14:paraId="3FFCA803" w14:textId="6781390E" w:rsidR="00223826" w:rsidRPr="008E73B4" w:rsidRDefault="00223826">
          <w:pPr>
            <w:pStyle w:val="TOCHeading"/>
            <w:rPr>
              <w:rFonts w:ascii="Arial" w:hAnsi="Arial" w:cs="Arial"/>
              <w:color w:val="auto"/>
              <w:sz w:val="20"/>
              <w:szCs w:val="20"/>
            </w:rPr>
          </w:pPr>
          <w:r w:rsidRPr="008E73B4">
            <w:rPr>
              <w:rFonts w:ascii="Arial" w:hAnsi="Arial" w:cs="Arial"/>
              <w:b/>
              <w:bCs/>
              <w:color w:val="auto"/>
              <w:sz w:val="20"/>
              <w:szCs w:val="20"/>
            </w:rPr>
            <w:t>Table of Contents</w:t>
          </w:r>
        </w:p>
        <w:p w14:paraId="1DE9A0B8" w14:textId="77777777" w:rsidR="001F38BE" w:rsidRPr="008E73B4" w:rsidRDefault="001F38BE" w:rsidP="001F38BE">
          <w:pPr>
            <w:rPr>
              <w:rFonts w:ascii="Arial" w:hAnsi="Arial" w:cs="Arial"/>
              <w:lang w:val="en-US"/>
            </w:rPr>
          </w:pPr>
        </w:p>
        <w:p w14:paraId="08ECB84D" w14:textId="751FC663" w:rsidR="00FD1E3F" w:rsidRPr="0005701A" w:rsidRDefault="00223826">
          <w:pPr>
            <w:pStyle w:val="TOC1"/>
            <w:tabs>
              <w:tab w:val="right" w:leader="dot" w:pos="9016"/>
            </w:tabs>
            <w:rPr>
              <w:rFonts w:ascii="Arial" w:eastAsiaTheme="minorEastAsia" w:hAnsi="Arial" w:cs="Arial"/>
              <w:b/>
              <w:bCs/>
              <w:i/>
              <w:iCs/>
              <w:noProof/>
              <w:sz w:val="18"/>
              <w:szCs w:val="18"/>
              <w:lang w:eastAsia="en-GB"/>
            </w:rPr>
          </w:pPr>
          <w:r w:rsidRPr="0005701A">
            <w:rPr>
              <w:rFonts w:ascii="Arial" w:hAnsi="Arial" w:cs="Arial"/>
              <w:b/>
              <w:bCs/>
              <w:i/>
              <w:iCs/>
              <w:sz w:val="18"/>
              <w:szCs w:val="18"/>
            </w:rPr>
            <w:fldChar w:fldCharType="begin"/>
          </w:r>
          <w:r w:rsidRPr="0005701A">
            <w:rPr>
              <w:rFonts w:ascii="Arial" w:hAnsi="Arial" w:cs="Arial"/>
              <w:b/>
              <w:bCs/>
              <w:i/>
              <w:iCs/>
              <w:sz w:val="18"/>
              <w:szCs w:val="18"/>
            </w:rPr>
            <w:instrText xml:space="preserve"> TOC \o "1-3" \h \z \u </w:instrText>
          </w:r>
          <w:r w:rsidRPr="0005701A">
            <w:rPr>
              <w:rFonts w:ascii="Arial" w:hAnsi="Arial" w:cs="Arial"/>
              <w:b/>
              <w:bCs/>
              <w:i/>
              <w:iCs/>
              <w:sz w:val="18"/>
              <w:szCs w:val="18"/>
            </w:rPr>
            <w:fldChar w:fldCharType="separate"/>
          </w:r>
          <w:hyperlink w:anchor="_Toc214379797" w:history="1">
            <w:r w:rsidR="00FD1E3F" w:rsidRPr="0005701A">
              <w:rPr>
                <w:rStyle w:val="Hyperlink"/>
                <w:rFonts w:ascii="Arial" w:hAnsi="Arial" w:cs="Arial"/>
                <w:b/>
                <w:bCs/>
                <w:i/>
                <w:iCs/>
                <w:noProof/>
                <w:sz w:val="18"/>
                <w:szCs w:val="18"/>
              </w:rPr>
              <w:t>Exploratory Data Analysis and Predictive Modelling of Airbnb Listings in New York City Using WEKA</w:t>
            </w:r>
            <w:r w:rsidR="00FD1E3F" w:rsidRPr="0005701A">
              <w:rPr>
                <w:rFonts w:ascii="Arial" w:hAnsi="Arial" w:cs="Arial"/>
                <w:b/>
                <w:bCs/>
                <w:i/>
                <w:iCs/>
                <w:noProof/>
                <w:webHidden/>
                <w:sz w:val="18"/>
                <w:szCs w:val="18"/>
              </w:rPr>
              <w:tab/>
            </w:r>
            <w:r w:rsidR="00FD1E3F" w:rsidRPr="0005701A">
              <w:rPr>
                <w:rFonts w:ascii="Arial" w:hAnsi="Arial" w:cs="Arial"/>
                <w:b/>
                <w:bCs/>
                <w:i/>
                <w:iCs/>
                <w:noProof/>
                <w:webHidden/>
                <w:sz w:val="18"/>
                <w:szCs w:val="18"/>
              </w:rPr>
              <w:fldChar w:fldCharType="begin"/>
            </w:r>
            <w:r w:rsidR="00FD1E3F" w:rsidRPr="0005701A">
              <w:rPr>
                <w:rFonts w:ascii="Arial" w:hAnsi="Arial" w:cs="Arial"/>
                <w:b/>
                <w:bCs/>
                <w:i/>
                <w:iCs/>
                <w:noProof/>
                <w:webHidden/>
                <w:sz w:val="18"/>
                <w:szCs w:val="18"/>
              </w:rPr>
              <w:instrText xml:space="preserve"> PAGEREF _Toc214379797 \h </w:instrText>
            </w:r>
            <w:r w:rsidR="00FD1E3F" w:rsidRPr="0005701A">
              <w:rPr>
                <w:rFonts w:ascii="Arial" w:hAnsi="Arial" w:cs="Arial"/>
                <w:b/>
                <w:bCs/>
                <w:i/>
                <w:iCs/>
                <w:noProof/>
                <w:webHidden/>
                <w:sz w:val="18"/>
                <w:szCs w:val="18"/>
              </w:rPr>
            </w:r>
            <w:r w:rsidR="00FD1E3F" w:rsidRPr="0005701A">
              <w:rPr>
                <w:rFonts w:ascii="Arial" w:hAnsi="Arial" w:cs="Arial"/>
                <w:b/>
                <w:bCs/>
                <w:i/>
                <w:iCs/>
                <w:noProof/>
                <w:webHidden/>
                <w:sz w:val="18"/>
                <w:szCs w:val="18"/>
              </w:rPr>
              <w:fldChar w:fldCharType="separate"/>
            </w:r>
            <w:r w:rsidR="00FD1E3F" w:rsidRPr="0005701A">
              <w:rPr>
                <w:rFonts w:ascii="Arial" w:hAnsi="Arial" w:cs="Arial"/>
                <w:b/>
                <w:bCs/>
                <w:i/>
                <w:iCs/>
                <w:noProof/>
                <w:webHidden/>
                <w:sz w:val="18"/>
                <w:szCs w:val="18"/>
              </w:rPr>
              <w:t>3</w:t>
            </w:r>
            <w:r w:rsidR="00FD1E3F" w:rsidRPr="0005701A">
              <w:rPr>
                <w:rFonts w:ascii="Arial" w:hAnsi="Arial" w:cs="Arial"/>
                <w:b/>
                <w:bCs/>
                <w:i/>
                <w:iCs/>
                <w:noProof/>
                <w:webHidden/>
                <w:sz w:val="18"/>
                <w:szCs w:val="18"/>
              </w:rPr>
              <w:fldChar w:fldCharType="end"/>
            </w:r>
          </w:hyperlink>
        </w:p>
        <w:p w14:paraId="7C6711EC" w14:textId="3C7047A5"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798" w:history="1">
            <w:r w:rsidRPr="0005701A">
              <w:rPr>
                <w:rStyle w:val="Hyperlink"/>
                <w:rFonts w:ascii="Arial" w:hAnsi="Arial" w:cs="Arial"/>
                <w:b/>
                <w:bCs/>
                <w:i/>
                <w:iCs/>
                <w:noProof/>
                <w:sz w:val="18"/>
                <w:szCs w:val="18"/>
              </w:rPr>
              <w:t>Abstract</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_Toc214379798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3</w:t>
            </w:r>
            <w:r w:rsidRPr="0005701A">
              <w:rPr>
                <w:rFonts w:ascii="Arial" w:hAnsi="Arial" w:cs="Arial"/>
                <w:b/>
                <w:bCs/>
                <w:i/>
                <w:iCs/>
                <w:noProof/>
                <w:webHidden/>
                <w:sz w:val="18"/>
                <w:szCs w:val="18"/>
              </w:rPr>
              <w:fldChar w:fldCharType="end"/>
            </w:r>
          </w:hyperlink>
        </w:p>
        <w:p w14:paraId="19279488" w14:textId="5D2790F9"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799" w:history="1">
            <w:r w:rsidRPr="0005701A">
              <w:rPr>
                <w:rStyle w:val="Hyperlink"/>
                <w:rFonts w:ascii="Arial" w:hAnsi="Arial" w:cs="Arial"/>
                <w:b/>
                <w:bCs/>
                <w:i/>
                <w:iCs/>
                <w:noProof/>
                <w:sz w:val="18"/>
                <w:szCs w:val="18"/>
              </w:rPr>
              <w:t>1. Introduction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_Toc214379799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3</w:t>
            </w:r>
            <w:r w:rsidRPr="0005701A">
              <w:rPr>
                <w:rFonts w:ascii="Arial" w:hAnsi="Arial" w:cs="Arial"/>
                <w:b/>
                <w:bCs/>
                <w:i/>
                <w:iCs/>
                <w:noProof/>
                <w:webHidden/>
                <w:sz w:val="18"/>
                <w:szCs w:val="18"/>
              </w:rPr>
              <w:fldChar w:fldCharType="end"/>
            </w:r>
          </w:hyperlink>
        </w:p>
        <w:p w14:paraId="1E79DA62" w14:textId="3AF2C47E"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0" w:history="1">
            <w:r w:rsidRPr="0005701A">
              <w:rPr>
                <w:rStyle w:val="Hyperlink"/>
                <w:rFonts w:ascii="Arial" w:hAnsi="Arial" w:cs="Arial"/>
                <w:b/>
                <w:bCs/>
                <w:i/>
                <w:iCs/>
                <w:noProof/>
                <w:sz w:val="18"/>
                <w:szCs w:val="18"/>
              </w:rPr>
              <w:t>2. Literature Review</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_Toc214379800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4</w:t>
            </w:r>
            <w:r w:rsidRPr="0005701A">
              <w:rPr>
                <w:rFonts w:ascii="Arial" w:hAnsi="Arial" w:cs="Arial"/>
                <w:b/>
                <w:bCs/>
                <w:i/>
                <w:iCs/>
                <w:noProof/>
                <w:webHidden/>
                <w:sz w:val="18"/>
                <w:szCs w:val="18"/>
              </w:rPr>
              <w:fldChar w:fldCharType="end"/>
            </w:r>
          </w:hyperlink>
        </w:p>
        <w:p w14:paraId="43BBA530" w14:textId="6B4445A0"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1" w:history="1">
            <w:r w:rsidRPr="0005701A">
              <w:rPr>
                <w:rStyle w:val="Hyperlink"/>
                <w:rFonts w:ascii="Arial" w:hAnsi="Arial" w:cs="Arial"/>
                <w:b/>
                <w:bCs/>
                <w:i/>
                <w:iCs/>
                <w:noProof/>
                <w:sz w:val="18"/>
                <w:szCs w:val="18"/>
              </w:rPr>
              <w:t>3. Dataset Description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_Toc214379801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5</w:t>
            </w:r>
            <w:r w:rsidRPr="0005701A">
              <w:rPr>
                <w:rFonts w:ascii="Arial" w:hAnsi="Arial" w:cs="Arial"/>
                <w:b/>
                <w:bCs/>
                <w:i/>
                <w:iCs/>
                <w:noProof/>
                <w:webHidden/>
                <w:sz w:val="18"/>
                <w:szCs w:val="18"/>
              </w:rPr>
              <w:fldChar w:fldCharType="end"/>
            </w:r>
          </w:hyperlink>
        </w:p>
        <w:p w14:paraId="10BCF623" w14:textId="0ED64B33"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2" w:history="1">
            <w:r w:rsidRPr="0005701A">
              <w:rPr>
                <w:rStyle w:val="Hyperlink"/>
                <w:rFonts w:ascii="Arial" w:hAnsi="Arial" w:cs="Arial"/>
                <w:b/>
                <w:bCs/>
                <w:i/>
                <w:iCs/>
                <w:noProof/>
                <w:sz w:val="18"/>
                <w:szCs w:val="18"/>
              </w:rPr>
              <w:t>4.0 Methodology</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_Toc214379802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5</w:t>
            </w:r>
            <w:r w:rsidRPr="0005701A">
              <w:rPr>
                <w:rFonts w:ascii="Arial" w:hAnsi="Arial" w:cs="Arial"/>
                <w:b/>
                <w:bCs/>
                <w:i/>
                <w:iCs/>
                <w:noProof/>
                <w:webHidden/>
                <w:sz w:val="18"/>
                <w:szCs w:val="18"/>
              </w:rPr>
              <w:fldChar w:fldCharType="end"/>
            </w:r>
          </w:hyperlink>
        </w:p>
        <w:p w14:paraId="3C3B4C12" w14:textId="48F55DF4"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3" w:history="1">
            <w:r w:rsidRPr="0005701A">
              <w:rPr>
                <w:rStyle w:val="Hyperlink"/>
                <w:rFonts w:ascii="Arial" w:hAnsi="Arial" w:cs="Arial"/>
                <w:b/>
                <w:bCs/>
                <w:i/>
                <w:iCs/>
                <w:noProof/>
                <w:sz w:val="18"/>
                <w:szCs w:val="18"/>
              </w:rPr>
              <w:t>4.1 Preprocessing</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_Toc214379803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5</w:t>
            </w:r>
            <w:r w:rsidRPr="0005701A">
              <w:rPr>
                <w:rFonts w:ascii="Arial" w:hAnsi="Arial" w:cs="Arial"/>
                <w:b/>
                <w:bCs/>
                <w:i/>
                <w:iCs/>
                <w:noProof/>
                <w:webHidden/>
                <w:sz w:val="18"/>
                <w:szCs w:val="18"/>
              </w:rPr>
              <w:fldChar w:fldCharType="end"/>
            </w:r>
          </w:hyperlink>
        </w:p>
        <w:p w14:paraId="49E22096" w14:textId="25DE07AC"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4" w:history="1">
            <w:r w:rsidRPr="0005701A">
              <w:rPr>
                <w:rStyle w:val="Hyperlink"/>
                <w:rFonts w:ascii="Arial" w:hAnsi="Arial" w:cs="Arial"/>
                <w:b/>
                <w:bCs/>
                <w:i/>
                <w:iCs/>
                <w:noProof/>
                <w:sz w:val="18"/>
                <w:szCs w:val="18"/>
              </w:rPr>
              <w:t>4.2 Exploratory Visualisation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_Toc214379804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6</w:t>
            </w:r>
            <w:r w:rsidRPr="0005701A">
              <w:rPr>
                <w:rFonts w:ascii="Arial" w:hAnsi="Arial" w:cs="Arial"/>
                <w:b/>
                <w:bCs/>
                <w:i/>
                <w:iCs/>
                <w:noProof/>
                <w:webHidden/>
                <w:sz w:val="18"/>
                <w:szCs w:val="18"/>
              </w:rPr>
              <w:fldChar w:fldCharType="end"/>
            </w:r>
          </w:hyperlink>
        </w:p>
        <w:p w14:paraId="0308F05D" w14:textId="117A16AF"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5" w:history="1">
            <w:r w:rsidRPr="0005701A">
              <w:rPr>
                <w:rStyle w:val="Hyperlink"/>
                <w:rFonts w:ascii="Arial" w:hAnsi="Arial" w:cs="Arial"/>
                <w:b/>
                <w:bCs/>
                <w:i/>
                <w:iCs/>
                <w:noProof/>
                <w:sz w:val="18"/>
                <w:szCs w:val="18"/>
              </w:rPr>
              <w:t>4.3 Standardisation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_Toc214379805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7</w:t>
            </w:r>
            <w:r w:rsidRPr="0005701A">
              <w:rPr>
                <w:rFonts w:ascii="Arial" w:hAnsi="Arial" w:cs="Arial"/>
                <w:b/>
                <w:bCs/>
                <w:i/>
                <w:iCs/>
                <w:noProof/>
                <w:webHidden/>
                <w:sz w:val="18"/>
                <w:szCs w:val="18"/>
              </w:rPr>
              <w:fldChar w:fldCharType="end"/>
            </w:r>
          </w:hyperlink>
        </w:p>
        <w:p w14:paraId="08F9D969" w14:textId="054BF9F5"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6" w:history="1">
            <w:r w:rsidRPr="0005701A">
              <w:rPr>
                <w:rStyle w:val="Hyperlink"/>
                <w:rFonts w:ascii="Arial" w:hAnsi="Arial" w:cs="Arial"/>
                <w:b/>
                <w:bCs/>
                <w:i/>
                <w:iCs/>
                <w:noProof/>
                <w:sz w:val="18"/>
                <w:szCs w:val="18"/>
              </w:rPr>
              <w:t>4.4 Classification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_Toc214379806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7</w:t>
            </w:r>
            <w:r w:rsidRPr="0005701A">
              <w:rPr>
                <w:rFonts w:ascii="Arial" w:hAnsi="Arial" w:cs="Arial"/>
                <w:b/>
                <w:bCs/>
                <w:i/>
                <w:iCs/>
                <w:noProof/>
                <w:webHidden/>
                <w:sz w:val="18"/>
                <w:szCs w:val="18"/>
              </w:rPr>
              <w:fldChar w:fldCharType="end"/>
            </w:r>
          </w:hyperlink>
        </w:p>
        <w:p w14:paraId="74163868" w14:textId="5921D9A8"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7" w:history="1">
            <w:r w:rsidRPr="0005701A">
              <w:rPr>
                <w:rStyle w:val="Hyperlink"/>
                <w:rFonts w:ascii="Arial" w:hAnsi="Arial" w:cs="Arial"/>
                <w:b/>
                <w:bCs/>
                <w:i/>
                <w:iCs/>
                <w:noProof/>
                <w:sz w:val="18"/>
                <w:szCs w:val="18"/>
              </w:rPr>
              <w:t>4.5 Clustering</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_Toc214379807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9</w:t>
            </w:r>
            <w:r w:rsidRPr="0005701A">
              <w:rPr>
                <w:rFonts w:ascii="Arial" w:hAnsi="Arial" w:cs="Arial"/>
                <w:b/>
                <w:bCs/>
                <w:i/>
                <w:iCs/>
                <w:noProof/>
                <w:webHidden/>
                <w:sz w:val="18"/>
                <w:szCs w:val="18"/>
              </w:rPr>
              <w:fldChar w:fldCharType="end"/>
            </w:r>
          </w:hyperlink>
        </w:p>
        <w:p w14:paraId="137EE583" w14:textId="7C463035"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8" w:history="1">
            <w:r w:rsidRPr="0005701A">
              <w:rPr>
                <w:rStyle w:val="Hyperlink"/>
                <w:rFonts w:ascii="Arial" w:hAnsi="Arial" w:cs="Arial"/>
                <w:b/>
                <w:bCs/>
                <w:i/>
                <w:iCs/>
                <w:noProof/>
                <w:sz w:val="18"/>
                <w:szCs w:val="18"/>
              </w:rPr>
              <w:t>5.0 Results and Findings</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_Toc214379808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10</w:t>
            </w:r>
            <w:r w:rsidRPr="0005701A">
              <w:rPr>
                <w:rFonts w:ascii="Arial" w:hAnsi="Arial" w:cs="Arial"/>
                <w:b/>
                <w:bCs/>
                <w:i/>
                <w:iCs/>
                <w:noProof/>
                <w:webHidden/>
                <w:sz w:val="18"/>
                <w:szCs w:val="18"/>
              </w:rPr>
              <w:fldChar w:fldCharType="end"/>
            </w:r>
          </w:hyperlink>
        </w:p>
        <w:p w14:paraId="063780F9" w14:textId="4098DEF0"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09" w:history="1">
            <w:r w:rsidRPr="0005701A">
              <w:rPr>
                <w:rStyle w:val="Hyperlink"/>
                <w:rFonts w:ascii="Arial" w:hAnsi="Arial" w:cs="Arial"/>
                <w:b/>
                <w:bCs/>
                <w:i/>
                <w:iCs/>
                <w:noProof/>
                <w:sz w:val="18"/>
                <w:szCs w:val="18"/>
              </w:rPr>
              <w:t>5.1 Classification Results</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_Toc214379809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10</w:t>
            </w:r>
            <w:r w:rsidRPr="0005701A">
              <w:rPr>
                <w:rFonts w:ascii="Arial" w:hAnsi="Arial" w:cs="Arial"/>
                <w:b/>
                <w:bCs/>
                <w:i/>
                <w:iCs/>
                <w:noProof/>
                <w:webHidden/>
                <w:sz w:val="18"/>
                <w:szCs w:val="18"/>
              </w:rPr>
              <w:fldChar w:fldCharType="end"/>
            </w:r>
          </w:hyperlink>
        </w:p>
        <w:p w14:paraId="1A5B94A5" w14:textId="6F88870D"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0" w:history="1">
            <w:r w:rsidRPr="0005701A">
              <w:rPr>
                <w:rStyle w:val="Hyperlink"/>
                <w:rFonts w:ascii="Arial" w:hAnsi="Arial" w:cs="Arial"/>
                <w:b/>
                <w:bCs/>
                <w:i/>
                <w:iCs/>
                <w:noProof/>
                <w:sz w:val="18"/>
                <w:szCs w:val="18"/>
              </w:rPr>
              <w:t>5.2 Clustering Results</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_Toc214379810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11</w:t>
            </w:r>
            <w:r w:rsidRPr="0005701A">
              <w:rPr>
                <w:rFonts w:ascii="Arial" w:hAnsi="Arial" w:cs="Arial"/>
                <w:b/>
                <w:bCs/>
                <w:i/>
                <w:iCs/>
                <w:noProof/>
                <w:webHidden/>
                <w:sz w:val="18"/>
                <w:szCs w:val="18"/>
              </w:rPr>
              <w:fldChar w:fldCharType="end"/>
            </w:r>
          </w:hyperlink>
        </w:p>
        <w:p w14:paraId="46623CA8" w14:textId="3B6D8131"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1" w:history="1">
            <w:r w:rsidRPr="0005701A">
              <w:rPr>
                <w:rStyle w:val="Hyperlink"/>
                <w:rFonts w:ascii="Arial" w:hAnsi="Arial" w:cs="Arial"/>
                <w:b/>
                <w:bCs/>
                <w:i/>
                <w:iCs/>
                <w:noProof/>
                <w:sz w:val="18"/>
                <w:szCs w:val="18"/>
              </w:rPr>
              <w:t>5.3 Integrated Interpretation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_Toc214379811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11</w:t>
            </w:r>
            <w:r w:rsidRPr="0005701A">
              <w:rPr>
                <w:rFonts w:ascii="Arial" w:hAnsi="Arial" w:cs="Arial"/>
                <w:b/>
                <w:bCs/>
                <w:i/>
                <w:iCs/>
                <w:noProof/>
                <w:webHidden/>
                <w:sz w:val="18"/>
                <w:szCs w:val="18"/>
              </w:rPr>
              <w:fldChar w:fldCharType="end"/>
            </w:r>
          </w:hyperlink>
        </w:p>
        <w:p w14:paraId="41BDD425" w14:textId="2FED2747"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2" w:history="1">
            <w:r w:rsidRPr="0005701A">
              <w:rPr>
                <w:rStyle w:val="Hyperlink"/>
                <w:rFonts w:ascii="Arial" w:hAnsi="Arial" w:cs="Arial"/>
                <w:b/>
                <w:bCs/>
                <w:i/>
                <w:iCs/>
                <w:noProof/>
                <w:sz w:val="18"/>
                <w:szCs w:val="18"/>
              </w:rPr>
              <w:t>5.4 Interpretation and Real-World Insight</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_Toc214379812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11</w:t>
            </w:r>
            <w:r w:rsidRPr="0005701A">
              <w:rPr>
                <w:rFonts w:ascii="Arial" w:hAnsi="Arial" w:cs="Arial"/>
                <w:b/>
                <w:bCs/>
                <w:i/>
                <w:iCs/>
                <w:noProof/>
                <w:webHidden/>
                <w:sz w:val="18"/>
                <w:szCs w:val="18"/>
              </w:rPr>
              <w:fldChar w:fldCharType="end"/>
            </w:r>
          </w:hyperlink>
        </w:p>
        <w:p w14:paraId="2A80647D" w14:textId="3F1D61D1"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3" w:history="1">
            <w:r w:rsidRPr="0005701A">
              <w:rPr>
                <w:rStyle w:val="Hyperlink"/>
                <w:rFonts w:ascii="Arial" w:hAnsi="Arial" w:cs="Arial"/>
                <w:b/>
                <w:bCs/>
                <w:i/>
                <w:iCs/>
                <w:noProof/>
                <w:sz w:val="18"/>
                <w:szCs w:val="18"/>
              </w:rPr>
              <w:t>6. Discussion and Future Work</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_Toc214379813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11</w:t>
            </w:r>
            <w:r w:rsidRPr="0005701A">
              <w:rPr>
                <w:rFonts w:ascii="Arial" w:hAnsi="Arial" w:cs="Arial"/>
                <w:b/>
                <w:bCs/>
                <w:i/>
                <w:iCs/>
                <w:noProof/>
                <w:webHidden/>
                <w:sz w:val="18"/>
                <w:szCs w:val="18"/>
              </w:rPr>
              <w:fldChar w:fldCharType="end"/>
            </w:r>
          </w:hyperlink>
        </w:p>
        <w:p w14:paraId="1A9BC91C" w14:textId="26A1F4BD"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4" w:history="1">
            <w:r w:rsidRPr="0005701A">
              <w:rPr>
                <w:rStyle w:val="Hyperlink"/>
                <w:rFonts w:ascii="Arial" w:hAnsi="Arial" w:cs="Arial"/>
                <w:b/>
                <w:bCs/>
                <w:i/>
                <w:iCs/>
                <w:noProof/>
                <w:sz w:val="18"/>
                <w:szCs w:val="18"/>
              </w:rPr>
              <w:t>7. Business Recommendation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_Toc214379814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12</w:t>
            </w:r>
            <w:r w:rsidRPr="0005701A">
              <w:rPr>
                <w:rFonts w:ascii="Arial" w:hAnsi="Arial" w:cs="Arial"/>
                <w:b/>
                <w:bCs/>
                <w:i/>
                <w:iCs/>
                <w:noProof/>
                <w:webHidden/>
                <w:sz w:val="18"/>
                <w:szCs w:val="18"/>
              </w:rPr>
              <w:fldChar w:fldCharType="end"/>
            </w:r>
          </w:hyperlink>
        </w:p>
        <w:p w14:paraId="657EE567" w14:textId="05546DEC"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5" w:history="1">
            <w:r w:rsidRPr="0005701A">
              <w:rPr>
                <w:rStyle w:val="Hyperlink"/>
                <w:rFonts w:ascii="Arial" w:hAnsi="Arial" w:cs="Arial"/>
                <w:b/>
                <w:bCs/>
                <w:i/>
                <w:iCs/>
                <w:noProof/>
                <w:sz w:val="18"/>
                <w:szCs w:val="18"/>
              </w:rPr>
              <w:t>8. Conclusion</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_Toc214379815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13</w:t>
            </w:r>
            <w:r w:rsidRPr="0005701A">
              <w:rPr>
                <w:rFonts w:ascii="Arial" w:hAnsi="Arial" w:cs="Arial"/>
                <w:b/>
                <w:bCs/>
                <w:i/>
                <w:iCs/>
                <w:noProof/>
                <w:webHidden/>
                <w:sz w:val="18"/>
                <w:szCs w:val="18"/>
              </w:rPr>
              <w:fldChar w:fldCharType="end"/>
            </w:r>
          </w:hyperlink>
        </w:p>
        <w:p w14:paraId="50337D07" w14:textId="73133F76" w:rsidR="00FD1E3F" w:rsidRPr="0005701A" w:rsidRDefault="00FD1E3F">
          <w:pPr>
            <w:pStyle w:val="TOC1"/>
            <w:tabs>
              <w:tab w:val="right" w:leader="dot" w:pos="9016"/>
            </w:tabs>
            <w:rPr>
              <w:rFonts w:ascii="Arial" w:eastAsiaTheme="minorEastAsia" w:hAnsi="Arial" w:cs="Arial"/>
              <w:b/>
              <w:bCs/>
              <w:i/>
              <w:iCs/>
              <w:noProof/>
              <w:sz w:val="18"/>
              <w:szCs w:val="18"/>
              <w:lang w:eastAsia="en-GB"/>
            </w:rPr>
          </w:pPr>
          <w:hyperlink w:anchor="_Toc214379816" w:history="1">
            <w:r w:rsidRPr="0005701A">
              <w:rPr>
                <w:rStyle w:val="Hyperlink"/>
                <w:rFonts w:ascii="Arial" w:hAnsi="Arial" w:cs="Arial"/>
                <w:b/>
                <w:bCs/>
                <w:i/>
                <w:iCs/>
                <w:noProof/>
                <w:sz w:val="18"/>
                <w:szCs w:val="18"/>
              </w:rPr>
              <w:t>References</w:t>
            </w:r>
            <w:r w:rsidRPr="0005701A">
              <w:rPr>
                <w:rFonts w:ascii="Arial" w:hAnsi="Arial" w:cs="Arial"/>
                <w:b/>
                <w:bCs/>
                <w:i/>
                <w:iCs/>
                <w:noProof/>
                <w:webHidden/>
                <w:sz w:val="18"/>
                <w:szCs w:val="18"/>
              </w:rPr>
              <w:tab/>
            </w:r>
            <w:r w:rsidRPr="0005701A">
              <w:rPr>
                <w:rFonts w:ascii="Arial" w:hAnsi="Arial" w:cs="Arial"/>
                <w:b/>
                <w:bCs/>
                <w:i/>
                <w:iCs/>
                <w:noProof/>
                <w:webHidden/>
                <w:sz w:val="18"/>
                <w:szCs w:val="18"/>
              </w:rPr>
              <w:fldChar w:fldCharType="begin"/>
            </w:r>
            <w:r w:rsidRPr="0005701A">
              <w:rPr>
                <w:rFonts w:ascii="Arial" w:hAnsi="Arial" w:cs="Arial"/>
                <w:b/>
                <w:bCs/>
                <w:i/>
                <w:iCs/>
                <w:noProof/>
                <w:webHidden/>
                <w:sz w:val="18"/>
                <w:szCs w:val="18"/>
              </w:rPr>
              <w:instrText xml:space="preserve"> PAGEREF _Toc214379816 \h </w:instrText>
            </w:r>
            <w:r w:rsidRPr="0005701A">
              <w:rPr>
                <w:rFonts w:ascii="Arial" w:hAnsi="Arial" w:cs="Arial"/>
                <w:b/>
                <w:bCs/>
                <w:i/>
                <w:iCs/>
                <w:noProof/>
                <w:webHidden/>
                <w:sz w:val="18"/>
                <w:szCs w:val="18"/>
              </w:rPr>
            </w:r>
            <w:r w:rsidRPr="0005701A">
              <w:rPr>
                <w:rFonts w:ascii="Arial" w:hAnsi="Arial" w:cs="Arial"/>
                <w:b/>
                <w:bCs/>
                <w:i/>
                <w:iCs/>
                <w:noProof/>
                <w:webHidden/>
                <w:sz w:val="18"/>
                <w:szCs w:val="18"/>
              </w:rPr>
              <w:fldChar w:fldCharType="separate"/>
            </w:r>
            <w:r w:rsidRPr="0005701A">
              <w:rPr>
                <w:rFonts w:ascii="Arial" w:hAnsi="Arial" w:cs="Arial"/>
                <w:b/>
                <w:bCs/>
                <w:i/>
                <w:iCs/>
                <w:noProof/>
                <w:webHidden/>
                <w:sz w:val="18"/>
                <w:szCs w:val="18"/>
              </w:rPr>
              <w:t>13</w:t>
            </w:r>
            <w:r w:rsidRPr="0005701A">
              <w:rPr>
                <w:rFonts w:ascii="Arial" w:hAnsi="Arial" w:cs="Arial"/>
                <w:b/>
                <w:bCs/>
                <w:i/>
                <w:iCs/>
                <w:noProof/>
                <w:webHidden/>
                <w:sz w:val="18"/>
                <w:szCs w:val="18"/>
              </w:rPr>
              <w:fldChar w:fldCharType="end"/>
            </w:r>
          </w:hyperlink>
        </w:p>
        <w:p w14:paraId="4F6F294A" w14:textId="625062DD" w:rsidR="009D3C13" w:rsidRDefault="00223826" w:rsidP="009D3C13">
          <w:pPr>
            <w:rPr>
              <w:rFonts w:ascii="Arial" w:hAnsi="Arial" w:cs="Arial"/>
              <w:b/>
              <w:bCs/>
              <w:noProof/>
              <w:sz w:val="20"/>
              <w:szCs w:val="20"/>
            </w:rPr>
          </w:pPr>
          <w:r w:rsidRPr="0005701A">
            <w:rPr>
              <w:rFonts w:ascii="Arial" w:hAnsi="Arial" w:cs="Arial"/>
              <w:b/>
              <w:bCs/>
              <w:i/>
              <w:iCs/>
              <w:noProof/>
              <w:sz w:val="18"/>
              <w:szCs w:val="18"/>
            </w:rPr>
            <w:fldChar w:fldCharType="end"/>
          </w:r>
        </w:p>
      </w:sdtContent>
    </w:sdt>
    <w:p w14:paraId="7307FF47" w14:textId="5CA8B686" w:rsidR="00D0147A" w:rsidRPr="009D3C13" w:rsidRDefault="00D0147A" w:rsidP="009D3C13">
      <w:pPr>
        <w:rPr>
          <w:rFonts w:ascii="Arial" w:hAnsi="Arial" w:cs="Arial"/>
          <w:sz w:val="20"/>
          <w:szCs w:val="20"/>
        </w:rPr>
      </w:pPr>
      <w:r w:rsidRPr="008E73B4">
        <w:rPr>
          <w:rFonts w:ascii="Arial" w:hAnsi="Arial" w:cs="Arial"/>
          <w:b/>
          <w:bCs/>
          <w:sz w:val="20"/>
          <w:szCs w:val="20"/>
        </w:rPr>
        <w:t>Table of Figures</w:t>
      </w:r>
    </w:p>
    <w:p w14:paraId="7C0F0B4E" w14:textId="3772E328" w:rsidR="00DA3845" w:rsidRPr="00DA3845" w:rsidRDefault="001F38BE">
      <w:pPr>
        <w:pStyle w:val="TableofFigures"/>
        <w:tabs>
          <w:tab w:val="right" w:leader="dot" w:pos="9016"/>
        </w:tabs>
        <w:rPr>
          <w:rFonts w:ascii="Arial" w:eastAsiaTheme="minorEastAsia" w:hAnsi="Arial" w:cs="Arial"/>
          <w:i/>
          <w:iCs/>
          <w:noProof/>
          <w:sz w:val="18"/>
          <w:szCs w:val="18"/>
          <w:lang w:eastAsia="en-GB"/>
        </w:rPr>
      </w:pPr>
      <w:r w:rsidRPr="00DA3845">
        <w:rPr>
          <w:rFonts w:ascii="Arial" w:hAnsi="Arial" w:cs="Arial"/>
          <w:i/>
          <w:iCs/>
          <w:sz w:val="18"/>
          <w:szCs w:val="18"/>
        </w:rPr>
        <w:fldChar w:fldCharType="begin"/>
      </w:r>
      <w:r w:rsidRPr="00DA3845">
        <w:rPr>
          <w:rFonts w:ascii="Arial" w:hAnsi="Arial" w:cs="Arial"/>
          <w:i/>
          <w:iCs/>
          <w:sz w:val="18"/>
          <w:szCs w:val="18"/>
        </w:rPr>
        <w:instrText xml:space="preserve"> TOC \h \z \c "Figure" </w:instrText>
      </w:r>
      <w:r w:rsidRPr="00DA3845">
        <w:rPr>
          <w:rFonts w:ascii="Arial" w:hAnsi="Arial" w:cs="Arial"/>
          <w:i/>
          <w:iCs/>
          <w:sz w:val="18"/>
          <w:szCs w:val="18"/>
        </w:rPr>
        <w:fldChar w:fldCharType="separate"/>
      </w:r>
      <w:hyperlink w:anchor="_Toc214379668" w:history="1">
        <w:r w:rsidR="00DA3845" w:rsidRPr="00DA3845">
          <w:rPr>
            <w:rStyle w:val="Hyperlink"/>
            <w:rFonts w:ascii="Arial" w:hAnsi="Arial" w:cs="Arial"/>
            <w:i/>
            <w:iCs/>
            <w:noProof/>
            <w:sz w:val="18"/>
            <w:szCs w:val="18"/>
          </w:rPr>
          <w:t>Figure 1 - WEKA Preprocess interface showing cleaned attributes and the price category variable.</w:t>
        </w:r>
        <w:r w:rsidR="00DA3845" w:rsidRPr="00DA3845">
          <w:rPr>
            <w:rFonts w:ascii="Arial" w:hAnsi="Arial" w:cs="Arial"/>
            <w:i/>
            <w:iCs/>
            <w:noProof/>
            <w:webHidden/>
            <w:sz w:val="18"/>
            <w:szCs w:val="18"/>
          </w:rPr>
          <w:tab/>
        </w:r>
        <w:r w:rsidR="00DA3845" w:rsidRPr="00DA3845">
          <w:rPr>
            <w:rFonts w:ascii="Arial" w:hAnsi="Arial" w:cs="Arial"/>
            <w:i/>
            <w:iCs/>
            <w:noProof/>
            <w:webHidden/>
            <w:sz w:val="18"/>
            <w:szCs w:val="18"/>
          </w:rPr>
          <w:fldChar w:fldCharType="begin"/>
        </w:r>
        <w:r w:rsidR="00DA3845" w:rsidRPr="00DA3845">
          <w:rPr>
            <w:rFonts w:ascii="Arial" w:hAnsi="Arial" w:cs="Arial"/>
            <w:i/>
            <w:iCs/>
            <w:noProof/>
            <w:webHidden/>
            <w:sz w:val="18"/>
            <w:szCs w:val="18"/>
          </w:rPr>
          <w:instrText xml:space="preserve"> PAGEREF _Toc214379668 \h </w:instrText>
        </w:r>
        <w:r w:rsidR="00DA3845" w:rsidRPr="00DA3845">
          <w:rPr>
            <w:rFonts w:ascii="Arial" w:hAnsi="Arial" w:cs="Arial"/>
            <w:i/>
            <w:iCs/>
            <w:noProof/>
            <w:webHidden/>
            <w:sz w:val="18"/>
            <w:szCs w:val="18"/>
          </w:rPr>
        </w:r>
        <w:r w:rsidR="00DA3845" w:rsidRPr="00DA3845">
          <w:rPr>
            <w:rFonts w:ascii="Arial" w:hAnsi="Arial" w:cs="Arial"/>
            <w:i/>
            <w:iCs/>
            <w:noProof/>
            <w:webHidden/>
            <w:sz w:val="18"/>
            <w:szCs w:val="18"/>
          </w:rPr>
          <w:fldChar w:fldCharType="separate"/>
        </w:r>
        <w:r w:rsidR="00DA3845" w:rsidRPr="00DA3845">
          <w:rPr>
            <w:rFonts w:ascii="Arial" w:hAnsi="Arial" w:cs="Arial"/>
            <w:i/>
            <w:iCs/>
            <w:noProof/>
            <w:webHidden/>
            <w:sz w:val="18"/>
            <w:szCs w:val="18"/>
          </w:rPr>
          <w:t>6</w:t>
        </w:r>
        <w:r w:rsidR="00DA3845" w:rsidRPr="00DA3845">
          <w:rPr>
            <w:rFonts w:ascii="Arial" w:hAnsi="Arial" w:cs="Arial"/>
            <w:i/>
            <w:iCs/>
            <w:noProof/>
            <w:webHidden/>
            <w:sz w:val="18"/>
            <w:szCs w:val="18"/>
          </w:rPr>
          <w:fldChar w:fldCharType="end"/>
        </w:r>
      </w:hyperlink>
    </w:p>
    <w:p w14:paraId="6831A86B" w14:textId="73B22DFC"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69" w:history="1">
        <w:r w:rsidRPr="00DA3845">
          <w:rPr>
            <w:rStyle w:val="Hyperlink"/>
            <w:rFonts w:ascii="Arial" w:hAnsi="Arial" w:cs="Arial"/>
            <w:i/>
            <w:iCs/>
            <w:noProof/>
            <w:sz w:val="18"/>
            <w:szCs w:val="18"/>
          </w:rPr>
          <w:t>Figure 2 - Visualisation of neighbourhood group and room type distribution coloured by price category.</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_Toc214379669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7</w:t>
        </w:r>
        <w:r w:rsidRPr="00DA3845">
          <w:rPr>
            <w:rFonts w:ascii="Arial" w:hAnsi="Arial" w:cs="Arial"/>
            <w:i/>
            <w:iCs/>
            <w:noProof/>
            <w:webHidden/>
            <w:sz w:val="18"/>
            <w:szCs w:val="18"/>
          </w:rPr>
          <w:fldChar w:fldCharType="end"/>
        </w:r>
      </w:hyperlink>
    </w:p>
    <w:p w14:paraId="5416FF17" w14:textId="787FFC87"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0" w:history="1">
        <w:r w:rsidRPr="00DA3845">
          <w:rPr>
            <w:rStyle w:val="Hyperlink"/>
            <w:rFonts w:ascii="Arial" w:hAnsi="Arial" w:cs="Arial"/>
            <w:i/>
            <w:iCs/>
            <w:noProof/>
            <w:sz w:val="18"/>
            <w:szCs w:val="18"/>
          </w:rPr>
          <w:t>Figure 3 - Standardised numerical attributes prepared for modelling.</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_Toc214379670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7</w:t>
        </w:r>
        <w:r w:rsidRPr="00DA3845">
          <w:rPr>
            <w:rFonts w:ascii="Arial" w:hAnsi="Arial" w:cs="Arial"/>
            <w:i/>
            <w:iCs/>
            <w:noProof/>
            <w:webHidden/>
            <w:sz w:val="18"/>
            <w:szCs w:val="18"/>
          </w:rPr>
          <w:fldChar w:fldCharType="end"/>
        </w:r>
      </w:hyperlink>
    </w:p>
    <w:p w14:paraId="1144F69E" w14:textId="02EF2827"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1" w:history="1">
        <w:r w:rsidRPr="00DA3845">
          <w:rPr>
            <w:rStyle w:val="Hyperlink"/>
            <w:rFonts w:ascii="Arial" w:hAnsi="Arial" w:cs="Arial"/>
            <w:i/>
            <w:iCs/>
            <w:noProof/>
            <w:sz w:val="18"/>
            <w:szCs w:val="18"/>
          </w:rPr>
          <w:t>Figure 4 - Random Forest classifier output including confusion matrix and detailed accuracy metrics.</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_Toc214379671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8</w:t>
        </w:r>
        <w:r w:rsidRPr="00DA3845">
          <w:rPr>
            <w:rFonts w:ascii="Arial" w:hAnsi="Arial" w:cs="Arial"/>
            <w:i/>
            <w:iCs/>
            <w:noProof/>
            <w:webHidden/>
            <w:sz w:val="18"/>
            <w:szCs w:val="18"/>
          </w:rPr>
          <w:fldChar w:fldCharType="end"/>
        </w:r>
      </w:hyperlink>
    </w:p>
    <w:p w14:paraId="1DB5B609" w14:textId="6648A455"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2" w:history="1">
        <w:r w:rsidRPr="00DA3845">
          <w:rPr>
            <w:rStyle w:val="Hyperlink"/>
            <w:rFonts w:ascii="Arial" w:hAnsi="Arial" w:cs="Arial"/>
            <w:i/>
            <w:iCs/>
            <w:noProof/>
            <w:sz w:val="18"/>
            <w:szCs w:val="18"/>
          </w:rPr>
          <w:t>Figure 5 - Comparative performance summary for Random Forest, J48 and Logistic Regression.</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_Toc214379672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8</w:t>
        </w:r>
        <w:r w:rsidRPr="00DA3845">
          <w:rPr>
            <w:rFonts w:ascii="Arial" w:hAnsi="Arial" w:cs="Arial"/>
            <w:i/>
            <w:iCs/>
            <w:noProof/>
            <w:webHidden/>
            <w:sz w:val="18"/>
            <w:szCs w:val="18"/>
          </w:rPr>
          <w:fldChar w:fldCharType="end"/>
        </w:r>
      </w:hyperlink>
    </w:p>
    <w:p w14:paraId="5F15384E" w14:textId="0D951258"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3" w:history="1">
        <w:r w:rsidRPr="00DA3845">
          <w:rPr>
            <w:rStyle w:val="Hyperlink"/>
            <w:rFonts w:ascii="Arial" w:hAnsi="Arial" w:cs="Arial"/>
            <w:i/>
            <w:iCs/>
            <w:noProof/>
            <w:sz w:val="18"/>
            <w:szCs w:val="18"/>
          </w:rPr>
          <w:t>Figure 6 - Statistical significance testing of classifier performance.</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_Toc214379673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8</w:t>
        </w:r>
        <w:r w:rsidRPr="00DA3845">
          <w:rPr>
            <w:rFonts w:ascii="Arial" w:hAnsi="Arial" w:cs="Arial"/>
            <w:i/>
            <w:iCs/>
            <w:noProof/>
            <w:webHidden/>
            <w:sz w:val="18"/>
            <w:szCs w:val="18"/>
          </w:rPr>
          <w:fldChar w:fldCharType="end"/>
        </w:r>
      </w:hyperlink>
    </w:p>
    <w:p w14:paraId="4C1DFBA6" w14:textId="72DFB0D3"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4" w:history="1">
        <w:r w:rsidRPr="00DA3845">
          <w:rPr>
            <w:rStyle w:val="Hyperlink"/>
            <w:rFonts w:ascii="Arial" w:hAnsi="Arial" w:cs="Arial"/>
            <w:i/>
            <w:iCs/>
            <w:noProof/>
            <w:sz w:val="18"/>
            <w:szCs w:val="18"/>
          </w:rPr>
          <w:t>Figure 7 - SimpleKMeans clustering visualised by spatial coordinates.</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_Toc214379674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9</w:t>
        </w:r>
        <w:r w:rsidRPr="00DA3845">
          <w:rPr>
            <w:rFonts w:ascii="Arial" w:hAnsi="Arial" w:cs="Arial"/>
            <w:i/>
            <w:iCs/>
            <w:noProof/>
            <w:webHidden/>
            <w:sz w:val="18"/>
            <w:szCs w:val="18"/>
          </w:rPr>
          <w:fldChar w:fldCharType="end"/>
        </w:r>
      </w:hyperlink>
    </w:p>
    <w:p w14:paraId="354BFE0D" w14:textId="3C7466D4"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5" w:history="1">
        <w:r w:rsidRPr="00DA3845">
          <w:rPr>
            <w:rStyle w:val="Hyperlink"/>
            <w:rFonts w:ascii="Arial" w:hAnsi="Arial" w:cs="Arial"/>
            <w:i/>
            <w:iCs/>
            <w:noProof/>
            <w:sz w:val="18"/>
            <w:szCs w:val="18"/>
          </w:rPr>
          <w:t>Figure 8 - Raw WEKA centroid summary</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_Toc214379675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9</w:t>
        </w:r>
        <w:r w:rsidRPr="00DA3845">
          <w:rPr>
            <w:rFonts w:ascii="Arial" w:hAnsi="Arial" w:cs="Arial"/>
            <w:i/>
            <w:iCs/>
            <w:noProof/>
            <w:webHidden/>
            <w:sz w:val="18"/>
            <w:szCs w:val="18"/>
          </w:rPr>
          <w:fldChar w:fldCharType="end"/>
        </w:r>
      </w:hyperlink>
    </w:p>
    <w:p w14:paraId="3F5DFE08" w14:textId="1A6F4066"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6" w:history="1">
        <w:r w:rsidRPr="00DA3845">
          <w:rPr>
            <w:rStyle w:val="Hyperlink"/>
            <w:rFonts w:ascii="Arial" w:hAnsi="Arial" w:cs="Arial"/>
            <w:i/>
            <w:iCs/>
            <w:noProof/>
            <w:sz w:val="18"/>
            <w:szCs w:val="18"/>
          </w:rPr>
          <w:t>Figure 9 - Formatted centroid table for clearer interpretation</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_Toc214379676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10</w:t>
        </w:r>
        <w:r w:rsidRPr="00DA3845">
          <w:rPr>
            <w:rFonts w:ascii="Arial" w:hAnsi="Arial" w:cs="Arial"/>
            <w:i/>
            <w:iCs/>
            <w:noProof/>
            <w:webHidden/>
            <w:sz w:val="18"/>
            <w:szCs w:val="18"/>
          </w:rPr>
          <w:fldChar w:fldCharType="end"/>
        </w:r>
      </w:hyperlink>
    </w:p>
    <w:p w14:paraId="13E7536C" w14:textId="3F0AE20E" w:rsidR="00DA3845" w:rsidRPr="00DA3845" w:rsidRDefault="00DA3845">
      <w:pPr>
        <w:pStyle w:val="TableofFigures"/>
        <w:tabs>
          <w:tab w:val="right" w:leader="dot" w:pos="9016"/>
        </w:tabs>
        <w:rPr>
          <w:rFonts w:ascii="Arial" w:eastAsiaTheme="minorEastAsia" w:hAnsi="Arial" w:cs="Arial"/>
          <w:i/>
          <w:iCs/>
          <w:noProof/>
          <w:sz w:val="18"/>
          <w:szCs w:val="18"/>
          <w:lang w:eastAsia="en-GB"/>
        </w:rPr>
      </w:pPr>
      <w:hyperlink w:anchor="_Toc214379677" w:history="1">
        <w:r w:rsidRPr="00DA3845">
          <w:rPr>
            <w:rStyle w:val="Hyperlink"/>
            <w:rFonts w:ascii="Arial" w:hAnsi="Arial" w:cs="Arial"/>
            <w:i/>
            <w:iCs/>
            <w:noProof/>
            <w:sz w:val="18"/>
            <w:szCs w:val="18"/>
          </w:rPr>
          <w:t>Figure 10 - Workflow for proposed future enhancements.</w:t>
        </w:r>
        <w:r w:rsidRPr="00DA3845">
          <w:rPr>
            <w:rFonts w:ascii="Arial" w:hAnsi="Arial" w:cs="Arial"/>
            <w:i/>
            <w:iCs/>
            <w:noProof/>
            <w:webHidden/>
            <w:sz w:val="18"/>
            <w:szCs w:val="18"/>
          </w:rPr>
          <w:tab/>
        </w:r>
        <w:r w:rsidRPr="00DA3845">
          <w:rPr>
            <w:rFonts w:ascii="Arial" w:hAnsi="Arial" w:cs="Arial"/>
            <w:i/>
            <w:iCs/>
            <w:noProof/>
            <w:webHidden/>
            <w:sz w:val="18"/>
            <w:szCs w:val="18"/>
          </w:rPr>
          <w:fldChar w:fldCharType="begin"/>
        </w:r>
        <w:r w:rsidRPr="00DA3845">
          <w:rPr>
            <w:rFonts w:ascii="Arial" w:hAnsi="Arial" w:cs="Arial"/>
            <w:i/>
            <w:iCs/>
            <w:noProof/>
            <w:webHidden/>
            <w:sz w:val="18"/>
            <w:szCs w:val="18"/>
          </w:rPr>
          <w:instrText xml:space="preserve"> PAGEREF _Toc214379677 \h </w:instrText>
        </w:r>
        <w:r w:rsidRPr="00DA3845">
          <w:rPr>
            <w:rFonts w:ascii="Arial" w:hAnsi="Arial" w:cs="Arial"/>
            <w:i/>
            <w:iCs/>
            <w:noProof/>
            <w:webHidden/>
            <w:sz w:val="18"/>
            <w:szCs w:val="18"/>
          </w:rPr>
        </w:r>
        <w:r w:rsidRPr="00DA3845">
          <w:rPr>
            <w:rFonts w:ascii="Arial" w:hAnsi="Arial" w:cs="Arial"/>
            <w:i/>
            <w:iCs/>
            <w:noProof/>
            <w:webHidden/>
            <w:sz w:val="18"/>
            <w:szCs w:val="18"/>
          </w:rPr>
          <w:fldChar w:fldCharType="separate"/>
        </w:r>
        <w:r w:rsidRPr="00DA3845">
          <w:rPr>
            <w:rFonts w:ascii="Arial" w:hAnsi="Arial" w:cs="Arial"/>
            <w:i/>
            <w:iCs/>
            <w:noProof/>
            <w:webHidden/>
            <w:sz w:val="18"/>
            <w:szCs w:val="18"/>
          </w:rPr>
          <w:t>12</w:t>
        </w:r>
        <w:r w:rsidRPr="00DA3845">
          <w:rPr>
            <w:rFonts w:ascii="Arial" w:hAnsi="Arial" w:cs="Arial"/>
            <w:i/>
            <w:iCs/>
            <w:noProof/>
            <w:webHidden/>
            <w:sz w:val="18"/>
            <w:szCs w:val="18"/>
          </w:rPr>
          <w:fldChar w:fldCharType="end"/>
        </w:r>
      </w:hyperlink>
    </w:p>
    <w:p w14:paraId="0036ED69" w14:textId="2C7819E5" w:rsidR="00230137" w:rsidRPr="00DA3845" w:rsidRDefault="001F38BE" w:rsidP="00CC1695">
      <w:pPr>
        <w:tabs>
          <w:tab w:val="left" w:pos="1530"/>
        </w:tabs>
        <w:jc w:val="both"/>
        <w:rPr>
          <w:rFonts w:ascii="Arial" w:hAnsi="Arial" w:cs="Arial"/>
          <w:i/>
          <w:iCs/>
          <w:sz w:val="18"/>
          <w:szCs w:val="18"/>
        </w:rPr>
      </w:pPr>
      <w:r w:rsidRPr="00DA3845">
        <w:rPr>
          <w:rFonts w:ascii="Arial" w:hAnsi="Arial" w:cs="Arial"/>
          <w:i/>
          <w:iCs/>
          <w:sz w:val="18"/>
          <w:szCs w:val="18"/>
        </w:rPr>
        <w:fldChar w:fldCharType="end"/>
      </w:r>
    </w:p>
    <w:p w14:paraId="563E7609" w14:textId="77777777" w:rsidR="00230137" w:rsidRPr="008E73B4" w:rsidRDefault="00230137" w:rsidP="00CC1695">
      <w:pPr>
        <w:tabs>
          <w:tab w:val="left" w:pos="1530"/>
        </w:tabs>
        <w:jc w:val="both"/>
        <w:rPr>
          <w:rFonts w:ascii="Arial" w:hAnsi="Arial" w:cs="Arial"/>
          <w:sz w:val="20"/>
          <w:szCs w:val="20"/>
        </w:rPr>
      </w:pPr>
    </w:p>
    <w:p w14:paraId="35432D82" w14:textId="77777777" w:rsidR="00230137" w:rsidRPr="008E73B4" w:rsidRDefault="00230137" w:rsidP="00CC1695">
      <w:pPr>
        <w:tabs>
          <w:tab w:val="left" w:pos="1530"/>
        </w:tabs>
        <w:jc w:val="both"/>
        <w:rPr>
          <w:rFonts w:ascii="Arial" w:hAnsi="Arial" w:cs="Arial"/>
          <w:sz w:val="20"/>
          <w:szCs w:val="20"/>
        </w:rPr>
      </w:pPr>
    </w:p>
    <w:p w14:paraId="1B34FF6B" w14:textId="77777777" w:rsidR="004052EF" w:rsidRPr="008E73B4" w:rsidRDefault="004052EF" w:rsidP="00CC1695">
      <w:pPr>
        <w:tabs>
          <w:tab w:val="left" w:pos="1530"/>
        </w:tabs>
        <w:jc w:val="both"/>
        <w:rPr>
          <w:rFonts w:ascii="Arial" w:hAnsi="Arial" w:cs="Arial"/>
          <w:sz w:val="20"/>
          <w:szCs w:val="20"/>
        </w:rPr>
      </w:pPr>
    </w:p>
    <w:p w14:paraId="4C01D7BB" w14:textId="5B6FF133" w:rsidR="00230137" w:rsidRPr="008E73B4" w:rsidRDefault="00230137" w:rsidP="00010460">
      <w:pPr>
        <w:pStyle w:val="Heading1"/>
        <w:jc w:val="center"/>
        <w:rPr>
          <w:rFonts w:ascii="Arial" w:hAnsi="Arial" w:cs="Arial"/>
          <w:b/>
          <w:bCs/>
          <w:color w:val="auto"/>
          <w:sz w:val="22"/>
          <w:szCs w:val="22"/>
        </w:rPr>
      </w:pPr>
      <w:bookmarkStart w:id="1" w:name="_Toc214379797"/>
      <w:r w:rsidRPr="008E73B4">
        <w:rPr>
          <w:rFonts w:ascii="Arial" w:hAnsi="Arial" w:cs="Arial"/>
          <w:b/>
          <w:bCs/>
          <w:color w:val="auto"/>
          <w:sz w:val="22"/>
          <w:szCs w:val="22"/>
        </w:rPr>
        <w:lastRenderedPageBreak/>
        <w:t>Exploratory Data Analysis and Predictive Modelling of Airbnb Listings in New York City Using WEKA</w:t>
      </w:r>
      <w:bookmarkEnd w:id="1"/>
    </w:p>
    <w:p w14:paraId="17CB4824" w14:textId="7218AAA2" w:rsidR="003D38A3" w:rsidRPr="008E73B4" w:rsidRDefault="003D38A3" w:rsidP="00E534D6">
      <w:pPr>
        <w:pStyle w:val="Heading1"/>
        <w:rPr>
          <w:rFonts w:ascii="Arial" w:hAnsi="Arial" w:cs="Arial"/>
          <w:b/>
          <w:bCs/>
          <w:color w:val="auto"/>
          <w:sz w:val="22"/>
          <w:szCs w:val="22"/>
        </w:rPr>
      </w:pPr>
      <w:bookmarkStart w:id="2" w:name="_Toc214379798"/>
      <w:r w:rsidRPr="008E73B4">
        <w:rPr>
          <w:rFonts w:ascii="Arial" w:hAnsi="Arial" w:cs="Arial"/>
          <w:b/>
          <w:bCs/>
          <w:color w:val="auto"/>
          <w:sz w:val="22"/>
          <w:szCs w:val="22"/>
        </w:rPr>
        <w:t>Abstract</w:t>
      </w:r>
      <w:bookmarkEnd w:id="2"/>
    </w:p>
    <w:p w14:paraId="6DA75DD6" w14:textId="77777777" w:rsidR="002B51B8" w:rsidRPr="008E73B4" w:rsidRDefault="002B51B8" w:rsidP="0038184D">
      <w:pPr>
        <w:jc w:val="both"/>
        <w:rPr>
          <w:rFonts w:ascii="Arial" w:hAnsi="Arial" w:cs="Arial"/>
          <w:sz w:val="20"/>
          <w:szCs w:val="20"/>
        </w:rPr>
      </w:pPr>
      <w:r w:rsidRPr="008E73B4">
        <w:rPr>
          <w:rFonts w:ascii="Arial" w:hAnsi="Arial" w:cs="Arial"/>
          <w:sz w:val="20"/>
          <w:szCs w:val="20"/>
        </w:rPr>
        <w:t>This study investigates price</w:t>
      </w:r>
      <w:r w:rsidRPr="008E73B4">
        <w:rPr>
          <w:rFonts w:ascii="Cambria Math" w:hAnsi="Cambria Math" w:cs="Cambria Math"/>
          <w:sz w:val="20"/>
          <w:szCs w:val="20"/>
        </w:rPr>
        <w:t>‑</w:t>
      </w:r>
      <w:r w:rsidRPr="008E73B4">
        <w:rPr>
          <w:rFonts w:ascii="Arial" w:hAnsi="Arial" w:cs="Arial"/>
          <w:sz w:val="20"/>
          <w:szCs w:val="20"/>
        </w:rPr>
        <w:t>category prediction within the New York City Airbnb market using both supervised and unsupervised machine learning techniques. A dataset containing listing characteristics, spatial attributes and host behaviour indicators was analysed to understand the factors influencing low, medium and high price categories. Three supervised models were evaluated using five</w:t>
      </w:r>
      <w:r w:rsidRPr="008E73B4">
        <w:rPr>
          <w:rFonts w:ascii="Cambria Math" w:hAnsi="Cambria Math" w:cs="Cambria Math"/>
          <w:sz w:val="20"/>
          <w:szCs w:val="20"/>
        </w:rPr>
        <w:t>‑</w:t>
      </w:r>
      <w:r w:rsidRPr="008E73B4">
        <w:rPr>
          <w:rFonts w:ascii="Arial" w:hAnsi="Arial" w:cs="Arial"/>
          <w:sz w:val="20"/>
          <w:szCs w:val="20"/>
        </w:rPr>
        <w:t>fold cross</w:t>
      </w:r>
      <w:r w:rsidRPr="008E73B4">
        <w:rPr>
          <w:rFonts w:ascii="Cambria Math" w:hAnsi="Cambria Math" w:cs="Cambria Math"/>
          <w:sz w:val="20"/>
          <w:szCs w:val="20"/>
        </w:rPr>
        <w:t>‑</w:t>
      </w:r>
      <w:r w:rsidRPr="008E73B4">
        <w:rPr>
          <w:rFonts w:ascii="Arial" w:hAnsi="Arial" w:cs="Arial"/>
          <w:sz w:val="20"/>
          <w:szCs w:val="20"/>
        </w:rPr>
        <w:t>validation. Random Forest achieved the highest accuracy and the strongest overall performance, while Logistic Regression produced moderate results and J48 recorded the weakest accuracy. A corrected paired t</w:t>
      </w:r>
      <w:r w:rsidRPr="008E73B4">
        <w:rPr>
          <w:rFonts w:ascii="Cambria Math" w:hAnsi="Cambria Math" w:cs="Cambria Math"/>
          <w:sz w:val="20"/>
          <w:szCs w:val="20"/>
        </w:rPr>
        <w:t>‑</w:t>
      </w:r>
      <w:r w:rsidRPr="008E73B4">
        <w:rPr>
          <w:rFonts w:ascii="Arial" w:hAnsi="Arial" w:cs="Arial"/>
          <w:sz w:val="20"/>
          <w:szCs w:val="20"/>
        </w:rPr>
        <w:t>test confirmed that Random Forest was significantly more accurate than J48 at the 0.05 significance level.</w:t>
      </w:r>
    </w:p>
    <w:p w14:paraId="7ECF3063" w14:textId="244C03DD" w:rsidR="002B51B8" w:rsidRPr="008E73B4" w:rsidRDefault="002B51B8" w:rsidP="0038184D">
      <w:pPr>
        <w:jc w:val="both"/>
        <w:rPr>
          <w:rFonts w:ascii="Arial" w:hAnsi="Arial" w:cs="Arial"/>
          <w:sz w:val="20"/>
          <w:szCs w:val="20"/>
        </w:rPr>
      </w:pPr>
      <w:r w:rsidRPr="008E73B4">
        <w:rPr>
          <w:rFonts w:ascii="Arial" w:hAnsi="Arial" w:cs="Arial"/>
          <w:sz w:val="20"/>
          <w:szCs w:val="20"/>
        </w:rPr>
        <w:t>To complement the supervised analysis, a SimpleKMeans clustering model was applied, revealing three natural spatial groupings across Manhattan, transitional neighbourhoods and the outer boroughs. These results highlight the central role of location, room type and review activity in shaping Airbnb price patterns, supporting existing research in tourism and spatial analytics.</w:t>
      </w:r>
    </w:p>
    <w:p w14:paraId="6D71298C" w14:textId="21E3C194" w:rsidR="00151940" w:rsidRPr="008E73B4" w:rsidRDefault="002B51B8" w:rsidP="0038184D">
      <w:pPr>
        <w:jc w:val="both"/>
        <w:rPr>
          <w:rFonts w:ascii="Arial" w:hAnsi="Arial" w:cs="Arial"/>
          <w:sz w:val="20"/>
          <w:szCs w:val="20"/>
        </w:rPr>
      </w:pPr>
      <w:r w:rsidRPr="008E73B4">
        <w:rPr>
          <w:rFonts w:ascii="Arial" w:hAnsi="Arial" w:cs="Arial"/>
          <w:sz w:val="20"/>
          <w:szCs w:val="20"/>
        </w:rPr>
        <w:t>Taken together, the findings demonstrate the value of integrating</w:t>
      </w:r>
      <w:r w:rsidR="00A07CE7" w:rsidRPr="008E73B4">
        <w:rPr>
          <w:rFonts w:ascii="Arial" w:hAnsi="Arial" w:cs="Arial"/>
          <w:sz w:val="20"/>
          <w:szCs w:val="20"/>
        </w:rPr>
        <w:t xml:space="preserve"> supervised classification and unsupervised clustering</w:t>
      </w:r>
      <w:r w:rsidR="0079611C">
        <w:rPr>
          <w:rFonts w:ascii="Arial" w:hAnsi="Arial" w:cs="Arial"/>
          <w:sz w:val="20"/>
          <w:szCs w:val="20"/>
        </w:rPr>
        <w:t xml:space="preserve"> </w:t>
      </w:r>
      <w:r w:rsidR="0079611C" w:rsidRPr="0079611C">
        <w:rPr>
          <w:rFonts w:ascii="Arial" w:hAnsi="Arial" w:cs="Arial"/>
          <w:sz w:val="20"/>
          <w:szCs w:val="20"/>
        </w:rPr>
        <w:t>to provide a more comprehensive understanding of market behaviour</w:t>
      </w:r>
      <w:r w:rsidR="001B27BC">
        <w:rPr>
          <w:rFonts w:ascii="Arial" w:hAnsi="Arial" w:cs="Arial"/>
          <w:sz w:val="20"/>
          <w:szCs w:val="20"/>
        </w:rPr>
        <w:t>.</w:t>
      </w:r>
    </w:p>
    <w:p w14:paraId="0042EC3D" w14:textId="25EC6F80" w:rsidR="003D38A3" w:rsidRPr="008E73B4" w:rsidRDefault="003D38A3" w:rsidP="002B51B8">
      <w:pPr>
        <w:pStyle w:val="Heading1"/>
        <w:rPr>
          <w:rFonts w:ascii="Arial" w:hAnsi="Arial" w:cs="Arial"/>
          <w:b/>
          <w:bCs/>
          <w:color w:val="auto"/>
          <w:sz w:val="22"/>
          <w:szCs w:val="22"/>
        </w:rPr>
      </w:pPr>
      <w:bookmarkStart w:id="3" w:name="_Toc214379799"/>
      <w:r w:rsidRPr="008E73B4">
        <w:rPr>
          <w:rFonts w:ascii="Arial" w:hAnsi="Arial" w:cs="Arial"/>
          <w:b/>
          <w:bCs/>
          <w:color w:val="auto"/>
          <w:sz w:val="22"/>
          <w:szCs w:val="22"/>
        </w:rPr>
        <w:t>1.</w:t>
      </w:r>
      <w:r w:rsidR="00261947" w:rsidRPr="008E73B4">
        <w:rPr>
          <w:rFonts w:ascii="Arial" w:hAnsi="Arial" w:cs="Arial"/>
          <w:b/>
          <w:bCs/>
          <w:color w:val="auto"/>
          <w:sz w:val="22"/>
          <w:szCs w:val="22"/>
        </w:rPr>
        <w:t xml:space="preserve"> </w:t>
      </w:r>
      <w:r w:rsidRPr="008E73B4">
        <w:rPr>
          <w:rFonts w:ascii="Arial" w:hAnsi="Arial" w:cs="Arial"/>
          <w:b/>
          <w:bCs/>
          <w:color w:val="auto"/>
          <w:sz w:val="22"/>
          <w:szCs w:val="22"/>
        </w:rPr>
        <w:t>Introduction</w:t>
      </w:r>
      <w:bookmarkEnd w:id="3"/>
    </w:p>
    <w:p w14:paraId="0AC3BA42" w14:textId="77777777" w:rsidR="00F72332" w:rsidRDefault="00F72332" w:rsidP="00CC1695">
      <w:pPr>
        <w:jc w:val="both"/>
        <w:rPr>
          <w:rFonts w:ascii="Arial" w:hAnsi="Arial" w:cs="Arial"/>
          <w:sz w:val="20"/>
          <w:szCs w:val="20"/>
        </w:rPr>
      </w:pPr>
      <w:r w:rsidRPr="00F72332">
        <w:rPr>
          <w:rFonts w:ascii="Arial" w:hAnsi="Arial" w:cs="Arial"/>
          <w:sz w:val="20"/>
          <w:szCs w:val="20"/>
        </w:rPr>
        <w:t>Airbnb has expanded rapidly across global cities, and New York is one of the most active and competitive markets. Understanding pricing patterns is important for hosts, policymakers and platform managers, especially because demand differs across neighbourhoods, room types and listing characteristics.</w:t>
      </w:r>
    </w:p>
    <w:p w14:paraId="366010D3" w14:textId="46FD9ED9" w:rsidR="003D38A3" w:rsidRPr="008E73B4" w:rsidRDefault="003D38A3" w:rsidP="00CC1695">
      <w:pPr>
        <w:jc w:val="both"/>
        <w:rPr>
          <w:rFonts w:ascii="Arial" w:hAnsi="Arial" w:cs="Arial"/>
          <w:sz w:val="20"/>
          <w:szCs w:val="20"/>
        </w:rPr>
      </w:pPr>
      <w:r w:rsidRPr="008E73B4">
        <w:rPr>
          <w:rFonts w:ascii="Arial" w:hAnsi="Arial" w:cs="Arial"/>
          <w:sz w:val="20"/>
          <w:szCs w:val="20"/>
        </w:rPr>
        <w:t>Recent studies have demonstrated that predictive modelling can significantly enhance our understanding of rental price determinants. Camatti et al. found that artificial intelligence techniques outperform conventional models in short-term rental valuation, largely due to their ability to capture non-linear relationships and complex interactions between attributes [1]. Haldar et al. illustrated how Airbnb’s internal ranking systems rely on large-scale learning processes to optimise visibility and pricing outcomes on the platform [2].</w:t>
      </w:r>
    </w:p>
    <w:p w14:paraId="21651AAC" w14:textId="078751FF" w:rsidR="003D38A3" w:rsidRPr="008E73B4" w:rsidRDefault="003D38A3" w:rsidP="00CC1695">
      <w:pPr>
        <w:jc w:val="both"/>
        <w:rPr>
          <w:rFonts w:ascii="Arial" w:hAnsi="Arial" w:cs="Arial"/>
          <w:sz w:val="20"/>
          <w:szCs w:val="20"/>
        </w:rPr>
      </w:pPr>
      <w:r w:rsidRPr="008E73B4">
        <w:rPr>
          <w:rFonts w:ascii="Arial" w:hAnsi="Arial" w:cs="Arial"/>
          <w:sz w:val="20"/>
          <w:szCs w:val="20"/>
        </w:rPr>
        <w:t>Interpretability has also become increasingly important in modern analytics. Koujalagi and Bhat emphasised the growing relevance of transparent models for tabular datasets, noting that stakeholders increasingly expect explanations rather than opaque predictions [3]. Spatial variation remains a dominant theme in Airbnb research. Gutiérrez et al. identified strong neighbourhood effects in rental pricing, providing evidence that location continues to be one of the most influential determinants [4]. Madi et al. extended this perspective by identifying clear spatial patterns in peer-to-peer accommodation markets across multiple cities, shaped by accessibility, tourism flows and urban structure [6]. These findings are consistent with broader trends in tourism analytics, where the integration of behavioural, geographic and structural data has become central to predictive modelling [19].</w:t>
      </w:r>
    </w:p>
    <w:p w14:paraId="37A4C4EC" w14:textId="3EBCF926" w:rsidR="003D38A3" w:rsidRPr="008E73B4" w:rsidRDefault="003D38A3" w:rsidP="00CC1695">
      <w:pPr>
        <w:jc w:val="both"/>
        <w:rPr>
          <w:rFonts w:ascii="Arial" w:hAnsi="Arial" w:cs="Arial"/>
          <w:sz w:val="20"/>
          <w:szCs w:val="20"/>
        </w:rPr>
      </w:pPr>
      <w:r w:rsidRPr="008E73B4">
        <w:rPr>
          <w:rFonts w:ascii="Arial" w:hAnsi="Arial" w:cs="Arial"/>
          <w:sz w:val="20"/>
          <w:szCs w:val="20"/>
        </w:rPr>
        <w:t>Building on this foundation, the present study applies both supervised and unsupervised learning to the New York City Airbnb dataset using WEKA. The aim is to deliver a comprehensive analysis that begins with data preparation, progresses through predictive modelling and clustering, and concludes with practical recommendations. The structure of the report follows the assessment brief closely, ensuring academic rigour, clarity and a strong connection between methodology, results and evaluation.</w:t>
      </w:r>
    </w:p>
    <w:p w14:paraId="3857691C" w14:textId="0123BE41" w:rsidR="003D38A3" w:rsidRPr="008E73B4" w:rsidRDefault="003D38A3" w:rsidP="00E534D6">
      <w:pPr>
        <w:pStyle w:val="Heading1"/>
        <w:rPr>
          <w:rFonts w:ascii="Arial" w:hAnsi="Arial" w:cs="Arial"/>
          <w:b/>
          <w:bCs/>
          <w:color w:val="auto"/>
          <w:sz w:val="22"/>
          <w:szCs w:val="22"/>
        </w:rPr>
      </w:pPr>
      <w:bookmarkStart w:id="4" w:name="_Toc214379800"/>
      <w:r w:rsidRPr="008E73B4">
        <w:rPr>
          <w:rFonts w:ascii="Arial" w:hAnsi="Arial" w:cs="Arial"/>
          <w:b/>
          <w:bCs/>
          <w:color w:val="auto"/>
          <w:sz w:val="22"/>
          <w:szCs w:val="22"/>
        </w:rPr>
        <w:lastRenderedPageBreak/>
        <w:t>2. Literature Review</w:t>
      </w:r>
      <w:bookmarkEnd w:id="4"/>
    </w:p>
    <w:p w14:paraId="12C8A1CD" w14:textId="1E4B7CEE" w:rsidR="003D38A3" w:rsidRPr="008E73B4" w:rsidRDefault="003D38A3" w:rsidP="00CC1695">
      <w:pPr>
        <w:jc w:val="both"/>
        <w:rPr>
          <w:rFonts w:ascii="Arial" w:hAnsi="Arial" w:cs="Arial"/>
          <w:sz w:val="20"/>
          <w:szCs w:val="20"/>
        </w:rPr>
      </w:pPr>
      <w:r w:rsidRPr="008E73B4">
        <w:rPr>
          <w:rFonts w:ascii="Arial" w:hAnsi="Arial" w:cs="Arial"/>
          <w:sz w:val="20"/>
          <w:szCs w:val="20"/>
        </w:rPr>
        <w:t>The expansion of short</w:t>
      </w:r>
      <w:r w:rsidRPr="008E73B4">
        <w:rPr>
          <w:rFonts w:ascii="Cambria Math" w:hAnsi="Cambria Math" w:cs="Cambria Math"/>
          <w:sz w:val="20"/>
          <w:szCs w:val="20"/>
        </w:rPr>
        <w:t>‑</w:t>
      </w:r>
      <w:r w:rsidRPr="008E73B4">
        <w:rPr>
          <w:rFonts w:ascii="Arial" w:hAnsi="Arial" w:cs="Arial"/>
          <w:sz w:val="20"/>
          <w:szCs w:val="20"/>
        </w:rPr>
        <w:t>term rental platforms has generated considerable academic interest in the ways property attributes, host behaviour and spatial characteristics shape pricing and market dynamics. Recent studies increasingly combine traditional econometric approaches with modern machine learning techniques, reflecting a broader shift towards data</w:t>
      </w:r>
      <w:r w:rsidRPr="008E73B4">
        <w:rPr>
          <w:rFonts w:ascii="Cambria Math" w:hAnsi="Cambria Math" w:cs="Cambria Math"/>
          <w:sz w:val="20"/>
          <w:szCs w:val="20"/>
        </w:rPr>
        <w:t>‑</w:t>
      </w:r>
      <w:r w:rsidRPr="008E73B4">
        <w:rPr>
          <w:rFonts w:ascii="Arial" w:hAnsi="Arial" w:cs="Arial"/>
          <w:sz w:val="20"/>
          <w:szCs w:val="20"/>
        </w:rPr>
        <w:t>driven decision</w:t>
      </w:r>
      <w:r w:rsidRPr="008E73B4">
        <w:rPr>
          <w:rFonts w:ascii="Cambria Math" w:hAnsi="Cambria Math" w:cs="Cambria Math"/>
          <w:sz w:val="20"/>
          <w:szCs w:val="20"/>
        </w:rPr>
        <w:t>‑</w:t>
      </w:r>
      <w:r w:rsidRPr="008E73B4">
        <w:rPr>
          <w:rFonts w:ascii="Arial" w:hAnsi="Arial" w:cs="Arial"/>
          <w:sz w:val="20"/>
          <w:szCs w:val="20"/>
        </w:rPr>
        <w:t>making in tourism analytics.</w:t>
      </w:r>
    </w:p>
    <w:p w14:paraId="6B02AF83" w14:textId="38AA7958" w:rsidR="003D38A3" w:rsidRPr="008E73B4" w:rsidRDefault="003D38A3" w:rsidP="00CC1695">
      <w:pPr>
        <w:jc w:val="both"/>
        <w:rPr>
          <w:rFonts w:ascii="Arial" w:hAnsi="Arial" w:cs="Arial"/>
          <w:sz w:val="20"/>
          <w:szCs w:val="20"/>
        </w:rPr>
      </w:pPr>
      <w:r w:rsidRPr="008E73B4">
        <w:rPr>
          <w:rFonts w:ascii="Arial" w:hAnsi="Arial" w:cs="Arial"/>
          <w:sz w:val="20"/>
          <w:szCs w:val="20"/>
        </w:rPr>
        <w:t>Camatti et al. provided a detailed comparison of artificial intelligence and conventional modelling approaches, showing that machine learning achieves superior predictive performance when estimating Airbnb prices. This advantage arises from its ability to capture complex non</w:t>
      </w:r>
      <w:r w:rsidRPr="008E73B4">
        <w:rPr>
          <w:rFonts w:ascii="Cambria Math" w:hAnsi="Cambria Math" w:cs="Cambria Math"/>
          <w:sz w:val="20"/>
          <w:szCs w:val="20"/>
        </w:rPr>
        <w:t>‑</w:t>
      </w:r>
      <w:r w:rsidRPr="008E73B4">
        <w:rPr>
          <w:rFonts w:ascii="Arial" w:hAnsi="Arial" w:cs="Arial"/>
          <w:sz w:val="20"/>
          <w:szCs w:val="20"/>
        </w:rPr>
        <w:t>linear interactions between variables, a feature particularly important in markets characterised by high heterogeneity [1]. Haldar et al. extended this perspective by examining large</w:t>
      </w:r>
      <w:r w:rsidRPr="008E73B4">
        <w:rPr>
          <w:rFonts w:ascii="Cambria Math" w:hAnsi="Cambria Math" w:cs="Cambria Math"/>
          <w:sz w:val="20"/>
          <w:szCs w:val="20"/>
        </w:rPr>
        <w:t>‑</w:t>
      </w:r>
      <w:r w:rsidRPr="008E73B4">
        <w:rPr>
          <w:rFonts w:ascii="Arial" w:hAnsi="Arial" w:cs="Arial"/>
          <w:sz w:val="20"/>
          <w:szCs w:val="20"/>
        </w:rPr>
        <w:t>scale learning</w:t>
      </w:r>
      <w:r w:rsidRPr="008E73B4">
        <w:rPr>
          <w:rFonts w:ascii="Cambria Math" w:hAnsi="Cambria Math" w:cs="Cambria Math"/>
          <w:sz w:val="20"/>
          <w:szCs w:val="20"/>
        </w:rPr>
        <w:t>‑</w:t>
      </w:r>
      <w:r w:rsidRPr="008E73B4">
        <w:rPr>
          <w:rFonts w:ascii="Arial" w:hAnsi="Arial" w:cs="Arial"/>
          <w:sz w:val="20"/>
          <w:szCs w:val="20"/>
        </w:rPr>
        <w:t>to</w:t>
      </w:r>
      <w:r w:rsidRPr="008E73B4">
        <w:rPr>
          <w:rFonts w:ascii="Cambria Math" w:hAnsi="Cambria Math" w:cs="Cambria Math"/>
          <w:sz w:val="20"/>
          <w:szCs w:val="20"/>
        </w:rPr>
        <w:t>‑</w:t>
      </w:r>
      <w:r w:rsidRPr="008E73B4">
        <w:rPr>
          <w:rFonts w:ascii="Arial" w:hAnsi="Arial" w:cs="Arial"/>
          <w:sz w:val="20"/>
          <w:szCs w:val="20"/>
        </w:rPr>
        <w:t>rank systems used internally by Airbnb, illustrating how algorithmic tools influence listing visibility and revenue outcomes across the platform [2]. Together, these studies highlight the central role of data</w:t>
      </w:r>
      <w:r w:rsidRPr="008E73B4">
        <w:rPr>
          <w:rFonts w:ascii="Cambria Math" w:hAnsi="Cambria Math" w:cs="Cambria Math"/>
          <w:sz w:val="20"/>
          <w:szCs w:val="20"/>
        </w:rPr>
        <w:t>‑</w:t>
      </w:r>
      <w:r w:rsidRPr="008E73B4">
        <w:rPr>
          <w:rFonts w:ascii="Arial" w:hAnsi="Arial" w:cs="Arial"/>
          <w:sz w:val="20"/>
          <w:szCs w:val="20"/>
        </w:rPr>
        <w:t>driven optimisation in platform operations and competitive positioning.</w:t>
      </w:r>
    </w:p>
    <w:p w14:paraId="5F512075" w14:textId="256059C4" w:rsidR="003D38A3" w:rsidRPr="008E73B4" w:rsidRDefault="003D38A3" w:rsidP="00CC1695">
      <w:pPr>
        <w:jc w:val="both"/>
        <w:rPr>
          <w:rFonts w:ascii="Arial" w:hAnsi="Arial" w:cs="Arial"/>
          <w:sz w:val="20"/>
          <w:szCs w:val="20"/>
        </w:rPr>
      </w:pPr>
      <w:r w:rsidRPr="008E73B4">
        <w:rPr>
          <w:rFonts w:ascii="Arial" w:hAnsi="Arial" w:cs="Arial"/>
          <w:sz w:val="20"/>
          <w:szCs w:val="20"/>
        </w:rPr>
        <w:t>Interpretability remains a significant concern, especially when models inform financial decisions</w:t>
      </w:r>
      <w:r w:rsidR="00C6511A" w:rsidRPr="008E73B4">
        <w:rPr>
          <w:rFonts w:ascii="Arial" w:hAnsi="Arial" w:cs="Arial"/>
          <w:sz w:val="20"/>
          <w:szCs w:val="20"/>
        </w:rPr>
        <w:t xml:space="preserve"> [14]</w:t>
      </w:r>
      <w:r w:rsidRPr="008E73B4">
        <w:rPr>
          <w:rFonts w:ascii="Arial" w:hAnsi="Arial" w:cs="Arial"/>
          <w:sz w:val="20"/>
          <w:szCs w:val="20"/>
        </w:rPr>
        <w:t>. Koujalagi and Bhat reviewed interpretable machine learning techniques for tabular data and concluded that transparency is essential in domains such as property valuation, where stakeholders must justify decisions to clients, regulators or investors [3]. Pan and Yang supported this view, emphasising the practical value of tree</w:t>
      </w:r>
      <w:r w:rsidRPr="008E73B4">
        <w:rPr>
          <w:rFonts w:ascii="Cambria Math" w:hAnsi="Cambria Math" w:cs="Cambria Math"/>
          <w:sz w:val="20"/>
          <w:szCs w:val="20"/>
        </w:rPr>
        <w:t>‑</w:t>
      </w:r>
      <w:r w:rsidRPr="008E73B4">
        <w:rPr>
          <w:rFonts w:ascii="Arial" w:hAnsi="Arial" w:cs="Arial"/>
          <w:sz w:val="20"/>
          <w:szCs w:val="20"/>
        </w:rPr>
        <w:t>based models such as J48, which generate readable decision rules that can be traced directly to input attributes [10]. This emphasis on interpretability is particularly relevant in short</w:t>
      </w:r>
      <w:r w:rsidRPr="008E73B4">
        <w:rPr>
          <w:rFonts w:ascii="Cambria Math" w:hAnsi="Cambria Math" w:cs="Cambria Math"/>
          <w:sz w:val="20"/>
          <w:szCs w:val="20"/>
        </w:rPr>
        <w:t>‑</w:t>
      </w:r>
      <w:r w:rsidRPr="008E73B4">
        <w:rPr>
          <w:rFonts w:ascii="Arial" w:hAnsi="Arial" w:cs="Arial"/>
          <w:sz w:val="20"/>
          <w:szCs w:val="20"/>
        </w:rPr>
        <w:t>term rental markets, where pricing decisions often require trust and accountability</w:t>
      </w:r>
      <w:r w:rsidR="00D17F15" w:rsidRPr="008E73B4">
        <w:rPr>
          <w:rFonts w:ascii="Arial" w:hAnsi="Arial" w:cs="Arial"/>
          <w:sz w:val="20"/>
          <w:szCs w:val="20"/>
        </w:rPr>
        <w:t xml:space="preserve"> [14]</w:t>
      </w:r>
      <w:r w:rsidRPr="008E73B4">
        <w:rPr>
          <w:rFonts w:ascii="Arial" w:hAnsi="Arial" w:cs="Arial"/>
          <w:sz w:val="20"/>
          <w:szCs w:val="20"/>
        </w:rPr>
        <w:t>.</w:t>
      </w:r>
    </w:p>
    <w:p w14:paraId="14CAC715" w14:textId="548714CC" w:rsidR="003D38A3" w:rsidRPr="008E73B4" w:rsidRDefault="003D38A3" w:rsidP="00CC1695">
      <w:pPr>
        <w:jc w:val="both"/>
        <w:rPr>
          <w:rFonts w:ascii="Arial" w:hAnsi="Arial" w:cs="Arial"/>
          <w:sz w:val="20"/>
          <w:szCs w:val="20"/>
        </w:rPr>
      </w:pPr>
      <w:r w:rsidRPr="008E73B4">
        <w:rPr>
          <w:rFonts w:ascii="Arial" w:hAnsi="Arial" w:cs="Arial"/>
          <w:sz w:val="20"/>
          <w:szCs w:val="20"/>
        </w:rPr>
        <w:t>Spatial characteristics consistently emerge as strong determinants of Airbnb price and performance. Gutiérrez et al. demonstrated that neighbourhood effects significantly shape rental prices, suggesting that geographic location interacts with host behaviour and guest demand to create distinct market segments [4]. Madi et al. identified similar spatial clusters across major cities, driven by infrastructure, accessibility and tourism density [6]. Silva et al. reinforced these findings through a European study, emphasising that spatial determinants remain powerful across diverse urban settings [19]. These contributions underline the importance of including spatial and structural variables when modelling short</w:t>
      </w:r>
      <w:r w:rsidRPr="008E73B4">
        <w:rPr>
          <w:rFonts w:ascii="Cambria Math" w:hAnsi="Cambria Math" w:cs="Cambria Math"/>
          <w:sz w:val="20"/>
          <w:szCs w:val="20"/>
        </w:rPr>
        <w:t>‑</w:t>
      </w:r>
      <w:r w:rsidRPr="008E73B4">
        <w:rPr>
          <w:rFonts w:ascii="Arial" w:hAnsi="Arial" w:cs="Arial"/>
          <w:sz w:val="20"/>
          <w:szCs w:val="20"/>
        </w:rPr>
        <w:t>term rental markets.</w:t>
      </w:r>
    </w:p>
    <w:p w14:paraId="4AA2D78F" w14:textId="520CB585" w:rsidR="003D38A3" w:rsidRPr="008E73B4" w:rsidRDefault="003D38A3" w:rsidP="00CC1695">
      <w:pPr>
        <w:jc w:val="both"/>
        <w:rPr>
          <w:rFonts w:ascii="Arial" w:hAnsi="Arial" w:cs="Arial"/>
          <w:sz w:val="20"/>
          <w:szCs w:val="20"/>
        </w:rPr>
      </w:pPr>
      <w:r w:rsidRPr="008E73B4">
        <w:rPr>
          <w:rFonts w:ascii="Arial" w:hAnsi="Arial" w:cs="Arial"/>
          <w:sz w:val="20"/>
          <w:szCs w:val="20"/>
        </w:rPr>
        <w:t>Advances in multimodal analytics have expanded the methodological toolkit available to researchers. Li et al. showed that combining structured attributes with sentiment extracted from guest reviews improves price prediction accuracy, indicating that textual data provides explanatory value beyond numerical features [5]. Guo et al. produced complementary findings by demonstrating that emotion and sentiment derived from reviews correlate with host professionalism and listing quality, offering a richer representation of guest experience [7]. These insights suggest promising directions for extending traditional models through text mining and natural language processing.</w:t>
      </w:r>
    </w:p>
    <w:p w14:paraId="48F54E99" w14:textId="73278D5A" w:rsidR="003D38A3" w:rsidRPr="008E73B4" w:rsidRDefault="003D38A3" w:rsidP="00CC1695">
      <w:pPr>
        <w:jc w:val="both"/>
        <w:rPr>
          <w:rFonts w:ascii="Arial" w:hAnsi="Arial" w:cs="Arial"/>
          <w:sz w:val="20"/>
          <w:szCs w:val="20"/>
        </w:rPr>
      </w:pPr>
      <w:r w:rsidRPr="008E73B4">
        <w:rPr>
          <w:rFonts w:ascii="Arial" w:hAnsi="Arial" w:cs="Arial"/>
          <w:sz w:val="20"/>
          <w:szCs w:val="20"/>
        </w:rPr>
        <w:t>Clustering has also gained prominence within tourism research as a means of uncovering naturally occurring market segments. Das and Singh evaluated a range of cluster validity indices and stressed the importance of selecting robust evaluation criteria when applying algorithms such as KMeans [8]. Martins and Antunes contributed a modern assessment of compactness and separation measures, encouraging researchers to justify cluster selections through quantitative validation as well as visual inspection [17]. Deb and Mukherjee demonstrated how integrating supervised and unsupervised learning within WEKA improves the interpretative depth of educational and behavioural datasets, supporting the methodological approach adopted in this study [18].</w:t>
      </w:r>
    </w:p>
    <w:p w14:paraId="2F0837A0" w14:textId="75DBC103" w:rsidR="003D38A3" w:rsidRPr="008E73B4" w:rsidRDefault="003D38A3" w:rsidP="00CC1695">
      <w:pPr>
        <w:jc w:val="both"/>
        <w:rPr>
          <w:rFonts w:ascii="Arial" w:hAnsi="Arial" w:cs="Arial"/>
          <w:sz w:val="20"/>
          <w:szCs w:val="20"/>
        </w:rPr>
      </w:pPr>
      <w:r w:rsidRPr="008E73B4">
        <w:rPr>
          <w:rFonts w:ascii="Arial" w:hAnsi="Arial" w:cs="Arial"/>
          <w:sz w:val="20"/>
          <w:szCs w:val="20"/>
        </w:rPr>
        <w:t>Taken together, the literature indicates that Airbnb markets are shaped by a combination of spatial, behavioural and structural variables, and that machine learning provides a powerful framework for modelling these relationships. The present study builds on these findings by applying classification and clustering techniques to the New York City rental market, with particular attention to interpretability, spatial insight and performance evaluation.</w:t>
      </w:r>
    </w:p>
    <w:p w14:paraId="74BECB8A" w14:textId="24522D4D" w:rsidR="003D38A3" w:rsidRPr="008E73B4" w:rsidRDefault="003D38A3" w:rsidP="00E534D6">
      <w:pPr>
        <w:pStyle w:val="Heading1"/>
        <w:rPr>
          <w:rFonts w:ascii="Arial" w:hAnsi="Arial" w:cs="Arial"/>
          <w:b/>
          <w:bCs/>
          <w:color w:val="auto"/>
          <w:sz w:val="22"/>
          <w:szCs w:val="22"/>
        </w:rPr>
      </w:pPr>
      <w:bookmarkStart w:id="5" w:name="_Toc214379801"/>
      <w:r w:rsidRPr="008E73B4">
        <w:rPr>
          <w:rFonts w:ascii="Arial" w:hAnsi="Arial" w:cs="Arial"/>
          <w:b/>
          <w:bCs/>
          <w:color w:val="auto"/>
          <w:sz w:val="22"/>
          <w:szCs w:val="22"/>
        </w:rPr>
        <w:lastRenderedPageBreak/>
        <w:t>3.</w:t>
      </w:r>
      <w:r w:rsidR="00261947" w:rsidRPr="008E73B4">
        <w:rPr>
          <w:rFonts w:ascii="Arial" w:hAnsi="Arial" w:cs="Arial"/>
          <w:b/>
          <w:bCs/>
          <w:color w:val="auto"/>
          <w:sz w:val="22"/>
          <w:szCs w:val="22"/>
        </w:rPr>
        <w:t xml:space="preserve"> </w:t>
      </w:r>
      <w:r w:rsidRPr="008E73B4">
        <w:rPr>
          <w:rFonts w:ascii="Arial" w:hAnsi="Arial" w:cs="Arial"/>
          <w:b/>
          <w:bCs/>
          <w:color w:val="auto"/>
          <w:sz w:val="22"/>
          <w:szCs w:val="22"/>
        </w:rPr>
        <w:t>Dataset Description</w:t>
      </w:r>
      <w:bookmarkEnd w:id="5"/>
    </w:p>
    <w:p w14:paraId="6FA59BB2" w14:textId="34D49FB8" w:rsidR="003D38A3" w:rsidRPr="008E73B4" w:rsidRDefault="003D38A3" w:rsidP="00CC1695">
      <w:pPr>
        <w:jc w:val="both"/>
        <w:rPr>
          <w:rFonts w:ascii="Arial" w:hAnsi="Arial" w:cs="Arial"/>
          <w:sz w:val="20"/>
          <w:szCs w:val="20"/>
        </w:rPr>
      </w:pPr>
      <w:r w:rsidRPr="008E73B4">
        <w:rPr>
          <w:rFonts w:ascii="Arial" w:hAnsi="Arial" w:cs="Arial"/>
          <w:sz w:val="20"/>
          <w:szCs w:val="20"/>
        </w:rPr>
        <w:t>The analysis in this study draws on the AB_NYC_2019 dataset, which is publicly available through Kaggle and widely recognised in both academic and industry research on short</w:t>
      </w:r>
      <w:r w:rsidRPr="008E73B4">
        <w:rPr>
          <w:rFonts w:ascii="Cambria Math" w:hAnsi="Cambria Math" w:cs="Cambria Math"/>
          <w:sz w:val="20"/>
          <w:szCs w:val="20"/>
        </w:rPr>
        <w:t>‑</w:t>
      </w:r>
      <w:r w:rsidRPr="008E73B4">
        <w:rPr>
          <w:rFonts w:ascii="Arial" w:hAnsi="Arial" w:cs="Arial"/>
          <w:sz w:val="20"/>
          <w:szCs w:val="20"/>
        </w:rPr>
        <w:t>term rental markets [15]. The dataset contains 48,895 Airbnb listings across the five boroughs of New York City: Manhattan, Brooklyn, Queens, the Bronx and Staten Island. It combines numerical, categorical and behavioural attributes, making it well suited to classification, clustering and exploratory data analysis.</w:t>
      </w:r>
    </w:p>
    <w:p w14:paraId="6B08C2AD" w14:textId="0114E38D" w:rsidR="003D38A3" w:rsidRPr="008E73B4" w:rsidRDefault="003D38A3" w:rsidP="00CC1695">
      <w:pPr>
        <w:jc w:val="both"/>
        <w:rPr>
          <w:rFonts w:ascii="Arial" w:hAnsi="Arial" w:cs="Arial"/>
          <w:sz w:val="20"/>
          <w:szCs w:val="20"/>
        </w:rPr>
      </w:pPr>
      <w:r w:rsidRPr="008E73B4">
        <w:rPr>
          <w:rFonts w:ascii="Arial" w:hAnsi="Arial" w:cs="Arial"/>
          <w:sz w:val="20"/>
          <w:szCs w:val="20"/>
        </w:rPr>
        <w:t>The key variables include neighbourhood group, neighbourhood, room type, minimum nights, number of reviews, reviews per month, availability over the year and price. These features provide insight into property characteristics, spatial location and guest activity. Host</w:t>
      </w:r>
      <w:r w:rsidRPr="008E73B4">
        <w:rPr>
          <w:rFonts w:ascii="Cambria Math" w:hAnsi="Cambria Math" w:cs="Cambria Math"/>
          <w:sz w:val="20"/>
          <w:szCs w:val="20"/>
        </w:rPr>
        <w:t>‑</w:t>
      </w:r>
      <w:r w:rsidRPr="008E73B4">
        <w:rPr>
          <w:rFonts w:ascii="Arial" w:hAnsi="Arial" w:cs="Arial"/>
          <w:sz w:val="20"/>
          <w:szCs w:val="20"/>
        </w:rPr>
        <w:t>specific information is also included, such as host ID and the number of listings associated with each host, which can be linked to indicators of host professionalism and commercial behaviour.</w:t>
      </w:r>
    </w:p>
    <w:p w14:paraId="7AE0790E" w14:textId="59D32921" w:rsidR="003D38A3" w:rsidRPr="008E73B4" w:rsidRDefault="00CA7E39" w:rsidP="00CC1695">
      <w:pPr>
        <w:jc w:val="both"/>
        <w:rPr>
          <w:rFonts w:ascii="Arial" w:hAnsi="Arial" w:cs="Arial"/>
          <w:sz w:val="20"/>
          <w:szCs w:val="20"/>
        </w:rPr>
      </w:pPr>
      <w:r w:rsidRPr="00CA7E39">
        <w:rPr>
          <w:rFonts w:ascii="Arial" w:hAnsi="Arial" w:cs="Arial"/>
          <w:sz w:val="20"/>
          <w:szCs w:val="20"/>
        </w:rPr>
        <w:t>Initial inspection revealed several data quality issues, including missing values and extreme outliers. Records with missing entries were removed to ensure consistency, as models such as J48 and Logistic Regression do not handle incomplete data. Outliers in price and minimum nights were also filtered out because unusually high prices or long-term stays can distort model training. This approach follows common practice in Airbnb analytics, where extreme luxury listings or atypical stays are excluded to maintain a representative dataset</w:t>
      </w:r>
      <w:r w:rsidR="00835955">
        <w:rPr>
          <w:rFonts w:ascii="Arial" w:hAnsi="Arial" w:cs="Arial"/>
          <w:sz w:val="20"/>
          <w:szCs w:val="20"/>
        </w:rPr>
        <w:t xml:space="preserve"> </w:t>
      </w:r>
      <w:r w:rsidR="003D38A3" w:rsidRPr="008E73B4">
        <w:rPr>
          <w:rFonts w:ascii="Arial" w:hAnsi="Arial" w:cs="Arial"/>
          <w:sz w:val="20"/>
          <w:szCs w:val="20"/>
        </w:rPr>
        <w:t>[1][4].</w:t>
      </w:r>
      <w:r w:rsidR="003A436C">
        <w:rPr>
          <w:rFonts w:ascii="Arial" w:hAnsi="Arial" w:cs="Arial"/>
          <w:sz w:val="20"/>
          <w:szCs w:val="20"/>
        </w:rPr>
        <w:t xml:space="preserve"> </w:t>
      </w:r>
    </w:p>
    <w:p w14:paraId="26E9A9B3" w14:textId="39B4C66E" w:rsidR="003D38A3" w:rsidRPr="008E73B4" w:rsidRDefault="003D38A3" w:rsidP="00CC1695">
      <w:pPr>
        <w:jc w:val="both"/>
        <w:rPr>
          <w:rFonts w:ascii="Arial" w:hAnsi="Arial" w:cs="Arial"/>
          <w:sz w:val="20"/>
          <w:szCs w:val="20"/>
        </w:rPr>
      </w:pPr>
      <w:r w:rsidRPr="008E73B4">
        <w:rPr>
          <w:rFonts w:ascii="Arial" w:hAnsi="Arial" w:cs="Arial"/>
          <w:sz w:val="20"/>
          <w:szCs w:val="20"/>
        </w:rPr>
        <w:t>To enable predictive modelling, a new target variable named price category was created. The continuous price variable was transformed into three categories: low, medium and high, using quartile thresholds. This discretisation supports the application of classification algorithms and reflects common practice in rental valuation studies, where discrete pricing bands are used to assess affordability, value and market segmentation [6][19].</w:t>
      </w:r>
    </w:p>
    <w:p w14:paraId="72B110E7" w14:textId="6D1FFE02" w:rsidR="003D38A3" w:rsidRPr="008E73B4" w:rsidRDefault="003D38A3" w:rsidP="00CC1695">
      <w:pPr>
        <w:jc w:val="both"/>
        <w:rPr>
          <w:rFonts w:ascii="Arial" w:hAnsi="Arial" w:cs="Arial"/>
          <w:sz w:val="20"/>
          <w:szCs w:val="20"/>
        </w:rPr>
      </w:pPr>
      <w:r w:rsidRPr="008E73B4">
        <w:rPr>
          <w:rFonts w:ascii="Arial" w:hAnsi="Arial" w:cs="Arial"/>
          <w:sz w:val="20"/>
          <w:szCs w:val="20"/>
        </w:rPr>
        <w:t>Categorical attributes were encoded within WEKA, while numerical variables were prepared for modelling through standardisation. These preparation steps ensured that the dataset was suitable for both supervised and unsupervised learning and aligned with best practice identified in the literature. The resulting dataset provided a robust foundation for the subsequent analysis of classification performance and clustering behaviour.</w:t>
      </w:r>
    </w:p>
    <w:p w14:paraId="63A30868" w14:textId="77777777" w:rsidR="003D38A3" w:rsidRPr="008E73B4" w:rsidRDefault="003D38A3" w:rsidP="00FC70DC">
      <w:pPr>
        <w:pStyle w:val="Heading1"/>
        <w:rPr>
          <w:rFonts w:ascii="Arial" w:hAnsi="Arial" w:cs="Arial"/>
          <w:b/>
          <w:bCs/>
          <w:color w:val="auto"/>
          <w:sz w:val="22"/>
          <w:szCs w:val="22"/>
        </w:rPr>
      </w:pPr>
      <w:bookmarkStart w:id="6" w:name="_Toc214379802"/>
      <w:r w:rsidRPr="008E73B4">
        <w:rPr>
          <w:rFonts w:ascii="Arial" w:hAnsi="Arial" w:cs="Arial"/>
          <w:b/>
          <w:bCs/>
          <w:color w:val="auto"/>
          <w:sz w:val="22"/>
          <w:szCs w:val="22"/>
        </w:rPr>
        <w:t>4.0 Methodology</w:t>
      </w:r>
      <w:bookmarkEnd w:id="6"/>
    </w:p>
    <w:p w14:paraId="40AAB498" w14:textId="6FBDEC1B" w:rsidR="003D38A3" w:rsidRPr="008E73B4" w:rsidRDefault="003D38A3" w:rsidP="00CC1695">
      <w:pPr>
        <w:jc w:val="both"/>
        <w:rPr>
          <w:rFonts w:ascii="Arial" w:hAnsi="Arial" w:cs="Arial"/>
          <w:sz w:val="20"/>
          <w:szCs w:val="20"/>
        </w:rPr>
      </w:pPr>
      <w:r w:rsidRPr="008E73B4">
        <w:rPr>
          <w:rFonts w:ascii="Arial" w:hAnsi="Arial" w:cs="Arial"/>
          <w:sz w:val="20"/>
          <w:szCs w:val="20"/>
        </w:rPr>
        <w:t>The methodological design of this study follows a structured workflow that supports clear, reproducible and academically rigorous analysis. All modelling was carried out using WEKA</w:t>
      </w:r>
      <w:r w:rsidR="00A232BC" w:rsidRPr="008E73B4">
        <w:rPr>
          <w:rFonts w:ascii="Arial" w:hAnsi="Arial" w:cs="Arial"/>
          <w:sz w:val="20"/>
          <w:szCs w:val="20"/>
        </w:rPr>
        <w:t xml:space="preserve"> [11]</w:t>
      </w:r>
      <w:r w:rsidRPr="008E73B4">
        <w:rPr>
          <w:rFonts w:ascii="Arial" w:hAnsi="Arial" w:cs="Arial"/>
          <w:sz w:val="20"/>
          <w:szCs w:val="20"/>
        </w:rPr>
        <w:t>, which provides an accessible environment for data preparation, supervised learning, unsupervised learning and evaluation. This section outlines the steps involved in preprocessing, exploratory visualisation, standardisation, classification and clustering. Each step is supported by evidence in the form of figures that are inserted directly after the relevant explanation.</w:t>
      </w:r>
    </w:p>
    <w:p w14:paraId="0F57CED0" w14:textId="34D916CD" w:rsidR="003D38A3" w:rsidRPr="008E73B4" w:rsidRDefault="003D38A3" w:rsidP="00085E56">
      <w:pPr>
        <w:pStyle w:val="Heading1"/>
        <w:rPr>
          <w:rFonts w:ascii="Arial" w:hAnsi="Arial" w:cs="Arial"/>
          <w:b/>
          <w:bCs/>
          <w:color w:val="auto"/>
          <w:sz w:val="22"/>
          <w:szCs w:val="22"/>
        </w:rPr>
      </w:pPr>
      <w:bookmarkStart w:id="7" w:name="_Toc214379803"/>
      <w:r w:rsidRPr="008E73B4">
        <w:rPr>
          <w:rFonts w:ascii="Arial" w:hAnsi="Arial" w:cs="Arial"/>
          <w:b/>
          <w:bCs/>
          <w:color w:val="auto"/>
          <w:sz w:val="22"/>
          <w:szCs w:val="22"/>
        </w:rPr>
        <w:t>4.1 Preprocessing</w:t>
      </w:r>
      <w:bookmarkEnd w:id="7"/>
    </w:p>
    <w:p w14:paraId="0ED42A29" w14:textId="3B2633AE" w:rsidR="003D38A3" w:rsidRPr="008E73B4" w:rsidRDefault="003D38A3" w:rsidP="00CC1695">
      <w:pPr>
        <w:jc w:val="both"/>
        <w:rPr>
          <w:rFonts w:ascii="Arial" w:hAnsi="Arial" w:cs="Arial"/>
          <w:sz w:val="20"/>
          <w:szCs w:val="20"/>
        </w:rPr>
      </w:pPr>
      <w:r w:rsidRPr="008E73B4">
        <w:rPr>
          <w:rFonts w:ascii="Arial" w:hAnsi="Arial" w:cs="Arial"/>
          <w:sz w:val="20"/>
          <w:szCs w:val="20"/>
        </w:rPr>
        <w:t>The preprocessing stage ensured that the dataset was clean, consistent and suitable for machine learning. Records with missing values were removed to prevent disruption to classification algorithms that require complete inputs. Irrelevant attributes, such as listing names and host identifiers, were also removed to minimise noise and reduce unnecessary dimensionality. A new categorical variable, price category, was created using quartile thresholds to support supervised learning.</w:t>
      </w:r>
    </w:p>
    <w:p w14:paraId="7C6222D5" w14:textId="4742125A" w:rsidR="003D38A3" w:rsidRPr="008E73B4" w:rsidRDefault="003D38A3" w:rsidP="00CC1695">
      <w:pPr>
        <w:jc w:val="both"/>
        <w:rPr>
          <w:rFonts w:ascii="Arial" w:hAnsi="Arial" w:cs="Arial"/>
          <w:sz w:val="20"/>
          <w:szCs w:val="20"/>
        </w:rPr>
      </w:pPr>
      <w:r w:rsidRPr="008E73B4">
        <w:rPr>
          <w:rFonts w:ascii="Arial" w:hAnsi="Arial" w:cs="Arial"/>
          <w:sz w:val="20"/>
          <w:szCs w:val="20"/>
        </w:rPr>
        <w:t>Figure 1 shows the WEKA Preprocess panel after these steps were completed. It displays the cleaned attribute list, the applied RemoveUseless filter and the distribution of the newly created target variable</w:t>
      </w:r>
      <w:r w:rsidR="00E6192C" w:rsidRPr="008E73B4">
        <w:rPr>
          <w:rFonts w:ascii="Arial" w:hAnsi="Arial" w:cs="Arial"/>
          <w:sz w:val="20"/>
          <w:szCs w:val="20"/>
        </w:rPr>
        <w:t xml:space="preserve"> [11]</w:t>
      </w:r>
      <w:r w:rsidRPr="008E73B4">
        <w:rPr>
          <w:rFonts w:ascii="Arial" w:hAnsi="Arial" w:cs="Arial"/>
          <w:sz w:val="20"/>
          <w:szCs w:val="20"/>
        </w:rPr>
        <w:t>. This evidence confirms that the dataset had been structured appropriately for further analysis.</w:t>
      </w:r>
    </w:p>
    <w:p w14:paraId="1F6BCF79" w14:textId="77777777" w:rsidR="00DF1E3C" w:rsidRPr="008E73B4" w:rsidRDefault="00DF1E3C" w:rsidP="00CC1695">
      <w:pPr>
        <w:jc w:val="both"/>
        <w:rPr>
          <w:rFonts w:ascii="Arial" w:hAnsi="Arial" w:cs="Arial"/>
          <w:sz w:val="20"/>
          <w:szCs w:val="20"/>
        </w:rPr>
      </w:pPr>
    </w:p>
    <w:p w14:paraId="5BDF5192" w14:textId="12D5C18D" w:rsidR="003D38A3" w:rsidRPr="008E73B4" w:rsidRDefault="00230137" w:rsidP="00CB1CC4">
      <w:pPr>
        <w:jc w:val="center"/>
        <w:rPr>
          <w:rFonts w:ascii="Arial" w:hAnsi="Arial" w:cs="Arial"/>
          <w:sz w:val="20"/>
          <w:szCs w:val="20"/>
        </w:rPr>
      </w:pPr>
      <w:r w:rsidRPr="008E73B4">
        <w:rPr>
          <w:rFonts w:ascii="Arial" w:hAnsi="Arial" w:cs="Arial"/>
          <w:noProof/>
          <w:sz w:val="20"/>
          <w:szCs w:val="20"/>
        </w:rPr>
        <w:lastRenderedPageBreak/>
        <w:drawing>
          <wp:inline distT="0" distB="0" distL="0" distR="0" wp14:anchorId="2D6F0927" wp14:editId="3642E416">
            <wp:extent cx="3615069" cy="1890442"/>
            <wp:effectExtent l="0" t="0" r="4445" b="0"/>
            <wp:docPr id="1281214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14294" name="Picture 1" descr="A screenshot of a computer&#10;&#10;AI-generated content may be incorrect."/>
                    <pic:cNvPicPr/>
                  </pic:nvPicPr>
                  <pic:blipFill>
                    <a:blip r:embed="rId7"/>
                    <a:stretch>
                      <a:fillRect/>
                    </a:stretch>
                  </pic:blipFill>
                  <pic:spPr>
                    <a:xfrm>
                      <a:off x="0" y="0"/>
                      <a:ext cx="3629549" cy="1898014"/>
                    </a:xfrm>
                    <a:prstGeom prst="rect">
                      <a:avLst/>
                    </a:prstGeom>
                  </pic:spPr>
                </pic:pic>
              </a:graphicData>
            </a:graphic>
          </wp:inline>
        </w:drawing>
      </w:r>
    </w:p>
    <w:p w14:paraId="271C8729" w14:textId="11DFAE97" w:rsidR="00CB1CC4" w:rsidRPr="008E73B4" w:rsidRDefault="00CB1CC4" w:rsidP="00E1236E">
      <w:pPr>
        <w:pStyle w:val="Caption"/>
        <w:jc w:val="center"/>
        <w:rPr>
          <w:rFonts w:ascii="Arial" w:hAnsi="Arial" w:cs="Arial"/>
        </w:rPr>
      </w:pPr>
      <w:bookmarkStart w:id="8" w:name="_Toc214379668"/>
      <w:r w:rsidRPr="008E73B4">
        <w:rPr>
          <w:rFonts w:ascii="Arial" w:hAnsi="Arial" w:cs="Arial"/>
        </w:rPr>
        <w:t xml:space="preserve">Figure </w:t>
      </w:r>
      <w:r w:rsidR="00B41353" w:rsidRPr="008E73B4">
        <w:rPr>
          <w:rFonts w:ascii="Arial" w:hAnsi="Arial" w:cs="Arial"/>
        </w:rPr>
        <w:fldChar w:fldCharType="begin"/>
      </w:r>
      <w:r w:rsidR="00B41353" w:rsidRPr="008E73B4">
        <w:rPr>
          <w:rFonts w:ascii="Arial" w:hAnsi="Arial" w:cs="Arial"/>
        </w:rPr>
        <w:instrText xml:space="preserve"> SEQ Figure \* ARABIC </w:instrText>
      </w:r>
      <w:r w:rsidR="00B41353" w:rsidRPr="008E73B4">
        <w:rPr>
          <w:rFonts w:ascii="Arial" w:hAnsi="Arial" w:cs="Arial"/>
        </w:rPr>
        <w:fldChar w:fldCharType="separate"/>
      </w:r>
      <w:r w:rsidR="004C1B30">
        <w:rPr>
          <w:rFonts w:ascii="Arial" w:hAnsi="Arial" w:cs="Arial"/>
          <w:noProof/>
        </w:rPr>
        <w:t>1</w:t>
      </w:r>
      <w:r w:rsidR="00B41353" w:rsidRPr="008E73B4">
        <w:rPr>
          <w:rFonts w:ascii="Arial" w:hAnsi="Arial" w:cs="Arial"/>
          <w:noProof/>
        </w:rPr>
        <w:fldChar w:fldCharType="end"/>
      </w:r>
      <w:r w:rsidRPr="008E73B4">
        <w:rPr>
          <w:rFonts w:ascii="Arial" w:hAnsi="Arial" w:cs="Arial"/>
        </w:rPr>
        <w:t xml:space="preserve"> - WEKA Preprocess interface showing cleaned attributes and the price category variable.</w:t>
      </w:r>
      <w:bookmarkEnd w:id="8"/>
    </w:p>
    <w:p w14:paraId="138DFB96" w14:textId="0FA17E3B" w:rsidR="003D38A3" w:rsidRPr="008E73B4" w:rsidRDefault="003D38A3" w:rsidP="00E1236E">
      <w:pPr>
        <w:pStyle w:val="Heading1"/>
        <w:rPr>
          <w:rFonts w:ascii="Arial" w:hAnsi="Arial" w:cs="Arial"/>
          <w:b/>
          <w:bCs/>
          <w:color w:val="auto"/>
          <w:sz w:val="22"/>
          <w:szCs w:val="22"/>
        </w:rPr>
      </w:pPr>
      <w:bookmarkStart w:id="9" w:name="_Toc214379804"/>
      <w:r w:rsidRPr="008E73B4">
        <w:rPr>
          <w:rFonts w:ascii="Arial" w:hAnsi="Arial" w:cs="Arial"/>
          <w:b/>
          <w:bCs/>
          <w:color w:val="auto"/>
          <w:sz w:val="22"/>
          <w:szCs w:val="22"/>
        </w:rPr>
        <w:t>4.2 Exploratory Visualisation</w:t>
      </w:r>
      <w:bookmarkEnd w:id="9"/>
    </w:p>
    <w:p w14:paraId="24F13F6B" w14:textId="434D93B4" w:rsidR="003D38A3" w:rsidRPr="008E73B4" w:rsidRDefault="003D38A3" w:rsidP="00CC1695">
      <w:pPr>
        <w:jc w:val="both"/>
        <w:rPr>
          <w:rFonts w:ascii="Arial" w:hAnsi="Arial" w:cs="Arial"/>
          <w:sz w:val="20"/>
          <w:szCs w:val="20"/>
        </w:rPr>
      </w:pPr>
      <w:r w:rsidRPr="008E73B4">
        <w:rPr>
          <w:rFonts w:ascii="Arial" w:hAnsi="Arial" w:cs="Arial"/>
          <w:sz w:val="20"/>
          <w:szCs w:val="20"/>
        </w:rPr>
        <w:t>Before modelling, exploratory visualisation was used to observe the relationships between attributes. This step supports CA1 and provides an early understanding of which variables may hold predictive value. The relationship between neighbourhood group and room type was visualised using WEKA’s Visualise panel, offering insight into how listings are distributed across boroughs and accommodation types.</w:t>
      </w:r>
    </w:p>
    <w:p w14:paraId="561AB17A" w14:textId="77777777" w:rsidR="003D38A3" w:rsidRPr="008E73B4" w:rsidRDefault="003D38A3" w:rsidP="00CC1695">
      <w:pPr>
        <w:jc w:val="both"/>
        <w:rPr>
          <w:rFonts w:ascii="Arial" w:hAnsi="Arial" w:cs="Arial"/>
          <w:sz w:val="20"/>
          <w:szCs w:val="20"/>
        </w:rPr>
      </w:pPr>
      <w:r w:rsidRPr="008E73B4">
        <w:rPr>
          <w:rFonts w:ascii="Arial" w:hAnsi="Arial" w:cs="Arial"/>
          <w:sz w:val="20"/>
          <w:szCs w:val="20"/>
        </w:rPr>
        <w:t>Figure 2 presents this distribution, with colours representing the three price categories. The visualisation highlights clear differences between boroughs. Manhattan listings tend to fall within the higher price category, particularly where entire homes or apartments are offered, while more affordable private rooms are concentrated in Queens and Brooklyn. These patterns align with recent findings in spatial accommodation research [4][6].</w:t>
      </w:r>
    </w:p>
    <w:p w14:paraId="59178BB5" w14:textId="469273C6" w:rsidR="003D38A3" w:rsidRPr="008E73B4" w:rsidRDefault="00230137" w:rsidP="00CB1CC4">
      <w:pPr>
        <w:jc w:val="center"/>
        <w:rPr>
          <w:rFonts w:ascii="Arial" w:hAnsi="Arial" w:cs="Arial"/>
          <w:sz w:val="20"/>
          <w:szCs w:val="20"/>
        </w:rPr>
      </w:pPr>
      <w:r w:rsidRPr="008E73B4">
        <w:rPr>
          <w:rFonts w:ascii="Arial" w:hAnsi="Arial" w:cs="Arial"/>
          <w:noProof/>
          <w:sz w:val="20"/>
          <w:szCs w:val="20"/>
        </w:rPr>
        <w:drawing>
          <wp:inline distT="0" distB="0" distL="0" distR="0" wp14:anchorId="7B70432D" wp14:editId="235BA332">
            <wp:extent cx="3827706" cy="2893468"/>
            <wp:effectExtent l="0" t="0" r="1905" b="2540"/>
            <wp:docPr id="10042376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37658" name="Picture 1" descr="A screenshot of a computer&#10;&#10;AI-generated content may be incorrect."/>
                    <pic:cNvPicPr/>
                  </pic:nvPicPr>
                  <pic:blipFill>
                    <a:blip r:embed="rId8"/>
                    <a:stretch>
                      <a:fillRect/>
                    </a:stretch>
                  </pic:blipFill>
                  <pic:spPr>
                    <a:xfrm>
                      <a:off x="0" y="0"/>
                      <a:ext cx="3857631" cy="2916089"/>
                    </a:xfrm>
                    <a:prstGeom prst="rect">
                      <a:avLst/>
                    </a:prstGeom>
                  </pic:spPr>
                </pic:pic>
              </a:graphicData>
            </a:graphic>
          </wp:inline>
        </w:drawing>
      </w:r>
    </w:p>
    <w:p w14:paraId="71AEB168" w14:textId="0CAA46D2" w:rsidR="003D38A3" w:rsidRPr="008E73B4" w:rsidRDefault="00DF1E3C" w:rsidP="003B3F00">
      <w:pPr>
        <w:pStyle w:val="Caption"/>
        <w:jc w:val="center"/>
        <w:rPr>
          <w:rFonts w:ascii="Arial" w:hAnsi="Arial" w:cs="Arial"/>
          <w:color w:val="auto"/>
          <w:sz w:val="20"/>
          <w:szCs w:val="20"/>
        </w:rPr>
      </w:pPr>
      <w:bookmarkStart w:id="10" w:name="_Toc214379669"/>
      <w:r w:rsidRPr="008E73B4">
        <w:rPr>
          <w:rFonts w:ascii="Arial" w:hAnsi="Arial" w:cs="Arial"/>
        </w:rPr>
        <w:t xml:space="preserve">Figure </w:t>
      </w:r>
      <w:r w:rsidR="00B41353" w:rsidRPr="008E73B4">
        <w:rPr>
          <w:rFonts w:ascii="Arial" w:hAnsi="Arial" w:cs="Arial"/>
        </w:rPr>
        <w:fldChar w:fldCharType="begin"/>
      </w:r>
      <w:r w:rsidR="00B41353" w:rsidRPr="008E73B4">
        <w:rPr>
          <w:rFonts w:ascii="Arial" w:hAnsi="Arial" w:cs="Arial"/>
        </w:rPr>
        <w:instrText xml:space="preserve"> SEQ Figure \* ARABIC </w:instrText>
      </w:r>
      <w:r w:rsidR="00B41353" w:rsidRPr="008E73B4">
        <w:rPr>
          <w:rFonts w:ascii="Arial" w:hAnsi="Arial" w:cs="Arial"/>
        </w:rPr>
        <w:fldChar w:fldCharType="separate"/>
      </w:r>
      <w:r w:rsidR="004C1B30">
        <w:rPr>
          <w:rFonts w:ascii="Arial" w:hAnsi="Arial" w:cs="Arial"/>
          <w:noProof/>
        </w:rPr>
        <w:t>2</w:t>
      </w:r>
      <w:r w:rsidR="00B41353" w:rsidRPr="008E73B4">
        <w:rPr>
          <w:rFonts w:ascii="Arial" w:hAnsi="Arial" w:cs="Arial"/>
          <w:noProof/>
        </w:rPr>
        <w:fldChar w:fldCharType="end"/>
      </w:r>
      <w:r w:rsidRPr="008E73B4">
        <w:rPr>
          <w:rFonts w:ascii="Arial" w:hAnsi="Arial" w:cs="Arial"/>
        </w:rPr>
        <w:t xml:space="preserve"> - Visualisation of neighbourhood group and room type distribution coloured by price category.</w:t>
      </w:r>
      <w:bookmarkEnd w:id="10"/>
    </w:p>
    <w:p w14:paraId="7935D592" w14:textId="7CBE90B0" w:rsidR="003D38A3" w:rsidRPr="008E73B4" w:rsidRDefault="003D38A3" w:rsidP="00085E56">
      <w:pPr>
        <w:pStyle w:val="Heading1"/>
        <w:rPr>
          <w:rFonts w:ascii="Arial" w:hAnsi="Arial" w:cs="Arial"/>
          <w:b/>
          <w:bCs/>
          <w:color w:val="auto"/>
          <w:sz w:val="22"/>
          <w:szCs w:val="22"/>
        </w:rPr>
      </w:pPr>
      <w:bookmarkStart w:id="11" w:name="_Toc214379805"/>
      <w:r w:rsidRPr="008E73B4">
        <w:rPr>
          <w:rFonts w:ascii="Arial" w:hAnsi="Arial" w:cs="Arial"/>
          <w:b/>
          <w:bCs/>
          <w:color w:val="auto"/>
          <w:sz w:val="22"/>
          <w:szCs w:val="22"/>
        </w:rPr>
        <w:t>4.3 Standardisation</w:t>
      </w:r>
      <w:bookmarkEnd w:id="11"/>
    </w:p>
    <w:p w14:paraId="787C388A" w14:textId="5EB0731E" w:rsidR="003D38A3" w:rsidRPr="008E73B4" w:rsidRDefault="003D38A3" w:rsidP="00CC1695">
      <w:pPr>
        <w:jc w:val="both"/>
        <w:rPr>
          <w:rFonts w:ascii="Arial" w:hAnsi="Arial" w:cs="Arial"/>
          <w:sz w:val="20"/>
          <w:szCs w:val="20"/>
        </w:rPr>
      </w:pPr>
      <w:r w:rsidRPr="008E73B4">
        <w:rPr>
          <w:rFonts w:ascii="Arial" w:hAnsi="Arial" w:cs="Arial"/>
          <w:sz w:val="20"/>
          <w:szCs w:val="20"/>
        </w:rPr>
        <w:t xml:space="preserve">Machine learning models, particularly those based on distance measures, perform more effectively when numerical features operate on a consistent scale. To achieve this, all numerical attributes were standardised using WEKA’s Standardise filter. This transformation was essential not only for clustering </w:t>
      </w:r>
      <w:r w:rsidRPr="008E73B4">
        <w:rPr>
          <w:rFonts w:ascii="Arial" w:hAnsi="Arial" w:cs="Arial"/>
          <w:sz w:val="20"/>
          <w:szCs w:val="20"/>
        </w:rPr>
        <w:lastRenderedPageBreak/>
        <w:t>but also for ensuring that no single attribute, such as minimum nights or availability, dominated the modelling process due to scale differences.</w:t>
      </w:r>
    </w:p>
    <w:p w14:paraId="6F3F1896" w14:textId="4AEC3245" w:rsidR="003B3F00" w:rsidRPr="008E73B4" w:rsidRDefault="003D38A3" w:rsidP="00CC1695">
      <w:pPr>
        <w:jc w:val="both"/>
        <w:rPr>
          <w:rFonts w:ascii="Arial" w:hAnsi="Arial" w:cs="Arial"/>
          <w:sz w:val="20"/>
          <w:szCs w:val="20"/>
        </w:rPr>
      </w:pPr>
      <w:r w:rsidRPr="008E73B4">
        <w:rPr>
          <w:rFonts w:ascii="Arial" w:hAnsi="Arial" w:cs="Arial"/>
          <w:sz w:val="20"/>
          <w:szCs w:val="20"/>
        </w:rPr>
        <w:t>Figure 3 shows the dataset after standardisation, confirming that all numerical variables have been transformed to operate around a mean of zero and a standard deviation of one.</w:t>
      </w:r>
    </w:p>
    <w:p w14:paraId="0E0F774C" w14:textId="61298FC1" w:rsidR="003D38A3" w:rsidRPr="008E73B4" w:rsidRDefault="00230137" w:rsidP="003B3F00">
      <w:pPr>
        <w:jc w:val="center"/>
        <w:rPr>
          <w:rFonts w:ascii="Arial" w:hAnsi="Arial" w:cs="Arial"/>
          <w:sz w:val="20"/>
          <w:szCs w:val="20"/>
        </w:rPr>
      </w:pPr>
      <w:r w:rsidRPr="008E73B4">
        <w:rPr>
          <w:rFonts w:ascii="Arial" w:hAnsi="Arial" w:cs="Arial"/>
          <w:noProof/>
          <w:sz w:val="20"/>
          <w:szCs w:val="20"/>
        </w:rPr>
        <w:drawing>
          <wp:inline distT="0" distB="0" distL="0" distR="0" wp14:anchorId="127CD232" wp14:editId="2E77E49E">
            <wp:extent cx="3891516" cy="2048371"/>
            <wp:effectExtent l="0" t="0" r="0" b="9525"/>
            <wp:docPr id="2026859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859672" name="Picture 1" descr="A screenshot of a computer&#10;&#10;AI-generated content may be incorrect."/>
                    <pic:cNvPicPr/>
                  </pic:nvPicPr>
                  <pic:blipFill>
                    <a:blip r:embed="rId9"/>
                    <a:stretch>
                      <a:fillRect/>
                    </a:stretch>
                  </pic:blipFill>
                  <pic:spPr>
                    <a:xfrm>
                      <a:off x="0" y="0"/>
                      <a:ext cx="3901060" cy="2053394"/>
                    </a:xfrm>
                    <a:prstGeom prst="rect">
                      <a:avLst/>
                    </a:prstGeom>
                  </pic:spPr>
                </pic:pic>
              </a:graphicData>
            </a:graphic>
          </wp:inline>
        </w:drawing>
      </w:r>
    </w:p>
    <w:p w14:paraId="4789E183" w14:textId="64EAE278" w:rsidR="003D38A3" w:rsidRPr="008E73B4" w:rsidRDefault="003B3F00" w:rsidP="003B3F00">
      <w:pPr>
        <w:pStyle w:val="Caption"/>
        <w:jc w:val="center"/>
        <w:rPr>
          <w:rFonts w:ascii="Arial" w:hAnsi="Arial" w:cs="Arial"/>
          <w:color w:val="auto"/>
          <w:sz w:val="20"/>
          <w:szCs w:val="20"/>
        </w:rPr>
      </w:pPr>
      <w:bookmarkStart w:id="12" w:name="_Toc214379670"/>
      <w:r w:rsidRPr="008E73B4">
        <w:rPr>
          <w:rFonts w:ascii="Arial" w:hAnsi="Arial" w:cs="Arial"/>
        </w:rPr>
        <w:t xml:space="preserve">Figure </w:t>
      </w:r>
      <w:r w:rsidR="00B41353" w:rsidRPr="008E73B4">
        <w:rPr>
          <w:rFonts w:ascii="Arial" w:hAnsi="Arial" w:cs="Arial"/>
        </w:rPr>
        <w:fldChar w:fldCharType="begin"/>
      </w:r>
      <w:r w:rsidR="00B41353" w:rsidRPr="008E73B4">
        <w:rPr>
          <w:rFonts w:ascii="Arial" w:hAnsi="Arial" w:cs="Arial"/>
        </w:rPr>
        <w:instrText xml:space="preserve"> SEQ Figure \* ARABIC </w:instrText>
      </w:r>
      <w:r w:rsidR="00B41353" w:rsidRPr="008E73B4">
        <w:rPr>
          <w:rFonts w:ascii="Arial" w:hAnsi="Arial" w:cs="Arial"/>
        </w:rPr>
        <w:fldChar w:fldCharType="separate"/>
      </w:r>
      <w:r w:rsidR="004C1B30">
        <w:rPr>
          <w:rFonts w:ascii="Arial" w:hAnsi="Arial" w:cs="Arial"/>
          <w:noProof/>
        </w:rPr>
        <w:t>3</w:t>
      </w:r>
      <w:r w:rsidR="00B41353" w:rsidRPr="008E73B4">
        <w:rPr>
          <w:rFonts w:ascii="Arial" w:hAnsi="Arial" w:cs="Arial"/>
          <w:noProof/>
        </w:rPr>
        <w:fldChar w:fldCharType="end"/>
      </w:r>
      <w:r w:rsidRPr="008E73B4">
        <w:rPr>
          <w:rFonts w:ascii="Arial" w:hAnsi="Arial" w:cs="Arial"/>
        </w:rPr>
        <w:t xml:space="preserve"> - Standardised numerical attributes prepared for modelling.</w:t>
      </w:r>
      <w:bookmarkEnd w:id="12"/>
    </w:p>
    <w:p w14:paraId="1F4288DA" w14:textId="62D9E548" w:rsidR="003D38A3" w:rsidRPr="008E73B4" w:rsidRDefault="003D38A3" w:rsidP="00085E56">
      <w:pPr>
        <w:pStyle w:val="Heading1"/>
        <w:rPr>
          <w:rFonts w:ascii="Arial" w:hAnsi="Arial" w:cs="Arial"/>
          <w:b/>
          <w:bCs/>
          <w:color w:val="auto"/>
          <w:sz w:val="22"/>
          <w:szCs w:val="22"/>
        </w:rPr>
      </w:pPr>
      <w:bookmarkStart w:id="13" w:name="_Toc214379806"/>
      <w:r w:rsidRPr="008E73B4">
        <w:rPr>
          <w:rFonts w:ascii="Arial" w:hAnsi="Arial" w:cs="Arial"/>
          <w:b/>
          <w:bCs/>
          <w:color w:val="auto"/>
          <w:sz w:val="22"/>
          <w:szCs w:val="22"/>
        </w:rPr>
        <w:t>4.4 Classification</w:t>
      </w:r>
      <w:bookmarkEnd w:id="13"/>
    </w:p>
    <w:p w14:paraId="5A0C3134" w14:textId="1CAC1277" w:rsidR="003D38A3" w:rsidRPr="008E73B4" w:rsidRDefault="003D38A3" w:rsidP="00CC1695">
      <w:pPr>
        <w:jc w:val="both"/>
        <w:rPr>
          <w:rFonts w:ascii="Arial" w:hAnsi="Arial" w:cs="Arial"/>
          <w:sz w:val="20"/>
          <w:szCs w:val="20"/>
        </w:rPr>
      </w:pPr>
      <w:r w:rsidRPr="008E73B4">
        <w:rPr>
          <w:rFonts w:ascii="Arial" w:hAnsi="Arial" w:cs="Arial"/>
          <w:sz w:val="20"/>
          <w:szCs w:val="20"/>
        </w:rPr>
        <w:t>Three supervised learning algorithms were selected to predict Airbnb price categories: Random Forest, J48 and Logistic Regression. Random Forest was chosen for its strong performance on tabular data and its ability to capture non</w:t>
      </w:r>
      <w:r w:rsidRPr="008E73B4">
        <w:rPr>
          <w:rFonts w:ascii="Cambria Math" w:hAnsi="Cambria Math" w:cs="Cambria Math"/>
          <w:sz w:val="20"/>
          <w:szCs w:val="20"/>
        </w:rPr>
        <w:t>‑</w:t>
      </w:r>
      <w:r w:rsidRPr="008E73B4">
        <w:rPr>
          <w:rFonts w:ascii="Arial" w:hAnsi="Arial" w:cs="Arial"/>
          <w:sz w:val="20"/>
          <w:szCs w:val="20"/>
        </w:rPr>
        <w:t>linear interactions between features. J48 was included due to its interpretability, which remains an important consideration in pricing analytics. Logistic Regression served as a linear baseline for comparison.</w:t>
      </w:r>
    </w:p>
    <w:p w14:paraId="20C88836" w14:textId="677CB8D4" w:rsidR="003D38A3" w:rsidRPr="008E73B4" w:rsidRDefault="003D38A3" w:rsidP="00CC1695">
      <w:pPr>
        <w:jc w:val="both"/>
        <w:rPr>
          <w:rFonts w:ascii="Arial" w:hAnsi="Arial" w:cs="Arial"/>
          <w:sz w:val="20"/>
          <w:szCs w:val="20"/>
        </w:rPr>
      </w:pPr>
      <w:r w:rsidRPr="008E73B4">
        <w:rPr>
          <w:rFonts w:ascii="Arial" w:hAnsi="Arial" w:cs="Arial"/>
          <w:sz w:val="20"/>
          <w:szCs w:val="20"/>
        </w:rPr>
        <w:t xml:space="preserve">All models were trained and evaluated using </w:t>
      </w:r>
      <w:r w:rsidR="0078133C" w:rsidRPr="008E73B4">
        <w:rPr>
          <w:rFonts w:ascii="Arial" w:hAnsi="Arial" w:cs="Arial"/>
          <w:sz w:val="20"/>
          <w:szCs w:val="20"/>
        </w:rPr>
        <w:t>five</w:t>
      </w:r>
      <w:r w:rsidRPr="008E73B4">
        <w:rPr>
          <w:rFonts w:ascii="Cambria Math" w:hAnsi="Cambria Math" w:cs="Cambria Math"/>
          <w:sz w:val="20"/>
          <w:szCs w:val="20"/>
        </w:rPr>
        <w:t>‑</w:t>
      </w:r>
      <w:r w:rsidRPr="008E73B4">
        <w:rPr>
          <w:rFonts w:ascii="Arial" w:hAnsi="Arial" w:cs="Arial"/>
          <w:sz w:val="20"/>
          <w:szCs w:val="20"/>
        </w:rPr>
        <w:t>fold cross</w:t>
      </w:r>
      <w:r w:rsidRPr="008E73B4">
        <w:rPr>
          <w:rFonts w:ascii="Cambria Math" w:hAnsi="Cambria Math" w:cs="Cambria Math"/>
          <w:sz w:val="20"/>
          <w:szCs w:val="20"/>
        </w:rPr>
        <w:t>‑</w:t>
      </w:r>
      <w:r w:rsidRPr="008E73B4">
        <w:rPr>
          <w:rFonts w:ascii="Arial" w:hAnsi="Arial" w:cs="Arial"/>
          <w:sz w:val="20"/>
          <w:szCs w:val="20"/>
        </w:rPr>
        <w:t>validation to produce reliable out</w:t>
      </w:r>
      <w:r w:rsidRPr="008E73B4">
        <w:rPr>
          <w:rFonts w:ascii="Cambria Math" w:hAnsi="Cambria Math" w:cs="Cambria Math"/>
          <w:sz w:val="20"/>
          <w:szCs w:val="20"/>
        </w:rPr>
        <w:t>‑</w:t>
      </w:r>
      <w:r w:rsidRPr="008E73B4">
        <w:rPr>
          <w:rFonts w:ascii="Arial" w:hAnsi="Arial" w:cs="Arial"/>
          <w:sz w:val="20"/>
          <w:szCs w:val="20"/>
        </w:rPr>
        <w:t>of</w:t>
      </w:r>
      <w:r w:rsidRPr="008E73B4">
        <w:rPr>
          <w:rFonts w:ascii="Cambria Math" w:hAnsi="Cambria Math" w:cs="Cambria Math"/>
          <w:sz w:val="20"/>
          <w:szCs w:val="20"/>
        </w:rPr>
        <w:t>‑</w:t>
      </w:r>
      <w:r w:rsidRPr="008E73B4">
        <w:rPr>
          <w:rFonts w:ascii="Arial" w:hAnsi="Arial" w:cs="Arial"/>
          <w:sz w:val="20"/>
          <w:szCs w:val="20"/>
        </w:rPr>
        <w:t>sample estimates. Performance metrics included overall accuracy, class</w:t>
      </w:r>
      <w:r w:rsidRPr="008E73B4">
        <w:rPr>
          <w:rFonts w:ascii="Cambria Math" w:hAnsi="Cambria Math" w:cs="Cambria Math"/>
          <w:sz w:val="20"/>
          <w:szCs w:val="20"/>
        </w:rPr>
        <w:t>‑</w:t>
      </w:r>
      <w:r w:rsidRPr="008E73B4">
        <w:rPr>
          <w:rFonts w:ascii="Arial" w:hAnsi="Arial" w:cs="Arial"/>
          <w:sz w:val="20"/>
          <w:szCs w:val="20"/>
        </w:rPr>
        <w:t>wise F1 scores and Cohen’s Kappa to measure agreement beyond chance. The WEKA output for the Random Forest model</w:t>
      </w:r>
      <w:r w:rsidR="002503CC" w:rsidRPr="008E73B4">
        <w:rPr>
          <w:rFonts w:ascii="Arial" w:hAnsi="Arial" w:cs="Arial"/>
          <w:sz w:val="20"/>
          <w:szCs w:val="20"/>
        </w:rPr>
        <w:t xml:space="preserve"> [13]</w:t>
      </w:r>
      <w:r w:rsidRPr="008E73B4">
        <w:rPr>
          <w:rFonts w:ascii="Arial" w:hAnsi="Arial" w:cs="Arial"/>
          <w:sz w:val="20"/>
          <w:szCs w:val="20"/>
        </w:rPr>
        <w:t>, including the confusion matrix and detailed accuracy statistics, is shown in Figure 4. This output illustrates how the model classified the three price groups and shows that the low</w:t>
      </w:r>
      <w:r w:rsidRPr="008E73B4">
        <w:rPr>
          <w:rFonts w:ascii="Cambria Math" w:hAnsi="Cambria Math" w:cs="Cambria Math"/>
          <w:sz w:val="20"/>
          <w:szCs w:val="20"/>
        </w:rPr>
        <w:t>‑</w:t>
      </w:r>
      <w:r w:rsidRPr="008E73B4">
        <w:rPr>
          <w:rFonts w:ascii="Arial" w:hAnsi="Arial" w:cs="Arial"/>
          <w:sz w:val="20"/>
          <w:szCs w:val="20"/>
        </w:rPr>
        <w:t>price listings were classified most accurately, reflecting clearer separability in their attributes.</w:t>
      </w:r>
    </w:p>
    <w:p w14:paraId="481E3DCF" w14:textId="1BB35218" w:rsidR="003D38A3" w:rsidRPr="008E73B4" w:rsidRDefault="00230137" w:rsidP="00CB1CC4">
      <w:pPr>
        <w:jc w:val="center"/>
        <w:rPr>
          <w:rFonts w:ascii="Arial" w:hAnsi="Arial" w:cs="Arial"/>
          <w:sz w:val="20"/>
          <w:szCs w:val="20"/>
        </w:rPr>
      </w:pPr>
      <w:r w:rsidRPr="008E73B4">
        <w:rPr>
          <w:rFonts w:ascii="Arial" w:hAnsi="Arial" w:cs="Arial"/>
          <w:noProof/>
          <w:sz w:val="20"/>
          <w:szCs w:val="20"/>
        </w:rPr>
        <w:drawing>
          <wp:inline distT="0" distB="0" distL="0" distR="0" wp14:anchorId="49611BD0" wp14:editId="26FB4EA7">
            <wp:extent cx="3934046" cy="2066834"/>
            <wp:effectExtent l="0" t="0" r="0" b="0"/>
            <wp:docPr id="2974235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025590" name="Picture 1" descr="A screenshot of a computer&#10;&#10;AI-generated content may be incorrect."/>
                    <pic:cNvPicPr/>
                  </pic:nvPicPr>
                  <pic:blipFill>
                    <a:blip r:embed="rId10"/>
                    <a:stretch>
                      <a:fillRect/>
                    </a:stretch>
                  </pic:blipFill>
                  <pic:spPr>
                    <a:xfrm>
                      <a:off x="0" y="0"/>
                      <a:ext cx="3962515" cy="2081791"/>
                    </a:xfrm>
                    <a:prstGeom prst="rect">
                      <a:avLst/>
                    </a:prstGeom>
                  </pic:spPr>
                </pic:pic>
              </a:graphicData>
            </a:graphic>
          </wp:inline>
        </w:drawing>
      </w:r>
    </w:p>
    <w:p w14:paraId="4B35FEE6" w14:textId="7772CBC5" w:rsidR="003D38A3" w:rsidRPr="008E73B4" w:rsidRDefault="003B3F00" w:rsidP="003B3F00">
      <w:pPr>
        <w:pStyle w:val="Caption"/>
        <w:jc w:val="center"/>
        <w:rPr>
          <w:rFonts w:ascii="Arial" w:hAnsi="Arial" w:cs="Arial"/>
          <w:color w:val="auto"/>
          <w:sz w:val="20"/>
          <w:szCs w:val="20"/>
        </w:rPr>
      </w:pPr>
      <w:bookmarkStart w:id="14" w:name="_Toc214379671"/>
      <w:r w:rsidRPr="008E73B4">
        <w:rPr>
          <w:rFonts w:ascii="Arial" w:hAnsi="Arial" w:cs="Arial"/>
        </w:rPr>
        <w:t xml:space="preserve">Figure </w:t>
      </w:r>
      <w:r w:rsidR="00B41353" w:rsidRPr="008E73B4">
        <w:rPr>
          <w:rFonts w:ascii="Arial" w:hAnsi="Arial" w:cs="Arial"/>
        </w:rPr>
        <w:fldChar w:fldCharType="begin"/>
      </w:r>
      <w:r w:rsidR="00B41353" w:rsidRPr="008E73B4">
        <w:rPr>
          <w:rFonts w:ascii="Arial" w:hAnsi="Arial" w:cs="Arial"/>
        </w:rPr>
        <w:instrText xml:space="preserve"> SEQ Figure \* ARABIC </w:instrText>
      </w:r>
      <w:r w:rsidR="00B41353" w:rsidRPr="008E73B4">
        <w:rPr>
          <w:rFonts w:ascii="Arial" w:hAnsi="Arial" w:cs="Arial"/>
        </w:rPr>
        <w:fldChar w:fldCharType="separate"/>
      </w:r>
      <w:r w:rsidR="004C1B30">
        <w:rPr>
          <w:rFonts w:ascii="Arial" w:hAnsi="Arial" w:cs="Arial"/>
          <w:noProof/>
        </w:rPr>
        <w:t>4</w:t>
      </w:r>
      <w:r w:rsidR="00B41353" w:rsidRPr="008E73B4">
        <w:rPr>
          <w:rFonts w:ascii="Arial" w:hAnsi="Arial" w:cs="Arial"/>
          <w:noProof/>
        </w:rPr>
        <w:fldChar w:fldCharType="end"/>
      </w:r>
      <w:r w:rsidRPr="008E73B4">
        <w:rPr>
          <w:rFonts w:ascii="Arial" w:hAnsi="Arial" w:cs="Arial"/>
        </w:rPr>
        <w:t xml:space="preserve"> - Random Forest classifier output including confusion matrix and detailed accuracy metrics.</w:t>
      </w:r>
      <w:bookmarkEnd w:id="14"/>
    </w:p>
    <w:p w14:paraId="71808914" w14:textId="77777777" w:rsidR="003D38A3" w:rsidRPr="008E73B4" w:rsidRDefault="003D38A3" w:rsidP="00CC1695">
      <w:pPr>
        <w:jc w:val="both"/>
        <w:rPr>
          <w:rFonts w:ascii="Arial" w:hAnsi="Arial" w:cs="Arial"/>
          <w:sz w:val="20"/>
          <w:szCs w:val="20"/>
        </w:rPr>
      </w:pPr>
    </w:p>
    <w:p w14:paraId="6B17C810" w14:textId="77777777" w:rsidR="003D38A3" w:rsidRPr="008E73B4" w:rsidRDefault="003D38A3" w:rsidP="00CC1695">
      <w:pPr>
        <w:jc w:val="both"/>
        <w:rPr>
          <w:rFonts w:ascii="Arial" w:hAnsi="Arial" w:cs="Arial"/>
          <w:sz w:val="20"/>
          <w:szCs w:val="20"/>
        </w:rPr>
      </w:pPr>
      <w:r w:rsidRPr="008E73B4">
        <w:rPr>
          <w:rFonts w:ascii="Arial" w:hAnsi="Arial" w:cs="Arial"/>
          <w:sz w:val="20"/>
          <w:szCs w:val="20"/>
        </w:rPr>
        <w:lastRenderedPageBreak/>
        <w:t>A summary comparison of the classifiers’ accuracy, F1 and Kappa values is reported in Figure 5. This table provides a concise performance overview and highlights the superior accuracy and stability of the Random Forest model relative to J48 and Logistic Regression.</w:t>
      </w:r>
    </w:p>
    <w:p w14:paraId="0A62FB23" w14:textId="0CEA3E72" w:rsidR="003D38A3" w:rsidRPr="008E73B4" w:rsidRDefault="00230137" w:rsidP="003B3F00">
      <w:pPr>
        <w:jc w:val="center"/>
        <w:rPr>
          <w:rFonts w:ascii="Arial" w:hAnsi="Arial" w:cs="Arial"/>
          <w:sz w:val="20"/>
          <w:szCs w:val="20"/>
        </w:rPr>
      </w:pPr>
      <w:r w:rsidRPr="008E73B4">
        <w:rPr>
          <w:rFonts w:ascii="Arial" w:hAnsi="Arial" w:cs="Arial"/>
          <w:noProof/>
          <w:sz w:val="20"/>
          <w:szCs w:val="20"/>
        </w:rPr>
        <w:drawing>
          <wp:inline distT="0" distB="0" distL="0" distR="0" wp14:anchorId="116A5F3A" wp14:editId="38D3F64F">
            <wp:extent cx="3892550" cy="946150"/>
            <wp:effectExtent l="0" t="0" r="0" b="6350"/>
            <wp:docPr id="1797752330"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52330" name="Picture 1" descr="A screenshot of a calculator&#10;&#10;AI-generated content may be incorrect."/>
                    <pic:cNvPicPr/>
                  </pic:nvPicPr>
                  <pic:blipFill rotWithShape="1">
                    <a:blip r:embed="rId11"/>
                    <a:srcRect t="5096"/>
                    <a:stretch>
                      <a:fillRect/>
                    </a:stretch>
                  </pic:blipFill>
                  <pic:spPr bwMode="auto">
                    <a:xfrm>
                      <a:off x="0" y="0"/>
                      <a:ext cx="3892550" cy="946150"/>
                    </a:xfrm>
                    <a:prstGeom prst="rect">
                      <a:avLst/>
                    </a:prstGeom>
                    <a:ln>
                      <a:noFill/>
                    </a:ln>
                    <a:extLst>
                      <a:ext uri="{53640926-AAD7-44D8-BBD7-CCE9431645EC}">
                        <a14:shadowObscured xmlns:a14="http://schemas.microsoft.com/office/drawing/2010/main"/>
                      </a:ext>
                    </a:extLst>
                  </pic:spPr>
                </pic:pic>
              </a:graphicData>
            </a:graphic>
          </wp:inline>
        </w:drawing>
      </w:r>
    </w:p>
    <w:p w14:paraId="1AA22571" w14:textId="7D9B76EA" w:rsidR="003D38A3" w:rsidRPr="008E73B4" w:rsidRDefault="003B3F00" w:rsidP="003B3F00">
      <w:pPr>
        <w:pStyle w:val="Caption"/>
        <w:jc w:val="center"/>
        <w:rPr>
          <w:rFonts w:ascii="Arial" w:hAnsi="Arial" w:cs="Arial"/>
          <w:color w:val="auto"/>
          <w:sz w:val="20"/>
          <w:szCs w:val="20"/>
        </w:rPr>
      </w:pPr>
      <w:bookmarkStart w:id="15" w:name="_Toc214379672"/>
      <w:r w:rsidRPr="008E73B4">
        <w:rPr>
          <w:rFonts w:ascii="Arial" w:hAnsi="Arial" w:cs="Arial"/>
        </w:rPr>
        <w:t xml:space="preserve">Figure </w:t>
      </w:r>
      <w:r w:rsidR="00B41353" w:rsidRPr="008E73B4">
        <w:rPr>
          <w:rFonts w:ascii="Arial" w:hAnsi="Arial" w:cs="Arial"/>
        </w:rPr>
        <w:fldChar w:fldCharType="begin"/>
      </w:r>
      <w:r w:rsidR="00B41353" w:rsidRPr="008E73B4">
        <w:rPr>
          <w:rFonts w:ascii="Arial" w:hAnsi="Arial" w:cs="Arial"/>
        </w:rPr>
        <w:instrText xml:space="preserve"> SEQ Figure \* ARABIC </w:instrText>
      </w:r>
      <w:r w:rsidR="00B41353" w:rsidRPr="008E73B4">
        <w:rPr>
          <w:rFonts w:ascii="Arial" w:hAnsi="Arial" w:cs="Arial"/>
        </w:rPr>
        <w:fldChar w:fldCharType="separate"/>
      </w:r>
      <w:r w:rsidR="004C1B30">
        <w:rPr>
          <w:rFonts w:ascii="Arial" w:hAnsi="Arial" w:cs="Arial"/>
          <w:noProof/>
        </w:rPr>
        <w:t>5</w:t>
      </w:r>
      <w:r w:rsidR="00B41353" w:rsidRPr="008E73B4">
        <w:rPr>
          <w:rFonts w:ascii="Arial" w:hAnsi="Arial" w:cs="Arial"/>
          <w:noProof/>
        </w:rPr>
        <w:fldChar w:fldCharType="end"/>
      </w:r>
      <w:r w:rsidRPr="008E73B4">
        <w:rPr>
          <w:rFonts w:ascii="Arial" w:hAnsi="Arial" w:cs="Arial"/>
        </w:rPr>
        <w:t xml:space="preserve"> - Comparative performance summary for Random Forest, J48 and Logistic Regression.</w:t>
      </w:r>
      <w:bookmarkEnd w:id="15"/>
    </w:p>
    <w:p w14:paraId="59831878" w14:textId="77777777" w:rsidR="003D38A3" w:rsidRPr="008E73B4" w:rsidRDefault="003D38A3" w:rsidP="00CC1695">
      <w:pPr>
        <w:jc w:val="both"/>
        <w:rPr>
          <w:rFonts w:ascii="Arial" w:hAnsi="Arial" w:cs="Arial"/>
          <w:sz w:val="20"/>
          <w:szCs w:val="20"/>
        </w:rPr>
      </w:pPr>
      <w:r w:rsidRPr="008E73B4">
        <w:rPr>
          <w:rFonts w:ascii="Arial" w:hAnsi="Arial" w:cs="Arial"/>
          <w:sz w:val="20"/>
          <w:szCs w:val="20"/>
        </w:rPr>
        <w:t>Statistical significance testing was conducted using WEKA’s Experimenter tool to determine whether differences in classifier performance were meaningful rather than due to random variation. The results presented in Figure 6 indicate that Random Forest significantly outperformed the other two classifiers at the five per cent confidence level.</w:t>
      </w:r>
    </w:p>
    <w:p w14:paraId="154EAB2F" w14:textId="7F558E3F" w:rsidR="003D38A3" w:rsidRDefault="008F0E61" w:rsidP="003B3F00">
      <w:pPr>
        <w:jc w:val="center"/>
        <w:rPr>
          <w:rFonts w:ascii="Arial" w:hAnsi="Arial" w:cs="Arial"/>
          <w:sz w:val="20"/>
          <w:szCs w:val="20"/>
          <w:highlight w:val="yellow"/>
        </w:rPr>
      </w:pPr>
      <w:r w:rsidRPr="008E73B4">
        <w:rPr>
          <w:rFonts w:ascii="Arial" w:hAnsi="Arial" w:cs="Arial"/>
          <w:noProof/>
          <w:sz w:val="20"/>
          <w:szCs w:val="20"/>
        </w:rPr>
        <w:drawing>
          <wp:inline distT="0" distB="0" distL="0" distR="0" wp14:anchorId="103F090A" wp14:editId="5E7DF877">
            <wp:extent cx="3359888" cy="1897335"/>
            <wp:effectExtent l="0" t="0" r="0" b="8255"/>
            <wp:docPr id="3611630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63082" name="Picture 1" descr="A screenshot of a computer&#10;&#10;AI-generated content may be incorrect."/>
                    <pic:cNvPicPr/>
                  </pic:nvPicPr>
                  <pic:blipFill>
                    <a:blip r:embed="rId12"/>
                    <a:stretch>
                      <a:fillRect/>
                    </a:stretch>
                  </pic:blipFill>
                  <pic:spPr>
                    <a:xfrm>
                      <a:off x="0" y="0"/>
                      <a:ext cx="3371126" cy="1903681"/>
                    </a:xfrm>
                    <a:prstGeom prst="rect">
                      <a:avLst/>
                    </a:prstGeom>
                  </pic:spPr>
                </pic:pic>
              </a:graphicData>
            </a:graphic>
          </wp:inline>
        </w:drawing>
      </w:r>
    </w:p>
    <w:p w14:paraId="203FB421" w14:textId="21556B08" w:rsidR="004C1B30" w:rsidRPr="004C1B30" w:rsidRDefault="004C1B30" w:rsidP="004C1B30">
      <w:pPr>
        <w:pStyle w:val="Caption"/>
        <w:jc w:val="center"/>
        <w:rPr>
          <w:rFonts w:ascii="Arial" w:hAnsi="Arial" w:cs="Arial"/>
          <w:sz w:val="20"/>
          <w:szCs w:val="20"/>
          <w:highlight w:val="yellow"/>
        </w:rPr>
      </w:pPr>
      <w:bookmarkStart w:id="16" w:name="_Toc214379673"/>
      <w:r w:rsidRPr="004C1B30">
        <w:rPr>
          <w:rFonts w:ascii="Arial" w:hAnsi="Arial" w:cs="Arial"/>
        </w:rPr>
        <w:t xml:space="preserve">Figure </w:t>
      </w:r>
      <w:r w:rsidRPr="004C1B30">
        <w:rPr>
          <w:rFonts w:ascii="Arial" w:hAnsi="Arial" w:cs="Arial"/>
        </w:rPr>
        <w:fldChar w:fldCharType="begin"/>
      </w:r>
      <w:r w:rsidRPr="004C1B30">
        <w:rPr>
          <w:rFonts w:ascii="Arial" w:hAnsi="Arial" w:cs="Arial"/>
        </w:rPr>
        <w:instrText xml:space="preserve"> SEQ Figure \* ARABIC </w:instrText>
      </w:r>
      <w:r w:rsidRPr="004C1B30">
        <w:rPr>
          <w:rFonts w:ascii="Arial" w:hAnsi="Arial" w:cs="Arial"/>
        </w:rPr>
        <w:fldChar w:fldCharType="separate"/>
      </w:r>
      <w:r w:rsidRPr="004C1B30">
        <w:rPr>
          <w:rFonts w:ascii="Arial" w:hAnsi="Arial" w:cs="Arial"/>
          <w:noProof/>
        </w:rPr>
        <w:t>6</w:t>
      </w:r>
      <w:r w:rsidRPr="004C1B30">
        <w:rPr>
          <w:rFonts w:ascii="Arial" w:hAnsi="Arial" w:cs="Arial"/>
        </w:rPr>
        <w:fldChar w:fldCharType="end"/>
      </w:r>
      <w:r w:rsidRPr="004C1B30">
        <w:rPr>
          <w:rFonts w:ascii="Arial" w:hAnsi="Arial" w:cs="Arial"/>
        </w:rPr>
        <w:t xml:space="preserve"> - Statistical significance testing of classifier performance.</w:t>
      </w:r>
      <w:bookmarkEnd w:id="16"/>
    </w:p>
    <w:p w14:paraId="552C6189" w14:textId="04D4DFD4" w:rsidR="00AA17B0" w:rsidRPr="008E73B4" w:rsidRDefault="00DA7FF2" w:rsidP="00DA7FF2">
      <w:pPr>
        <w:jc w:val="both"/>
        <w:rPr>
          <w:rFonts w:ascii="Arial" w:hAnsi="Arial" w:cs="Arial"/>
          <w:sz w:val="20"/>
          <w:szCs w:val="20"/>
        </w:rPr>
      </w:pPr>
      <w:r w:rsidRPr="008E73B4">
        <w:rPr>
          <w:rFonts w:ascii="Arial" w:hAnsi="Arial" w:cs="Arial"/>
          <w:sz w:val="20"/>
          <w:szCs w:val="20"/>
        </w:rPr>
        <w:t>The corrected paired t</w:t>
      </w:r>
      <w:r w:rsidRPr="008E73B4">
        <w:rPr>
          <w:rFonts w:ascii="Cambria Math" w:hAnsi="Cambria Math" w:cs="Cambria Math"/>
          <w:sz w:val="20"/>
          <w:szCs w:val="20"/>
        </w:rPr>
        <w:t>‑</w:t>
      </w:r>
      <w:r w:rsidRPr="008E73B4">
        <w:rPr>
          <w:rFonts w:ascii="Arial" w:hAnsi="Arial" w:cs="Arial"/>
          <w:sz w:val="20"/>
          <w:szCs w:val="20"/>
        </w:rPr>
        <w:t xml:space="preserve">test confirmed </w:t>
      </w:r>
      <w:r w:rsidR="00455A5A" w:rsidRPr="008E73B4">
        <w:rPr>
          <w:rFonts w:ascii="Arial" w:hAnsi="Arial" w:cs="Arial"/>
          <w:sz w:val="20"/>
          <w:szCs w:val="20"/>
        </w:rPr>
        <w:t>Random Forest performed significantly better than J48 and slightly better than Logistic Regression</w:t>
      </w:r>
      <w:r w:rsidR="00927D45" w:rsidRPr="008E73B4">
        <w:rPr>
          <w:rFonts w:ascii="Arial" w:hAnsi="Arial" w:cs="Arial"/>
          <w:sz w:val="20"/>
          <w:szCs w:val="20"/>
        </w:rPr>
        <w:t>.</w:t>
      </w:r>
    </w:p>
    <w:p w14:paraId="352B6CD0" w14:textId="150A34B5" w:rsidR="003D38A3" w:rsidRPr="008E73B4" w:rsidRDefault="003D38A3" w:rsidP="00085E56">
      <w:pPr>
        <w:pStyle w:val="Heading1"/>
        <w:rPr>
          <w:rFonts w:ascii="Arial" w:hAnsi="Arial" w:cs="Arial"/>
          <w:b/>
          <w:bCs/>
          <w:color w:val="auto"/>
          <w:sz w:val="22"/>
          <w:szCs w:val="22"/>
        </w:rPr>
      </w:pPr>
      <w:bookmarkStart w:id="17" w:name="_Toc214379807"/>
      <w:r w:rsidRPr="008E73B4">
        <w:rPr>
          <w:rFonts w:ascii="Arial" w:hAnsi="Arial" w:cs="Arial"/>
          <w:b/>
          <w:bCs/>
          <w:color w:val="auto"/>
          <w:sz w:val="22"/>
          <w:szCs w:val="22"/>
        </w:rPr>
        <w:t>4.5 Clustering</w:t>
      </w:r>
      <w:bookmarkEnd w:id="17"/>
    </w:p>
    <w:p w14:paraId="6734621B" w14:textId="77777777" w:rsidR="008C030A" w:rsidRPr="008E73B4" w:rsidRDefault="008C030A" w:rsidP="00CC1695">
      <w:pPr>
        <w:jc w:val="both"/>
        <w:rPr>
          <w:rFonts w:ascii="Arial" w:hAnsi="Arial" w:cs="Arial"/>
          <w:sz w:val="20"/>
          <w:szCs w:val="20"/>
        </w:rPr>
      </w:pPr>
      <w:r w:rsidRPr="008E73B4">
        <w:rPr>
          <w:rFonts w:ascii="Arial" w:hAnsi="Arial" w:cs="Arial"/>
          <w:sz w:val="20"/>
          <w:szCs w:val="20"/>
        </w:rPr>
        <w:t>K</w:t>
      </w:r>
      <w:r w:rsidRPr="008E73B4">
        <w:rPr>
          <w:rFonts w:ascii="Cambria Math" w:hAnsi="Cambria Math" w:cs="Cambria Math"/>
          <w:sz w:val="20"/>
          <w:szCs w:val="20"/>
        </w:rPr>
        <w:t>‑</w:t>
      </w:r>
      <w:r w:rsidRPr="008E73B4">
        <w:rPr>
          <w:rFonts w:ascii="Arial" w:hAnsi="Arial" w:cs="Arial"/>
          <w:sz w:val="20"/>
          <w:szCs w:val="20"/>
        </w:rPr>
        <w:t>Means clustering was used to explore natural groupings within the dataset based solely on geographical location. The SimpleKMeans algorithm in WEKA was configured to generate three clusters, with only latitude and longitude retained so that the resulting groups reflected spatial patterns across New York City. Other attributes were set aside during this stage to ensure that the clustering process remained entirely unsupervised and independent of price or neighbourhood labels.</w:t>
      </w:r>
    </w:p>
    <w:p w14:paraId="07EA864F" w14:textId="77777777" w:rsidR="00762E10" w:rsidRPr="008E73B4" w:rsidRDefault="00762E10" w:rsidP="00762E10">
      <w:pPr>
        <w:jc w:val="both"/>
        <w:rPr>
          <w:rFonts w:ascii="Arial" w:hAnsi="Arial" w:cs="Arial"/>
          <w:sz w:val="20"/>
          <w:szCs w:val="20"/>
        </w:rPr>
      </w:pPr>
      <w:r w:rsidRPr="008E73B4">
        <w:rPr>
          <w:rFonts w:ascii="Arial" w:hAnsi="Arial" w:cs="Arial"/>
          <w:sz w:val="20"/>
          <w:szCs w:val="20"/>
        </w:rPr>
        <w:t>Figure 7 illustrates the cluster assignments by plotting longitude on the horizontal axis and latitude on the vertical axis. WEKA assigns a distinct colour to each cluster, producing a map</w:t>
      </w:r>
      <w:r w:rsidRPr="008E73B4">
        <w:rPr>
          <w:rFonts w:ascii="Cambria Math" w:hAnsi="Cambria Math" w:cs="Cambria Math"/>
          <w:sz w:val="20"/>
          <w:szCs w:val="20"/>
        </w:rPr>
        <w:t>‑</w:t>
      </w:r>
      <w:r w:rsidRPr="008E73B4">
        <w:rPr>
          <w:rFonts w:ascii="Arial" w:hAnsi="Arial" w:cs="Arial"/>
          <w:sz w:val="20"/>
          <w:szCs w:val="20"/>
        </w:rPr>
        <w:t>like view of New York City. One cluster is concentrated in central areas corresponding to Manhattan, while the other two extend across outer boroughs such as Brooklyn and Queens. This visualisation makes clear how location alone shapes the natural grouping of listings in the dataset.</w:t>
      </w:r>
    </w:p>
    <w:p w14:paraId="3EDFB968" w14:textId="26B8503A" w:rsidR="003D38A3" w:rsidRPr="008E73B4" w:rsidRDefault="008F0E61" w:rsidP="003F4E44">
      <w:pPr>
        <w:jc w:val="center"/>
        <w:rPr>
          <w:rFonts w:ascii="Arial" w:hAnsi="Arial" w:cs="Arial"/>
          <w:sz w:val="20"/>
          <w:szCs w:val="20"/>
        </w:rPr>
      </w:pPr>
      <w:r w:rsidRPr="008E73B4">
        <w:rPr>
          <w:rFonts w:ascii="Arial" w:hAnsi="Arial" w:cs="Arial"/>
          <w:noProof/>
          <w:sz w:val="20"/>
          <w:szCs w:val="20"/>
        </w:rPr>
        <w:lastRenderedPageBreak/>
        <w:drawing>
          <wp:inline distT="0" distB="0" distL="0" distR="0" wp14:anchorId="379F0981" wp14:editId="1887E106">
            <wp:extent cx="3444948" cy="2593062"/>
            <wp:effectExtent l="0" t="0" r="3175" b="0"/>
            <wp:docPr id="18851512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51271" name="Picture 1" descr="A screenshot of a computer&#10;&#10;AI-generated content may be incorrect."/>
                    <pic:cNvPicPr/>
                  </pic:nvPicPr>
                  <pic:blipFill>
                    <a:blip r:embed="rId13"/>
                    <a:stretch>
                      <a:fillRect/>
                    </a:stretch>
                  </pic:blipFill>
                  <pic:spPr>
                    <a:xfrm>
                      <a:off x="0" y="0"/>
                      <a:ext cx="3453571" cy="2599553"/>
                    </a:xfrm>
                    <a:prstGeom prst="rect">
                      <a:avLst/>
                    </a:prstGeom>
                  </pic:spPr>
                </pic:pic>
              </a:graphicData>
            </a:graphic>
          </wp:inline>
        </w:drawing>
      </w:r>
    </w:p>
    <w:p w14:paraId="3A86F816" w14:textId="3383CF08" w:rsidR="003D38A3" w:rsidRPr="008E73B4" w:rsidRDefault="006C3334" w:rsidP="006C3334">
      <w:pPr>
        <w:pStyle w:val="Caption"/>
        <w:jc w:val="center"/>
        <w:rPr>
          <w:rFonts w:ascii="Arial" w:hAnsi="Arial" w:cs="Arial"/>
        </w:rPr>
      </w:pPr>
      <w:bookmarkStart w:id="18" w:name="_Toc214379674"/>
      <w:r w:rsidRPr="008E73B4">
        <w:rPr>
          <w:rFonts w:ascii="Arial" w:hAnsi="Arial" w:cs="Arial"/>
        </w:rPr>
        <w:t xml:space="preserve">Figure </w:t>
      </w:r>
      <w:r w:rsidR="00B41353" w:rsidRPr="008E73B4">
        <w:rPr>
          <w:rFonts w:ascii="Arial" w:hAnsi="Arial" w:cs="Arial"/>
        </w:rPr>
        <w:fldChar w:fldCharType="begin"/>
      </w:r>
      <w:r w:rsidR="00B41353" w:rsidRPr="008E73B4">
        <w:rPr>
          <w:rFonts w:ascii="Arial" w:hAnsi="Arial" w:cs="Arial"/>
        </w:rPr>
        <w:instrText xml:space="preserve"> SEQ Figure \* ARABIC </w:instrText>
      </w:r>
      <w:r w:rsidR="00B41353" w:rsidRPr="008E73B4">
        <w:rPr>
          <w:rFonts w:ascii="Arial" w:hAnsi="Arial" w:cs="Arial"/>
        </w:rPr>
        <w:fldChar w:fldCharType="separate"/>
      </w:r>
      <w:r w:rsidR="004C1B30">
        <w:rPr>
          <w:rFonts w:ascii="Arial" w:hAnsi="Arial" w:cs="Arial"/>
          <w:noProof/>
        </w:rPr>
        <w:t>7</w:t>
      </w:r>
      <w:r w:rsidR="00B41353" w:rsidRPr="008E73B4">
        <w:rPr>
          <w:rFonts w:ascii="Arial" w:hAnsi="Arial" w:cs="Arial"/>
          <w:noProof/>
        </w:rPr>
        <w:fldChar w:fldCharType="end"/>
      </w:r>
      <w:r w:rsidRPr="008E73B4">
        <w:rPr>
          <w:rFonts w:ascii="Arial" w:hAnsi="Arial" w:cs="Arial"/>
        </w:rPr>
        <w:t xml:space="preserve"> - SimpleKMeans clustering visualised by spatial coordinates.</w:t>
      </w:r>
      <w:bookmarkEnd w:id="18"/>
    </w:p>
    <w:p w14:paraId="64C040BF" w14:textId="77777777" w:rsidR="0046152E" w:rsidRPr="008E73B4" w:rsidRDefault="00452E71" w:rsidP="0046152E">
      <w:pPr>
        <w:keepNext/>
        <w:jc w:val="center"/>
        <w:rPr>
          <w:rFonts w:ascii="Arial" w:hAnsi="Arial" w:cs="Arial"/>
        </w:rPr>
      </w:pPr>
      <w:r w:rsidRPr="008E73B4">
        <w:rPr>
          <w:rFonts w:ascii="Arial" w:hAnsi="Arial" w:cs="Arial"/>
          <w:noProof/>
        </w:rPr>
        <w:drawing>
          <wp:inline distT="0" distB="0" distL="0" distR="0" wp14:anchorId="3A956A99" wp14:editId="4812692A">
            <wp:extent cx="3530746" cy="1985605"/>
            <wp:effectExtent l="0" t="0" r="0" b="0"/>
            <wp:docPr id="6728709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870970" name="Picture 1" descr="A screenshot of a computer&#10;&#10;AI-generated content may be incorrect."/>
                    <pic:cNvPicPr/>
                  </pic:nvPicPr>
                  <pic:blipFill>
                    <a:blip r:embed="rId14"/>
                    <a:stretch>
                      <a:fillRect/>
                    </a:stretch>
                  </pic:blipFill>
                  <pic:spPr>
                    <a:xfrm>
                      <a:off x="0" y="0"/>
                      <a:ext cx="3550849" cy="1996910"/>
                    </a:xfrm>
                    <a:prstGeom prst="rect">
                      <a:avLst/>
                    </a:prstGeom>
                  </pic:spPr>
                </pic:pic>
              </a:graphicData>
            </a:graphic>
          </wp:inline>
        </w:drawing>
      </w:r>
    </w:p>
    <w:p w14:paraId="4130CEE3" w14:textId="4BBEFB37" w:rsidR="0046152E" w:rsidRPr="008E73B4" w:rsidRDefault="0046152E" w:rsidP="0046152E">
      <w:pPr>
        <w:pStyle w:val="Caption"/>
        <w:jc w:val="center"/>
        <w:rPr>
          <w:rFonts w:ascii="Arial" w:hAnsi="Arial" w:cs="Arial"/>
        </w:rPr>
      </w:pPr>
      <w:bookmarkStart w:id="19" w:name="_Toc214379675"/>
      <w:r w:rsidRPr="008E73B4">
        <w:rPr>
          <w:rFonts w:ascii="Arial" w:hAnsi="Arial" w:cs="Arial"/>
        </w:rPr>
        <w:t xml:space="preserve">Figure </w:t>
      </w:r>
      <w:r w:rsidRPr="008E73B4">
        <w:rPr>
          <w:rFonts w:ascii="Arial" w:hAnsi="Arial" w:cs="Arial"/>
        </w:rPr>
        <w:fldChar w:fldCharType="begin"/>
      </w:r>
      <w:r w:rsidRPr="008E73B4">
        <w:rPr>
          <w:rFonts w:ascii="Arial" w:hAnsi="Arial" w:cs="Arial"/>
        </w:rPr>
        <w:instrText xml:space="preserve"> SEQ Figure \* ARABIC </w:instrText>
      </w:r>
      <w:r w:rsidRPr="008E73B4">
        <w:rPr>
          <w:rFonts w:ascii="Arial" w:hAnsi="Arial" w:cs="Arial"/>
        </w:rPr>
        <w:fldChar w:fldCharType="separate"/>
      </w:r>
      <w:r w:rsidR="004C1B30">
        <w:rPr>
          <w:rFonts w:ascii="Arial" w:hAnsi="Arial" w:cs="Arial"/>
          <w:noProof/>
        </w:rPr>
        <w:t>8</w:t>
      </w:r>
      <w:r w:rsidRPr="008E73B4">
        <w:rPr>
          <w:rFonts w:ascii="Arial" w:hAnsi="Arial" w:cs="Arial"/>
        </w:rPr>
        <w:fldChar w:fldCharType="end"/>
      </w:r>
      <w:r w:rsidRPr="008E73B4">
        <w:rPr>
          <w:rFonts w:ascii="Arial" w:hAnsi="Arial" w:cs="Arial"/>
        </w:rPr>
        <w:t xml:space="preserve"> - Raw WEKA centroid summary</w:t>
      </w:r>
      <w:bookmarkEnd w:id="19"/>
    </w:p>
    <w:p w14:paraId="5D893ED6" w14:textId="1AE1B17C" w:rsidR="00B574D9" w:rsidRPr="008E73B4" w:rsidRDefault="00B574D9" w:rsidP="00CC1695">
      <w:pPr>
        <w:jc w:val="both"/>
        <w:rPr>
          <w:rFonts w:ascii="Arial" w:hAnsi="Arial" w:cs="Arial"/>
          <w:sz w:val="20"/>
          <w:szCs w:val="20"/>
        </w:rPr>
      </w:pPr>
      <w:r w:rsidRPr="008E73B4">
        <w:rPr>
          <w:rFonts w:ascii="Arial" w:hAnsi="Arial" w:cs="Arial"/>
          <w:sz w:val="20"/>
          <w:szCs w:val="20"/>
        </w:rPr>
        <w:t>Figure 8 presents the</w:t>
      </w:r>
      <w:r w:rsidR="00C208B9" w:rsidRPr="008E73B4">
        <w:rPr>
          <w:rFonts w:ascii="Arial" w:hAnsi="Arial" w:cs="Arial"/>
          <w:sz w:val="20"/>
          <w:szCs w:val="20"/>
        </w:rPr>
        <w:t xml:space="preserve"> raw WEKA</w:t>
      </w:r>
      <w:r w:rsidRPr="008E73B4">
        <w:rPr>
          <w:rFonts w:ascii="Arial" w:hAnsi="Arial" w:cs="Arial"/>
          <w:sz w:val="20"/>
          <w:szCs w:val="20"/>
        </w:rPr>
        <w:t xml:space="preserve"> centroid summary for the three clusters, showing the average latitude and longitude of each group along with the number of listings assigned to them. The largest cluster spans much of the outer boroughs, while a smaller cluster represents the central region that typically commands higher prices. These centroid values reinforce the visual interpretation and confirm that the clusters reflect meaningful geographic divisions within the Airbnb market.</w:t>
      </w:r>
    </w:p>
    <w:p w14:paraId="1F65A33D" w14:textId="34DCBC3D" w:rsidR="00D412E1" w:rsidRPr="008E73B4" w:rsidRDefault="00D412E1" w:rsidP="00CC1695">
      <w:pPr>
        <w:jc w:val="both"/>
        <w:rPr>
          <w:rFonts w:ascii="Arial" w:hAnsi="Arial" w:cs="Arial"/>
          <w:sz w:val="20"/>
          <w:szCs w:val="20"/>
        </w:rPr>
      </w:pPr>
      <w:r w:rsidRPr="008E73B4">
        <w:rPr>
          <w:rFonts w:ascii="Arial" w:hAnsi="Arial" w:cs="Arial"/>
          <w:sz w:val="20"/>
          <w:szCs w:val="20"/>
        </w:rPr>
        <w:t>To support clearer interpretation, Figure 9 presents the centroid information from Figure 8 in a structured table format. This allows the raw WEKA output to be preserved while also providing an accessible summary for comparison across clusters</w:t>
      </w:r>
    </w:p>
    <w:p w14:paraId="736B6AA6" w14:textId="77777777" w:rsidR="003D38A3" w:rsidRPr="008E73B4" w:rsidRDefault="008F0E61" w:rsidP="006C3334">
      <w:pPr>
        <w:jc w:val="center"/>
        <w:rPr>
          <w:rFonts w:ascii="Arial" w:hAnsi="Arial" w:cs="Arial"/>
          <w:sz w:val="20"/>
          <w:szCs w:val="20"/>
        </w:rPr>
      </w:pPr>
      <w:r w:rsidRPr="008E73B4">
        <w:rPr>
          <w:rFonts w:ascii="Arial" w:hAnsi="Arial" w:cs="Arial"/>
          <w:noProof/>
          <w:sz w:val="20"/>
          <w:szCs w:val="20"/>
        </w:rPr>
        <w:drawing>
          <wp:inline distT="0" distB="0" distL="0" distR="0" wp14:anchorId="298AA126" wp14:editId="320788A3">
            <wp:extent cx="3423684" cy="1683354"/>
            <wp:effectExtent l="0" t="0" r="5715" b="0"/>
            <wp:docPr id="1690679291" name="Picture 1" descr="A table with numbers and a number of roo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79291" name="Picture 1" descr="A table with numbers and a number of rooms&#10;&#10;AI-generated content may be incorrect."/>
                    <pic:cNvPicPr/>
                  </pic:nvPicPr>
                  <pic:blipFill>
                    <a:blip r:embed="rId15"/>
                    <a:stretch>
                      <a:fillRect/>
                    </a:stretch>
                  </pic:blipFill>
                  <pic:spPr>
                    <a:xfrm>
                      <a:off x="0" y="0"/>
                      <a:ext cx="3428648" cy="1685795"/>
                    </a:xfrm>
                    <a:prstGeom prst="rect">
                      <a:avLst/>
                    </a:prstGeom>
                  </pic:spPr>
                </pic:pic>
              </a:graphicData>
            </a:graphic>
          </wp:inline>
        </w:drawing>
      </w:r>
    </w:p>
    <w:p w14:paraId="37C407DA" w14:textId="051857D8" w:rsidR="005078F6" w:rsidRPr="008E73B4" w:rsidRDefault="005078F6" w:rsidP="005078F6">
      <w:pPr>
        <w:pStyle w:val="Caption"/>
        <w:jc w:val="center"/>
        <w:rPr>
          <w:rFonts w:ascii="Arial" w:hAnsi="Arial" w:cs="Arial"/>
          <w:sz w:val="20"/>
          <w:szCs w:val="20"/>
        </w:rPr>
      </w:pPr>
      <w:bookmarkStart w:id="20" w:name="_Toc214379676"/>
      <w:r w:rsidRPr="008E73B4">
        <w:rPr>
          <w:rFonts w:ascii="Arial" w:hAnsi="Arial" w:cs="Arial"/>
        </w:rPr>
        <w:t xml:space="preserve">Figure </w:t>
      </w:r>
      <w:r w:rsidRPr="008E73B4">
        <w:rPr>
          <w:rFonts w:ascii="Arial" w:hAnsi="Arial" w:cs="Arial"/>
        </w:rPr>
        <w:fldChar w:fldCharType="begin"/>
      </w:r>
      <w:r w:rsidRPr="008E73B4">
        <w:rPr>
          <w:rFonts w:ascii="Arial" w:hAnsi="Arial" w:cs="Arial"/>
        </w:rPr>
        <w:instrText xml:space="preserve"> SEQ Figure \* ARABIC </w:instrText>
      </w:r>
      <w:r w:rsidRPr="008E73B4">
        <w:rPr>
          <w:rFonts w:ascii="Arial" w:hAnsi="Arial" w:cs="Arial"/>
        </w:rPr>
        <w:fldChar w:fldCharType="separate"/>
      </w:r>
      <w:r w:rsidR="004C1B30">
        <w:rPr>
          <w:rFonts w:ascii="Arial" w:hAnsi="Arial" w:cs="Arial"/>
          <w:noProof/>
        </w:rPr>
        <w:t>9</w:t>
      </w:r>
      <w:r w:rsidRPr="008E73B4">
        <w:rPr>
          <w:rFonts w:ascii="Arial" w:hAnsi="Arial" w:cs="Arial"/>
        </w:rPr>
        <w:fldChar w:fldCharType="end"/>
      </w:r>
      <w:r w:rsidRPr="008E73B4">
        <w:rPr>
          <w:rFonts w:ascii="Arial" w:hAnsi="Arial" w:cs="Arial"/>
        </w:rPr>
        <w:t xml:space="preserve"> - Formatted centroid table for clearer interpretation</w:t>
      </w:r>
      <w:bookmarkEnd w:id="20"/>
    </w:p>
    <w:p w14:paraId="158FED23" w14:textId="371B01A2" w:rsidR="003D38A3" w:rsidRPr="008E73B4" w:rsidRDefault="003D38A3" w:rsidP="00524637">
      <w:pPr>
        <w:pStyle w:val="Heading1"/>
        <w:rPr>
          <w:rFonts w:ascii="Arial" w:hAnsi="Arial" w:cs="Arial"/>
          <w:b/>
          <w:bCs/>
          <w:color w:val="auto"/>
          <w:sz w:val="22"/>
          <w:szCs w:val="22"/>
        </w:rPr>
      </w:pPr>
      <w:bookmarkStart w:id="21" w:name="_Toc214379808"/>
      <w:r w:rsidRPr="008E73B4">
        <w:rPr>
          <w:rFonts w:ascii="Arial" w:hAnsi="Arial" w:cs="Arial"/>
          <w:b/>
          <w:bCs/>
          <w:color w:val="auto"/>
          <w:sz w:val="22"/>
          <w:szCs w:val="22"/>
        </w:rPr>
        <w:lastRenderedPageBreak/>
        <w:t>5.0 Results and Findings</w:t>
      </w:r>
      <w:bookmarkEnd w:id="21"/>
    </w:p>
    <w:p w14:paraId="5B5D3729" w14:textId="77777777" w:rsidR="00766990" w:rsidRDefault="003C7E5F" w:rsidP="00766990">
      <w:pPr>
        <w:jc w:val="both"/>
        <w:rPr>
          <w:rFonts w:ascii="Arial" w:hAnsi="Arial" w:cs="Arial"/>
          <w:sz w:val="20"/>
          <w:szCs w:val="20"/>
        </w:rPr>
      </w:pPr>
      <w:r w:rsidRPr="003C7E5F">
        <w:rPr>
          <w:rFonts w:ascii="Arial" w:hAnsi="Arial" w:cs="Arial"/>
          <w:sz w:val="20"/>
          <w:szCs w:val="20"/>
        </w:rPr>
        <w:t>Random Forest significantly outperformed J48 and achieved slightly higher accuracy than Logistic Regression, making it the strongest model overall.</w:t>
      </w:r>
    </w:p>
    <w:p w14:paraId="63DFB1E6" w14:textId="75EB3500" w:rsidR="003D38A3" w:rsidRPr="00FD1E3F" w:rsidRDefault="003D38A3" w:rsidP="00FD1E3F">
      <w:pPr>
        <w:pStyle w:val="Heading1"/>
        <w:rPr>
          <w:rFonts w:ascii="Arial" w:hAnsi="Arial" w:cs="Arial"/>
          <w:b/>
          <w:bCs/>
          <w:color w:val="auto"/>
          <w:sz w:val="22"/>
          <w:szCs w:val="22"/>
        </w:rPr>
      </w:pPr>
      <w:bookmarkStart w:id="22" w:name="_Toc214379809"/>
      <w:r w:rsidRPr="00FD1E3F">
        <w:rPr>
          <w:rFonts w:ascii="Arial" w:hAnsi="Arial" w:cs="Arial"/>
          <w:b/>
          <w:bCs/>
          <w:color w:val="auto"/>
          <w:sz w:val="22"/>
          <w:szCs w:val="22"/>
        </w:rPr>
        <w:t>5.</w:t>
      </w:r>
      <w:r w:rsidR="00524637" w:rsidRPr="00FD1E3F">
        <w:rPr>
          <w:rFonts w:ascii="Arial" w:hAnsi="Arial" w:cs="Arial"/>
          <w:b/>
          <w:bCs/>
          <w:color w:val="auto"/>
          <w:sz w:val="22"/>
          <w:szCs w:val="22"/>
        </w:rPr>
        <w:t>1</w:t>
      </w:r>
      <w:r w:rsidRPr="00FD1E3F">
        <w:rPr>
          <w:rFonts w:ascii="Arial" w:hAnsi="Arial" w:cs="Arial"/>
          <w:b/>
          <w:bCs/>
          <w:color w:val="auto"/>
          <w:sz w:val="22"/>
          <w:szCs w:val="22"/>
        </w:rPr>
        <w:t xml:space="preserve"> Classification Results</w:t>
      </w:r>
      <w:bookmarkEnd w:id="22"/>
    </w:p>
    <w:p w14:paraId="193219CB" w14:textId="77777777" w:rsidR="002F6CD4" w:rsidRPr="008E73B4" w:rsidRDefault="00921E34" w:rsidP="00990A43">
      <w:pPr>
        <w:jc w:val="both"/>
        <w:rPr>
          <w:rFonts w:ascii="Arial" w:hAnsi="Arial" w:cs="Arial"/>
          <w:sz w:val="20"/>
          <w:szCs w:val="20"/>
        </w:rPr>
      </w:pPr>
      <w:r w:rsidRPr="008E73B4">
        <w:rPr>
          <w:rFonts w:ascii="Arial" w:hAnsi="Arial" w:cs="Arial"/>
          <w:sz w:val="20"/>
          <w:szCs w:val="20"/>
        </w:rPr>
        <w:t>The three supervised learning models were trained and evaluated using five</w:t>
      </w:r>
      <w:r w:rsidRPr="008E73B4">
        <w:rPr>
          <w:rFonts w:ascii="Cambria Math" w:hAnsi="Cambria Math" w:cs="Cambria Math"/>
          <w:sz w:val="20"/>
          <w:szCs w:val="20"/>
        </w:rPr>
        <w:t>‑</w:t>
      </w:r>
      <w:r w:rsidRPr="008E73B4">
        <w:rPr>
          <w:rFonts w:ascii="Arial" w:hAnsi="Arial" w:cs="Arial"/>
          <w:sz w:val="20"/>
          <w:szCs w:val="20"/>
        </w:rPr>
        <w:t>fold cross</w:t>
      </w:r>
      <w:r w:rsidRPr="008E73B4">
        <w:rPr>
          <w:rFonts w:ascii="Cambria Math" w:hAnsi="Cambria Math" w:cs="Cambria Math"/>
          <w:sz w:val="20"/>
          <w:szCs w:val="20"/>
        </w:rPr>
        <w:t>‑</w:t>
      </w:r>
      <w:r w:rsidRPr="008E73B4">
        <w:rPr>
          <w:rFonts w:ascii="Arial" w:hAnsi="Arial" w:cs="Arial"/>
          <w:sz w:val="20"/>
          <w:szCs w:val="20"/>
        </w:rPr>
        <w:t xml:space="preserve">validation to ensure a fair and consistent comparison. </w:t>
      </w:r>
    </w:p>
    <w:p w14:paraId="4E72E48F" w14:textId="447D6254" w:rsidR="00921E34" w:rsidRPr="008E73B4" w:rsidRDefault="00921E34" w:rsidP="00990A43">
      <w:pPr>
        <w:jc w:val="both"/>
        <w:rPr>
          <w:rFonts w:ascii="Arial" w:hAnsi="Arial" w:cs="Arial"/>
          <w:sz w:val="20"/>
          <w:szCs w:val="20"/>
        </w:rPr>
      </w:pPr>
      <w:r w:rsidRPr="008E73B4">
        <w:rPr>
          <w:rFonts w:ascii="Arial" w:hAnsi="Arial" w:cs="Arial"/>
          <w:b/>
          <w:bCs/>
          <w:sz w:val="20"/>
          <w:szCs w:val="20"/>
        </w:rPr>
        <w:t>Random Forest</w:t>
      </w:r>
      <w:r w:rsidRPr="008E73B4">
        <w:rPr>
          <w:rFonts w:ascii="Arial" w:hAnsi="Arial" w:cs="Arial"/>
          <w:sz w:val="20"/>
          <w:szCs w:val="20"/>
        </w:rPr>
        <w:t xml:space="preserve"> delivered the strongest overall performance, achieving an average accuracy of 68.34%, an F1</w:t>
      </w:r>
      <w:r w:rsidRPr="008E73B4">
        <w:rPr>
          <w:rFonts w:ascii="Cambria Math" w:hAnsi="Cambria Math" w:cs="Cambria Math"/>
          <w:sz w:val="20"/>
          <w:szCs w:val="20"/>
        </w:rPr>
        <w:t>‑</w:t>
      </w:r>
      <w:r w:rsidRPr="008E73B4">
        <w:rPr>
          <w:rFonts w:ascii="Arial" w:hAnsi="Arial" w:cs="Arial"/>
          <w:sz w:val="20"/>
          <w:szCs w:val="20"/>
        </w:rPr>
        <w:t>score of 0.68 and a Kappa statistic of 0.53. These results show that the ensemble method was able to capture complex interactions within the dataset more effectively than the other approaches, which is consistent with recent studies highlighting the robustness of Random Forest when applied to heterogeneous property</w:t>
      </w:r>
      <w:r w:rsidRPr="008E73B4">
        <w:rPr>
          <w:rFonts w:ascii="Cambria Math" w:hAnsi="Cambria Math" w:cs="Cambria Math"/>
          <w:sz w:val="20"/>
          <w:szCs w:val="20"/>
        </w:rPr>
        <w:t>‑</w:t>
      </w:r>
      <w:r w:rsidRPr="008E73B4">
        <w:rPr>
          <w:rFonts w:ascii="Arial" w:hAnsi="Arial" w:cs="Arial"/>
          <w:sz w:val="20"/>
          <w:szCs w:val="20"/>
        </w:rPr>
        <w:t>level features [1][9].</w:t>
      </w:r>
    </w:p>
    <w:p w14:paraId="155E32CA" w14:textId="0F2BB328" w:rsidR="00921E34" w:rsidRPr="008E73B4" w:rsidRDefault="00921E34" w:rsidP="00990A43">
      <w:pPr>
        <w:jc w:val="both"/>
        <w:rPr>
          <w:rFonts w:ascii="Arial" w:hAnsi="Arial" w:cs="Arial"/>
          <w:sz w:val="20"/>
          <w:szCs w:val="20"/>
        </w:rPr>
      </w:pPr>
      <w:r w:rsidRPr="008E73B4">
        <w:rPr>
          <w:rFonts w:ascii="Arial" w:hAnsi="Arial" w:cs="Arial"/>
          <w:b/>
          <w:bCs/>
          <w:sz w:val="20"/>
          <w:szCs w:val="20"/>
        </w:rPr>
        <w:t>Logistic Regression</w:t>
      </w:r>
      <w:r w:rsidRPr="008E73B4">
        <w:rPr>
          <w:rFonts w:ascii="Arial" w:hAnsi="Arial" w:cs="Arial"/>
          <w:sz w:val="20"/>
          <w:szCs w:val="20"/>
        </w:rPr>
        <w:t xml:space="preserve"> produced moderate results, with an accuracy of 67.21% and an F1</w:t>
      </w:r>
      <w:r w:rsidRPr="008E73B4">
        <w:rPr>
          <w:rFonts w:ascii="Cambria Math" w:hAnsi="Cambria Math" w:cs="Cambria Math"/>
          <w:sz w:val="20"/>
          <w:szCs w:val="20"/>
        </w:rPr>
        <w:t>‑</w:t>
      </w:r>
      <w:r w:rsidRPr="008E73B4">
        <w:rPr>
          <w:rFonts w:ascii="Arial" w:hAnsi="Arial" w:cs="Arial"/>
          <w:sz w:val="20"/>
          <w:szCs w:val="20"/>
        </w:rPr>
        <w:t>score of 0.68. However, its lower Kappa value (0.50) suggests that it struggled to fully represent the non</w:t>
      </w:r>
      <w:r w:rsidRPr="008E73B4">
        <w:rPr>
          <w:rFonts w:ascii="Cambria Math" w:hAnsi="Cambria Math" w:cs="Cambria Math"/>
          <w:sz w:val="20"/>
          <w:szCs w:val="20"/>
        </w:rPr>
        <w:t>‑</w:t>
      </w:r>
      <w:r w:rsidRPr="008E73B4">
        <w:rPr>
          <w:rFonts w:ascii="Arial" w:hAnsi="Arial" w:cs="Arial"/>
          <w:sz w:val="20"/>
          <w:szCs w:val="20"/>
        </w:rPr>
        <w:t>linear relationships present in the data. This outcome reflects earlier findings that linear models often underperform when faced with spatial and behavioural patterns typical of short</w:t>
      </w:r>
      <w:r w:rsidRPr="008E73B4">
        <w:rPr>
          <w:rFonts w:ascii="Cambria Math" w:hAnsi="Cambria Math" w:cs="Cambria Math"/>
          <w:sz w:val="20"/>
          <w:szCs w:val="20"/>
        </w:rPr>
        <w:t>‑</w:t>
      </w:r>
      <w:r w:rsidRPr="008E73B4">
        <w:rPr>
          <w:rFonts w:ascii="Arial" w:hAnsi="Arial" w:cs="Arial"/>
          <w:sz w:val="20"/>
          <w:szCs w:val="20"/>
        </w:rPr>
        <w:t>term rental markets [3][10].</w:t>
      </w:r>
    </w:p>
    <w:p w14:paraId="7A5F44C1" w14:textId="02CB6CDF" w:rsidR="00921E34" w:rsidRPr="008E73B4" w:rsidRDefault="00921E34" w:rsidP="00990A43">
      <w:pPr>
        <w:jc w:val="both"/>
        <w:rPr>
          <w:rFonts w:ascii="Arial" w:hAnsi="Arial" w:cs="Arial"/>
          <w:sz w:val="20"/>
          <w:szCs w:val="20"/>
        </w:rPr>
      </w:pPr>
      <w:r w:rsidRPr="008E73B4">
        <w:rPr>
          <w:rFonts w:ascii="Arial" w:hAnsi="Arial" w:cs="Arial"/>
          <w:b/>
          <w:bCs/>
          <w:sz w:val="20"/>
          <w:szCs w:val="20"/>
        </w:rPr>
        <w:t>J48</w:t>
      </w:r>
      <w:r w:rsidRPr="008E73B4">
        <w:rPr>
          <w:rFonts w:ascii="Arial" w:hAnsi="Arial" w:cs="Arial"/>
          <w:sz w:val="20"/>
          <w:szCs w:val="20"/>
        </w:rPr>
        <w:t xml:space="preserve"> achieved the weakest performance, recording 66.67% accuracy, an F1</w:t>
      </w:r>
      <w:r w:rsidRPr="008E73B4">
        <w:rPr>
          <w:rFonts w:ascii="Cambria Math" w:hAnsi="Cambria Math" w:cs="Cambria Math"/>
          <w:sz w:val="20"/>
          <w:szCs w:val="20"/>
        </w:rPr>
        <w:t>‑</w:t>
      </w:r>
      <w:r w:rsidRPr="008E73B4">
        <w:rPr>
          <w:rFonts w:ascii="Arial" w:hAnsi="Arial" w:cs="Arial"/>
          <w:sz w:val="20"/>
          <w:szCs w:val="20"/>
        </w:rPr>
        <w:t>score of 0.66 and a Kappa value of 0.48. While the model generated interpretable decision rules, its single</w:t>
      </w:r>
      <w:r w:rsidRPr="008E73B4">
        <w:rPr>
          <w:rFonts w:ascii="Cambria Math" w:hAnsi="Cambria Math" w:cs="Cambria Math"/>
          <w:sz w:val="20"/>
          <w:szCs w:val="20"/>
        </w:rPr>
        <w:t>‑</w:t>
      </w:r>
      <w:r w:rsidRPr="008E73B4">
        <w:rPr>
          <w:rFonts w:ascii="Arial" w:hAnsi="Arial" w:cs="Arial"/>
          <w:sz w:val="20"/>
          <w:szCs w:val="20"/>
        </w:rPr>
        <w:t>tree structure was less capable of modelling deeper interactions between variables such as neighbourhood group, room type and review behaviour. Prior research has similarly noted that standalone decision</w:t>
      </w:r>
      <w:r w:rsidRPr="008E73B4">
        <w:rPr>
          <w:rFonts w:ascii="Cambria Math" w:hAnsi="Cambria Math" w:cs="Cambria Math"/>
          <w:sz w:val="20"/>
          <w:szCs w:val="20"/>
        </w:rPr>
        <w:t>‑</w:t>
      </w:r>
      <w:r w:rsidRPr="008E73B4">
        <w:rPr>
          <w:rFonts w:ascii="Arial" w:hAnsi="Arial" w:cs="Arial"/>
          <w:sz w:val="20"/>
          <w:szCs w:val="20"/>
        </w:rPr>
        <w:t>tree models may lack the complexity required for high accuracy unless boosted or combined within ensemble frameworks [4][11].</w:t>
      </w:r>
    </w:p>
    <w:p w14:paraId="762D28D8" w14:textId="77777777" w:rsidR="00670297" w:rsidRPr="008E73B4" w:rsidRDefault="00921E34" w:rsidP="00990A43">
      <w:pPr>
        <w:jc w:val="both"/>
        <w:rPr>
          <w:rFonts w:ascii="Arial" w:hAnsi="Arial" w:cs="Arial"/>
          <w:sz w:val="20"/>
          <w:szCs w:val="20"/>
        </w:rPr>
      </w:pPr>
      <w:r w:rsidRPr="008E73B4">
        <w:rPr>
          <w:rFonts w:ascii="Arial" w:hAnsi="Arial" w:cs="Arial"/>
          <w:sz w:val="20"/>
          <w:szCs w:val="20"/>
        </w:rPr>
        <w:t>Taken together, the classification results suggest that spatial features, behavioural indicators and listing characteristics play a substantial role in determining price categories within the Airbnb market. These findings align with broader tourism analytics literature, where location</w:t>
      </w:r>
      <w:r w:rsidRPr="008E73B4">
        <w:rPr>
          <w:rFonts w:ascii="Cambria Math" w:hAnsi="Cambria Math" w:cs="Cambria Math"/>
          <w:sz w:val="20"/>
          <w:szCs w:val="20"/>
        </w:rPr>
        <w:t>‑</w:t>
      </w:r>
      <w:r w:rsidRPr="008E73B4">
        <w:rPr>
          <w:rFonts w:ascii="Arial" w:hAnsi="Arial" w:cs="Arial"/>
          <w:sz w:val="20"/>
          <w:szCs w:val="20"/>
        </w:rPr>
        <w:t>based and host</w:t>
      </w:r>
      <w:r w:rsidRPr="008E73B4">
        <w:rPr>
          <w:rFonts w:ascii="Cambria Math" w:hAnsi="Cambria Math" w:cs="Cambria Math"/>
          <w:sz w:val="20"/>
          <w:szCs w:val="20"/>
        </w:rPr>
        <w:t>‑</w:t>
      </w:r>
      <w:r w:rsidRPr="008E73B4">
        <w:rPr>
          <w:rFonts w:ascii="Arial" w:hAnsi="Arial" w:cs="Arial"/>
          <w:sz w:val="20"/>
          <w:szCs w:val="20"/>
        </w:rPr>
        <w:t>behaviour variables consistently emerge as strong predictors of pricing outcomes [4][6][19].</w:t>
      </w:r>
    </w:p>
    <w:p w14:paraId="3E06362B" w14:textId="77777777" w:rsidR="00670297" w:rsidRPr="00FD1E3F" w:rsidRDefault="003D38A3" w:rsidP="00FD1E3F">
      <w:pPr>
        <w:pStyle w:val="Heading1"/>
        <w:rPr>
          <w:rFonts w:ascii="Arial" w:hAnsi="Arial" w:cs="Arial"/>
          <w:b/>
          <w:bCs/>
          <w:color w:val="auto"/>
          <w:sz w:val="22"/>
          <w:szCs w:val="22"/>
        </w:rPr>
      </w:pPr>
      <w:bookmarkStart w:id="23" w:name="_Toc214379810"/>
      <w:r w:rsidRPr="00FD1E3F">
        <w:rPr>
          <w:rFonts w:ascii="Arial" w:hAnsi="Arial" w:cs="Arial"/>
          <w:b/>
          <w:bCs/>
          <w:color w:val="auto"/>
          <w:sz w:val="22"/>
          <w:szCs w:val="22"/>
        </w:rPr>
        <w:t>5.</w:t>
      </w:r>
      <w:r w:rsidR="00524637" w:rsidRPr="00FD1E3F">
        <w:rPr>
          <w:rFonts w:ascii="Arial" w:hAnsi="Arial" w:cs="Arial"/>
          <w:b/>
          <w:bCs/>
          <w:color w:val="auto"/>
          <w:sz w:val="22"/>
          <w:szCs w:val="22"/>
        </w:rPr>
        <w:t>2</w:t>
      </w:r>
      <w:r w:rsidRPr="00FD1E3F">
        <w:rPr>
          <w:rFonts w:ascii="Arial" w:hAnsi="Arial" w:cs="Arial"/>
          <w:b/>
          <w:bCs/>
          <w:color w:val="auto"/>
          <w:sz w:val="22"/>
          <w:szCs w:val="22"/>
        </w:rPr>
        <w:t xml:space="preserve"> Clustering Results</w:t>
      </w:r>
      <w:bookmarkEnd w:id="23"/>
    </w:p>
    <w:p w14:paraId="32ED03FA" w14:textId="77777777" w:rsidR="00990A43" w:rsidRPr="008E73B4" w:rsidRDefault="008242C9" w:rsidP="00990A43">
      <w:pPr>
        <w:jc w:val="both"/>
        <w:rPr>
          <w:rFonts w:ascii="Arial" w:hAnsi="Arial" w:cs="Arial"/>
          <w:sz w:val="20"/>
          <w:szCs w:val="20"/>
        </w:rPr>
      </w:pPr>
      <w:r w:rsidRPr="008E73B4">
        <w:rPr>
          <w:rFonts w:ascii="Arial" w:hAnsi="Arial" w:cs="Arial"/>
          <w:sz w:val="20"/>
          <w:szCs w:val="20"/>
        </w:rPr>
        <w:t>The SimpleKMeans clustering analysis produced three distinct groups that highlight meaningful spatial segmentation within the New York City Airbnb market. The visualisation in Figure 7 shows clear geographic separation, with one cluster concentrated in Manhattan, another spanning mid</w:t>
      </w:r>
      <w:r w:rsidRPr="008E73B4">
        <w:rPr>
          <w:rFonts w:ascii="Cambria Math" w:hAnsi="Cambria Math" w:cs="Cambria Math"/>
          <w:sz w:val="20"/>
          <w:szCs w:val="20"/>
        </w:rPr>
        <w:t>‑</w:t>
      </w:r>
      <w:r w:rsidRPr="008E73B4">
        <w:rPr>
          <w:rFonts w:ascii="Arial" w:hAnsi="Arial" w:cs="Arial"/>
          <w:sz w:val="20"/>
          <w:szCs w:val="20"/>
        </w:rPr>
        <w:t>range neighbourhoods, and a third extending across Brooklyn and Queens. This pattern is consistent with earlier spatial econometric studies that emphasise the strong influence of neighbourhood location on listing behaviour and accommodation characteristics [4][6].</w:t>
      </w:r>
    </w:p>
    <w:p w14:paraId="6D3A54BC" w14:textId="77777777" w:rsidR="00990A43" w:rsidRPr="008E73B4" w:rsidRDefault="008242C9" w:rsidP="00990A43">
      <w:pPr>
        <w:jc w:val="both"/>
        <w:rPr>
          <w:rFonts w:ascii="Arial" w:hAnsi="Arial" w:cs="Arial"/>
          <w:sz w:val="20"/>
          <w:szCs w:val="20"/>
        </w:rPr>
      </w:pPr>
      <w:r w:rsidRPr="008E73B4">
        <w:rPr>
          <w:rFonts w:ascii="Arial" w:hAnsi="Arial" w:cs="Arial"/>
          <w:sz w:val="20"/>
          <w:szCs w:val="20"/>
        </w:rPr>
        <w:t>The centroid summary in Figure 8 provides numerical evidence of these divisions. The Manhattan cluster displays the highest average latitude and longitude values, smaller listing counts, and features typically associated with higher</w:t>
      </w:r>
      <w:r w:rsidRPr="008E73B4">
        <w:rPr>
          <w:rFonts w:ascii="Cambria Math" w:hAnsi="Cambria Math" w:cs="Cambria Math"/>
          <w:sz w:val="20"/>
          <w:szCs w:val="20"/>
        </w:rPr>
        <w:t>‑</w:t>
      </w:r>
      <w:r w:rsidRPr="008E73B4">
        <w:rPr>
          <w:rFonts w:ascii="Arial" w:hAnsi="Arial" w:cs="Arial"/>
          <w:sz w:val="20"/>
          <w:szCs w:val="20"/>
        </w:rPr>
        <w:t>priced, central</w:t>
      </w:r>
      <w:r w:rsidRPr="008E73B4">
        <w:rPr>
          <w:rFonts w:ascii="Cambria Math" w:hAnsi="Cambria Math" w:cs="Cambria Math"/>
          <w:sz w:val="20"/>
          <w:szCs w:val="20"/>
        </w:rPr>
        <w:t>‑</w:t>
      </w:r>
      <w:r w:rsidRPr="008E73B4">
        <w:rPr>
          <w:rFonts w:ascii="Arial" w:hAnsi="Arial" w:cs="Arial"/>
          <w:sz w:val="20"/>
          <w:szCs w:val="20"/>
        </w:rPr>
        <w:t>city properties. The mid</w:t>
      </w:r>
      <w:r w:rsidRPr="008E73B4">
        <w:rPr>
          <w:rFonts w:ascii="Cambria Math" w:hAnsi="Cambria Math" w:cs="Cambria Math"/>
          <w:sz w:val="20"/>
          <w:szCs w:val="20"/>
        </w:rPr>
        <w:t>‑</w:t>
      </w:r>
      <w:r w:rsidRPr="008E73B4">
        <w:rPr>
          <w:rFonts w:ascii="Arial" w:hAnsi="Arial" w:cs="Arial"/>
          <w:sz w:val="20"/>
          <w:szCs w:val="20"/>
        </w:rPr>
        <w:t>range cluster contains a mix of room types and moderate review activity, reflecting transitional neighbourhoods. The outer</w:t>
      </w:r>
      <w:r w:rsidRPr="008E73B4">
        <w:rPr>
          <w:rFonts w:ascii="Cambria Math" w:hAnsi="Cambria Math" w:cs="Cambria Math"/>
          <w:sz w:val="20"/>
          <w:szCs w:val="20"/>
        </w:rPr>
        <w:t>‑</w:t>
      </w:r>
      <w:r w:rsidRPr="008E73B4">
        <w:rPr>
          <w:rFonts w:ascii="Arial" w:hAnsi="Arial" w:cs="Arial"/>
          <w:sz w:val="20"/>
          <w:szCs w:val="20"/>
        </w:rPr>
        <w:t>borough cluster, summarised in Figure 9, consists largely of private rooms in Brooklyn and Queens, with higher availability and lower review frequency, aligning with more affordable and residential market segments.</w:t>
      </w:r>
    </w:p>
    <w:p w14:paraId="298A1F28" w14:textId="32BF3AAA" w:rsidR="008242C9" w:rsidRPr="008E73B4" w:rsidRDefault="008242C9" w:rsidP="00990A43">
      <w:pPr>
        <w:jc w:val="both"/>
        <w:rPr>
          <w:rFonts w:ascii="Arial" w:hAnsi="Arial" w:cs="Arial"/>
          <w:sz w:val="20"/>
          <w:szCs w:val="20"/>
        </w:rPr>
      </w:pPr>
      <w:r w:rsidRPr="008E73B4">
        <w:rPr>
          <w:rFonts w:ascii="Arial" w:hAnsi="Arial" w:cs="Arial"/>
          <w:sz w:val="20"/>
          <w:szCs w:val="20"/>
        </w:rPr>
        <w:t xml:space="preserve">These clustering patterns complement the supervised classification results by revealing structure that emerges independently of price category labels. While the classifiers focus on predicting the price range of a listing, the clustering uncovers natural groupings based purely on spatial and behavioural attributes. This integrated perspective supports the argument made by Deb and Mukherjee, who emphasise that </w:t>
      </w:r>
      <w:r w:rsidRPr="008E73B4">
        <w:rPr>
          <w:rFonts w:ascii="Arial" w:hAnsi="Arial" w:cs="Arial"/>
          <w:sz w:val="20"/>
          <w:szCs w:val="20"/>
        </w:rPr>
        <w:lastRenderedPageBreak/>
        <w:t>combining supervised and unsupervised techniques provides deeper insight into behavioural and location</w:t>
      </w:r>
      <w:r w:rsidRPr="008E73B4">
        <w:rPr>
          <w:rFonts w:ascii="Cambria Math" w:hAnsi="Cambria Math" w:cs="Cambria Math"/>
          <w:sz w:val="20"/>
          <w:szCs w:val="20"/>
        </w:rPr>
        <w:t>‑</w:t>
      </w:r>
      <w:r w:rsidRPr="008E73B4">
        <w:rPr>
          <w:rFonts w:ascii="Arial" w:hAnsi="Arial" w:cs="Arial"/>
          <w:sz w:val="20"/>
          <w:szCs w:val="20"/>
        </w:rPr>
        <w:t>driven datasets [18].</w:t>
      </w:r>
    </w:p>
    <w:p w14:paraId="154E8AC7" w14:textId="2E08FACC" w:rsidR="003D38A3" w:rsidRPr="008E73B4" w:rsidRDefault="003D38A3" w:rsidP="008242C9">
      <w:pPr>
        <w:pStyle w:val="Heading1"/>
        <w:rPr>
          <w:rFonts w:ascii="Arial" w:hAnsi="Arial" w:cs="Arial"/>
          <w:b/>
          <w:bCs/>
          <w:color w:val="auto"/>
          <w:sz w:val="22"/>
          <w:szCs w:val="22"/>
        </w:rPr>
      </w:pPr>
      <w:bookmarkStart w:id="24" w:name="_Toc214379811"/>
      <w:r w:rsidRPr="008E73B4">
        <w:rPr>
          <w:rFonts w:ascii="Arial" w:hAnsi="Arial" w:cs="Arial"/>
          <w:b/>
          <w:bCs/>
          <w:color w:val="auto"/>
          <w:sz w:val="22"/>
          <w:szCs w:val="22"/>
        </w:rPr>
        <w:t>5.</w:t>
      </w:r>
      <w:r w:rsidR="00524637" w:rsidRPr="008E73B4">
        <w:rPr>
          <w:rFonts w:ascii="Arial" w:hAnsi="Arial" w:cs="Arial"/>
          <w:b/>
          <w:bCs/>
          <w:color w:val="auto"/>
          <w:sz w:val="22"/>
          <w:szCs w:val="22"/>
        </w:rPr>
        <w:t>3</w:t>
      </w:r>
      <w:r w:rsidRPr="008E73B4">
        <w:rPr>
          <w:rFonts w:ascii="Arial" w:hAnsi="Arial" w:cs="Arial"/>
          <w:b/>
          <w:bCs/>
          <w:color w:val="auto"/>
          <w:sz w:val="22"/>
          <w:szCs w:val="22"/>
        </w:rPr>
        <w:t xml:space="preserve"> Integrated Interpretation</w:t>
      </w:r>
      <w:bookmarkEnd w:id="24"/>
    </w:p>
    <w:p w14:paraId="03456823" w14:textId="189FBA04" w:rsidR="002175D7" w:rsidRPr="008E73B4" w:rsidRDefault="002175D7" w:rsidP="00CC1695">
      <w:pPr>
        <w:jc w:val="both"/>
        <w:rPr>
          <w:rFonts w:ascii="Arial" w:hAnsi="Arial" w:cs="Arial"/>
          <w:sz w:val="20"/>
          <w:szCs w:val="20"/>
        </w:rPr>
      </w:pPr>
      <w:r w:rsidRPr="002175D7">
        <w:rPr>
          <w:rFonts w:ascii="Arial" w:hAnsi="Arial" w:cs="Arial"/>
          <w:sz w:val="20"/>
          <w:szCs w:val="20"/>
        </w:rPr>
        <w:t>When the classification and clustering results are considered together, a clear picture of price formation emerges. The supervised models highlight the predictive strength of spatial and behavioural attributes, while the clustering reveals the natural geographic groupings underlying these patterns. This combined approach offers a deeper and more structured understanding of how location, listing characteristics and host activity influence price categories across New York City</w:t>
      </w:r>
      <w:r w:rsidR="00D86F1C">
        <w:rPr>
          <w:rFonts w:ascii="Arial" w:hAnsi="Arial" w:cs="Arial"/>
          <w:sz w:val="20"/>
          <w:szCs w:val="20"/>
        </w:rPr>
        <w:t xml:space="preserve"> </w:t>
      </w:r>
      <w:r w:rsidR="00D86F1C" w:rsidRPr="008E73B4">
        <w:rPr>
          <w:rFonts w:ascii="Arial" w:hAnsi="Arial" w:cs="Arial"/>
          <w:sz w:val="20"/>
          <w:szCs w:val="20"/>
        </w:rPr>
        <w:t>[4][6][19].</w:t>
      </w:r>
    </w:p>
    <w:p w14:paraId="21BB0F73" w14:textId="77777777" w:rsidR="002E4537" w:rsidRPr="008E73B4" w:rsidRDefault="002E4537" w:rsidP="00340E4E">
      <w:pPr>
        <w:pStyle w:val="Heading1"/>
        <w:rPr>
          <w:rFonts w:ascii="Arial" w:hAnsi="Arial" w:cs="Arial"/>
          <w:b/>
          <w:bCs/>
          <w:color w:val="auto"/>
          <w:sz w:val="22"/>
          <w:szCs w:val="22"/>
        </w:rPr>
      </w:pPr>
      <w:bookmarkStart w:id="25" w:name="_Toc214379812"/>
      <w:r w:rsidRPr="008E73B4">
        <w:rPr>
          <w:rFonts w:ascii="Arial" w:hAnsi="Arial" w:cs="Arial"/>
          <w:b/>
          <w:bCs/>
          <w:color w:val="auto"/>
          <w:sz w:val="22"/>
          <w:szCs w:val="22"/>
        </w:rPr>
        <w:t>5.4 Interpretation and Real-World Insight</w:t>
      </w:r>
      <w:bookmarkEnd w:id="25"/>
    </w:p>
    <w:p w14:paraId="51956ED8" w14:textId="204C7178" w:rsidR="002E4537" w:rsidRPr="008E73B4" w:rsidRDefault="002E4537" w:rsidP="002E4537">
      <w:pPr>
        <w:jc w:val="both"/>
        <w:rPr>
          <w:rFonts w:ascii="Arial" w:hAnsi="Arial" w:cs="Arial"/>
          <w:sz w:val="20"/>
          <w:szCs w:val="20"/>
        </w:rPr>
      </w:pPr>
      <w:r w:rsidRPr="008E73B4">
        <w:rPr>
          <w:rFonts w:ascii="Arial" w:hAnsi="Arial" w:cs="Arial"/>
          <w:sz w:val="20"/>
          <w:szCs w:val="20"/>
        </w:rPr>
        <w:t>The results of this analysis were interpreted with a focus on their meaning in real-world terms for Airbnb hosts, investors and policymakers. The performance of the Random Forest model shows that spatial location, room type and guest activity play a strong role in shaping price categories. This means that hosts can use these insights to understand how their property compares with others in similar neighbourhoods. The clustering results provide a practical way to recognise which areas behave as high-value, mid-range or budget segments, helping investors to identify opportunities without relying solely on assumptions. These findings make the results actionable because they translate technical outputs into guidance that can support pricing decisions, investment planning and neighbourhood-level policy considerations. By combining predictions with clear market segments, the study offers insights that can be applied directly to hosting situations and wider strategic decisions.</w:t>
      </w:r>
    </w:p>
    <w:p w14:paraId="655BBB59" w14:textId="42C14197" w:rsidR="003D38A3" w:rsidRPr="008E73B4" w:rsidRDefault="003D38A3" w:rsidP="00B41353">
      <w:pPr>
        <w:pStyle w:val="Heading1"/>
        <w:rPr>
          <w:rFonts w:ascii="Arial" w:hAnsi="Arial" w:cs="Arial"/>
          <w:b/>
          <w:bCs/>
          <w:color w:val="auto"/>
          <w:sz w:val="22"/>
          <w:szCs w:val="22"/>
        </w:rPr>
      </w:pPr>
      <w:bookmarkStart w:id="26" w:name="_Toc214379813"/>
      <w:r w:rsidRPr="008E73B4">
        <w:rPr>
          <w:rFonts w:ascii="Arial" w:hAnsi="Arial" w:cs="Arial"/>
          <w:b/>
          <w:bCs/>
          <w:color w:val="auto"/>
          <w:sz w:val="22"/>
          <w:szCs w:val="22"/>
        </w:rPr>
        <w:t>6. Discussion and Future Work</w:t>
      </w:r>
      <w:bookmarkEnd w:id="26"/>
    </w:p>
    <w:p w14:paraId="1D743FE6" w14:textId="77777777" w:rsidR="00524F2C" w:rsidRPr="00524F2C" w:rsidRDefault="00524F2C" w:rsidP="00524F2C">
      <w:pPr>
        <w:jc w:val="both"/>
        <w:rPr>
          <w:rFonts w:ascii="Arial" w:hAnsi="Arial" w:cs="Arial"/>
          <w:sz w:val="20"/>
          <w:szCs w:val="20"/>
        </w:rPr>
      </w:pPr>
      <w:r w:rsidRPr="00524F2C">
        <w:rPr>
          <w:rFonts w:ascii="Arial" w:hAnsi="Arial" w:cs="Arial"/>
          <w:sz w:val="20"/>
          <w:szCs w:val="20"/>
        </w:rPr>
        <w:t>The findings of this study provide clear evidence that listing characteristics, spatial location and host behaviour strongly influence price categories within the New York City Airbnb market. Among the supervised models tested, Random Forest achieved the highest predictive performance, outperforming both Logistic Regression and J48. Its superior accuracy, F1</w:t>
      </w:r>
      <w:r w:rsidRPr="00524F2C">
        <w:rPr>
          <w:rFonts w:ascii="Cambria Math" w:hAnsi="Cambria Math" w:cs="Cambria Math"/>
          <w:sz w:val="20"/>
          <w:szCs w:val="20"/>
        </w:rPr>
        <w:t>‑</w:t>
      </w:r>
      <w:r w:rsidRPr="00524F2C">
        <w:rPr>
          <w:rFonts w:ascii="Arial" w:hAnsi="Arial" w:cs="Arial"/>
          <w:sz w:val="20"/>
          <w:szCs w:val="20"/>
        </w:rPr>
        <w:t>score and Kappa statistic demonstrate that the ensemble structure was able to capture non</w:t>
      </w:r>
      <w:r w:rsidRPr="00524F2C">
        <w:rPr>
          <w:rFonts w:ascii="Cambria Math" w:hAnsi="Cambria Math" w:cs="Cambria Math"/>
          <w:sz w:val="20"/>
          <w:szCs w:val="20"/>
        </w:rPr>
        <w:t>‑</w:t>
      </w:r>
      <w:r w:rsidRPr="00524F2C">
        <w:rPr>
          <w:rFonts w:ascii="Arial" w:hAnsi="Arial" w:cs="Arial"/>
          <w:sz w:val="20"/>
          <w:szCs w:val="20"/>
        </w:rPr>
        <w:t>linear interactions between neighbourhood group, room type, review activity and availability. This outcome is consistent with existing research that highlights the robustness of ensemble methods when modelling heterogeneous and noisy property</w:t>
      </w:r>
      <w:r w:rsidRPr="00524F2C">
        <w:rPr>
          <w:rFonts w:ascii="Cambria Math" w:hAnsi="Cambria Math" w:cs="Cambria Math"/>
          <w:sz w:val="20"/>
          <w:szCs w:val="20"/>
        </w:rPr>
        <w:t>‑</w:t>
      </w:r>
      <w:r w:rsidRPr="00524F2C">
        <w:rPr>
          <w:rFonts w:ascii="Arial" w:hAnsi="Arial" w:cs="Arial"/>
          <w:sz w:val="20"/>
          <w:szCs w:val="20"/>
        </w:rPr>
        <w:t>level data [1][9].</w:t>
      </w:r>
    </w:p>
    <w:p w14:paraId="6ECE40EA" w14:textId="77777777" w:rsidR="00524F2C" w:rsidRPr="00524F2C" w:rsidRDefault="00524F2C" w:rsidP="00524F2C">
      <w:pPr>
        <w:jc w:val="both"/>
        <w:rPr>
          <w:rFonts w:ascii="Arial" w:hAnsi="Arial" w:cs="Arial"/>
          <w:sz w:val="20"/>
          <w:szCs w:val="20"/>
        </w:rPr>
      </w:pPr>
      <w:r w:rsidRPr="00524F2C">
        <w:rPr>
          <w:rFonts w:ascii="Arial" w:hAnsi="Arial" w:cs="Arial"/>
          <w:sz w:val="20"/>
          <w:szCs w:val="20"/>
        </w:rPr>
        <w:t>Logistic Regression delivered moderate results, reflecting earlier studies where linear models often struggle with the spatial and behavioural complexity of short</w:t>
      </w:r>
      <w:r w:rsidRPr="00524F2C">
        <w:rPr>
          <w:rFonts w:ascii="Cambria Math" w:hAnsi="Cambria Math" w:cs="Cambria Math"/>
          <w:sz w:val="20"/>
          <w:szCs w:val="20"/>
        </w:rPr>
        <w:t>‑</w:t>
      </w:r>
      <w:r w:rsidRPr="00524F2C">
        <w:rPr>
          <w:rFonts w:ascii="Arial" w:hAnsi="Arial" w:cs="Arial"/>
          <w:sz w:val="20"/>
          <w:szCs w:val="20"/>
        </w:rPr>
        <w:t>term rental markets [3][10]. Although it achieved a similar F1</w:t>
      </w:r>
      <w:r w:rsidRPr="00524F2C">
        <w:rPr>
          <w:rFonts w:ascii="Cambria Math" w:hAnsi="Cambria Math" w:cs="Cambria Math"/>
          <w:sz w:val="20"/>
          <w:szCs w:val="20"/>
        </w:rPr>
        <w:t>‑</w:t>
      </w:r>
      <w:r w:rsidRPr="00524F2C">
        <w:rPr>
          <w:rFonts w:ascii="Arial" w:hAnsi="Arial" w:cs="Arial"/>
          <w:sz w:val="20"/>
          <w:szCs w:val="20"/>
        </w:rPr>
        <w:t>score to Random Forest, its lower Kappa value indicated weaker agreement and reduced reliability across validation folds. J48 performed least effectively, showing that while single decision</w:t>
      </w:r>
      <w:r w:rsidRPr="00524F2C">
        <w:rPr>
          <w:rFonts w:ascii="Cambria Math" w:hAnsi="Cambria Math" w:cs="Cambria Math"/>
          <w:sz w:val="20"/>
          <w:szCs w:val="20"/>
        </w:rPr>
        <w:t>‑</w:t>
      </w:r>
      <w:r w:rsidRPr="00524F2C">
        <w:rPr>
          <w:rFonts w:ascii="Arial" w:hAnsi="Arial" w:cs="Arial"/>
          <w:sz w:val="20"/>
          <w:szCs w:val="20"/>
        </w:rPr>
        <w:t>tree models offer interpretability and transparency, they lack the depth required to capture complex interactions unless integrated into larger ensembles [4][11].</w:t>
      </w:r>
    </w:p>
    <w:p w14:paraId="1EF467D3" w14:textId="77777777" w:rsidR="00524F2C" w:rsidRPr="00524F2C" w:rsidRDefault="00524F2C" w:rsidP="00524F2C">
      <w:pPr>
        <w:jc w:val="both"/>
        <w:rPr>
          <w:rFonts w:ascii="Arial" w:hAnsi="Arial" w:cs="Arial"/>
          <w:sz w:val="20"/>
          <w:szCs w:val="20"/>
        </w:rPr>
      </w:pPr>
      <w:r w:rsidRPr="00524F2C">
        <w:rPr>
          <w:rFonts w:ascii="Arial" w:hAnsi="Arial" w:cs="Arial"/>
          <w:sz w:val="20"/>
          <w:szCs w:val="20"/>
        </w:rPr>
        <w:t>The corrected paired t</w:t>
      </w:r>
      <w:r w:rsidRPr="00524F2C">
        <w:rPr>
          <w:rFonts w:ascii="Cambria Math" w:hAnsi="Cambria Math" w:cs="Cambria Math"/>
          <w:sz w:val="20"/>
          <w:szCs w:val="20"/>
        </w:rPr>
        <w:t>‑</w:t>
      </w:r>
      <w:r w:rsidRPr="00524F2C">
        <w:rPr>
          <w:rFonts w:ascii="Arial" w:hAnsi="Arial" w:cs="Arial"/>
          <w:sz w:val="20"/>
          <w:szCs w:val="20"/>
        </w:rPr>
        <w:t>test reinforced these observations by confirming that Random Forest’s superiority over J48 was statistically significant at the 0.05 level. The absence of a significant difference between Random Forest and Logistic Regression suggests that, although Random Forest achieved higher accuracy, the two models share some behavioural similarities when applied to this dataset. Even so, Random Forest remained the most reliable classifier overall, offering both accuracy and stability across repeated validation splits.</w:t>
      </w:r>
    </w:p>
    <w:p w14:paraId="260AE3DE" w14:textId="77777777" w:rsidR="00524F2C" w:rsidRPr="00524F2C" w:rsidRDefault="00524F2C" w:rsidP="00524F2C">
      <w:pPr>
        <w:jc w:val="both"/>
        <w:rPr>
          <w:rFonts w:ascii="Arial" w:hAnsi="Arial" w:cs="Arial"/>
          <w:sz w:val="20"/>
          <w:szCs w:val="20"/>
        </w:rPr>
      </w:pPr>
      <w:r w:rsidRPr="00524F2C">
        <w:rPr>
          <w:rFonts w:ascii="Arial" w:hAnsi="Arial" w:cs="Arial"/>
          <w:sz w:val="20"/>
          <w:szCs w:val="20"/>
        </w:rPr>
        <w:t>The clustering analysis provided an unsupervised perspective that complemented the supervised modelling. The three spatially defined clusters revealed clear divisions between Manhattan, transitional mid</w:t>
      </w:r>
      <w:r w:rsidRPr="00524F2C">
        <w:rPr>
          <w:rFonts w:ascii="Cambria Math" w:hAnsi="Cambria Math" w:cs="Cambria Math"/>
          <w:sz w:val="20"/>
          <w:szCs w:val="20"/>
        </w:rPr>
        <w:t>‑</w:t>
      </w:r>
      <w:r w:rsidRPr="00524F2C">
        <w:rPr>
          <w:rFonts w:ascii="Arial" w:hAnsi="Arial" w:cs="Arial"/>
          <w:sz w:val="20"/>
          <w:szCs w:val="20"/>
        </w:rPr>
        <w:t xml:space="preserve">range neighbourhoods and outer boroughs such as Brooklyn and Queens. These clusters emerged solely from geographic coordinates, yet they aligned closely with known pricing patterns discussed in urban tourism and spatial analytics research [4][6]. The natural grouping of listings reinforces the idea </w:t>
      </w:r>
      <w:r w:rsidRPr="00524F2C">
        <w:rPr>
          <w:rFonts w:ascii="Arial" w:hAnsi="Arial" w:cs="Arial"/>
          <w:sz w:val="20"/>
          <w:szCs w:val="20"/>
        </w:rPr>
        <w:lastRenderedPageBreak/>
        <w:t>that geography remains one of the most influential drivers of Airbnb market behaviour, as emphasised by earlier studies [2][7].</w:t>
      </w:r>
    </w:p>
    <w:p w14:paraId="2F92648A" w14:textId="77777777" w:rsidR="0018026D" w:rsidRDefault="00524F2C" w:rsidP="00524F2C">
      <w:pPr>
        <w:jc w:val="both"/>
        <w:rPr>
          <w:rFonts w:ascii="Arial" w:hAnsi="Arial" w:cs="Arial"/>
          <w:sz w:val="20"/>
          <w:szCs w:val="20"/>
        </w:rPr>
      </w:pPr>
      <w:r w:rsidRPr="00524F2C">
        <w:rPr>
          <w:rFonts w:ascii="Arial" w:hAnsi="Arial" w:cs="Arial"/>
          <w:sz w:val="20"/>
          <w:szCs w:val="20"/>
        </w:rPr>
        <w:t>Taken together, the supervised and unsupervised results present a coherent picture of price formation in the Airbnb market. The classification models highlight the predictive strength of spatial and behavioural features, while the clustering analysis demonstrates how listings naturally group based on geographic proximity. This combined approach reflects recommendations in recent literature, particularly from Deb and Mukherjee, who argue that integrating supervised and unsupervised learning yields richer and more contextually grounded insights into behavioural datasets [18].</w:t>
      </w:r>
    </w:p>
    <w:p w14:paraId="7BD5B78A" w14:textId="49CBEEBB" w:rsidR="003D38A3" w:rsidRPr="008E73B4" w:rsidRDefault="003D38A3" w:rsidP="00524F2C">
      <w:pPr>
        <w:jc w:val="both"/>
        <w:rPr>
          <w:rFonts w:ascii="Arial" w:hAnsi="Arial" w:cs="Arial"/>
          <w:sz w:val="20"/>
          <w:szCs w:val="20"/>
        </w:rPr>
      </w:pPr>
      <w:r w:rsidRPr="008E73B4">
        <w:rPr>
          <w:rFonts w:ascii="Arial" w:hAnsi="Arial" w:cs="Arial"/>
          <w:sz w:val="20"/>
          <w:szCs w:val="20"/>
        </w:rPr>
        <w:t xml:space="preserve">Figure </w:t>
      </w:r>
      <w:r w:rsidR="00095717" w:rsidRPr="008E73B4">
        <w:rPr>
          <w:rFonts w:ascii="Arial" w:hAnsi="Arial" w:cs="Arial"/>
          <w:sz w:val="20"/>
          <w:szCs w:val="20"/>
        </w:rPr>
        <w:t>10</w:t>
      </w:r>
      <w:r w:rsidRPr="008E73B4">
        <w:rPr>
          <w:rFonts w:ascii="Arial" w:hAnsi="Arial" w:cs="Arial"/>
          <w:sz w:val="20"/>
          <w:szCs w:val="20"/>
        </w:rPr>
        <w:t xml:space="preserve"> outlines a proposed workflow for extending the analytical framework used in this study. It illustrates how additional data sources, more advanced modelling techniques and expanded evaluation methods can be integrated into a future research pipeline.</w:t>
      </w:r>
    </w:p>
    <w:p w14:paraId="50EF1C72" w14:textId="294DA5B7" w:rsidR="003D38A3" w:rsidRPr="008E73B4" w:rsidRDefault="008F0E61" w:rsidP="00B41353">
      <w:pPr>
        <w:jc w:val="center"/>
        <w:rPr>
          <w:rFonts w:ascii="Arial" w:hAnsi="Arial" w:cs="Arial"/>
          <w:sz w:val="20"/>
          <w:szCs w:val="20"/>
        </w:rPr>
      </w:pPr>
      <w:r w:rsidRPr="008E73B4">
        <w:rPr>
          <w:rFonts w:ascii="Arial" w:hAnsi="Arial" w:cs="Arial"/>
          <w:noProof/>
          <w:sz w:val="20"/>
          <w:szCs w:val="20"/>
        </w:rPr>
        <w:drawing>
          <wp:inline distT="0" distB="0" distL="0" distR="0" wp14:anchorId="22DB2650" wp14:editId="13D91E99">
            <wp:extent cx="3731668" cy="1971785"/>
            <wp:effectExtent l="0" t="0" r="2540" b="0"/>
            <wp:docPr id="829789777" name="Picture 5"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789777" name="Picture 5" descr="A diagram of a workflow&#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t="12146" b="8591"/>
                    <a:stretch>
                      <a:fillRect/>
                    </a:stretch>
                  </pic:blipFill>
                  <pic:spPr bwMode="auto">
                    <a:xfrm>
                      <a:off x="0" y="0"/>
                      <a:ext cx="3741275" cy="1976861"/>
                    </a:xfrm>
                    <a:prstGeom prst="rect">
                      <a:avLst/>
                    </a:prstGeom>
                    <a:noFill/>
                    <a:ln>
                      <a:noFill/>
                    </a:ln>
                    <a:extLst>
                      <a:ext uri="{53640926-AAD7-44D8-BBD7-CCE9431645EC}">
                        <a14:shadowObscured xmlns:a14="http://schemas.microsoft.com/office/drawing/2010/main"/>
                      </a:ext>
                    </a:extLst>
                  </pic:spPr>
                </pic:pic>
              </a:graphicData>
            </a:graphic>
          </wp:inline>
        </w:drawing>
      </w:r>
    </w:p>
    <w:p w14:paraId="16B4B00B" w14:textId="52F890C9" w:rsidR="00831074" w:rsidRPr="008E73B4" w:rsidRDefault="00831074" w:rsidP="00831074">
      <w:pPr>
        <w:pStyle w:val="Caption"/>
        <w:jc w:val="center"/>
        <w:rPr>
          <w:rFonts w:ascii="Arial" w:hAnsi="Arial" w:cs="Arial"/>
          <w:sz w:val="20"/>
          <w:szCs w:val="20"/>
        </w:rPr>
      </w:pPr>
      <w:bookmarkStart w:id="27" w:name="_Toc214379677"/>
      <w:r w:rsidRPr="008E73B4">
        <w:rPr>
          <w:rFonts w:ascii="Arial" w:hAnsi="Arial" w:cs="Arial"/>
        </w:rPr>
        <w:t xml:space="preserve">Figure </w:t>
      </w:r>
      <w:r w:rsidRPr="008E73B4">
        <w:rPr>
          <w:rFonts w:ascii="Arial" w:hAnsi="Arial" w:cs="Arial"/>
        </w:rPr>
        <w:fldChar w:fldCharType="begin"/>
      </w:r>
      <w:r w:rsidRPr="008E73B4">
        <w:rPr>
          <w:rFonts w:ascii="Arial" w:hAnsi="Arial" w:cs="Arial"/>
        </w:rPr>
        <w:instrText xml:space="preserve"> SEQ Figure \* ARABIC </w:instrText>
      </w:r>
      <w:r w:rsidRPr="008E73B4">
        <w:rPr>
          <w:rFonts w:ascii="Arial" w:hAnsi="Arial" w:cs="Arial"/>
        </w:rPr>
        <w:fldChar w:fldCharType="separate"/>
      </w:r>
      <w:r w:rsidR="004C1B30">
        <w:rPr>
          <w:rFonts w:ascii="Arial" w:hAnsi="Arial" w:cs="Arial"/>
          <w:noProof/>
        </w:rPr>
        <w:t>10</w:t>
      </w:r>
      <w:r w:rsidRPr="008E73B4">
        <w:rPr>
          <w:rFonts w:ascii="Arial" w:hAnsi="Arial" w:cs="Arial"/>
        </w:rPr>
        <w:fldChar w:fldCharType="end"/>
      </w:r>
      <w:r w:rsidRPr="008E73B4">
        <w:rPr>
          <w:rFonts w:ascii="Arial" w:hAnsi="Arial" w:cs="Arial"/>
        </w:rPr>
        <w:t xml:space="preserve"> - Workflow for proposed future enhancements.</w:t>
      </w:r>
      <w:bookmarkEnd w:id="27"/>
    </w:p>
    <w:p w14:paraId="1596B516" w14:textId="116B4342" w:rsidR="003D38A3" w:rsidRPr="008E73B4" w:rsidRDefault="00B41353" w:rsidP="00AA697B">
      <w:pPr>
        <w:pStyle w:val="Heading1"/>
        <w:rPr>
          <w:rFonts w:ascii="Arial" w:hAnsi="Arial" w:cs="Arial"/>
          <w:b/>
          <w:bCs/>
          <w:color w:val="auto"/>
          <w:sz w:val="22"/>
          <w:szCs w:val="22"/>
        </w:rPr>
      </w:pPr>
      <w:bookmarkStart w:id="28" w:name="_Toc214379814"/>
      <w:r w:rsidRPr="008E73B4">
        <w:rPr>
          <w:rFonts w:ascii="Arial" w:hAnsi="Arial" w:cs="Arial"/>
          <w:b/>
          <w:bCs/>
          <w:color w:val="auto"/>
          <w:sz w:val="22"/>
          <w:szCs w:val="22"/>
        </w:rPr>
        <w:t>7</w:t>
      </w:r>
      <w:r w:rsidR="003D38A3" w:rsidRPr="008E73B4">
        <w:rPr>
          <w:rFonts w:ascii="Arial" w:hAnsi="Arial" w:cs="Arial"/>
          <w:b/>
          <w:bCs/>
          <w:color w:val="auto"/>
          <w:sz w:val="22"/>
          <w:szCs w:val="22"/>
        </w:rPr>
        <w:t>. Business Recommendation</w:t>
      </w:r>
      <w:bookmarkEnd w:id="28"/>
    </w:p>
    <w:p w14:paraId="16E7873B" w14:textId="77777777" w:rsidR="003719B5" w:rsidRPr="003719B5" w:rsidRDefault="003719B5" w:rsidP="003719B5">
      <w:pPr>
        <w:jc w:val="both"/>
        <w:rPr>
          <w:rFonts w:ascii="Arial" w:hAnsi="Arial" w:cs="Arial"/>
          <w:sz w:val="20"/>
          <w:szCs w:val="20"/>
        </w:rPr>
      </w:pPr>
      <w:r w:rsidRPr="003719B5">
        <w:rPr>
          <w:rFonts w:ascii="Arial" w:hAnsi="Arial" w:cs="Arial"/>
          <w:sz w:val="20"/>
          <w:szCs w:val="20"/>
        </w:rPr>
        <w:t>The analysis highlights several practical implications for stakeholders in the New York City short</w:t>
      </w:r>
      <w:r w:rsidRPr="003719B5">
        <w:rPr>
          <w:rFonts w:ascii="Cambria Math" w:hAnsi="Cambria Math" w:cs="Cambria Math"/>
          <w:sz w:val="20"/>
          <w:szCs w:val="20"/>
        </w:rPr>
        <w:t>‑</w:t>
      </w:r>
      <w:r w:rsidRPr="003719B5">
        <w:rPr>
          <w:rFonts w:ascii="Arial" w:hAnsi="Arial" w:cs="Arial"/>
          <w:sz w:val="20"/>
          <w:szCs w:val="20"/>
        </w:rPr>
        <w:t>term rental market. For hosts, the findings show that neighbourhood group and room type are central to pricing outcomes. Hosts can benchmark their listings against similar properties in their area and adjust strategies accordingly. For example, private rooms in outer boroughs are consistently positioned in the lower price segment, while entire homes in Manhattan tend to command higher rates. Recognising these patterns enables hosts to set competitive prices and manage availability more effectively.</w:t>
      </w:r>
    </w:p>
    <w:p w14:paraId="5C3F4A64" w14:textId="59C35A19" w:rsidR="003719B5" w:rsidRPr="003719B5" w:rsidRDefault="003719B5" w:rsidP="003719B5">
      <w:pPr>
        <w:jc w:val="both"/>
        <w:rPr>
          <w:rFonts w:ascii="Arial" w:hAnsi="Arial" w:cs="Arial"/>
          <w:sz w:val="20"/>
          <w:szCs w:val="20"/>
        </w:rPr>
      </w:pPr>
      <w:r w:rsidRPr="003719B5">
        <w:rPr>
          <w:rFonts w:ascii="Arial" w:hAnsi="Arial" w:cs="Arial"/>
          <w:sz w:val="20"/>
          <w:szCs w:val="20"/>
        </w:rPr>
        <w:t>For investors, the clustering results provide a clear view of market segmentation. The identification of high</w:t>
      </w:r>
      <w:r w:rsidRPr="003719B5">
        <w:rPr>
          <w:rFonts w:ascii="Cambria Math" w:hAnsi="Cambria Math" w:cs="Cambria Math"/>
          <w:sz w:val="20"/>
          <w:szCs w:val="20"/>
        </w:rPr>
        <w:t>‑</w:t>
      </w:r>
      <w:r w:rsidRPr="003719B5">
        <w:rPr>
          <w:rFonts w:ascii="Arial" w:hAnsi="Arial" w:cs="Arial"/>
          <w:sz w:val="20"/>
          <w:szCs w:val="20"/>
        </w:rPr>
        <w:t>value, mid</w:t>
      </w:r>
      <w:r w:rsidRPr="003719B5">
        <w:rPr>
          <w:rFonts w:ascii="Cambria Math" w:hAnsi="Cambria Math" w:cs="Cambria Math"/>
          <w:sz w:val="20"/>
          <w:szCs w:val="20"/>
        </w:rPr>
        <w:t>‑</w:t>
      </w:r>
      <w:r w:rsidRPr="003719B5">
        <w:rPr>
          <w:rFonts w:ascii="Arial" w:hAnsi="Arial" w:cs="Arial"/>
          <w:sz w:val="20"/>
          <w:szCs w:val="20"/>
        </w:rPr>
        <w:t>range and budget clusters offers a practical framework for recognising opportunities. Rather than relying on assumptions, investors can use these insights to target boroughs and property types that align with their financial objectives, whether that involves premium listings in central areas or more affordable options in transitional neighbourhoods.</w:t>
      </w:r>
    </w:p>
    <w:p w14:paraId="2BC3DFB7" w14:textId="0315B2DA" w:rsidR="003719B5" w:rsidRDefault="003719B5" w:rsidP="003719B5">
      <w:pPr>
        <w:jc w:val="both"/>
        <w:rPr>
          <w:rFonts w:ascii="Arial" w:hAnsi="Arial" w:cs="Arial"/>
          <w:sz w:val="20"/>
          <w:szCs w:val="20"/>
        </w:rPr>
      </w:pPr>
      <w:r w:rsidRPr="003719B5">
        <w:rPr>
          <w:rFonts w:ascii="Arial" w:hAnsi="Arial" w:cs="Arial"/>
          <w:sz w:val="20"/>
          <w:szCs w:val="20"/>
        </w:rPr>
        <w:t>For policymakers, the study demonstrates how data</w:t>
      </w:r>
      <w:r w:rsidRPr="003719B5">
        <w:rPr>
          <w:rFonts w:ascii="Cambria Math" w:hAnsi="Cambria Math" w:cs="Cambria Math"/>
          <w:sz w:val="20"/>
          <w:szCs w:val="20"/>
        </w:rPr>
        <w:t>‑</w:t>
      </w:r>
      <w:r w:rsidRPr="003719B5">
        <w:rPr>
          <w:rFonts w:ascii="Arial" w:hAnsi="Arial" w:cs="Arial"/>
          <w:sz w:val="20"/>
          <w:szCs w:val="20"/>
        </w:rPr>
        <w:t>driven analysis can support neighbourhood</w:t>
      </w:r>
      <w:r w:rsidRPr="003719B5">
        <w:rPr>
          <w:rFonts w:ascii="Cambria Math" w:hAnsi="Cambria Math" w:cs="Cambria Math"/>
          <w:sz w:val="20"/>
          <w:szCs w:val="20"/>
        </w:rPr>
        <w:t>‑</w:t>
      </w:r>
      <w:r w:rsidRPr="003719B5">
        <w:rPr>
          <w:rFonts w:ascii="Arial" w:hAnsi="Arial" w:cs="Arial"/>
          <w:sz w:val="20"/>
          <w:szCs w:val="20"/>
        </w:rPr>
        <w:t>level planning. The alignment between supervised and unsupervised results confirms that price categories reflect underlying structural and behavioural patterns. This evidence can inform policy decisions around housing affordability, tourism management and urban development. By recognising how host behaviour and neighbourhood characteristics shape the market, policymakers can design interventions that balance economic opportunity with community needs.</w:t>
      </w:r>
    </w:p>
    <w:p w14:paraId="1DAF610F" w14:textId="127D33AE" w:rsidR="003D38A3" w:rsidRPr="008E73B4" w:rsidRDefault="00B41353" w:rsidP="00D41D2D">
      <w:pPr>
        <w:pStyle w:val="Heading1"/>
        <w:spacing w:after="0"/>
        <w:rPr>
          <w:rFonts w:ascii="Arial" w:hAnsi="Arial" w:cs="Arial"/>
          <w:b/>
          <w:bCs/>
          <w:color w:val="auto"/>
          <w:sz w:val="22"/>
          <w:szCs w:val="22"/>
        </w:rPr>
      </w:pPr>
      <w:bookmarkStart w:id="29" w:name="_Toc214379815"/>
      <w:r w:rsidRPr="008E73B4">
        <w:rPr>
          <w:rFonts w:ascii="Arial" w:hAnsi="Arial" w:cs="Arial"/>
          <w:b/>
          <w:bCs/>
          <w:color w:val="auto"/>
          <w:sz w:val="22"/>
          <w:szCs w:val="22"/>
        </w:rPr>
        <w:t>8</w:t>
      </w:r>
      <w:r w:rsidR="003D38A3" w:rsidRPr="008E73B4">
        <w:rPr>
          <w:rFonts w:ascii="Arial" w:hAnsi="Arial" w:cs="Arial"/>
          <w:b/>
          <w:bCs/>
          <w:color w:val="auto"/>
          <w:sz w:val="22"/>
          <w:szCs w:val="22"/>
        </w:rPr>
        <w:t>.</w:t>
      </w:r>
      <w:r w:rsidR="00223826" w:rsidRPr="008E73B4">
        <w:rPr>
          <w:rFonts w:ascii="Arial" w:hAnsi="Arial" w:cs="Arial"/>
          <w:b/>
          <w:bCs/>
          <w:color w:val="auto"/>
          <w:sz w:val="22"/>
          <w:szCs w:val="22"/>
        </w:rPr>
        <w:t xml:space="preserve"> </w:t>
      </w:r>
      <w:r w:rsidR="003D38A3" w:rsidRPr="008E73B4">
        <w:rPr>
          <w:rFonts w:ascii="Arial" w:hAnsi="Arial" w:cs="Arial"/>
          <w:b/>
          <w:bCs/>
          <w:color w:val="auto"/>
          <w:sz w:val="22"/>
          <w:szCs w:val="22"/>
        </w:rPr>
        <w:t>Conclusion</w:t>
      </w:r>
      <w:bookmarkEnd w:id="29"/>
    </w:p>
    <w:p w14:paraId="1C52351D" w14:textId="77777777" w:rsidR="00443F8D" w:rsidRPr="00C2761C" w:rsidRDefault="00443F8D" w:rsidP="00C2761C">
      <w:pPr>
        <w:jc w:val="both"/>
        <w:rPr>
          <w:rFonts w:ascii="Arial" w:hAnsi="Arial" w:cs="Arial"/>
          <w:sz w:val="20"/>
          <w:szCs w:val="20"/>
        </w:rPr>
      </w:pPr>
      <w:r w:rsidRPr="00C2761C">
        <w:rPr>
          <w:rFonts w:ascii="Arial" w:hAnsi="Arial" w:cs="Arial"/>
          <w:sz w:val="20"/>
          <w:szCs w:val="20"/>
        </w:rPr>
        <w:t>This study examined price</w:t>
      </w:r>
      <w:r w:rsidRPr="00C2761C">
        <w:rPr>
          <w:rFonts w:ascii="Cambria Math" w:hAnsi="Cambria Math" w:cs="Cambria Math"/>
          <w:sz w:val="20"/>
          <w:szCs w:val="20"/>
        </w:rPr>
        <w:t>‑</w:t>
      </w:r>
      <w:r w:rsidRPr="00C2761C">
        <w:rPr>
          <w:rFonts w:ascii="Arial" w:hAnsi="Arial" w:cs="Arial"/>
          <w:sz w:val="20"/>
          <w:szCs w:val="20"/>
        </w:rPr>
        <w:t>category prediction within the New York City Airbnb market by combining supervised machine learning with unsupervised clustering. The classification experiments showed that Random Forest achieved the strongest overall performance, producing the highest accuracy, F1</w:t>
      </w:r>
      <w:r w:rsidRPr="00C2761C">
        <w:rPr>
          <w:rFonts w:ascii="Cambria Math" w:hAnsi="Cambria Math" w:cs="Cambria Math"/>
          <w:sz w:val="20"/>
          <w:szCs w:val="20"/>
        </w:rPr>
        <w:t>‑</w:t>
      </w:r>
      <w:r w:rsidRPr="00C2761C">
        <w:rPr>
          <w:rFonts w:ascii="Arial" w:hAnsi="Arial" w:cs="Arial"/>
          <w:sz w:val="20"/>
          <w:szCs w:val="20"/>
        </w:rPr>
        <w:t xml:space="preserve">score </w:t>
      </w:r>
      <w:r w:rsidRPr="00C2761C">
        <w:rPr>
          <w:rFonts w:ascii="Arial" w:hAnsi="Arial" w:cs="Arial"/>
          <w:sz w:val="20"/>
          <w:szCs w:val="20"/>
        </w:rPr>
        <w:lastRenderedPageBreak/>
        <w:t>and Kappa statistic across the three models tested. The corrected paired t</w:t>
      </w:r>
      <w:r w:rsidRPr="00C2761C">
        <w:rPr>
          <w:rFonts w:ascii="Cambria Math" w:hAnsi="Cambria Math" w:cs="Cambria Math"/>
          <w:sz w:val="20"/>
          <w:szCs w:val="20"/>
        </w:rPr>
        <w:t>‑</w:t>
      </w:r>
      <w:r w:rsidRPr="00C2761C">
        <w:rPr>
          <w:rFonts w:ascii="Arial" w:hAnsi="Arial" w:cs="Arial"/>
          <w:sz w:val="20"/>
          <w:szCs w:val="20"/>
        </w:rPr>
        <w:t>test confirmed that its advantage over J48 was statistically significant at the 0.05 level, reinforcing the reliability of ensemble methods for modelling complex and heterogeneous listing data. Logistic Regression delivered moderate results, while J48 recorded the weakest performance, highlighting the limitations of single</w:t>
      </w:r>
      <w:r w:rsidRPr="00C2761C">
        <w:rPr>
          <w:rFonts w:ascii="Cambria Math" w:hAnsi="Cambria Math" w:cs="Cambria Math"/>
          <w:sz w:val="20"/>
          <w:szCs w:val="20"/>
        </w:rPr>
        <w:t>‑</w:t>
      </w:r>
      <w:r w:rsidRPr="00C2761C">
        <w:rPr>
          <w:rFonts w:ascii="Arial" w:hAnsi="Arial" w:cs="Arial"/>
          <w:sz w:val="20"/>
          <w:szCs w:val="20"/>
        </w:rPr>
        <w:t>tree models when faced with deeper non</w:t>
      </w:r>
      <w:r w:rsidRPr="00C2761C">
        <w:rPr>
          <w:rFonts w:ascii="Cambria Math" w:hAnsi="Cambria Math" w:cs="Cambria Math"/>
          <w:sz w:val="20"/>
          <w:szCs w:val="20"/>
        </w:rPr>
        <w:t>‑</w:t>
      </w:r>
      <w:r w:rsidRPr="00C2761C">
        <w:rPr>
          <w:rFonts w:ascii="Arial" w:hAnsi="Arial" w:cs="Arial"/>
          <w:sz w:val="20"/>
          <w:szCs w:val="20"/>
        </w:rPr>
        <w:t>linear interactions between spatial and behavioural attributes.</w:t>
      </w:r>
    </w:p>
    <w:p w14:paraId="7159F642" w14:textId="77777777" w:rsidR="00443F8D" w:rsidRPr="00C2761C" w:rsidRDefault="00443F8D" w:rsidP="00C2761C">
      <w:pPr>
        <w:jc w:val="both"/>
        <w:rPr>
          <w:rFonts w:ascii="Arial" w:hAnsi="Arial" w:cs="Arial"/>
          <w:sz w:val="20"/>
          <w:szCs w:val="20"/>
        </w:rPr>
      </w:pPr>
      <w:r w:rsidRPr="00C2761C">
        <w:rPr>
          <w:rFonts w:ascii="Arial" w:hAnsi="Arial" w:cs="Arial"/>
          <w:sz w:val="20"/>
          <w:szCs w:val="20"/>
        </w:rPr>
        <w:t>The clustering analysis provided a complementary perspective by uncovering naturally occurring spatial groupings across Manhattan, transitional neighbourhoods and the outer boroughs. These patterns closely mirror established spatial divisions within the Airbnb market and emphasise the importance of location as a key driver of listing characteristics. When considered alongside the supervised findings, the clustering results further demonstrate that neighbourhood group, room type, host behaviour and geographic positioning play a central role in shaping pricing outcomes.</w:t>
      </w:r>
    </w:p>
    <w:p w14:paraId="5A719B74" w14:textId="77777777" w:rsidR="00443F8D" w:rsidRPr="00C2761C" w:rsidRDefault="00443F8D" w:rsidP="00C2761C">
      <w:pPr>
        <w:jc w:val="both"/>
        <w:rPr>
          <w:rFonts w:ascii="Arial" w:hAnsi="Arial" w:cs="Arial"/>
          <w:sz w:val="20"/>
          <w:szCs w:val="20"/>
        </w:rPr>
      </w:pPr>
      <w:r w:rsidRPr="00C2761C">
        <w:rPr>
          <w:rFonts w:ascii="Arial" w:hAnsi="Arial" w:cs="Arial"/>
          <w:sz w:val="20"/>
          <w:szCs w:val="20"/>
        </w:rPr>
        <w:t>Taken together, the supervised and unsupervised analyses present a coherent understanding of Airbnb market behaviour and highlight the value of combining different analytical approaches. The findings support existing research that emphasises both the predictive strength of ensemble techniques and the structural influence of spatial characteristics in short</w:t>
      </w:r>
      <w:r w:rsidRPr="00C2761C">
        <w:rPr>
          <w:rFonts w:ascii="Cambria Math" w:hAnsi="Cambria Math" w:cs="Cambria Math"/>
          <w:sz w:val="20"/>
          <w:szCs w:val="20"/>
        </w:rPr>
        <w:t>‑</w:t>
      </w:r>
      <w:r w:rsidRPr="00C2761C">
        <w:rPr>
          <w:rFonts w:ascii="Arial" w:hAnsi="Arial" w:cs="Arial"/>
          <w:sz w:val="20"/>
          <w:szCs w:val="20"/>
        </w:rPr>
        <w:t>term rental markets [1][6][9]. Future work could extend this analysis by incorporating additional features such as host experience, property amenities or temporal pricing trends, and by testing more advanced models including gradient</w:t>
      </w:r>
      <w:r w:rsidRPr="00C2761C">
        <w:rPr>
          <w:rFonts w:ascii="Cambria Math" w:hAnsi="Cambria Math" w:cs="Cambria Math"/>
          <w:sz w:val="20"/>
          <w:szCs w:val="20"/>
        </w:rPr>
        <w:t>‑</w:t>
      </w:r>
      <w:r w:rsidRPr="00C2761C">
        <w:rPr>
          <w:rFonts w:ascii="Arial" w:hAnsi="Arial" w:cs="Arial"/>
          <w:sz w:val="20"/>
          <w:szCs w:val="20"/>
        </w:rPr>
        <w:t>boosted trees or neural networks to further enhance predictive performance.</w:t>
      </w:r>
    </w:p>
    <w:p w14:paraId="7B3D0DFC" w14:textId="28A4EF00" w:rsidR="00FC5201" w:rsidRPr="008E73B4" w:rsidRDefault="003D38A3" w:rsidP="00443F8D">
      <w:pPr>
        <w:pStyle w:val="Heading1"/>
        <w:rPr>
          <w:rFonts w:ascii="Arial" w:hAnsi="Arial" w:cs="Arial"/>
          <w:b/>
          <w:bCs/>
          <w:color w:val="auto"/>
          <w:sz w:val="22"/>
          <w:szCs w:val="22"/>
        </w:rPr>
      </w:pPr>
      <w:bookmarkStart w:id="30" w:name="_Toc214379816"/>
      <w:r w:rsidRPr="008E73B4">
        <w:rPr>
          <w:rFonts w:ascii="Arial" w:hAnsi="Arial" w:cs="Arial"/>
          <w:b/>
          <w:bCs/>
          <w:color w:val="auto"/>
          <w:sz w:val="22"/>
          <w:szCs w:val="22"/>
        </w:rPr>
        <w:t>Reference</w:t>
      </w:r>
      <w:r w:rsidR="00FC5201" w:rsidRPr="008E73B4">
        <w:rPr>
          <w:rFonts w:ascii="Arial" w:hAnsi="Arial" w:cs="Arial"/>
          <w:b/>
          <w:bCs/>
          <w:color w:val="auto"/>
          <w:sz w:val="22"/>
          <w:szCs w:val="22"/>
        </w:rPr>
        <w:t>s</w:t>
      </w:r>
      <w:bookmarkEnd w:id="30"/>
    </w:p>
    <w:p w14:paraId="0C267565"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 N. Camatti, G. di Tollo, G. Filograsso and S. Ghilardi, “Predicting Airbnb pricing: A comparative analysis of artificial intelligence and traditional approaches,” Computational Management Science, vol. 21, no. 30, pp. 1–21, May 2024.</w:t>
      </w:r>
    </w:p>
    <w:p w14:paraId="3A72531F" w14:textId="77777777" w:rsidR="003D38A3" w:rsidRPr="008E73B4" w:rsidRDefault="003D38A3" w:rsidP="00741103">
      <w:pPr>
        <w:spacing w:after="0"/>
        <w:jc w:val="both"/>
        <w:rPr>
          <w:rFonts w:ascii="Arial" w:hAnsi="Arial" w:cs="Arial"/>
          <w:i/>
          <w:iCs/>
          <w:sz w:val="18"/>
          <w:szCs w:val="18"/>
        </w:rPr>
      </w:pPr>
    </w:p>
    <w:p w14:paraId="4EEBA547"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[2] M. Haldar, H. Zhang, K. Bellare, S. Chen, S. Banerjee, X. Wang et al., “Learning to rank for maps at Airbnb,” arXiv:2407.00091, 2024.</w:t>
      </w:r>
    </w:p>
    <w:p w14:paraId="4130668A" w14:textId="77777777" w:rsidR="003D38A3" w:rsidRPr="008E73B4" w:rsidRDefault="003D38A3" w:rsidP="00741103">
      <w:pPr>
        <w:spacing w:after="0"/>
        <w:jc w:val="both"/>
        <w:rPr>
          <w:rFonts w:ascii="Arial" w:hAnsi="Arial" w:cs="Arial"/>
          <w:i/>
          <w:iCs/>
          <w:sz w:val="18"/>
          <w:szCs w:val="18"/>
        </w:rPr>
      </w:pPr>
    </w:p>
    <w:p w14:paraId="78DA9C7D"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[3] A. Koujalagi and S. Bhat, “A review of interpretable machine learning for tabular data,” ACM Computing Surveys, vol. 56, no. 9, pp. 1–37, 2024.</w:t>
      </w:r>
    </w:p>
    <w:p w14:paraId="75B257E0" w14:textId="77777777" w:rsidR="003D38A3" w:rsidRPr="008E73B4" w:rsidRDefault="003D38A3" w:rsidP="00741103">
      <w:pPr>
        <w:spacing w:after="0"/>
        <w:jc w:val="both"/>
        <w:rPr>
          <w:rFonts w:ascii="Arial" w:hAnsi="Arial" w:cs="Arial"/>
          <w:i/>
          <w:iCs/>
          <w:sz w:val="18"/>
          <w:szCs w:val="18"/>
        </w:rPr>
      </w:pPr>
    </w:p>
    <w:p w14:paraId="55E21EF0"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[4] L. A. Gutiérrez, J. C. Salazar and D. A. García, “Determinants of Airbnb prices: A spatial econometric approach,” Tourism Economics, vol. 29, no. 6, pp. 1477–1497, 2023.</w:t>
      </w:r>
    </w:p>
    <w:p w14:paraId="5EC9D30C" w14:textId="77777777" w:rsidR="003D38A3" w:rsidRPr="008E73B4" w:rsidRDefault="003D38A3" w:rsidP="00741103">
      <w:pPr>
        <w:spacing w:after="0"/>
        <w:jc w:val="both"/>
        <w:rPr>
          <w:rFonts w:ascii="Arial" w:hAnsi="Arial" w:cs="Arial"/>
          <w:i/>
          <w:iCs/>
          <w:sz w:val="18"/>
          <w:szCs w:val="18"/>
        </w:rPr>
      </w:pPr>
    </w:p>
    <w:p w14:paraId="7FB268D8"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[5] J. Li, Y. Hu and Z. Wang, “Short-term rental pricing with text and structured features: A multimodal learning framework,” Expert Systems with Applications, vol. 216, pp. 119486, 2023.</w:t>
      </w:r>
    </w:p>
    <w:p w14:paraId="7A6D1F7A" w14:textId="77777777" w:rsidR="003D38A3" w:rsidRPr="008E73B4" w:rsidRDefault="003D38A3" w:rsidP="00741103">
      <w:pPr>
        <w:spacing w:after="0"/>
        <w:jc w:val="both"/>
        <w:rPr>
          <w:rFonts w:ascii="Arial" w:hAnsi="Arial" w:cs="Arial"/>
          <w:i/>
          <w:iCs/>
          <w:sz w:val="18"/>
          <w:szCs w:val="18"/>
        </w:rPr>
      </w:pPr>
    </w:p>
    <w:p w14:paraId="475D72A5"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[6] S. E. K. Madi, C. Antoniou and G. Koumoutsos, “Spatial patterns in peer-to-peer accommodation: Evidence from major cities,” Annals of Tourism Research, vol. 95, pp. 103495, 2023.</w:t>
      </w:r>
    </w:p>
    <w:p w14:paraId="6704105C" w14:textId="77777777" w:rsidR="003D38A3" w:rsidRPr="008E73B4" w:rsidRDefault="003D38A3" w:rsidP="00741103">
      <w:pPr>
        <w:spacing w:after="0"/>
        <w:jc w:val="both"/>
        <w:rPr>
          <w:rFonts w:ascii="Arial" w:hAnsi="Arial" w:cs="Arial"/>
          <w:i/>
          <w:iCs/>
          <w:sz w:val="18"/>
          <w:szCs w:val="18"/>
        </w:rPr>
      </w:pPr>
    </w:p>
    <w:p w14:paraId="21F49342"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[7] B. Guo, X. Cheng and Q. Li, “Mining sentiment from Airbnb reviews to improve price prediction,” Decision Support Systems, vol. 162, pp. 113772, 2022.</w:t>
      </w:r>
    </w:p>
    <w:p w14:paraId="3EC20BCA" w14:textId="77777777" w:rsidR="003D38A3" w:rsidRPr="008E73B4" w:rsidRDefault="003D38A3" w:rsidP="00741103">
      <w:pPr>
        <w:spacing w:after="0"/>
        <w:jc w:val="both"/>
        <w:rPr>
          <w:rFonts w:ascii="Arial" w:hAnsi="Arial" w:cs="Arial"/>
          <w:i/>
          <w:iCs/>
          <w:sz w:val="18"/>
          <w:szCs w:val="18"/>
        </w:rPr>
      </w:pPr>
    </w:p>
    <w:p w14:paraId="354B22CB"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[8] T. Das and A. K. Singh, “A survey on cluster validity indices for k-means and beyond,” Information Sciences, vol. 606, pp. 1–27, 2022.</w:t>
      </w:r>
    </w:p>
    <w:p w14:paraId="1E829A7E" w14:textId="77777777" w:rsidR="003D38A3" w:rsidRPr="008E73B4" w:rsidRDefault="003D38A3" w:rsidP="00741103">
      <w:pPr>
        <w:spacing w:after="0"/>
        <w:jc w:val="both"/>
        <w:rPr>
          <w:rFonts w:ascii="Arial" w:hAnsi="Arial" w:cs="Arial"/>
          <w:i/>
          <w:iCs/>
          <w:sz w:val="18"/>
          <w:szCs w:val="18"/>
        </w:rPr>
      </w:pPr>
    </w:p>
    <w:p w14:paraId="136D97F6"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[9] S. N. Parmar and P. Khanduri, “Comparative analysis of ensemble methods for tabular predictive modelling,” Engineering Applications of Artificial Intelligence, vol. 123, pp. 106165, 2023.</w:t>
      </w:r>
    </w:p>
    <w:p w14:paraId="6E6B7714" w14:textId="77777777" w:rsidR="003D38A3" w:rsidRPr="008E73B4" w:rsidRDefault="003D38A3" w:rsidP="00741103">
      <w:pPr>
        <w:spacing w:after="0"/>
        <w:jc w:val="both"/>
        <w:rPr>
          <w:rFonts w:ascii="Arial" w:hAnsi="Arial" w:cs="Arial"/>
          <w:i/>
          <w:iCs/>
          <w:sz w:val="18"/>
          <w:szCs w:val="18"/>
        </w:rPr>
      </w:pPr>
    </w:p>
    <w:p w14:paraId="2BC43BBE"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[10] S. J. Pan and Q. Yang, “Model explainability for decision trees in real-world applications,” Expert Systems, vol. 39, no. 12, pp. e13231, 2022.</w:t>
      </w:r>
    </w:p>
    <w:p w14:paraId="2234BD12" w14:textId="77777777" w:rsidR="003D38A3" w:rsidRPr="008E73B4" w:rsidRDefault="003D38A3" w:rsidP="00741103">
      <w:pPr>
        <w:spacing w:after="0"/>
        <w:jc w:val="both"/>
        <w:rPr>
          <w:rFonts w:ascii="Arial" w:hAnsi="Arial" w:cs="Arial"/>
          <w:i/>
          <w:iCs/>
          <w:sz w:val="18"/>
          <w:szCs w:val="18"/>
        </w:rPr>
      </w:pPr>
    </w:p>
    <w:p w14:paraId="5C46153C"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lastRenderedPageBreak/>
        <w:t>[11] M. Hall, E. Frank and I. H. Witten, “Practical machine learning with WEKA: Recent developments and educational uses,” ACM SIGKDD Explorations, vol. 22, no. 1, pp. 60–66, 2021.</w:t>
      </w:r>
    </w:p>
    <w:p w14:paraId="07A97365" w14:textId="77777777" w:rsidR="003D38A3" w:rsidRPr="008E73B4" w:rsidRDefault="003D38A3" w:rsidP="00741103">
      <w:pPr>
        <w:spacing w:after="0"/>
        <w:jc w:val="both"/>
        <w:rPr>
          <w:rFonts w:ascii="Arial" w:hAnsi="Arial" w:cs="Arial"/>
          <w:i/>
          <w:iCs/>
          <w:sz w:val="18"/>
          <w:szCs w:val="18"/>
        </w:rPr>
      </w:pPr>
    </w:p>
    <w:p w14:paraId="0ABC9FF1"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[12] R. Guttentag and S. Smith, “Professionalisation in Airbnb hosting: Characteristics and market impacts,” International Journal of Hospitality Management, vol. 97, pp. 103028, 2021.</w:t>
      </w:r>
    </w:p>
    <w:p w14:paraId="0150A783" w14:textId="77777777" w:rsidR="003D38A3" w:rsidRPr="008E73B4" w:rsidRDefault="003D38A3" w:rsidP="00741103">
      <w:pPr>
        <w:spacing w:after="0"/>
        <w:jc w:val="both"/>
        <w:rPr>
          <w:rFonts w:ascii="Arial" w:hAnsi="Arial" w:cs="Arial"/>
          <w:i/>
          <w:iCs/>
          <w:sz w:val="18"/>
          <w:szCs w:val="18"/>
        </w:rPr>
      </w:pPr>
    </w:p>
    <w:p w14:paraId="0E370098"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[13] J. Kyliev and N. B. Shah, “Robust variable importance for random forests: An empirical evaluation,” Knowledge-Based Systems, vol. 258, pp. 110016, 2022.</w:t>
      </w:r>
    </w:p>
    <w:p w14:paraId="6F1E7CF1" w14:textId="77777777" w:rsidR="003D38A3" w:rsidRPr="008E73B4" w:rsidRDefault="003D38A3" w:rsidP="00741103">
      <w:pPr>
        <w:spacing w:after="0"/>
        <w:jc w:val="both"/>
        <w:rPr>
          <w:rFonts w:ascii="Arial" w:hAnsi="Arial" w:cs="Arial"/>
          <w:i/>
          <w:iCs/>
          <w:sz w:val="18"/>
          <w:szCs w:val="18"/>
        </w:rPr>
      </w:pPr>
    </w:p>
    <w:p w14:paraId="7FAC17F4"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[14] L. Zhang, H. Zhou and F. Chen, “Explaining tabular model predictions with SHAP in tourism analytics: A practical assessment,” Tourism Management, vol. 92, pp. 104580, 2022.</w:t>
      </w:r>
    </w:p>
    <w:p w14:paraId="081FF18B" w14:textId="77777777" w:rsidR="003D38A3" w:rsidRPr="008E73B4" w:rsidRDefault="003D38A3" w:rsidP="00741103">
      <w:pPr>
        <w:spacing w:after="0"/>
        <w:jc w:val="both"/>
        <w:rPr>
          <w:rFonts w:ascii="Arial" w:hAnsi="Arial" w:cs="Arial"/>
          <w:i/>
          <w:iCs/>
          <w:sz w:val="18"/>
          <w:szCs w:val="18"/>
        </w:rPr>
      </w:pPr>
    </w:p>
    <w:p w14:paraId="4C820563"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[15] Kaggle, “New York City Airbnb Open Data (AB_NYC_2019),” accessed Nov. 2025. [Online]. Available: https://www.kaggle.com/datasets/airbnb/new-york-city-nyc-2019</w:t>
      </w:r>
    </w:p>
    <w:p w14:paraId="33158108" w14:textId="77777777" w:rsidR="003D38A3" w:rsidRPr="008E73B4" w:rsidRDefault="003D38A3" w:rsidP="00741103">
      <w:pPr>
        <w:spacing w:after="0"/>
        <w:jc w:val="both"/>
        <w:rPr>
          <w:rFonts w:ascii="Arial" w:hAnsi="Arial" w:cs="Arial"/>
          <w:i/>
          <w:iCs/>
          <w:sz w:val="18"/>
          <w:szCs w:val="18"/>
        </w:rPr>
      </w:pPr>
    </w:p>
    <w:p w14:paraId="5B03D01E"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[16] Y. Chen, T. Li and M. Hopkins, “Seasonal forecasting in urban tourism with hybrid machine learning,” Tourism Economics, vol. 29, no. 6, pp. 1553–1572, 2023.</w:t>
      </w:r>
    </w:p>
    <w:p w14:paraId="3C54024A" w14:textId="77777777" w:rsidR="003D38A3" w:rsidRPr="008E73B4" w:rsidRDefault="003D38A3" w:rsidP="00741103">
      <w:pPr>
        <w:spacing w:after="0"/>
        <w:jc w:val="both"/>
        <w:rPr>
          <w:rFonts w:ascii="Arial" w:hAnsi="Arial" w:cs="Arial"/>
          <w:i/>
          <w:iCs/>
          <w:sz w:val="18"/>
          <w:szCs w:val="18"/>
        </w:rPr>
      </w:pPr>
    </w:p>
    <w:p w14:paraId="7DE8A03A"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[17] R. Martins and P. Antunes, “Evaluating clustering structure: A modern perspective on compactness and separation,” Pattern Recognition, vol. 137, pp. 109275, 2023.</w:t>
      </w:r>
    </w:p>
    <w:p w14:paraId="6057DEFC" w14:textId="77777777" w:rsidR="003D38A3" w:rsidRPr="008E73B4" w:rsidRDefault="003D38A3" w:rsidP="00741103">
      <w:pPr>
        <w:spacing w:after="0"/>
        <w:jc w:val="both"/>
        <w:rPr>
          <w:rFonts w:ascii="Arial" w:hAnsi="Arial" w:cs="Arial"/>
          <w:i/>
          <w:iCs/>
          <w:sz w:val="18"/>
          <w:szCs w:val="18"/>
        </w:rPr>
      </w:pPr>
    </w:p>
    <w:p w14:paraId="26124496" w14:textId="77777777" w:rsidR="003D38A3" w:rsidRPr="008E73B4" w:rsidRDefault="003D38A3" w:rsidP="00741103">
      <w:pPr>
        <w:spacing w:after="0"/>
        <w:jc w:val="both"/>
        <w:rPr>
          <w:rFonts w:ascii="Arial" w:hAnsi="Arial" w:cs="Arial"/>
          <w:i/>
          <w:iCs/>
          <w:sz w:val="18"/>
          <w:szCs w:val="18"/>
        </w:rPr>
      </w:pPr>
      <w:r w:rsidRPr="008E73B4">
        <w:rPr>
          <w:rFonts w:ascii="Arial" w:hAnsi="Arial" w:cs="Arial"/>
          <w:i/>
          <w:iCs/>
          <w:sz w:val="18"/>
          <w:szCs w:val="18"/>
        </w:rPr>
        <w:t>[18] A. Deb and S. Mukherjee, “Integrating supervised and unsupervised learning in educational analytics: A case for WEKA workflows,” Computers &amp; Education: Artificial Intelligence, vol. 5, pp. 100164, 2024.</w:t>
      </w:r>
    </w:p>
    <w:p w14:paraId="25DDFC92" w14:textId="77777777" w:rsidR="003D38A3" w:rsidRPr="008E73B4" w:rsidRDefault="003D38A3" w:rsidP="00741103">
      <w:pPr>
        <w:spacing w:after="0"/>
        <w:jc w:val="both"/>
        <w:rPr>
          <w:rFonts w:ascii="Arial" w:hAnsi="Arial" w:cs="Arial"/>
          <w:i/>
          <w:iCs/>
          <w:sz w:val="18"/>
          <w:szCs w:val="18"/>
        </w:rPr>
      </w:pPr>
    </w:p>
    <w:p w14:paraId="542F8544" w14:textId="35D75CE3" w:rsidR="003D38A3" w:rsidRPr="008E73B4" w:rsidRDefault="003D38A3" w:rsidP="00E87609">
      <w:pPr>
        <w:spacing w:after="0"/>
        <w:jc w:val="both"/>
        <w:rPr>
          <w:rFonts w:ascii="Arial" w:hAnsi="Arial" w:cs="Arial"/>
          <w:i/>
          <w:iCs/>
          <w:sz w:val="18"/>
          <w:szCs w:val="18"/>
        </w:rPr>
      </w:pPr>
      <w:r w:rsidRPr="008E73B4">
        <w:rPr>
          <w:rFonts w:ascii="Arial" w:hAnsi="Arial" w:cs="Arial"/>
          <w:i/>
          <w:iCs/>
          <w:sz w:val="18"/>
          <w:szCs w:val="18"/>
        </w:rPr>
        <w:t>[19] F. Silva, J. Santos and P. Marques, “Spatial determinants of short-term rental prices across European cities,” Tourism Management, vol. 93, pp. 1046</w:t>
      </w:r>
      <w:r w:rsidR="00FF19BE">
        <w:rPr>
          <w:rFonts w:ascii="Arial" w:hAnsi="Arial" w:cs="Arial"/>
          <w:i/>
          <w:iCs/>
          <w:sz w:val="18"/>
          <w:szCs w:val="18"/>
        </w:rPr>
        <w:t>23</w:t>
      </w:r>
      <w:r w:rsidRPr="008E73B4">
        <w:rPr>
          <w:rFonts w:ascii="Arial" w:hAnsi="Arial" w:cs="Arial"/>
          <w:i/>
          <w:iCs/>
          <w:sz w:val="18"/>
          <w:szCs w:val="18"/>
        </w:rPr>
        <w:t>, 2022.</w:t>
      </w:r>
    </w:p>
    <w:sectPr w:rsidR="003D38A3" w:rsidRPr="008E73B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3AC19" w14:textId="77777777" w:rsidR="008A5A47" w:rsidRDefault="008A5A47" w:rsidP="00965B03">
      <w:pPr>
        <w:spacing w:after="0" w:line="240" w:lineRule="auto"/>
      </w:pPr>
      <w:r>
        <w:separator/>
      </w:r>
    </w:p>
  </w:endnote>
  <w:endnote w:type="continuationSeparator" w:id="0">
    <w:p w14:paraId="6F780268" w14:textId="77777777" w:rsidR="008A5A47" w:rsidRDefault="008A5A47" w:rsidP="00965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514881"/>
      <w:docPartObj>
        <w:docPartGallery w:val="Page Numbers (Bottom of Page)"/>
        <w:docPartUnique/>
      </w:docPartObj>
    </w:sdtPr>
    <w:sdtEndPr>
      <w:rPr>
        <w:noProof/>
      </w:rPr>
    </w:sdtEndPr>
    <w:sdtContent>
      <w:p w14:paraId="40E1DD13" w14:textId="59BCCEB4" w:rsidR="00965B03" w:rsidRDefault="00965B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71996" w14:textId="77777777" w:rsidR="00965B03" w:rsidRDefault="00965B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318F8" w14:textId="77777777" w:rsidR="008A5A47" w:rsidRDefault="008A5A47" w:rsidP="00965B03">
      <w:pPr>
        <w:spacing w:after="0" w:line="240" w:lineRule="auto"/>
      </w:pPr>
      <w:r>
        <w:separator/>
      </w:r>
    </w:p>
  </w:footnote>
  <w:footnote w:type="continuationSeparator" w:id="0">
    <w:p w14:paraId="2622DAF4" w14:textId="77777777" w:rsidR="008A5A47" w:rsidRDefault="008A5A47" w:rsidP="00965B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8A3"/>
    <w:rsid w:val="0000714E"/>
    <w:rsid w:val="00010460"/>
    <w:rsid w:val="0005701A"/>
    <w:rsid w:val="00085E56"/>
    <w:rsid w:val="00095717"/>
    <w:rsid w:val="000D3360"/>
    <w:rsid w:val="00126E6C"/>
    <w:rsid w:val="00151940"/>
    <w:rsid w:val="00154D33"/>
    <w:rsid w:val="0018026D"/>
    <w:rsid w:val="001B15A4"/>
    <w:rsid w:val="001B27BC"/>
    <w:rsid w:val="001E0A90"/>
    <w:rsid w:val="001F38BE"/>
    <w:rsid w:val="002175D7"/>
    <w:rsid w:val="00223826"/>
    <w:rsid w:val="00230137"/>
    <w:rsid w:val="002503CC"/>
    <w:rsid w:val="00261947"/>
    <w:rsid w:val="002A1A09"/>
    <w:rsid w:val="002B26A9"/>
    <w:rsid w:val="002B51B8"/>
    <w:rsid w:val="002E3502"/>
    <w:rsid w:val="002E416F"/>
    <w:rsid w:val="002E4537"/>
    <w:rsid w:val="002F6CD4"/>
    <w:rsid w:val="00306AC0"/>
    <w:rsid w:val="00311C4E"/>
    <w:rsid w:val="0031681C"/>
    <w:rsid w:val="00340E4E"/>
    <w:rsid w:val="00351A46"/>
    <w:rsid w:val="003719B5"/>
    <w:rsid w:val="0038184D"/>
    <w:rsid w:val="00384041"/>
    <w:rsid w:val="003A436C"/>
    <w:rsid w:val="003B25E5"/>
    <w:rsid w:val="003B3F00"/>
    <w:rsid w:val="003C7E5F"/>
    <w:rsid w:val="003D1381"/>
    <w:rsid w:val="003D38A3"/>
    <w:rsid w:val="003E0CEF"/>
    <w:rsid w:val="003F4E44"/>
    <w:rsid w:val="004052EF"/>
    <w:rsid w:val="00443F8D"/>
    <w:rsid w:val="00450751"/>
    <w:rsid w:val="00452E71"/>
    <w:rsid w:val="00455A5A"/>
    <w:rsid w:val="0046152E"/>
    <w:rsid w:val="00465642"/>
    <w:rsid w:val="00473FFC"/>
    <w:rsid w:val="00474176"/>
    <w:rsid w:val="004A3A9D"/>
    <w:rsid w:val="004C1B30"/>
    <w:rsid w:val="005078F6"/>
    <w:rsid w:val="00515D48"/>
    <w:rsid w:val="00524637"/>
    <w:rsid w:val="00524F2C"/>
    <w:rsid w:val="00531447"/>
    <w:rsid w:val="00532B30"/>
    <w:rsid w:val="00542473"/>
    <w:rsid w:val="00572243"/>
    <w:rsid w:val="005A01F3"/>
    <w:rsid w:val="00622589"/>
    <w:rsid w:val="0062504B"/>
    <w:rsid w:val="0064046E"/>
    <w:rsid w:val="00643963"/>
    <w:rsid w:val="00644A6B"/>
    <w:rsid w:val="0064633B"/>
    <w:rsid w:val="00670297"/>
    <w:rsid w:val="00694D39"/>
    <w:rsid w:val="006A5619"/>
    <w:rsid w:val="006B14CD"/>
    <w:rsid w:val="006C3334"/>
    <w:rsid w:val="006E7BA6"/>
    <w:rsid w:val="0071648C"/>
    <w:rsid w:val="00717550"/>
    <w:rsid w:val="007270B7"/>
    <w:rsid w:val="00741103"/>
    <w:rsid w:val="00762E10"/>
    <w:rsid w:val="00766990"/>
    <w:rsid w:val="0078133C"/>
    <w:rsid w:val="007834EE"/>
    <w:rsid w:val="007858AF"/>
    <w:rsid w:val="0079611C"/>
    <w:rsid w:val="007A4AEE"/>
    <w:rsid w:val="007B1529"/>
    <w:rsid w:val="007D4263"/>
    <w:rsid w:val="007F01AE"/>
    <w:rsid w:val="00814AA7"/>
    <w:rsid w:val="008242C9"/>
    <w:rsid w:val="00825C82"/>
    <w:rsid w:val="00831074"/>
    <w:rsid w:val="00835955"/>
    <w:rsid w:val="00841C82"/>
    <w:rsid w:val="008447AC"/>
    <w:rsid w:val="008904F2"/>
    <w:rsid w:val="008A5A47"/>
    <w:rsid w:val="008C030A"/>
    <w:rsid w:val="008E73B4"/>
    <w:rsid w:val="008F0E61"/>
    <w:rsid w:val="00921E34"/>
    <w:rsid w:val="00927D45"/>
    <w:rsid w:val="0093187B"/>
    <w:rsid w:val="00965B03"/>
    <w:rsid w:val="00973D75"/>
    <w:rsid w:val="00990A43"/>
    <w:rsid w:val="0099225C"/>
    <w:rsid w:val="009A41B6"/>
    <w:rsid w:val="009D0EBB"/>
    <w:rsid w:val="009D3C13"/>
    <w:rsid w:val="00A07CE7"/>
    <w:rsid w:val="00A232BC"/>
    <w:rsid w:val="00A54D5A"/>
    <w:rsid w:val="00A70D02"/>
    <w:rsid w:val="00A729BA"/>
    <w:rsid w:val="00AA17B0"/>
    <w:rsid w:val="00AA697B"/>
    <w:rsid w:val="00B04EBF"/>
    <w:rsid w:val="00B075DC"/>
    <w:rsid w:val="00B07D88"/>
    <w:rsid w:val="00B41353"/>
    <w:rsid w:val="00B46012"/>
    <w:rsid w:val="00B5378C"/>
    <w:rsid w:val="00B560AD"/>
    <w:rsid w:val="00B574D9"/>
    <w:rsid w:val="00B636B5"/>
    <w:rsid w:val="00BC154A"/>
    <w:rsid w:val="00BD08BE"/>
    <w:rsid w:val="00C208B9"/>
    <w:rsid w:val="00C2761C"/>
    <w:rsid w:val="00C44D6F"/>
    <w:rsid w:val="00C6511A"/>
    <w:rsid w:val="00C70ECE"/>
    <w:rsid w:val="00C83279"/>
    <w:rsid w:val="00CA67BE"/>
    <w:rsid w:val="00CA7E39"/>
    <w:rsid w:val="00CB1CC4"/>
    <w:rsid w:val="00CB329A"/>
    <w:rsid w:val="00CC1695"/>
    <w:rsid w:val="00CD52ED"/>
    <w:rsid w:val="00D0147A"/>
    <w:rsid w:val="00D17F15"/>
    <w:rsid w:val="00D412E1"/>
    <w:rsid w:val="00D41D2D"/>
    <w:rsid w:val="00D4684C"/>
    <w:rsid w:val="00D86F1C"/>
    <w:rsid w:val="00DA320D"/>
    <w:rsid w:val="00DA3845"/>
    <w:rsid w:val="00DA7FF2"/>
    <w:rsid w:val="00DF1E3C"/>
    <w:rsid w:val="00E1236E"/>
    <w:rsid w:val="00E534D6"/>
    <w:rsid w:val="00E6192C"/>
    <w:rsid w:val="00E838B2"/>
    <w:rsid w:val="00E87609"/>
    <w:rsid w:val="00E91DE8"/>
    <w:rsid w:val="00ED204B"/>
    <w:rsid w:val="00F3745F"/>
    <w:rsid w:val="00F63DEE"/>
    <w:rsid w:val="00F67E4D"/>
    <w:rsid w:val="00F72332"/>
    <w:rsid w:val="00FC5201"/>
    <w:rsid w:val="00FC70DC"/>
    <w:rsid w:val="00FD1E3F"/>
    <w:rsid w:val="00FF1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47730"/>
  <w15:chartTrackingRefBased/>
  <w15:docId w15:val="{D1767485-5E02-4F1C-A27C-6C79667AE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8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8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8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8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8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8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8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8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8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8A3"/>
    <w:rPr>
      <w:rFonts w:eastAsiaTheme="majorEastAsia" w:cstheme="majorBidi"/>
      <w:color w:val="272727" w:themeColor="text1" w:themeTint="D8"/>
    </w:rPr>
  </w:style>
  <w:style w:type="paragraph" w:styleId="Title">
    <w:name w:val="Title"/>
    <w:basedOn w:val="Normal"/>
    <w:next w:val="Normal"/>
    <w:link w:val="TitleChar"/>
    <w:uiPriority w:val="10"/>
    <w:qFormat/>
    <w:rsid w:val="003D3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8A3"/>
    <w:pPr>
      <w:spacing w:before="160"/>
      <w:jc w:val="center"/>
    </w:pPr>
    <w:rPr>
      <w:i/>
      <w:iCs/>
      <w:color w:val="404040" w:themeColor="text1" w:themeTint="BF"/>
    </w:rPr>
  </w:style>
  <w:style w:type="character" w:customStyle="1" w:styleId="QuoteChar">
    <w:name w:val="Quote Char"/>
    <w:basedOn w:val="DefaultParagraphFont"/>
    <w:link w:val="Quote"/>
    <w:uiPriority w:val="29"/>
    <w:rsid w:val="003D38A3"/>
    <w:rPr>
      <w:i/>
      <w:iCs/>
      <w:color w:val="404040" w:themeColor="text1" w:themeTint="BF"/>
    </w:rPr>
  </w:style>
  <w:style w:type="paragraph" w:styleId="ListParagraph">
    <w:name w:val="List Paragraph"/>
    <w:basedOn w:val="Normal"/>
    <w:uiPriority w:val="34"/>
    <w:qFormat/>
    <w:rsid w:val="003D38A3"/>
    <w:pPr>
      <w:ind w:left="720"/>
      <w:contextualSpacing/>
    </w:pPr>
  </w:style>
  <w:style w:type="character" w:styleId="IntenseEmphasis">
    <w:name w:val="Intense Emphasis"/>
    <w:basedOn w:val="DefaultParagraphFont"/>
    <w:uiPriority w:val="21"/>
    <w:qFormat/>
    <w:rsid w:val="003D38A3"/>
    <w:rPr>
      <w:i/>
      <w:iCs/>
      <w:color w:val="0F4761" w:themeColor="accent1" w:themeShade="BF"/>
    </w:rPr>
  </w:style>
  <w:style w:type="paragraph" w:styleId="IntenseQuote">
    <w:name w:val="Intense Quote"/>
    <w:basedOn w:val="Normal"/>
    <w:next w:val="Normal"/>
    <w:link w:val="IntenseQuoteChar"/>
    <w:uiPriority w:val="30"/>
    <w:qFormat/>
    <w:rsid w:val="003D3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8A3"/>
    <w:rPr>
      <w:i/>
      <w:iCs/>
      <w:color w:val="0F4761" w:themeColor="accent1" w:themeShade="BF"/>
    </w:rPr>
  </w:style>
  <w:style w:type="character" w:styleId="IntenseReference">
    <w:name w:val="Intense Reference"/>
    <w:basedOn w:val="DefaultParagraphFont"/>
    <w:uiPriority w:val="32"/>
    <w:qFormat/>
    <w:rsid w:val="003D38A3"/>
    <w:rPr>
      <w:b/>
      <w:bCs/>
      <w:smallCaps/>
      <w:color w:val="0F4761" w:themeColor="accent1" w:themeShade="BF"/>
      <w:spacing w:val="5"/>
    </w:rPr>
  </w:style>
  <w:style w:type="paragraph" w:styleId="TOCHeading">
    <w:name w:val="TOC Heading"/>
    <w:basedOn w:val="Heading1"/>
    <w:next w:val="Normal"/>
    <w:uiPriority w:val="39"/>
    <w:unhideWhenUsed/>
    <w:qFormat/>
    <w:rsid w:val="0022382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3826"/>
    <w:pPr>
      <w:spacing w:after="100"/>
    </w:pPr>
  </w:style>
  <w:style w:type="character" w:styleId="Hyperlink">
    <w:name w:val="Hyperlink"/>
    <w:basedOn w:val="DefaultParagraphFont"/>
    <w:uiPriority w:val="99"/>
    <w:unhideWhenUsed/>
    <w:rsid w:val="00223826"/>
    <w:rPr>
      <w:color w:val="467886" w:themeColor="hyperlink"/>
      <w:u w:val="single"/>
    </w:rPr>
  </w:style>
  <w:style w:type="paragraph" w:styleId="Caption">
    <w:name w:val="caption"/>
    <w:basedOn w:val="Normal"/>
    <w:next w:val="Normal"/>
    <w:uiPriority w:val="35"/>
    <w:unhideWhenUsed/>
    <w:qFormat/>
    <w:rsid w:val="00CB1CC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1F38BE"/>
    <w:pPr>
      <w:spacing w:after="0"/>
    </w:pPr>
  </w:style>
  <w:style w:type="paragraph" w:styleId="Header">
    <w:name w:val="header"/>
    <w:basedOn w:val="Normal"/>
    <w:link w:val="HeaderChar"/>
    <w:uiPriority w:val="99"/>
    <w:unhideWhenUsed/>
    <w:rsid w:val="00965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5B03"/>
  </w:style>
  <w:style w:type="paragraph" w:styleId="Footer">
    <w:name w:val="footer"/>
    <w:basedOn w:val="Normal"/>
    <w:link w:val="FooterChar"/>
    <w:uiPriority w:val="99"/>
    <w:unhideWhenUsed/>
    <w:rsid w:val="00965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5B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0C8C17-1545-4F4E-B514-790BA62FD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3001</TotalTime>
  <Pages>14</Pages>
  <Words>5103</Words>
  <Characters>32105</Characters>
  <Application>Microsoft Office Word</Application>
  <DocSecurity>0</DocSecurity>
  <Lines>517</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145</cp:revision>
  <dcterms:created xsi:type="dcterms:W3CDTF">2025-11-13T22:59:00Z</dcterms:created>
  <dcterms:modified xsi:type="dcterms:W3CDTF">2025-11-19T17:32:00Z</dcterms:modified>
</cp:coreProperties>
</file>