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ACB82" w14:textId="237B8972" w:rsidR="00756D45" w:rsidRDefault="00F9644E" w:rsidP="00756D45">
      <w:r>
        <w:rPr>
          <w:noProof/>
        </w:rPr>
        <w:drawing>
          <wp:inline distT="0" distB="0" distL="0" distR="0" wp14:anchorId="60FC7E2F" wp14:editId="300A3E13">
            <wp:extent cx="2242185" cy="2247525"/>
            <wp:effectExtent l="0" t="0" r="571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259147" cy="2264527"/>
                    </a:xfrm>
                    <a:prstGeom prst="rect">
                      <a:avLst/>
                    </a:prstGeom>
                  </pic:spPr>
                </pic:pic>
              </a:graphicData>
            </a:graphic>
          </wp:inline>
        </w:drawing>
      </w:r>
    </w:p>
    <w:p w14:paraId="5554A2B8" w14:textId="77777777" w:rsidR="00756D45" w:rsidRDefault="00756D45" w:rsidP="00756D45"/>
    <w:p w14:paraId="68E70E09" w14:textId="578CB7FA" w:rsidR="00756D45" w:rsidRDefault="00756D45" w:rsidP="00756D45">
      <w:pPr>
        <w:jc w:val="center"/>
        <w:rPr>
          <w:b/>
          <w:sz w:val="44"/>
          <w:szCs w:val="44"/>
        </w:rPr>
      </w:pPr>
      <w:r>
        <w:rPr>
          <w:b/>
          <w:sz w:val="44"/>
          <w:szCs w:val="44"/>
        </w:rPr>
        <w:t>Toni Koleva</w:t>
      </w:r>
    </w:p>
    <w:p w14:paraId="03126450" w14:textId="77777777" w:rsidR="00756D45" w:rsidRDefault="00756D45" w:rsidP="00756D45">
      <w:pPr>
        <w:jc w:val="center"/>
        <w:rPr>
          <w:b/>
          <w:sz w:val="44"/>
          <w:szCs w:val="44"/>
        </w:rPr>
      </w:pPr>
      <w:r>
        <w:rPr>
          <w:b/>
          <w:sz w:val="44"/>
          <w:szCs w:val="44"/>
        </w:rPr>
        <w:t>Student number: 1909490</w:t>
      </w:r>
    </w:p>
    <w:p w14:paraId="739EF9E5" w14:textId="77777777" w:rsidR="00756D45" w:rsidRDefault="00756D45" w:rsidP="00756D45">
      <w:pPr>
        <w:jc w:val="center"/>
        <w:rPr>
          <w:b/>
          <w:sz w:val="44"/>
          <w:szCs w:val="44"/>
        </w:rPr>
      </w:pPr>
      <w:r>
        <w:rPr>
          <w:b/>
          <w:sz w:val="44"/>
          <w:szCs w:val="44"/>
        </w:rPr>
        <w:t>Management Accounting</w:t>
      </w:r>
    </w:p>
    <w:p w14:paraId="34E5C62C" w14:textId="77777777" w:rsidR="00756D45" w:rsidRDefault="00756D45" w:rsidP="00756D45">
      <w:pPr>
        <w:jc w:val="center"/>
        <w:rPr>
          <w:b/>
          <w:sz w:val="44"/>
          <w:szCs w:val="44"/>
        </w:rPr>
      </w:pPr>
      <w:r>
        <w:rPr>
          <w:b/>
          <w:sz w:val="44"/>
          <w:szCs w:val="44"/>
        </w:rPr>
        <w:t xml:space="preserve">Lecturer name: </w:t>
      </w:r>
      <w:proofErr w:type="spellStart"/>
      <w:r>
        <w:rPr>
          <w:b/>
          <w:sz w:val="44"/>
          <w:szCs w:val="44"/>
        </w:rPr>
        <w:t>Dr.</w:t>
      </w:r>
      <w:proofErr w:type="spellEnd"/>
      <w:r>
        <w:rPr>
          <w:b/>
          <w:sz w:val="44"/>
          <w:szCs w:val="44"/>
        </w:rPr>
        <w:t xml:space="preserve"> Konstantina Mari</w:t>
      </w:r>
    </w:p>
    <w:p w14:paraId="04D0D992" w14:textId="6A7CD5A6" w:rsidR="00756D45" w:rsidRDefault="00756D45" w:rsidP="00756D45">
      <w:pPr>
        <w:pStyle w:val="Default"/>
      </w:pPr>
      <w:r>
        <w:rPr>
          <w:rFonts w:ascii="Arial" w:hAnsi="Arial" w:cs="Arial"/>
        </w:rPr>
        <w:br w:type="column"/>
      </w:r>
    </w:p>
    <w:sdt>
      <w:sdtPr>
        <w:id w:val="-1675257877"/>
        <w:docPartObj>
          <w:docPartGallery w:val="Table of Contents"/>
          <w:docPartUnique/>
        </w:docPartObj>
      </w:sdtPr>
      <w:sdtEndPr>
        <w:rPr>
          <w:b/>
          <w:bCs/>
          <w:noProof/>
        </w:rPr>
      </w:sdtEndPr>
      <w:sdtContent>
        <w:p w14:paraId="6CDE2403" w14:textId="6D161FDA" w:rsidR="003A187B" w:rsidRPr="000612E8" w:rsidRDefault="003A187B" w:rsidP="00756D45">
          <w:pPr>
            <w:rPr>
              <w:rStyle w:val="Heading1Char"/>
            </w:rPr>
          </w:pPr>
          <w:r w:rsidRPr="000612E8">
            <w:rPr>
              <w:rStyle w:val="Heading1Char"/>
            </w:rPr>
            <w:t>Table of Contents</w:t>
          </w:r>
        </w:p>
        <w:p w14:paraId="6CDE2404" w14:textId="46CE90C1" w:rsidR="000612E8" w:rsidRDefault="003A187B">
          <w:pPr>
            <w:pStyle w:val="TOC1"/>
            <w:tabs>
              <w:tab w:val="right" w:leader="dot" w:pos="9016"/>
            </w:tabs>
            <w:rPr>
              <w:rFonts w:asciiTheme="minorHAnsi" w:eastAsiaTheme="minorEastAsia" w:hAnsiTheme="minorHAnsi"/>
              <w:noProof/>
              <w:sz w:val="22"/>
              <w:szCs w:val="20"/>
              <w:lang w:eastAsia="en-GB" w:bidi="hi-IN"/>
            </w:rPr>
          </w:pPr>
          <w:r>
            <w:rPr>
              <w:b/>
              <w:bCs/>
              <w:noProof/>
            </w:rPr>
            <w:fldChar w:fldCharType="begin"/>
          </w:r>
          <w:r>
            <w:rPr>
              <w:b/>
              <w:bCs/>
              <w:noProof/>
            </w:rPr>
            <w:instrText xml:space="preserve"> TOC \o "1-3" \h \z \u </w:instrText>
          </w:r>
          <w:r>
            <w:rPr>
              <w:b/>
              <w:bCs/>
              <w:noProof/>
            </w:rPr>
            <w:fldChar w:fldCharType="separate"/>
          </w:r>
          <w:hyperlink w:anchor="_Toc68789961" w:history="1">
            <w:r w:rsidR="000612E8" w:rsidRPr="00C9285A">
              <w:rPr>
                <w:rStyle w:val="Hyperlink"/>
                <w:noProof/>
              </w:rPr>
              <w:t>Introduction</w:t>
            </w:r>
            <w:r w:rsidR="000612E8">
              <w:rPr>
                <w:noProof/>
                <w:webHidden/>
              </w:rPr>
              <w:tab/>
            </w:r>
            <w:r w:rsidR="00756D45">
              <w:rPr>
                <w:noProof/>
                <w:webHidden/>
              </w:rPr>
              <w:t>3</w:t>
            </w:r>
          </w:hyperlink>
        </w:p>
        <w:p w14:paraId="6CDE2405" w14:textId="33467865" w:rsidR="000612E8" w:rsidRDefault="009545F6">
          <w:pPr>
            <w:pStyle w:val="TOC1"/>
            <w:tabs>
              <w:tab w:val="right" w:leader="dot" w:pos="9016"/>
            </w:tabs>
            <w:rPr>
              <w:rFonts w:asciiTheme="minorHAnsi" w:eastAsiaTheme="minorEastAsia" w:hAnsiTheme="minorHAnsi"/>
              <w:noProof/>
              <w:sz w:val="22"/>
              <w:szCs w:val="20"/>
              <w:lang w:eastAsia="en-GB" w:bidi="hi-IN"/>
            </w:rPr>
          </w:pPr>
          <w:hyperlink w:anchor="_Toc68789962" w:history="1">
            <w:r w:rsidR="000612E8" w:rsidRPr="00C9285A">
              <w:rPr>
                <w:rStyle w:val="Hyperlink"/>
                <w:noProof/>
              </w:rPr>
              <w:t>Part A</w:t>
            </w:r>
            <w:r w:rsidR="000612E8">
              <w:rPr>
                <w:noProof/>
                <w:webHidden/>
              </w:rPr>
              <w:tab/>
            </w:r>
            <w:r w:rsidR="00756D45">
              <w:rPr>
                <w:noProof/>
                <w:webHidden/>
              </w:rPr>
              <w:t>3</w:t>
            </w:r>
          </w:hyperlink>
        </w:p>
        <w:p w14:paraId="6CDE2406" w14:textId="69C0182F" w:rsidR="000612E8" w:rsidRDefault="009545F6">
          <w:pPr>
            <w:pStyle w:val="TOC2"/>
            <w:tabs>
              <w:tab w:val="right" w:leader="dot" w:pos="9016"/>
            </w:tabs>
            <w:rPr>
              <w:rFonts w:asciiTheme="minorHAnsi" w:eastAsiaTheme="minorEastAsia" w:hAnsiTheme="minorHAnsi"/>
              <w:noProof/>
              <w:sz w:val="22"/>
              <w:szCs w:val="20"/>
              <w:lang w:eastAsia="en-GB" w:bidi="hi-IN"/>
            </w:rPr>
          </w:pPr>
          <w:hyperlink w:anchor="_Toc68789963" w:history="1">
            <w:r w:rsidR="000612E8" w:rsidRPr="00C9285A">
              <w:rPr>
                <w:rStyle w:val="Hyperlink"/>
                <w:noProof/>
              </w:rPr>
              <w:t>(i) Preparation of Control Report</w:t>
            </w:r>
            <w:r w:rsidR="000612E8">
              <w:rPr>
                <w:noProof/>
                <w:webHidden/>
              </w:rPr>
              <w:tab/>
            </w:r>
            <w:r w:rsidR="00756D45">
              <w:rPr>
                <w:noProof/>
                <w:webHidden/>
              </w:rPr>
              <w:t>3</w:t>
            </w:r>
          </w:hyperlink>
        </w:p>
        <w:p w14:paraId="6CDE2407" w14:textId="299B2E5A" w:rsidR="000612E8" w:rsidRDefault="009545F6">
          <w:pPr>
            <w:pStyle w:val="TOC2"/>
            <w:tabs>
              <w:tab w:val="right" w:leader="dot" w:pos="9016"/>
            </w:tabs>
            <w:rPr>
              <w:rFonts w:asciiTheme="minorHAnsi" w:eastAsiaTheme="minorEastAsia" w:hAnsiTheme="minorHAnsi"/>
              <w:noProof/>
              <w:sz w:val="22"/>
              <w:szCs w:val="20"/>
              <w:lang w:eastAsia="en-GB" w:bidi="hi-IN"/>
            </w:rPr>
          </w:pPr>
          <w:hyperlink w:anchor="_Toc68789964" w:history="1">
            <w:r w:rsidR="000612E8" w:rsidRPr="00C9285A">
              <w:rPr>
                <w:rStyle w:val="Hyperlink"/>
                <w:noProof/>
              </w:rPr>
              <w:t>(ii) Report on Amana’s Performance</w:t>
            </w:r>
            <w:r w:rsidR="000612E8">
              <w:rPr>
                <w:noProof/>
                <w:webHidden/>
              </w:rPr>
              <w:tab/>
            </w:r>
            <w:r w:rsidR="00756D45">
              <w:rPr>
                <w:noProof/>
                <w:webHidden/>
              </w:rPr>
              <w:t>4</w:t>
            </w:r>
          </w:hyperlink>
        </w:p>
        <w:p w14:paraId="6CDE2408" w14:textId="65476EDC" w:rsidR="000612E8" w:rsidRDefault="009545F6">
          <w:pPr>
            <w:pStyle w:val="TOC2"/>
            <w:tabs>
              <w:tab w:val="right" w:leader="dot" w:pos="9016"/>
            </w:tabs>
            <w:rPr>
              <w:rFonts w:asciiTheme="minorHAnsi" w:eastAsiaTheme="minorEastAsia" w:hAnsiTheme="minorHAnsi"/>
              <w:noProof/>
              <w:sz w:val="22"/>
              <w:szCs w:val="20"/>
              <w:lang w:eastAsia="en-GB" w:bidi="hi-IN"/>
            </w:rPr>
          </w:pPr>
          <w:hyperlink w:anchor="_Toc68789965" w:history="1">
            <w:r w:rsidR="000612E8" w:rsidRPr="00C9285A">
              <w:rPr>
                <w:rStyle w:val="Hyperlink"/>
                <w:noProof/>
              </w:rPr>
              <w:t>(iii) Recommendations for Improvement</w:t>
            </w:r>
            <w:r w:rsidR="000612E8">
              <w:rPr>
                <w:noProof/>
                <w:webHidden/>
              </w:rPr>
              <w:tab/>
            </w:r>
            <w:r w:rsidR="00756D45">
              <w:rPr>
                <w:noProof/>
                <w:webHidden/>
              </w:rPr>
              <w:t>5</w:t>
            </w:r>
          </w:hyperlink>
        </w:p>
        <w:p w14:paraId="6CDE2409" w14:textId="1F0E6840" w:rsidR="000612E8" w:rsidRDefault="009545F6">
          <w:pPr>
            <w:pStyle w:val="TOC1"/>
            <w:tabs>
              <w:tab w:val="right" w:leader="dot" w:pos="9016"/>
            </w:tabs>
            <w:rPr>
              <w:rFonts w:asciiTheme="minorHAnsi" w:eastAsiaTheme="minorEastAsia" w:hAnsiTheme="minorHAnsi"/>
              <w:noProof/>
              <w:sz w:val="22"/>
              <w:szCs w:val="20"/>
              <w:lang w:eastAsia="en-GB" w:bidi="hi-IN"/>
            </w:rPr>
          </w:pPr>
          <w:hyperlink w:anchor="_Toc68789966" w:history="1">
            <w:r w:rsidR="000612E8" w:rsidRPr="00C9285A">
              <w:rPr>
                <w:rStyle w:val="Hyperlink"/>
                <w:noProof/>
              </w:rPr>
              <w:t>Part B</w:t>
            </w:r>
            <w:r w:rsidR="000612E8">
              <w:rPr>
                <w:noProof/>
                <w:webHidden/>
              </w:rPr>
              <w:tab/>
            </w:r>
            <w:r w:rsidR="00756D45">
              <w:rPr>
                <w:noProof/>
                <w:webHidden/>
              </w:rPr>
              <w:t>7</w:t>
            </w:r>
          </w:hyperlink>
        </w:p>
        <w:p w14:paraId="6CDE240A" w14:textId="60942CE0" w:rsidR="000612E8" w:rsidRDefault="009545F6">
          <w:pPr>
            <w:pStyle w:val="TOC2"/>
            <w:tabs>
              <w:tab w:val="right" w:leader="dot" w:pos="9016"/>
            </w:tabs>
            <w:rPr>
              <w:rFonts w:asciiTheme="minorHAnsi" w:eastAsiaTheme="minorEastAsia" w:hAnsiTheme="minorHAnsi"/>
              <w:noProof/>
              <w:sz w:val="22"/>
              <w:szCs w:val="20"/>
              <w:lang w:eastAsia="en-GB" w:bidi="hi-IN"/>
            </w:rPr>
          </w:pPr>
          <w:hyperlink w:anchor="_Toc68789967" w:history="1">
            <w:r w:rsidR="000612E8" w:rsidRPr="00C9285A">
              <w:rPr>
                <w:rStyle w:val="Hyperlink"/>
                <w:noProof/>
              </w:rPr>
              <w:t>Analysis of Own Online Shop or Amazon</w:t>
            </w:r>
            <w:r w:rsidR="000612E8">
              <w:rPr>
                <w:noProof/>
                <w:webHidden/>
              </w:rPr>
              <w:tab/>
            </w:r>
            <w:r w:rsidR="00756D45">
              <w:rPr>
                <w:noProof/>
                <w:webHidden/>
              </w:rPr>
              <w:t>7</w:t>
            </w:r>
          </w:hyperlink>
        </w:p>
        <w:p w14:paraId="6CDE240B" w14:textId="70BE100A" w:rsidR="000612E8" w:rsidRDefault="009545F6">
          <w:pPr>
            <w:pStyle w:val="TOC1"/>
            <w:tabs>
              <w:tab w:val="right" w:leader="dot" w:pos="9016"/>
            </w:tabs>
            <w:rPr>
              <w:rFonts w:asciiTheme="minorHAnsi" w:eastAsiaTheme="minorEastAsia" w:hAnsiTheme="minorHAnsi"/>
              <w:noProof/>
              <w:sz w:val="22"/>
              <w:szCs w:val="20"/>
              <w:lang w:eastAsia="en-GB" w:bidi="hi-IN"/>
            </w:rPr>
          </w:pPr>
          <w:hyperlink w:anchor="_Toc68789968" w:history="1">
            <w:r w:rsidR="000612E8" w:rsidRPr="00C9285A">
              <w:rPr>
                <w:rStyle w:val="Hyperlink"/>
                <w:noProof/>
              </w:rPr>
              <w:t>Conclusion</w:t>
            </w:r>
            <w:r w:rsidR="000612E8">
              <w:rPr>
                <w:noProof/>
                <w:webHidden/>
              </w:rPr>
              <w:tab/>
            </w:r>
            <w:r w:rsidR="00756D45">
              <w:rPr>
                <w:noProof/>
                <w:webHidden/>
              </w:rPr>
              <w:t>9</w:t>
            </w:r>
          </w:hyperlink>
        </w:p>
        <w:p w14:paraId="6CDE240C" w14:textId="49D04169" w:rsidR="000612E8" w:rsidRDefault="009545F6">
          <w:pPr>
            <w:pStyle w:val="TOC1"/>
            <w:tabs>
              <w:tab w:val="right" w:leader="dot" w:pos="9016"/>
            </w:tabs>
            <w:rPr>
              <w:rFonts w:asciiTheme="minorHAnsi" w:eastAsiaTheme="minorEastAsia" w:hAnsiTheme="minorHAnsi"/>
              <w:noProof/>
              <w:sz w:val="22"/>
              <w:szCs w:val="20"/>
              <w:lang w:eastAsia="en-GB" w:bidi="hi-IN"/>
            </w:rPr>
          </w:pPr>
          <w:hyperlink w:anchor="_Toc68789969" w:history="1">
            <w:r w:rsidR="000612E8" w:rsidRPr="00C9285A">
              <w:rPr>
                <w:rStyle w:val="Hyperlink"/>
                <w:noProof/>
              </w:rPr>
              <w:t>References</w:t>
            </w:r>
            <w:r w:rsidR="000612E8">
              <w:rPr>
                <w:noProof/>
                <w:webHidden/>
              </w:rPr>
              <w:tab/>
            </w:r>
            <w:r w:rsidR="00756D45">
              <w:rPr>
                <w:noProof/>
                <w:webHidden/>
              </w:rPr>
              <w:t>10</w:t>
            </w:r>
          </w:hyperlink>
        </w:p>
        <w:p w14:paraId="6CDE240D" w14:textId="77777777" w:rsidR="003A187B" w:rsidRDefault="003A187B">
          <w:r>
            <w:rPr>
              <w:b/>
              <w:bCs/>
              <w:noProof/>
            </w:rPr>
            <w:fldChar w:fldCharType="end"/>
          </w:r>
        </w:p>
      </w:sdtContent>
    </w:sdt>
    <w:p w14:paraId="6CDE240E" w14:textId="77777777" w:rsidR="008B7799" w:rsidRDefault="008B7799">
      <w:pPr>
        <w:rPr>
          <w:rFonts w:eastAsiaTheme="majorEastAsia" w:cstheme="majorBidi"/>
          <w:b/>
          <w:szCs w:val="32"/>
        </w:rPr>
      </w:pPr>
      <w:r>
        <w:br w:type="page"/>
      </w:r>
    </w:p>
    <w:p w14:paraId="6CDE240F" w14:textId="77777777" w:rsidR="00A74D47" w:rsidRDefault="008B7799" w:rsidP="00EF1788">
      <w:pPr>
        <w:pStyle w:val="Heading1"/>
      </w:pPr>
      <w:bookmarkStart w:id="0" w:name="_Toc68789961"/>
      <w:r>
        <w:lastRenderedPageBreak/>
        <w:t>Introduction</w:t>
      </w:r>
      <w:bookmarkEnd w:id="0"/>
    </w:p>
    <w:p w14:paraId="6CDE2410" w14:textId="77777777" w:rsidR="00EF1788" w:rsidRDefault="00796993" w:rsidP="00EF1788">
      <w:r>
        <w:t xml:space="preserve">Management accounting is concerned with provision of financial and non-financial information for the management of a business for making effective decisions. It employs various techniques and tools like ratio analysis, budgeting, standard costing etc. to make the accounting information more useful to the management. Amana Ltd., a family-owned tourist business located in England and selling souvenirs to tourist wanted to do a cost analysis with the help of management accounting techniques to assess the </w:t>
      </w:r>
      <w:r w:rsidR="00BC7C27">
        <w:t>dynamic nature of tourism industry which came into light with the outbreak of Covid-19 pandemic. Control report has been prepared to assess the performance of Amana Ltd. and recommendations have been provided to improve the performance. Option of shifting part of Amana Ltd.’s business online have also been assessed by considering all the relevant costs.</w:t>
      </w:r>
    </w:p>
    <w:p w14:paraId="6CDE2411" w14:textId="77777777" w:rsidR="00BC7C27" w:rsidRDefault="00F1025B" w:rsidP="00F1025B">
      <w:pPr>
        <w:pStyle w:val="Heading1"/>
      </w:pPr>
      <w:bookmarkStart w:id="1" w:name="_Toc68789962"/>
      <w:r>
        <w:t>Part A</w:t>
      </w:r>
      <w:bookmarkEnd w:id="1"/>
    </w:p>
    <w:p w14:paraId="6CDE2412" w14:textId="77777777" w:rsidR="00F1025B" w:rsidRDefault="003D50D6" w:rsidP="001A6436">
      <w:pPr>
        <w:pStyle w:val="Heading2"/>
      </w:pPr>
      <w:bookmarkStart w:id="2" w:name="_Toc68789963"/>
      <w:r>
        <w:t xml:space="preserve">(i) </w:t>
      </w:r>
      <w:r w:rsidR="001A6436">
        <w:t>Preparation of Control Report</w:t>
      </w:r>
      <w:bookmarkEnd w:id="2"/>
    </w:p>
    <w:p w14:paraId="6CDE2413" w14:textId="77777777" w:rsidR="001A6436" w:rsidRDefault="00AB2D05" w:rsidP="001A6436">
      <w:r>
        <w:t xml:space="preserve">Control reports are those reports that are used for controlling the operations of a business </w:t>
      </w:r>
      <w:sdt>
        <w:sdtPr>
          <w:id w:val="-1930493754"/>
          <w:citation/>
        </w:sdtPr>
        <w:sdtEndPr/>
        <w:sdtContent>
          <w:r>
            <w:fldChar w:fldCharType="begin"/>
          </w:r>
          <w:r>
            <w:rPr>
              <w:lang w:val="en-US"/>
            </w:rPr>
            <w:instrText xml:space="preserve"> CITATION Cha1714 \l 1033 </w:instrText>
          </w:r>
          <w:r>
            <w:fldChar w:fldCharType="separate"/>
          </w:r>
          <w:r w:rsidRPr="00AB2D05">
            <w:rPr>
              <w:noProof/>
              <w:lang w:val="en-US"/>
            </w:rPr>
            <w:t>(Charifzadeh &amp; Taschner, 2017)</w:t>
          </w:r>
          <w:r>
            <w:fldChar w:fldCharType="end"/>
          </w:r>
        </w:sdtContent>
      </w:sdt>
      <w:r>
        <w:t xml:space="preserve">. </w:t>
      </w:r>
      <w:r w:rsidR="00350561">
        <w:t>It helps in assessing the deviations of actual performance from the budgeted performance so that necessary remedial actions can be taken to reduce the variances. A monthly control report has been prepared for Amana Ltd. showing the original budget, flexed budget and variances.</w:t>
      </w:r>
    </w:p>
    <w:p w14:paraId="6CDE2414" w14:textId="77777777" w:rsidR="00350561" w:rsidRDefault="00350561" w:rsidP="00350561">
      <w:pPr>
        <w:jc w:val="center"/>
      </w:pPr>
      <w:r>
        <w:t>Control Report for Amana Ltd.</w:t>
      </w:r>
    </w:p>
    <w:tbl>
      <w:tblPr>
        <w:tblW w:w="11553" w:type="dxa"/>
        <w:jc w:val="center"/>
        <w:tblLook w:val="04A0" w:firstRow="1" w:lastRow="0" w:firstColumn="1" w:lastColumn="0" w:noHBand="0" w:noVBand="1"/>
      </w:tblPr>
      <w:tblGrid>
        <w:gridCol w:w="2445"/>
        <w:gridCol w:w="1585"/>
        <w:gridCol w:w="1083"/>
        <w:gridCol w:w="1146"/>
        <w:gridCol w:w="1061"/>
        <w:gridCol w:w="1243"/>
        <w:gridCol w:w="2990"/>
      </w:tblGrid>
      <w:tr w:rsidR="00350561" w:rsidRPr="00350561" w14:paraId="6CDE241C" w14:textId="77777777" w:rsidTr="00350561">
        <w:trPr>
          <w:trHeight w:val="236"/>
          <w:jc w:val="center"/>
        </w:trPr>
        <w:tc>
          <w:tcPr>
            <w:tcW w:w="2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DE2415" w14:textId="77777777" w:rsidR="00350561" w:rsidRPr="00350561" w:rsidRDefault="00350561" w:rsidP="00350561">
            <w:pPr>
              <w:spacing w:after="0" w:line="240" w:lineRule="auto"/>
              <w:jc w:val="left"/>
              <w:rPr>
                <w:rFonts w:eastAsia="Times New Roman" w:cs="Times New Roman"/>
                <w:b/>
                <w:bCs/>
                <w:color w:val="000000"/>
                <w:szCs w:val="24"/>
                <w:lang w:eastAsia="en-GB" w:bidi="hi-IN"/>
              </w:rPr>
            </w:pPr>
            <w:r w:rsidRPr="00350561">
              <w:rPr>
                <w:rFonts w:eastAsia="Times New Roman" w:cs="Times New Roman"/>
                <w:b/>
                <w:bCs/>
                <w:color w:val="000000"/>
                <w:szCs w:val="24"/>
                <w:lang w:eastAsia="en-GB" w:bidi="hi-IN"/>
              </w:rPr>
              <w:t>Particulars</w:t>
            </w:r>
          </w:p>
        </w:tc>
        <w:tc>
          <w:tcPr>
            <w:tcW w:w="1585" w:type="dxa"/>
            <w:tcBorders>
              <w:top w:val="single" w:sz="4" w:space="0" w:color="auto"/>
              <w:left w:val="nil"/>
              <w:bottom w:val="single" w:sz="4" w:space="0" w:color="auto"/>
              <w:right w:val="single" w:sz="4" w:space="0" w:color="auto"/>
            </w:tcBorders>
            <w:shd w:val="clear" w:color="auto" w:fill="auto"/>
            <w:noWrap/>
            <w:vAlign w:val="bottom"/>
            <w:hideMark/>
          </w:tcPr>
          <w:p w14:paraId="6CDE2416" w14:textId="77777777" w:rsidR="00350561" w:rsidRPr="00350561" w:rsidRDefault="00350561" w:rsidP="00350561">
            <w:pPr>
              <w:spacing w:after="0" w:line="240" w:lineRule="auto"/>
              <w:jc w:val="center"/>
              <w:rPr>
                <w:rFonts w:eastAsia="Times New Roman" w:cs="Times New Roman"/>
                <w:b/>
                <w:bCs/>
                <w:color w:val="000000"/>
                <w:szCs w:val="24"/>
                <w:lang w:eastAsia="en-GB" w:bidi="hi-IN"/>
              </w:rPr>
            </w:pPr>
            <w:r w:rsidRPr="00350561">
              <w:rPr>
                <w:rFonts w:eastAsia="Times New Roman" w:cs="Times New Roman"/>
                <w:b/>
                <w:bCs/>
                <w:color w:val="000000"/>
                <w:szCs w:val="24"/>
                <w:lang w:eastAsia="en-GB" w:bidi="hi-IN"/>
              </w:rPr>
              <w:t>Original budget (£ per unit)</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14:paraId="6CDE2417" w14:textId="77777777" w:rsidR="00350561" w:rsidRPr="00350561" w:rsidRDefault="00350561" w:rsidP="00350561">
            <w:pPr>
              <w:spacing w:after="0" w:line="240" w:lineRule="auto"/>
              <w:jc w:val="center"/>
              <w:rPr>
                <w:rFonts w:eastAsia="Times New Roman" w:cs="Times New Roman"/>
                <w:b/>
                <w:bCs/>
                <w:color w:val="000000"/>
                <w:szCs w:val="24"/>
                <w:lang w:eastAsia="en-GB" w:bidi="hi-IN"/>
              </w:rPr>
            </w:pPr>
            <w:r w:rsidRPr="00350561">
              <w:rPr>
                <w:rFonts w:eastAsia="Times New Roman" w:cs="Times New Roman"/>
                <w:b/>
                <w:bCs/>
                <w:color w:val="000000"/>
                <w:szCs w:val="24"/>
                <w:lang w:eastAsia="en-GB" w:bidi="hi-IN"/>
              </w:rPr>
              <w:t>Original budget (£)</w:t>
            </w:r>
          </w:p>
        </w:tc>
        <w:tc>
          <w:tcPr>
            <w:tcW w:w="1146" w:type="dxa"/>
            <w:tcBorders>
              <w:top w:val="single" w:sz="4" w:space="0" w:color="auto"/>
              <w:left w:val="nil"/>
              <w:bottom w:val="single" w:sz="4" w:space="0" w:color="auto"/>
              <w:right w:val="single" w:sz="4" w:space="0" w:color="auto"/>
            </w:tcBorders>
            <w:shd w:val="clear" w:color="auto" w:fill="auto"/>
            <w:noWrap/>
            <w:vAlign w:val="bottom"/>
            <w:hideMark/>
          </w:tcPr>
          <w:p w14:paraId="6CDE2418" w14:textId="77777777" w:rsidR="00350561" w:rsidRPr="00350561" w:rsidRDefault="00350561" w:rsidP="00350561">
            <w:pPr>
              <w:spacing w:after="0" w:line="240" w:lineRule="auto"/>
              <w:jc w:val="center"/>
              <w:rPr>
                <w:rFonts w:eastAsia="Times New Roman" w:cs="Times New Roman"/>
                <w:b/>
                <w:bCs/>
                <w:color w:val="000000"/>
                <w:szCs w:val="24"/>
                <w:lang w:eastAsia="en-GB" w:bidi="hi-IN"/>
              </w:rPr>
            </w:pPr>
            <w:r w:rsidRPr="00350561">
              <w:rPr>
                <w:rFonts w:eastAsia="Times New Roman" w:cs="Times New Roman"/>
                <w:b/>
                <w:bCs/>
                <w:color w:val="000000"/>
                <w:szCs w:val="24"/>
                <w:lang w:eastAsia="en-GB" w:bidi="hi-IN"/>
              </w:rPr>
              <w:t>Flexed budget (£)</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6CDE2419" w14:textId="77777777" w:rsidR="00350561" w:rsidRPr="00350561" w:rsidRDefault="00350561" w:rsidP="00350561">
            <w:pPr>
              <w:spacing w:after="0" w:line="240" w:lineRule="auto"/>
              <w:jc w:val="center"/>
              <w:rPr>
                <w:rFonts w:eastAsia="Times New Roman" w:cs="Times New Roman"/>
                <w:b/>
                <w:bCs/>
                <w:color w:val="000000"/>
                <w:szCs w:val="24"/>
                <w:lang w:eastAsia="en-GB" w:bidi="hi-IN"/>
              </w:rPr>
            </w:pPr>
            <w:r w:rsidRPr="00350561">
              <w:rPr>
                <w:rFonts w:eastAsia="Times New Roman" w:cs="Times New Roman"/>
                <w:b/>
                <w:bCs/>
                <w:color w:val="000000"/>
                <w:szCs w:val="24"/>
                <w:lang w:eastAsia="en-GB" w:bidi="hi-IN"/>
              </w:rPr>
              <w:t>Actual budget (£)</w:t>
            </w:r>
          </w:p>
        </w:tc>
        <w:tc>
          <w:tcPr>
            <w:tcW w:w="1243" w:type="dxa"/>
            <w:tcBorders>
              <w:top w:val="single" w:sz="4" w:space="0" w:color="auto"/>
              <w:left w:val="nil"/>
              <w:bottom w:val="single" w:sz="4" w:space="0" w:color="auto"/>
              <w:right w:val="single" w:sz="4" w:space="0" w:color="auto"/>
            </w:tcBorders>
            <w:shd w:val="clear" w:color="auto" w:fill="auto"/>
            <w:noWrap/>
            <w:vAlign w:val="bottom"/>
            <w:hideMark/>
          </w:tcPr>
          <w:p w14:paraId="6CDE241A" w14:textId="77777777" w:rsidR="00350561" w:rsidRPr="00350561" w:rsidRDefault="00350561" w:rsidP="00350561">
            <w:pPr>
              <w:spacing w:after="0" w:line="240" w:lineRule="auto"/>
              <w:jc w:val="center"/>
              <w:rPr>
                <w:rFonts w:eastAsia="Times New Roman" w:cs="Times New Roman"/>
                <w:b/>
                <w:bCs/>
                <w:color w:val="000000"/>
                <w:szCs w:val="24"/>
                <w:lang w:eastAsia="en-GB" w:bidi="hi-IN"/>
              </w:rPr>
            </w:pPr>
            <w:r w:rsidRPr="00350561">
              <w:rPr>
                <w:rFonts w:eastAsia="Times New Roman" w:cs="Times New Roman"/>
                <w:b/>
                <w:bCs/>
                <w:color w:val="000000"/>
                <w:szCs w:val="24"/>
                <w:lang w:eastAsia="en-GB" w:bidi="hi-IN"/>
              </w:rPr>
              <w:t>Variances (£)</w:t>
            </w:r>
          </w:p>
        </w:tc>
        <w:tc>
          <w:tcPr>
            <w:tcW w:w="2990" w:type="dxa"/>
            <w:tcBorders>
              <w:top w:val="single" w:sz="4" w:space="0" w:color="auto"/>
              <w:left w:val="nil"/>
              <w:bottom w:val="single" w:sz="4" w:space="0" w:color="auto"/>
              <w:right w:val="single" w:sz="4" w:space="0" w:color="auto"/>
            </w:tcBorders>
            <w:shd w:val="clear" w:color="auto" w:fill="auto"/>
            <w:noWrap/>
            <w:vAlign w:val="bottom"/>
            <w:hideMark/>
          </w:tcPr>
          <w:p w14:paraId="6CDE241B" w14:textId="77777777" w:rsidR="00350561" w:rsidRPr="00350561" w:rsidRDefault="00350561" w:rsidP="00350561">
            <w:pPr>
              <w:spacing w:after="0" w:line="240" w:lineRule="auto"/>
              <w:jc w:val="center"/>
              <w:rPr>
                <w:rFonts w:eastAsia="Times New Roman" w:cs="Times New Roman"/>
                <w:b/>
                <w:bCs/>
                <w:color w:val="000000"/>
                <w:szCs w:val="24"/>
                <w:lang w:eastAsia="en-GB" w:bidi="hi-IN"/>
              </w:rPr>
            </w:pPr>
            <w:r w:rsidRPr="00350561">
              <w:rPr>
                <w:rFonts w:eastAsia="Times New Roman" w:cs="Times New Roman"/>
                <w:b/>
                <w:bCs/>
                <w:color w:val="000000"/>
                <w:szCs w:val="24"/>
                <w:lang w:eastAsia="en-GB" w:bidi="hi-IN"/>
              </w:rPr>
              <w:t>Favourable/Unfavourable</w:t>
            </w:r>
          </w:p>
        </w:tc>
      </w:tr>
      <w:tr w:rsidR="00350561" w:rsidRPr="00350561" w14:paraId="6CDE2424"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1D"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Units</w:t>
            </w:r>
          </w:p>
        </w:tc>
        <w:tc>
          <w:tcPr>
            <w:tcW w:w="1585" w:type="dxa"/>
            <w:tcBorders>
              <w:top w:val="nil"/>
              <w:left w:val="nil"/>
              <w:bottom w:val="single" w:sz="4" w:space="0" w:color="auto"/>
              <w:right w:val="single" w:sz="4" w:space="0" w:color="auto"/>
            </w:tcBorders>
            <w:shd w:val="clear" w:color="auto" w:fill="auto"/>
            <w:noWrap/>
            <w:vAlign w:val="bottom"/>
            <w:hideMark/>
          </w:tcPr>
          <w:p w14:paraId="6CDE241E"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100000</w:t>
            </w:r>
          </w:p>
        </w:tc>
        <w:tc>
          <w:tcPr>
            <w:tcW w:w="1083" w:type="dxa"/>
            <w:tcBorders>
              <w:top w:val="nil"/>
              <w:left w:val="nil"/>
              <w:bottom w:val="single" w:sz="4" w:space="0" w:color="auto"/>
              <w:right w:val="single" w:sz="4" w:space="0" w:color="auto"/>
            </w:tcBorders>
            <w:shd w:val="clear" w:color="auto" w:fill="auto"/>
            <w:noWrap/>
            <w:vAlign w:val="bottom"/>
            <w:hideMark/>
          </w:tcPr>
          <w:p w14:paraId="6CDE241F"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146" w:type="dxa"/>
            <w:tcBorders>
              <w:top w:val="nil"/>
              <w:left w:val="nil"/>
              <w:bottom w:val="single" w:sz="4" w:space="0" w:color="auto"/>
              <w:right w:val="single" w:sz="4" w:space="0" w:color="auto"/>
            </w:tcBorders>
            <w:shd w:val="clear" w:color="auto" w:fill="auto"/>
            <w:noWrap/>
            <w:vAlign w:val="bottom"/>
            <w:hideMark/>
          </w:tcPr>
          <w:p w14:paraId="6CDE2420"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80000</w:t>
            </w:r>
          </w:p>
        </w:tc>
        <w:tc>
          <w:tcPr>
            <w:tcW w:w="1061" w:type="dxa"/>
            <w:tcBorders>
              <w:top w:val="nil"/>
              <w:left w:val="nil"/>
              <w:bottom w:val="single" w:sz="4" w:space="0" w:color="auto"/>
              <w:right w:val="single" w:sz="4" w:space="0" w:color="auto"/>
            </w:tcBorders>
            <w:shd w:val="clear" w:color="auto" w:fill="auto"/>
            <w:noWrap/>
            <w:vAlign w:val="bottom"/>
            <w:hideMark/>
          </w:tcPr>
          <w:p w14:paraId="6CDE2421"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80000</w:t>
            </w:r>
          </w:p>
        </w:tc>
        <w:tc>
          <w:tcPr>
            <w:tcW w:w="1243" w:type="dxa"/>
            <w:tcBorders>
              <w:top w:val="nil"/>
              <w:left w:val="nil"/>
              <w:bottom w:val="single" w:sz="4" w:space="0" w:color="auto"/>
              <w:right w:val="single" w:sz="4" w:space="0" w:color="auto"/>
            </w:tcBorders>
            <w:shd w:val="clear" w:color="auto" w:fill="auto"/>
            <w:noWrap/>
            <w:vAlign w:val="bottom"/>
            <w:hideMark/>
          </w:tcPr>
          <w:p w14:paraId="6CDE2422"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2990" w:type="dxa"/>
            <w:tcBorders>
              <w:top w:val="nil"/>
              <w:left w:val="nil"/>
              <w:bottom w:val="single" w:sz="4" w:space="0" w:color="auto"/>
              <w:right w:val="single" w:sz="4" w:space="0" w:color="auto"/>
            </w:tcBorders>
            <w:shd w:val="clear" w:color="auto" w:fill="auto"/>
            <w:noWrap/>
            <w:vAlign w:val="bottom"/>
            <w:hideMark/>
          </w:tcPr>
          <w:p w14:paraId="6CDE2423"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r>
      <w:tr w:rsidR="00350561" w:rsidRPr="00350561" w14:paraId="6CDE242C"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25"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Selling price per unit</w:t>
            </w:r>
          </w:p>
        </w:tc>
        <w:tc>
          <w:tcPr>
            <w:tcW w:w="1585" w:type="dxa"/>
            <w:tcBorders>
              <w:top w:val="nil"/>
              <w:left w:val="nil"/>
              <w:bottom w:val="single" w:sz="4" w:space="0" w:color="auto"/>
              <w:right w:val="single" w:sz="4" w:space="0" w:color="auto"/>
            </w:tcBorders>
            <w:shd w:val="clear" w:color="auto" w:fill="auto"/>
            <w:noWrap/>
            <w:vAlign w:val="bottom"/>
            <w:hideMark/>
          </w:tcPr>
          <w:p w14:paraId="6CDE2426"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25</w:t>
            </w:r>
          </w:p>
        </w:tc>
        <w:tc>
          <w:tcPr>
            <w:tcW w:w="1083" w:type="dxa"/>
            <w:tcBorders>
              <w:top w:val="nil"/>
              <w:left w:val="nil"/>
              <w:bottom w:val="single" w:sz="4" w:space="0" w:color="auto"/>
              <w:right w:val="single" w:sz="4" w:space="0" w:color="auto"/>
            </w:tcBorders>
            <w:shd w:val="clear" w:color="auto" w:fill="auto"/>
            <w:noWrap/>
            <w:vAlign w:val="bottom"/>
            <w:hideMark/>
          </w:tcPr>
          <w:p w14:paraId="6CDE2427"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146" w:type="dxa"/>
            <w:tcBorders>
              <w:top w:val="nil"/>
              <w:left w:val="nil"/>
              <w:bottom w:val="single" w:sz="4" w:space="0" w:color="auto"/>
              <w:right w:val="single" w:sz="4" w:space="0" w:color="auto"/>
            </w:tcBorders>
            <w:shd w:val="clear" w:color="auto" w:fill="auto"/>
            <w:noWrap/>
            <w:vAlign w:val="bottom"/>
            <w:hideMark/>
          </w:tcPr>
          <w:p w14:paraId="6CDE2428"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25</w:t>
            </w:r>
          </w:p>
        </w:tc>
        <w:tc>
          <w:tcPr>
            <w:tcW w:w="1061" w:type="dxa"/>
            <w:tcBorders>
              <w:top w:val="nil"/>
              <w:left w:val="nil"/>
              <w:bottom w:val="single" w:sz="4" w:space="0" w:color="auto"/>
              <w:right w:val="single" w:sz="4" w:space="0" w:color="auto"/>
            </w:tcBorders>
            <w:shd w:val="clear" w:color="auto" w:fill="auto"/>
            <w:noWrap/>
            <w:vAlign w:val="bottom"/>
            <w:hideMark/>
          </w:tcPr>
          <w:p w14:paraId="6CDE2429"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20</w:t>
            </w:r>
          </w:p>
        </w:tc>
        <w:tc>
          <w:tcPr>
            <w:tcW w:w="1243" w:type="dxa"/>
            <w:tcBorders>
              <w:top w:val="nil"/>
              <w:left w:val="nil"/>
              <w:bottom w:val="single" w:sz="4" w:space="0" w:color="auto"/>
              <w:right w:val="single" w:sz="4" w:space="0" w:color="auto"/>
            </w:tcBorders>
            <w:shd w:val="clear" w:color="auto" w:fill="auto"/>
            <w:noWrap/>
            <w:vAlign w:val="bottom"/>
            <w:hideMark/>
          </w:tcPr>
          <w:p w14:paraId="6CDE242A"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2990" w:type="dxa"/>
            <w:tcBorders>
              <w:top w:val="nil"/>
              <w:left w:val="nil"/>
              <w:bottom w:val="single" w:sz="4" w:space="0" w:color="auto"/>
              <w:right w:val="single" w:sz="4" w:space="0" w:color="auto"/>
            </w:tcBorders>
            <w:shd w:val="clear" w:color="auto" w:fill="auto"/>
            <w:noWrap/>
            <w:vAlign w:val="bottom"/>
            <w:hideMark/>
          </w:tcPr>
          <w:p w14:paraId="6CDE242B"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r>
      <w:tr w:rsidR="00350561" w:rsidRPr="00350561" w14:paraId="6CDE2434"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2D" w14:textId="77777777" w:rsidR="00350561" w:rsidRPr="00350561" w:rsidRDefault="00350561" w:rsidP="00350561">
            <w:pPr>
              <w:spacing w:after="0" w:line="240" w:lineRule="auto"/>
              <w:jc w:val="left"/>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Sales revenue</w:t>
            </w:r>
          </w:p>
        </w:tc>
        <w:tc>
          <w:tcPr>
            <w:tcW w:w="1585" w:type="dxa"/>
            <w:tcBorders>
              <w:top w:val="nil"/>
              <w:left w:val="nil"/>
              <w:bottom w:val="single" w:sz="4" w:space="0" w:color="auto"/>
              <w:right w:val="single" w:sz="4" w:space="0" w:color="auto"/>
            </w:tcBorders>
            <w:shd w:val="clear" w:color="auto" w:fill="auto"/>
            <w:noWrap/>
            <w:vAlign w:val="bottom"/>
            <w:hideMark/>
          </w:tcPr>
          <w:p w14:paraId="6CDE242E"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 </w:t>
            </w:r>
          </w:p>
        </w:tc>
        <w:tc>
          <w:tcPr>
            <w:tcW w:w="1083" w:type="dxa"/>
            <w:tcBorders>
              <w:top w:val="nil"/>
              <w:left w:val="nil"/>
              <w:bottom w:val="single" w:sz="4" w:space="0" w:color="auto"/>
              <w:right w:val="single" w:sz="4" w:space="0" w:color="auto"/>
            </w:tcBorders>
            <w:shd w:val="clear" w:color="auto" w:fill="auto"/>
            <w:noWrap/>
            <w:vAlign w:val="bottom"/>
            <w:hideMark/>
          </w:tcPr>
          <w:p w14:paraId="6CDE242F"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2500000</w:t>
            </w:r>
          </w:p>
        </w:tc>
        <w:tc>
          <w:tcPr>
            <w:tcW w:w="1146" w:type="dxa"/>
            <w:tcBorders>
              <w:top w:val="nil"/>
              <w:left w:val="nil"/>
              <w:bottom w:val="single" w:sz="4" w:space="0" w:color="auto"/>
              <w:right w:val="single" w:sz="4" w:space="0" w:color="auto"/>
            </w:tcBorders>
            <w:shd w:val="clear" w:color="auto" w:fill="auto"/>
            <w:noWrap/>
            <w:vAlign w:val="bottom"/>
            <w:hideMark/>
          </w:tcPr>
          <w:p w14:paraId="6CDE2430"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2000000</w:t>
            </w:r>
          </w:p>
        </w:tc>
        <w:tc>
          <w:tcPr>
            <w:tcW w:w="1061" w:type="dxa"/>
            <w:tcBorders>
              <w:top w:val="nil"/>
              <w:left w:val="nil"/>
              <w:bottom w:val="single" w:sz="4" w:space="0" w:color="auto"/>
              <w:right w:val="single" w:sz="4" w:space="0" w:color="auto"/>
            </w:tcBorders>
            <w:shd w:val="clear" w:color="auto" w:fill="auto"/>
            <w:noWrap/>
            <w:vAlign w:val="bottom"/>
            <w:hideMark/>
          </w:tcPr>
          <w:p w14:paraId="6CDE2431"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1600000</w:t>
            </w:r>
          </w:p>
        </w:tc>
        <w:tc>
          <w:tcPr>
            <w:tcW w:w="1243" w:type="dxa"/>
            <w:tcBorders>
              <w:top w:val="nil"/>
              <w:left w:val="nil"/>
              <w:bottom w:val="single" w:sz="4" w:space="0" w:color="auto"/>
              <w:right w:val="single" w:sz="4" w:space="0" w:color="auto"/>
            </w:tcBorders>
            <w:shd w:val="clear" w:color="auto" w:fill="auto"/>
            <w:noWrap/>
            <w:vAlign w:val="bottom"/>
            <w:hideMark/>
          </w:tcPr>
          <w:p w14:paraId="6CDE2432"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400000</w:t>
            </w:r>
          </w:p>
        </w:tc>
        <w:tc>
          <w:tcPr>
            <w:tcW w:w="2990" w:type="dxa"/>
            <w:tcBorders>
              <w:top w:val="nil"/>
              <w:left w:val="nil"/>
              <w:bottom w:val="single" w:sz="4" w:space="0" w:color="auto"/>
              <w:right w:val="single" w:sz="4" w:space="0" w:color="auto"/>
            </w:tcBorders>
            <w:shd w:val="clear" w:color="auto" w:fill="auto"/>
            <w:noWrap/>
            <w:vAlign w:val="bottom"/>
            <w:hideMark/>
          </w:tcPr>
          <w:p w14:paraId="6CDE2433"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Unfavourable</w:t>
            </w:r>
          </w:p>
        </w:tc>
      </w:tr>
      <w:tr w:rsidR="00350561" w:rsidRPr="00350561" w14:paraId="6CDE243C"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35"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Variable Costs:</w:t>
            </w:r>
          </w:p>
        </w:tc>
        <w:tc>
          <w:tcPr>
            <w:tcW w:w="1585" w:type="dxa"/>
            <w:tcBorders>
              <w:top w:val="nil"/>
              <w:left w:val="nil"/>
              <w:bottom w:val="single" w:sz="4" w:space="0" w:color="auto"/>
              <w:right w:val="single" w:sz="4" w:space="0" w:color="auto"/>
            </w:tcBorders>
            <w:shd w:val="clear" w:color="auto" w:fill="auto"/>
            <w:noWrap/>
            <w:vAlign w:val="bottom"/>
            <w:hideMark/>
          </w:tcPr>
          <w:p w14:paraId="6CDE2436"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083" w:type="dxa"/>
            <w:tcBorders>
              <w:top w:val="nil"/>
              <w:left w:val="nil"/>
              <w:bottom w:val="single" w:sz="4" w:space="0" w:color="auto"/>
              <w:right w:val="single" w:sz="4" w:space="0" w:color="auto"/>
            </w:tcBorders>
            <w:shd w:val="clear" w:color="auto" w:fill="auto"/>
            <w:noWrap/>
            <w:vAlign w:val="bottom"/>
            <w:hideMark/>
          </w:tcPr>
          <w:p w14:paraId="6CDE2437"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146" w:type="dxa"/>
            <w:tcBorders>
              <w:top w:val="nil"/>
              <w:left w:val="nil"/>
              <w:bottom w:val="single" w:sz="4" w:space="0" w:color="auto"/>
              <w:right w:val="single" w:sz="4" w:space="0" w:color="auto"/>
            </w:tcBorders>
            <w:shd w:val="clear" w:color="auto" w:fill="auto"/>
            <w:noWrap/>
            <w:vAlign w:val="bottom"/>
            <w:hideMark/>
          </w:tcPr>
          <w:p w14:paraId="6CDE2438"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061" w:type="dxa"/>
            <w:tcBorders>
              <w:top w:val="nil"/>
              <w:left w:val="nil"/>
              <w:bottom w:val="single" w:sz="4" w:space="0" w:color="auto"/>
              <w:right w:val="single" w:sz="4" w:space="0" w:color="auto"/>
            </w:tcBorders>
            <w:shd w:val="clear" w:color="auto" w:fill="auto"/>
            <w:noWrap/>
            <w:vAlign w:val="bottom"/>
            <w:hideMark/>
          </w:tcPr>
          <w:p w14:paraId="6CDE2439"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243" w:type="dxa"/>
            <w:tcBorders>
              <w:top w:val="nil"/>
              <w:left w:val="nil"/>
              <w:bottom w:val="single" w:sz="4" w:space="0" w:color="auto"/>
              <w:right w:val="single" w:sz="4" w:space="0" w:color="auto"/>
            </w:tcBorders>
            <w:shd w:val="clear" w:color="auto" w:fill="auto"/>
            <w:noWrap/>
            <w:vAlign w:val="bottom"/>
            <w:hideMark/>
          </w:tcPr>
          <w:p w14:paraId="6CDE243A"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2990" w:type="dxa"/>
            <w:tcBorders>
              <w:top w:val="nil"/>
              <w:left w:val="nil"/>
              <w:bottom w:val="single" w:sz="4" w:space="0" w:color="auto"/>
              <w:right w:val="single" w:sz="4" w:space="0" w:color="auto"/>
            </w:tcBorders>
            <w:shd w:val="clear" w:color="auto" w:fill="auto"/>
            <w:noWrap/>
            <w:vAlign w:val="bottom"/>
            <w:hideMark/>
          </w:tcPr>
          <w:p w14:paraId="6CDE243B"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r>
      <w:tr w:rsidR="00350561" w:rsidRPr="00350561" w14:paraId="6CDE2444"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3D"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 xml:space="preserve">Materials </w:t>
            </w:r>
          </w:p>
        </w:tc>
        <w:tc>
          <w:tcPr>
            <w:tcW w:w="1585" w:type="dxa"/>
            <w:tcBorders>
              <w:top w:val="nil"/>
              <w:left w:val="nil"/>
              <w:bottom w:val="single" w:sz="4" w:space="0" w:color="auto"/>
              <w:right w:val="single" w:sz="4" w:space="0" w:color="auto"/>
            </w:tcBorders>
            <w:shd w:val="clear" w:color="auto" w:fill="auto"/>
            <w:noWrap/>
            <w:vAlign w:val="bottom"/>
            <w:hideMark/>
          </w:tcPr>
          <w:p w14:paraId="6CDE243E"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2.5</w:t>
            </w:r>
          </w:p>
        </w:tc>
        <w:tc>
          <w:tcPr>
            <w:tcW w:w="1083" w:type="dxa"/>
            <w:tcBorders>
              <w:top w:val="nil"/>
              <w:left w:val="nil"/>
              <w:bottom w:val="single" w:sz="4" w:space="0" w:color="auto"/>
              <w:right w:val="single" w:sz="4" w:space="0" w:color="auto"/>
            </w:tcBorders>
            <w:shd w:val="clear" w:color="auto" w:fill="auto"/>
            <w:noWrap/>
            <w:vAlign w:val="bottom"/>
            <w:hideMark/>
          </w:tcPr>
          <w:p w14:paraId="6CDE243F"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250000</w:t>
            </w:r>
          </w:p>
        </w:tc>
        <w:tc>
          <w:tcPr>
            <w:tcW w:w="1146" w:type="dxa"/>
            <w:tcBorders>
              <w:top w:val="nil"/>
              <w:left w:val="nil"/>
              <w:bottom w:val="single" w:sz="4" w:space="0" w:color="auto"/>
              <w:right w:val="single" w:sz="4" w:space="0" w:color="auto"/>
            </w:tcBorders>
            <w:shd w:val="clear" w:color="auto" w:fill="auto"/>
            <w:noWrap/>
            <w:vAlign w:val="bottom"/>
            <w:hideMark/>
          </w:tcPr>
          <w:p w14:paraId="6CDE2440"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200000</w:t>
            </w:r>
          </w:p>
        </w:tc>
        <w:tc>
          <w:tcPr>
            <w:tcW w:w="1061" w:type="dxa"/>
            <w:tcBorders>
              <w:top w:val="nil"/>
              <w:left w:val="nil"/>
              <w:bottom w:val="single" w:sz="4" w:space="0" w:color="auto"/>
              <w:right w:val="single" w:sz="4" w:space="0" w:color="auto"/>
            </w:tcBorders>
            <w:shd w:val="clear" w:color="auto" w:fill="auto"/>
            <w:noWrap/>
            <w:vAlign w:val="bottom"/>
            <w:hideMark/>
          </w:tcPr>
          <w:p w14:paraId="6CDE2441"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280000</w:t>
            </w:r>
          </w:p>
        </w:tc>
        <w:tc>
          <w:tcPr>
            <w:tcW w:w="1243" w:type="dxa"/>
            <w:tcBorders>
              <w:top w:val="nil"/>
              <w:left w:val="nil"/>
              <w:bottom w:val="single" w:sz="4" w:space="0" w:color="auto"/>
              <w:right w:val="single" w:sz="4" w:space="0" w:color="auto"/>
            </w:tcBorders>
            <w:shd w:val="clear" w:color="auto" w:fill="auto"/>
            <w:noWrap/>
            <w:vAlign w:val="bottom"/>
            <w:hideMark/>
          </w:tcPr>
          <w:p w14:paraId="6CDE2442"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80000</w:t>
            </w:r>
          </w:p>
        </w:tc>
        <w:tc>
          <w:tcPr>
            <w:tcW w:w="2990" w:type="dxa"/>
            <w:tcBorders>
              <w:top w:val="nil"/>
              <w:left w:val="nil"/>
              <w:bottom w:val="single" w:sz="4" w:space="0" w:color="auto"/>
              <w:right w:val="single" w:sz="4" w:space="0" w:color="auto"/>
            </w:tcBorders>
            <w:shd w:val="clear" w:color="auto" w:fill="auto"/>
            <w:noWrap/>
            <w:vAlign w:val="bottom"/>
            <w:hideMark/>
          </w:tcPr>
          <w:p w14:paraId="6CDE2443"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Unfavourable</w:t>
            </w:r>
          </w:p>
        </w:tc>
      </w:tr>
      <w:tr w:rsidR="00350561" w:rsidRPr="00350561" w14:paraId="6CDE244C"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45"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Labour</w:t>
            </w:r>
          </w:p>
        </w:tc>
        <w:tc>
          <w:tcPr>
            <w:tcW w:w="1585" w:type="dxa"/>
            <w:tcBorders>
              <w:top w:val="nil"/>
              <w:left w:val="nil"/>
              <w:bottom w:val="single" w:sz="4" w:space="0" w:color="auto"/>
              <w:right w:val="single" w:sz="4" w:space="0" w:color="auto"/>
            </w:tcBorders>
            <w:shd w:val="clear" w:color="auto" w:fill="auto"/>
            <w:noWrap/>
            <w:vAlign w:val="bottom"/>
            <w:hideMark/>
          </w:tcPr>
          <w:p w14:paraId="6CDE2446"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4</w:t>
            </w:r>
          </w:p>
        </w:tc>
        <w:tc>
          <w:tcPr>
            <w:tcW w:w="1083" w:type="dxa"/>
            <w:tcBorders>
              <w:top w:val="nil"/>
              <w:left w:val="nil"/>
              <w:bottom w:val="single" w:sz="4" w:space="0" w:color="auto"/>
              <w:right w:val="single" w:sz="4" w:space="0" w:color="auto"/>
            </w:tcBorders>
            <w:shd w:val="clear" w:color="auto" w:fill="auto"/>
            <w:noWrap/>
            <w:vAlign w:val="bottom"/>
            <w:hideMark/>
          </w:tcPr>
          <w:p w14:paraId="6CDE2447"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400000</w:t>
            </w:r>
          </w:p>
        </w:tc>
        <w:tc>
          <w:tcPr>
            <w:tcW w:w="1146" w:type="dxa"/>
            <w:tcBorders>
              <w:top w:val="nil"/>
              <w:left w:val="nil"/>
              <w:bottom w:val="single" w:sz="4" w:space="0" w:color="auto"/>
              <w:right w:val="single" w:sz="4" w:space="0" w:color="auto"/>
            </w:tcBorders>
            <w:shd w:val="clear" w:color="auto" w:fill="auto"/>
            <w:noWrap/>
            <w:vAlign w:val="bottom"/>
            <w:hideMark/>
          </w:tcPr>
          <w:p w14:paraId="6CDE2448"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320000</w:t>
            </w:r>
          </w:p>
        </w:tc>
        <w:tc>
          <w:tcPr>
            <w:tcW w:w="1061" w:type="dxa"/>
            <w:tcBorders>
              <w:top w:val="nil"/>
              <w:left w:val="nil"/>
              <w:bottom w:val="single" w:sz="4" w:space="0" w:color="auto"/>
              <w:right w:val="single" w:sz="4" w:space="0" w:color="auto"/>
            </w:tcBorders>
            <w:shd w:val="clear" w:color="auto" w:fill="auto"/>
            <w:noWrap/>
            <w:vAlign w:val="bottom"/>
            <w:hideMark/>
          </w:tcPr>
          <w:p w14:paraId="6CDE2449"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440000</w:t>
            </w:r>
          </w:p>
        </w:tc>
        <w:tc>
          <w:tcPr>
            <w:tcW w:w="1243" w:type="dxa"/>
            <w:tcBorders>
              <w:top w:val="nil"/>
              <w:left w:val="nil"/>
              <w:bottom w:val="single" w:sz="4" w:space="0" w:color="auto"/>
              <w:right w:val="single" w:sz="4" w:space="0" w:color="auto"/>
            </w:tcBorders>
            <w:shd w:val="clear" w:color="auto" w:fill="auto"/>
            <w:noWrap/>
            <w:vAlign w:val="bottom"/>
            <w:hideMark/>
          </w:tcPr>
          <w:p w14:paraId="6CDE244A"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120000</w:t>
            </w:r>
          </w:p>
        </w:tc>
        <w:tc>
          <w:tcPr>
            <w:tcW w:w="2990" w:type="dxa"/>
            <w:tcBorders>
              <w:top w:val="nil"/>
              <w:left w:val="nil"/>
              <w:bottom w:val="single" w:sz="4" w:space="0" w:color="auto"/>
              <w:right w:val="single" w:sz="4" w:space="0" w:color="auto"/>
            </w:tcBorders>
            <w:shd w:val="clear" w:color="auto" w:fill="auto"/>
            <w:noWrap/>
            <w:vAlign w:val="bottom"/>
            <w:hideMark/>
          </w:tcPr>
          <w:p w14:paraId="6CDE244B"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Unfavourable</w:t>
            </w:r>
          </w:p>
        </w:tc>
      </w:tr>
      <w:tr w:rsidR="00350561" w:rsidRPr="00350561" w14:paraId="6CDE2454"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4D"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Overhead</w:t>
            </w:r>
          </w:p>
        </w:tc>
        <w:tc>
          <w:tcPr>
            <w:tcW w:w="1585" w:type="dxa"/>
            <w:tcBorders>
              <w:top w:val="nil"/>
              <w:left w:val="nil"/>
              <w:bottom w:val="single" w:sz="4" w:space="0" w:color="auto"/>
              <w:right w:val="single" w:sz="4" w:space="0" w:color="auto"/>
            </w:tcBorders>
            <w:shd w:val="clear" w:color="auto" w:fill="auto"/>
            <w:noWrap/>
            <w:vAlign w:val="bottom"/>
            <w:hideMark/>
          </w:tcPr>
          <w:p w14:paraId="6CDE244E"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1.5</w:t>
            </w:r>
          </w:p>
        </w:tc>
        <w:tc>
          <w:tcPr>
            <w:tcW w:w="1083" w:type="dxa"/>
            <w:tcBorders>
              <w:top w:val="nil"/>
              <w:left w:val="nil"/>
              <w:bottom w:val="single" w:sz="4" w:space="0" w:color="auto"/>
              <w:right w:val="single" w:sz="4" w:space="0" w:color="auto"/>
            </w:tcBorders>
            <w:shd w:val="clear" w:color="auto" w:fill="auto"/>
            <w:noWrap/>
            <w:vAlign w:val="bottom"/>
            <w:hideMark/>
          </w:tcPr>
          <w:p w14:paraId="6CDE244F"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150000</w:t>
            </w:r>
          </w:p>
        </w:tc>
        <w:tc>
          <w:tcPr>
            <w:tcW w:w="1146" w:type="dxa"/>
            <w:tcBorders>
              <w:top w:val="nil"/>
              <w:left w:val="nil"/>
              <w:bottom w:val="single" w:sz="4" w:space="0" w:color="auto"/>
              <w:right w:val="single" w:sz="4" w:space="0" w:color="auto"/>
            </w:tcBorders>
            <w:shd w:val="clear" w:color="auto" w:fill="auto"/>
            <w:noWrap/>
            <w:vAlign w:val="bottom"/>
            <w:hideMark/>
          </w:tcPr>
          <w:p w14:paraId="6CDE2450"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120000</w:t>
            </w:r>
          </w:p>
        </w:tc>
        <w:tc>
          <w:tcPr>
            <w:tcW w:w="1061" w:type="dxa"/>
            <w:tcBorders>
              <w:top w:val="nil"/>
              <w:left w:val="nil"/>
              <w:bottom w:val="single" w:sz="4" w:space="0" w:color="auto"/>
              <w:right w:val="single" w:sz="4" w:space="0" w:color="auto"/>
            </w:tcBorders>
            <w:shd w:val="clear" w:color="auto" w:fill="auto"/>
            <w:noWrap/>
            <w:vAlign w:val="bottom"/>
            <w:hideMark/>
          </w:tcPr>
          <w:p w14:paraId="6CDE2451"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120000</w:t>
            </w:r>
          </w:p>
        </w:tc>
        <w:tc>
          <w:tcPr>
            <w:tcW w:w="1243" w:type="dxa"/>
            <w:tcBorders>
              <w:top w:val="nil"/>
              <w:left w:val="nil"/>
              <w:bottom w:val="single" w:sz="4" w:space="0" w:color="auto"/>
              <w:right w:val="single" w:sz="4" w:space="0" w:color="auto"/>
            </w:tcBorders>
            <w:shd w:val="clear" w:color="auto" w:fill="auto"/>
            <w:noWrap/>
            <w:vAlign w:val="bottom"/>
            <w:hideMark/>
          </w:tcPr>
          <w:p w14:paraId="6CDE2452"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0</w:t>
            </w:r>
          </w:p>
        </w:tc>
        <w:tc>
          <w:tcPr>
            <w:tcW w:w="2990" w:type="dxa"/>
            <w:tcBorders>
              <w:top w:val="nil"/>
              <w:left w:val="nil"/>
              <w:bottom w:val="single" w:sz="4" w:space="0" w:color="auto"/>
              <w:right w:val="single" w:sz="4" w:space="0" w:color="auto"/>
            </w:tcBorders>
            <w:shd w:val="clear" w:color="auto" w:fill="auto"/>
            <w:noWrap/>
            <w:vAlign w:val="bottom"/>
            <w:hideMark/>
          </w:tcPr>
          <w:p w14:paraId="6CDE2453"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r>
      <w:tr w:rsidR="00350561" w:rsidRPr="00350561" w14:paraId="6CDE245C"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55" w14:textId="77777777" w:rsidR="00350561" w:rsidRPr="00350561" w:rsidRDefault="00350561" w:rsidP="00350561">
            <w:pPr>
              <w:spacing w:after="0" w:line="240" w:lineRule="auto"/>
              <w:jc w:val="left"/>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Contribution</w:t>
            </w:r>
          </w:p>
        </w:tc>
        <w:tc>
          <w:tcPr>
            <w:tcW w:w="1585" w:type="dxa"/>
            <w:tcBorders>
              <w:top w:val="nil"/>
              <w:left w:val="nil"/>
              <w:bottom w:val="single" w:sz="4" w:space="0" w:color="auto"/>
              <w:right w:val="single" w:sz="4" w:space="0" w:color="auto"/>
            </w:tcBorders>
            <w:shd w:val="clear" w:color="auto" w:fill="auto"/>
            <w:noWrap/>
            <w:vAlign w:val="bottom"/>
            <w:hideMark/>
          </w:tcPr>
          <w:p w14:paraId="6CDE2456"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17</w:t>
            </w:r>
          </w:p>
        </w:tc>
        <w:tc>
          <w:tcPr>
            <w:tcW w:w="1083" w:type="dxa"/>
            <w:tcBorders>
              <w:top w:val="nil"/>
              <w:left w:val="nil"/>
              <w:bottom w:val="single" w:sz="4" w:space="0" w:color="auto"/>
              <w:right w:val="single" w:sz="4" w:space="0" w:color="auto"/>
            </w:tcBorders>
            <w:shd w:val="clear" w:color="auto" w:fill="auto"/>
            <w:noWrap/>
            <w:vAlign w:val="bottom"/>
            <w:hideMark/>
          </w:tcPr>
          <w:p w14:paraId="6CDE2457"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1700000</w:t>
            </w:r>
          </w:p>
        </w:tc>
        <w:tc>
          <w:tcPr>
            <w:tcW w:w="1146" w:type="dxa"/>
            <w:tcBorders>
              <w:top w:val="nil"/>
              <w:left w:val="nil"/>
              <w:bottom w:val="single" w:sz="4" w:space="0" w:color="auto"/>
              <w:right w:val="single" w:sz="4" w:space="0" w:color="auto"/>
            </w:tcBorders>
            <w:shd w:val="clear" w:color="auto" w:fill="auto"/>
            <w:noWrap/>
            <w:vAlign w:val="bottom"/>
            <w:hideMark/>
          </w:tcPr>
          <w:p w14:paraId="6CDE2458"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1360000</w:t>
            </w:r>
          </w:p>
        </w:tc>
        <w:tc>
          <w:tcPr>
            <w:tcW w:w="1061" w:type="dxa"/>
            <w:tcBorders>
              <w:top w:val="nil"/>
              <w:left w:val="nil"/>
              <w:bottom w:val="single" w:sz="4" w:space="0" w:color="auto"/>
              <w:right w:val="single" w:sz="4" w:space="0" w:color="auto"/>
            </w:tcBorders>
            <w:shd w:val="clear" w:color="auto" w:fill="auto"/>
            <w:noWrap/>
            <w:vAlign w:val="bottom"/>
            <w:hideMark/>
          </w:tcPr>
          <w:p w14:paraId="6CDE2459"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1160000</w:t>
            </w:r>
          </w:p>
        </w:tc>
        <w:tc>
          <w:tcPr>
            <w:tcW w:w="1243" w:type="dxa"/>
            <w:tcBorders>
              <w:top w:val="nil"/>
              <w:left w:val="nil"/>
              <w:bottom w:val="single" w:sz="4" w:space="0" w:color="auto"/>
              <w:right w:val="single" w:sz="4" w:space="0" w:color="auto"/>
            </w:tcBorders>
            <w:shd w:val="clear" w:color="auto" w:fill="auto"/>
            <w:noWrap/>
            <w:vAlign w:val="bottom"/>
            <w:hideMark/>
          </w:tcPr>
          <w:p w14:paraId="6CDE245A"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200000</w:t>
            </w:r>
          </w:p>
        </w:tc>
        <w:tc>
          <w:tcPr>
            <w:tcW w:w="2990" w:type="dxa"/>
            <w:tcBorders>
              <w:top w:val="nil"/>
              <w:left w:val="nil"/>
              <w:bottom w:val="single" w:sz="4" w:space="0" w:color="auto"/>
              <w:right w:val="single" w:sz="4" w:space="0" w:color="auto"/>
            </w:tcBorders>
            <w:shd w:val="clear" w:color="auto" w:fill="auto"/>
            <w:noWrap/>
            <w:vAlign w:val="bottom"/>
            <w:hideMark/>
          </w:tcPr>
          <w:p w14:paraId="6CDE245B"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Unfavourable</w:t>
            </w:r>
          </w:p>
        </w:tc>
      </w:tr>
      <w:tr w:rsidR="00350561" w:rsidRPr="00350561" w14:paraId="6CDE2464"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5D"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Fixed Overheads:</w:t>
            </w:r>
          </w:p>
        </w:tc>
        <w:tc>
          <w:tcPr>
            <w:tcW w:w="1585" w:type="dxa"/>
            <w:tcBorders>
              <w:top w:val="nil"/>
              <w:left w:val="nil"/>
              <w:bottom w:val="single" w:sz="4" w:space="0" w:color="auto"/>
              <w:right w:val="single" w:sz="4" w:space="0" w:color="auto"/>
            </w:tcBorders>
            <w:shd w:val="clear" w:color="auto" w:fill="auto"/>
            <w:noWrap/>
            <w:vAlign w:val="bottom"/>
            <w:hideMark/>
          </w:tcPr>
          <w:p w14:paraId="6CDE245E"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083" w:type="dxa"/>
            <w:tcBorders>
              <w:top w:val="nil"/>
              <w:left w:val="nil"/>
              <w:bottom w:val="single" w:sz="4" w:space="0" w:color="auto"/>
              <w:right w:val="single" w:sz="4" w:space="0" w:color="auto"/>
            </w:tcBorders>
            <w:shd w:val="clear" w:color="auto" w:fill="auto"/>
            <w:noWrap/>
            <w:vAlign w:val="bottom"/>
            <w:hideMark/>
          </w:tcPr>
          <w:p w14:paraId="6CDE245F"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146" w:type="dxa"/>
            <w:tcBorders>
              <w:top w:val="nil"/>
              <w:left w:val="nil"/>
              <w:bottom w:val="single" w:sz="4" w:space="0" w:color="auto"/>
              <w:right w:val="single" w:sz="4" w:space="0" w:color="auto"/>
            </w:tcBorders>
            <w:shd w:val="clear" w:color="auto" w:fill="auto"/>
            <w:noWrap/>
            <w:vAlign w:val="bottom"/>
            <w:hideMark/>
          </w:tcPr>
          <w:p w14:paraId="6CDE2460"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061" w:type="dxa"/>
            <w:tcBorders>
              <w:top w:val="nil"/>
              <w:left w:val="nil"/>
              <w:bottom w:val="single" w:sz="4" w:space="0" w:color="auto"/>
              <w:right w:val="single" w:sz="4" w:space="0" w:color="auto"/>
            </w:tcBorders>
            <w:shd w:val="clear" w:color="auto" w:fill="auto"/>
            <w:noWrap/>
            <w:vAlign w:val="bottom"/>
            <w:hideMark/>
          </w:tcPr>
          <w:p w14:paraId="6CDE2461"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243" w:type="dxa"/>
            <w:tcBorders>
              <w:top w:val="nil"/>
              <w:left w:val="nil"/>
              <w:bottom w:val="single" w:sz="4" w:space="0" w:color="auto"/>
              <w:right w:val="single" w:sz="4" w:space="0" w:color="auto"/>
            </w:tcBorders>
            <w:shd w:val="clear" w:color="auto" w:fill="auto"/>
            <w:noWrap/>
            <w:vAlign w:val="bottom"/>
            <w:hideMark/>
          </w:tcPr>
          <w:p w14:paraId="6CDE2462"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2990" w:type="dxa"/>
            <w:tcBorders>
              <w:top w:val="nil"/>
              <w:left w:val="nil"/>
              <w:bottom w:val="single" w:sz="4" w:space="0" w:color="auto"/>
              <w:right w:val="single" w:sz="4" w:space="0" w:color="auto"/>
            </w:tcBorders>
            <w:shd w:val="clear" w:color="auto" w:fill="auto"/>
            <w:noWrap/>
            <w:vAlign w:val="bottom"/>
            <w:hideMark/>
          </w:tcPr>
          <w:p w14:paraId="6CDE2463"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r>
      <w:tr w:rsidR="00350561" w:rsidRPr="00350561" w14:paraId="6CDE246C"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65"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Warehouse rental</w:t>
            </w:r>
          </w:p>
        </w:tc>
        <w:tc>
          <w:tcPr>
            <w:tcW w:w="1585" w:type="dxa"/>
            <w:tcBorders>
              <w:top w:val="nil"/>
              <w:left w:val="nil"/>
              <w:bottom w:val="single" w:sz="4" w:space="0" w:color="auto"/>
              <w:right w:val="single" w:sz="4" w:space="0" w:color="auto"/>
            </w:tcBorders>
            <w:shd w:val="clear" w:color="auto" w:fill="auto"/>
            <w:noWrap/>
            <w:vAlign w:val="bottom"/>
            <w:hideMark/>
          </w:tcPr>
          <w:p w14:paraId="6CDE2466"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083" w:type="dxa"/>
            <w:tcBorders>
              <w:top w:val="nil"/>
              <w:left w:val="nil"/>
              <w:bottom w:val="single" w:sz="4" w:space="0" w:color="auto"/>
              <w:right w:val="single" w:sz="4" w:space="0" w:color="auto"/>
            </w:tcBorders>
            <w:shd w:val="clear" w:color="auto" w:fill="auto"/>
            <w:noWrap/>
            <w:vAlign w:val="bottom"/>
            <w:hideMark/>
          </w:tcPr>
          <w:p w14:paraId="6CDE2467"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200000</w:t>
            </w:r>
          </w:p>
        </w:tc>
        <w:tc>
          <w:tcPr>
            <w:tcW w:w="1146" w:type="dxa"/>
            <w:tcBorders>
              <w:top w:val="nil"/>
              <w:left w:val="nil"/>
              <w:bottom w:val="single" w:sz="4" w:space="0" w:color="auto"/>
              <w:right w:val="single" w:sz="4" w:space="0" w:color="auto"/>
            </w:tcBorders>
            <w:shd w:val="clear" w:color="auto" w:fill="auto"/>
            <w:noWrap/>
            <w:vAlign w:val="bottom"/>
            <w:hideMark/>
          </w:tcPr>
          <w:p w14:paraId="6CDE2468"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170000</w:t>
            </w:r>
          </w:p>
        </w:tc>
        <w:tc>
          <w:tcPr>
            <w:tcW w:w="1061" w:type="dxa"/>
            <w:tcBorders>
              <w:top w:val="nil"/>
              <w:left w:val="nil"/>
              <w:bottom w:val="single" w:sz="4" w:space="0" w:color="auto"/>
              <w:right w:val="single" w:sz="4" w:space="0" w:color="auto"/>
            </w:tcBorders>
            <w:shd w:val="clear" w:color="auto" w:fill="auto"/>
            <w:noWrap/>
            <w:vAlign w:val="bottom"/>
            <w:hideMark/>
          </w:tcPr>
          <w:p w14:paraId="6CDE2469"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170000</w:t>
            </w:r>
          </w:p>
        </w:tc>
        <w:tc>
          <w:tcPr>
            <w:tcW w:w="1243" w:type="dxa"/>
            <w:tcBorders>
              <w:top w:val="nil"/>
              <w:left w:val="nil"/>
              <w:bottom w:val="single" w:sz="4" w:space="0" w:color="auto"/>
              <w:right w:val="single" w:sz="4" w:space="0" w:color="auto"/>
            </w:tcBorders>
            <w:shd w:val="clear" w:color="auto" w:fill="auto"/>
            <w:noWrap/>
            <w:vAlign w:val="bottom"/>
            <w:hideMark/>
          </w:tcPr>
          <w:p w14:paraId="6CDE246A"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2990" w:type="dxa"/>
            <w:tcBorders>
              <w:top w:val="nil"/>
              <w:left w:val="nil"/>
              <w:bottom w:val="single" w:sz="4" w:space="0" w:color="auto"/>
              <w:right w:val="single" w:sz="4" w:space="0" w:color="auto"/>
            </w:tcBorders>
            <w:shd w:val="clear" w:color="auto" w:fill="auto"/>
            <w:noWrap/>
            <w:vAlign w:val="bottom"/>
            <w:hideMark/>
          </w:tcPr>
          <w:p w14:paraId="6CDE246B"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r>
      <w:tr w:rsidR="00350561" w:rsidRPr="00350561" w14:paraId="6CDE2474"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6D"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Insurance</w:t>
            </w:r>
          </w:p>
        </w:tc>
        <w:tc>
          <w:tcPr>
            <w:tcW w:w="1585" w:type="dxa"/>
            <w:tcBorders>
              <w:top w:val="nil"/>
              <w:left w:val="nil"/>
              <w:bottom w:val="single" w:sz="4" w:space="0" w:color="auto"/>
              <w:right w:val="single" w:sz="4" w:space="0" w:color="auto"/>
            </w:tcBorders>
            <w:shd w:val="clear" w:color="auto" w:fill="auto"/>
            <w:noWrap/>
            <w:vAlign w:val="bottom"/>
            <w:hideMark/>
          </w:tcPr>
          <w:p w14:paraId="6CDE246E"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083" w:type="dxa"/>
            <w:tcBorders>
              <w:top w:val="nil"/>
              <w:left w:val="nil"/>
              <w:bottom w:val="single" w:sz="4" w:space="0" w:color="auto"/>
              <w:right w:val="single" w:sz="4" w:space="0" w:color="auto"/>
            </w:tcBorders>
            <w:shd w:val="clear" w:color="auto" w:fill="auto"/>
            <w:noWrap/>
            <w:vAlign w:val="bottom"/>
            <w:hideMark/>
          </w:tcPr>
          <w:p w14:paraId="6CDE246F"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100000</w:t>
            </w:r>
          </w:p>
        </w:tc>
        <w:tc>
          <w:tcPr>
            <w:tcW w:w="1146" w:type="dxa"/>
            <w:tcBorders>
              <w:top w:val="nil"/>
              <w:left w:val="nil"/>
              <w:bottom w:val="single" w:sz="4" w:space="0" w:color="auto"/>
              <w:right w:val="single" w:sz="4" w:space="0" w:color="auto"/>
            </w:tcBorders>
            <w:shd w:val="clear" w:color="auto" w:fill="auto"/>
            <w:noWrap/>
            <w:vAlign w:val="bottom"/>
            <w:hideMark/>
          </w:tcPr>
          <w:p w14:paraId="6CDE2470"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100000</w:t>
            </w:r>
          </w:p>
        </w:tc>
        <w:tc>
          <w:tcPr>
            <w:tcW w:w="1061" w:type="dxa"/>
            <w:tcBorders>
              <w:top w:val="nil"/>
              <w:left w:val="nil"/>
              <w:bottom w:val="single" w:sz="4" w:space="0" w:color="auto"/>
              <w:right w:val="single" w:sz="4" w:space="0" w:color="auto"/>
            </w:tcBorders>
            <w:shd w:val="clear" w:color="auto" w:fill="auto"/>
            <w:noWrap/>
            <w:vAlign w:val="bottom"/>
            <w:hideMark/>
          </w:tcPr>
          <w:p w14:paraId="6CDE2471"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100000</w:t>
            </w:r>
          </w:p>
        </w:tc>
        <w:tc>
          <w:tcPr>
            <w:tcW w:w="1243" w:type="dxa"/>
            <w:tcBorders>
              <w:top w:val="nil"/>
              <w:left w:val="nil"/>
              <w:bottom w:val="single" w:sz="4" w:space="0" w:color="auto"/>
              <w:right w:val="single" w:sz="4" w:space="0" w:color="auto"/>
            </w:tcBorders>
            <w:shd w:val="clear" w:color="auto" w:fill="auto"/>
            <w:noWrap/>
            <w:vAlign w:val="bottom"/>
            <w:hideMark/>
          </w:tcPr>
          <w:p w14:paraId="6CDE2472"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2990" w:type="dxa"/>
            <w:tcBorders>
              <w:top w:val="nil"/>
              <w:left w:val="nil"/>
              <w:bottom w:val="single" w:sz="4" w:space="0" w:color="auto"/>
              <w:right w:val="single" w:sz="4" w:space="0" w:color="auto"/>
            </w:tcBorders>
            <w:shd w:val="clear" w:color="auto" w:fill="auto"/>
            <w:noWrap/>
            <w:vAlign w:val="bottom"/>
            <w:hideMark/>
          </w:tcPr>
          <w:p w14:paraId="6CDE2473"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r>
      <w:tr w:rsidR="00350561" w:rsidRPr="00350561" w14:paraId="6CDE247C"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75" w14:textId="77777777" w:rsidR="00350561" w:rsidRPr="00350561" w:rsidRDefault="00350561" w:rsidP="00350561">
            <w:pPr>
              <w:spacing w:after="0" w:line="240" w:lineRule="auto"/>
              <w:jc w:val="left"/>
              <w:rPr>
                <w:rFonts w:eastAsia="Times New Roman" w:cs="Times New Roman"/>
                <w:color w:val="000000"/>
                <w:szCs w:val="24"/>
                <w:lang w:eastAsia="en-GB" w:bidi="hi-IN"/>
              </w:rPr>
            </w:pPr>
            <w:r w:rsidRPr="00350561">
              <w:rPr>
                <w:rFonts w:eastAsia="Times New Roman" w:cs="Times New Roman"/>
                <w:color w:val="000000"/>
                <w:szCs w:val="24"/>
                <w:lang w:eastAsia="en-GB" w:bidi="hi-IN"/>
              </w:rPr>
              <w:t>Fulltime warehouse supervisor salary</w:t>
            </w:r>
          </w:p>
        </w:tc>
        <w:tc>
          <w:tcPr>
            <w:tcW w:w="1585" w:type="dxa"/>
            <w:tcBorders>
              <w:top w:val="nil"/>
              <w:left w:val="nil"/>
              <w:bottom w:val="single" w:sz="4" w:space="0" w:color="auto"/>
              <w:right w:val="single" w:sz="4" w:space="0" w:color="auto"/>
            </w:tcBorders>
            <w:shd w:val="clear" w:color="auto" w:fill="auto"/>
            <w:noWrap/>
            <w:vAlign w:val="bottom"/>
            <w:hideMark/>
          </w:tcPr>
          <w:p w14:paraId="6CDE2476"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1083" w:type="dxa"/>
            <w:tcBorders>
              <w:top w:val="nil"/>
              <w:left w:val="nil"/>
              <w:bottom w:val="single" w:sz="4" w:space="0" w:color="auto"/>
              <w:right w:val="single" w:sz="4" w:space="0" w:color="auto"/>
            </w:tcBorders>
            <w:shd w:val="clear" w:color="auto" w:fill="auto"/>
            <w:noWrap/>
            <w:vAlign w:val="bottom"/>
            <w:hideMark/>
          </w:tcPr>
          <w:p w14:paraId="6CDE2477"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50000</w:t>
            </w:r>
          </w:p>
        </w:tc>
        <w:tc>
          <w:tcPr>
            <w:tcW w:w="1146" w:type="dxa"/>
            <w:tcBorders>
              <w:top w:val="nil"/>
              <w:left w:val="nil"/>
              <w:bottom w:val="single" w:sz="4" w:space="0" w:color="auto"/>
              <w:right w:val="single" w:sz="4" w:space="0" w:color="auto"/>
            </w:tcBorders>
            <w:shd w:val="clear" w:color="auto" w:fill="auto"/>
            <w:noWrap/>
            <w:vAlign w:val="bottom"/>
            <w:hideMark/>
          </w:tcPr>
          <w:p w14:paraId="6CDE2478"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35000</w:t>
            </w:r>
          </w:p>
        </w:tc>
        <w:tc>
          <w:tcPr>
            <w:tcW w:w="1061" w:type="dxa"/>
            <w:tcBorders>
              <w:top w:val="nil"/>
              <w:left w:val="nil"/>
              <w:bottom w:val="single" w:sz="4" w:space="0" w:color="auto"/>
              <w:right w:val="single" w:sz="4" w:space="0" w:color="auto"/>
            </w:tcBorders>
            <w:shd w:val="clear" w:color="auto" w:fill="auto"/>
            <w:noWrap/>
            <w:vAlign w:val="bottom"/>
            <w:hideMark/>
          </w:tcPr>
          <w:p w14:paraId="6CDE2479"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35000</w:t>
            </w:r>
          </w:p>
        </w:tc>
        <w:tc>
          <w:tcPr>
            <w:tcW w:w="1243" w:type="dxa"/>
            <w:tcBorders>
              <w:top w:val="nil"/>
              <w:left w:val="nil"/>
              <w:bottom w:val="single" w:sz="4" w:space="0" w:color="auto"/>
              <w:right w:val="single" w:sz="4" w:space="0" w:color="auto"/>
            </w:tcBorders>
            <w:shd w:val="clear" w:color="auto" w:fill="auto"/>
            <w:noWrap/>
            <w:vAlign w:val="bottom"/>
            <w:hideMark/>
          </w:tcPr>
          <w:p w14:paraId="6CDE247A"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c>
          <w:tcPr>
            <w:tcW w:w="2990" w:type="dxa"/>
            <w:tcBorders>
              <w:top w:val="nil"/>
              <w:left w:val="nil"/>
              <w:bottom w:val="single" w:sz="4" w:space="0" w:color="auto"/>
              <w:right w:val="single" w:sz="4" w:space="0" w:color="auto"/>
            </w:tcBorders>
            <w:shd w:val="clear" w:color="auto" w:fill="auto"/>
            <w:noWrap/>
            <w:vAlign w:val="bottom"/>
            <w:hideMark/>
          </w:tcPr>
          <w:p w14:paraId="6CDE247B" w14:textId="77777777" w:rsidR="00350561" w:rsidRPr="00350561" w:rsidRDefault="00350561" w:rsidP="00350561">
            <w:pPr>
              <w:spacing w:after="0" w:line="240" w:lineRule="auto"/>
              <w:jc w:val="center"/>
              <w:rPr>
                <w:rFonts w:eastAsia="Times New Roman" w:cs="Times New Roman"/>
                <w:color w:val="000000"/>
                <w:szCs w:val="24"/>
                <w:lang w:eastAsia="en-GB" w:bidi="hi-IN"/>
              </w:rPr>
            </w:pPr>
            <w:r w:rsidRPr="00350561">
              <w:rPr>
                <w:rFonts w:eastAsia="Times New Roman" w:cs="Times New Roman"/>
                <w:color w:val="000000"/>
                <w:szCs w:val="24"/>
                <w:lang w:eastAsia="en-GB" w:bidi="hi-IN"/>
              </w:rPr>
              <w:t> </w:t>
            </w:r>
          </w:p>
        </w:tc>
      </w:tr>
      <w:tr w:rsidR="00350561" w:rsidRPr="00350561" w14:paraId="6CDE2484" w14:textId="77777777" w:rsidTr="00350561">
        <w:trPr>
          <w:trHeight w:val="236"/>
          <w:jc w:val="center"/>
        </w:trPr>
        <w:tc>
          <w:tcPr>
            <w:tcW w:w="2445" w:type="dxa"/>
            <w:tcBorders>
              <w:top w:val="nil"/>
              <w:left w:val="single" w:sz="4" w:space="0" w:color="auto"/>
              <w:bottom w:val="single" w:sz="4" w:space="0" w:color="auto"/>
              <w:right w:val="single" w:sz="4" w:space="0" w:color="auto"/>
            </w:tcBorders>
            <w:shd w:val="clear" w:color="auto" w:fill="auto"/>
            <w:noWrap/>
            <w:vAlign w:val="bottom"/>
            <w:hideMark/>
          </w:tcPr>
          <w:p w14:paraId="6CDE247D" w14:textId="77777777" w:rsidR="00350561" w:rsidRPr="00350561" w:rsidRDefault="00350561" w:rsidP="00350561">
            <w:pPr>
              <w:spacing w:after="0" w:line="240" w:lineRule="auto"/>
              <w:jc w:val="left"/>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Net income</w:t>
            </w:r>
          </w:p>
        </w:tc>
        <w:tc>
          <w:tcPr>
            <w:tcW w:w="1585" w:type="dxa"/>
            <w:tcBorders>
              <w:top w:val="nil"/>
              <w:left w:val="nil"/>
              <w:bottom w:val="single" w:sz="4" w:space="0" w:color="auto"/>
              <w:right w:val="single" w:sz="4" w:space="0" w:color="auto"/>
            </w:tcBorders>
            <w:shd w:val="clear" w:color="auto" w:fill="auto"/>
            <w:noWrap/>
            <w:vAlign w:val="bottom"/>
            <w:hideMark/>
          </w:tcPr>
          <w:p w14:paraId="6CDE247E"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 </w:t>
            </w:r>
          </w:p>
        </w:tc>
        <w:tc>
          <w:tcPr>
            <w:tcW w:w="1083" w:type="dxa"/>
            <w:tcBorders>
              <w:top w:val="nil"/>
              <w:left w:val="nil"/>
              <w:bottom w:val="single" w:sz="4" w:space="0" w:color="auto"/>
              <w:right w:val="single" w:sz="4" w:space="0" w:color="auto"/>
            </w:tcBorders>
            <w:shd w:val="clear" w:color="auto" w:fill="auto"/>
            <w:noWrap/>
            <w:vAlign w:val="bottom"/>
            <w:hideMark/>
          </w:tcPr>
          <w:p w14:paraId="6CDE247F"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1350000</w:t>
            </w:r>
          </w:p>
        </w:tc>
        <w:tc>
          <w:tcPr>
            <w:tcW w:w="1146" w:type="dxa"/>
            <w:tcBorders>
              <w:top w:val="nil"/>
              <w:left w:val="nil"/>
              <w:bottom w:val="single" w:sz="4" w:space="0" w:color="auto"/>
              <w:right w:val="single" w:sz="4" w:space="0" w:color="auto"/>
            </w:tcBorders>
            <w:shd w:val="clear" w:color="auto" w:fill="auto"/>
            <w:noWrap/>
            <w:vAlign w:val="bottom"/>
            <w:hideMark/>
          </w:tcPr>
          <w:p w14:paraId="6CDE2480"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1055000</w:t>
            </w:r>
          </w:p>
        </w:tc>
        <w:tc>
          <w:tcPr>
            <w:tcW w:w="1061" w:type="dxa"/>
            <w:tcBorders>
              <w:top w:val="nil"/>
              <w:left w:val="nil"/>
              <w:bottom w:val="single" w:sz="4" w:space="0" w:color="auto"/>
              <w:right w:val="single" w:sz="4" w:space="0" w:color="auto"/>
            </w:tcBorders>
            <w:shd w:val="clear" w:color="auto" w:fill="auto"/>
            <w:noWrap/>
            <w:vAlign w:val="bottom"/>
            <w:hideMark/>
          </w:tcPr>
          <w:p w14:paraId="6CDE2481"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855000</w:t>
            </w:r>
          </w:p>
        </w:tc>
        <w:tc>
          <w:tcPr>
            <w:tcW w:w="1243" w:type="dxa"/>
            <w:tcBorders>
              <w:top w:val="nil"/>
              <w:left w:val="nil"/>
              <w:bottom w:val="single" w:sz="4" w:space="0" w:color="auto"/>
              <w:right w:val="single" w:sz="4" w:space="0" w:color="auto"/>
            </w:tcBorders>
            <w:shd w:val="clear" w:color="auto" w:fill="auto"/>
            <w:noWrap/>
            <w:vAlign w:val="bottom"/>
            <w:hideMark/>
          </w:tcPr>
          <w:p w14:paraId="6CDE2482"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200000</w:t>
            </w:r>
          </w:p>
        </w:tc>
        <w:tc>
          <w:tcPr>
            <w:tcW w:w="2990" w:type="dxa"/>
            <w:tcBorders>
              <w:top w:val="nil"/>
              <w:left w:val="nil"/>
              <w:bottom w:val="single" w:sz="4" w:space="0" w:color="auto"/>
              <w:right w:val="single" w:sz="4" w:space="0" w:color="auto"/>
            </w:tcBorders>
            <w:shd w:val="clear" w:color="auto" w:fill="auto"/>
            <w:noWrap/>
            <w:vAlign w:val="bottom"/>
            <w:hideMark/>
          </w:tcPr>
          <w:p w14:paraId="6CDE2483" w14:textId="77777777" w:rsidR="00350561" w:rsidRPr="00350561" w:rsidRDefault="00350561" w:rsidP="00350561">
            <w:pPr>
              <w:spacing w:after="0" w:line="240" w:lineRule="auto"/>
              <w:jc w:val="center"/>
              <w:rPr>
                <w:rFonts w:eastAsia="Times New Roman" w:cs="Times New Roman"/>
                <w:b/>
                <w:bCs/>
                <w:i/>
                <w:iCs/>
                <w:color w:val="000000"/>
                <w:szCs w:val="24"/>
                <w:lang w:eastAsia="en-GB" w:bidi="hi-IN"/>
              </w:rPr>
            </w:pPr>
            <w:r w:rsidRPr="00350561">
              <w:rPr>
                <w:rFonts w:eastAsia="Times New Roman" w:cs="Times New Roman"/>
                <w:b/>
                <w:bCs/>
                <w:i/>
                <w:iCs/>
                <w:color w:val="000000"/>
                <w:szCs w:val="24"/>
                <w:lang w:eastAsia="en-GB" w:bidi="hi-IN"/>
              </w:rPr>
              <w:t>Unfavourable</w:t>
            </w:r>
          </w:p>
        </w:tc>
      </w:tr>
    </w:tbl>
    <w:p w14:paraId="6CDE2485" w14:textId="77777777" w:rsidR="00350561" w:rsidRDefault="00350561" w:rsidP="00350561">
      <w:pPr>
        <w:jc w:val="center"/>
      </w:pPr>
      <w:r>
        <w:t>Table.1. Source Made by Student</w:t>
      </w:r>
    </w:p>
    <w:p w14:paraId="6CDE2486" w14:textId="77777777" w:rsidR="00350561" w:rsidRDefault="003B11BB" w:rsidP="003B11BB">
      <w:pPr>
        <w:pStyle w:val="Heading2"/>
      </w:pPr>
      <w:bookmarkStart w:id="3" w:name="_Toc68789964"/>
      <w:r>
        <w:lastRenderedPageBreak/>
        <w:t>(ii) Report on Amana’s Performance</w:t>
      </w:r>
      <w:bookmarkEnd w:id="3"/>
      <w:r>
        <w:t xml:space="preserve"> </w:t>
      </w:r>
    </w:p>
    <w:p w14:paraId="6CDE2487" w14:textId="77777777" w:rsidR="009754D8" w:rsidRDefault="009754D8" w:rsidP="009754D8">
      <w:r>
        <w:t xml:space="preserve">To </w:t>
      </w:r>
    </w:p>
    <w:p w14:paraId="6CDE2488" w14:textId="77777777" w:rsidR="009754D8" w:rsidRDefault="009754D8" w:rsidP="009754D8">
      <w:r>
        <w:t>Chief Executive Officer,</w:t>
      </w:r>
    </w:p>
    <w:p w14:paraId="6CDE2489" w14:textId="77777777" w:rsidR="009754D8" w:rsidRPr="009754D8" w:rsidRDefault="009754D8" w:rsidP="009754D8">
      <w:r>
        <w:t>Amana Ltd.</w:t>
      </w:r>
    </w:p>
    <w:p w14:paraId="6CDE248A" w14:textId="77777777" w:rsidR="002A6BE1" w:rsidRDefault="00226B1F" w:rsidP="000F5E80">
      <w:r>
        <w:t>A budget which shows the sales, costs and profits that should have been expected from the actual level of production and sales is a flexed budget</w:t>
      </w:r>
      <w:r w:rsidR="002A6BE1">
        <w:t xml:space="preserve"> </w:t>
      </w:r>
      <w:sdt>
        <w:sdtPr>
          <w:id w:val="-585463363"/>
          <w:citation/>
        </w:sdtPr>
        <w:sdtEndPr/>
        <w:sdtContent>
          <w:r w:rsidR="002A6BE1">
            <w:fldChar w:fldCharType="begin"/>
          </w:r>
          <w:r w:rsidR="002A6BE1">
            <w:rPr>
              <w:lang w:val="en-US"/>
            </w:rPr>
            <w:instrText xml:space="preserve"> CITATION Bam20 \l 1033 </w:instrText>
          </w:r>
          <w:r w:rsidR="002A6BE1">
            <w:fldChar w:fldCharType="separate"/>
          </w:r>
          <w:r w:rsidR="002A6BE1" w:rsidRPr="002A6BE1">
            <w:rPr>
              <w:noProof/>
              <w:lang w:val="en-US"/>
            </w:rPr>
            <w:t>(Bamber &amp; Parry, 2020)</w:t>
          </w:r>
          <w:r w:rsidR="002A6BE1">
            <w:fldChar w:fldCharType="end"/>
          </w:r>
        </w:sdtContent>
      </w:sdt>
      <w:r>
        <w:t>.</w:t>
      </w:r>
      <w:r w:rsidR="00E21C53">
        <w:t xml:space="preserve"> Flexing the budget is important when the actual levels of activity become significantly different from original budget due to external factors. </w:t>
      </w:r>
      <w:r w:rsidR="002A6BE1">
        <w:t xml:space="preserve">Original budget of Amana Ltd. has been flexed to assess the effects of Covid-19 pandemic which is an important external factor that impacted the company. Flexed budget allows for far more useful and meaningful comparison of wages and material costs against what they are expected to be for actual levels of sales rather than original and no longer relevant levels of sales. </w:t>
      </w:r>
    </w:p>
    <w:p w14:paraId="6CDE248B" w14:textId="77777777" w:rsidR="000F5E80" w:rsidRDefault="002A6BE1" w:rsidP="000F5E80">
      <w:pPr>
        <w:rPr>
          <w:rFonts w:cs="Times New Roman"/>
        </w:rPr>
      </w:pPr>
      <w:r>
        <w:t xml:space="preserve">Flexed budget variance is the difference between actual results and flexed budget </w:t>
      </w:r>
      <w:sdt>
        <w:sdtPr>
          <w:id w:val="1127737584"/>
          <w:citation/>
        </w:sdtPr>
        <w:sdtEndPr/>
        <w:sdtContent>
          <w:r>
            <w:fldChar w:fldCharType="begin"/>
          </w:r>
          <w:r>
            <w:rPr>
              <w:lang w:val="en-US"/>
            </w:rPr>
            <w:instrText xml:space="preserve"> CITATION Wee1914 \l 1033 </w:instrText>
          </w:r>
          <w:r>
            <w:fldChar w:fldCharType="separate"/>
          </w:r>
          <w:r w:rsidRPr="002A6BE1">
            <w:rPr>
              <w:noProof/>
              <w:lang w:val="en-US"/>
            </w:rPr>
            <w:t>(Weetman, 2019)</w:t>
          </w:r>
          <w:r>
            <w:fldChar w:fldCharType="end"/>
          </w:r>
        </w:sdtContent>
      </w:sdt>
      <w:r>
        <w:t xml:space="preserve">. It shows the variance between actual costs and costs expected for actual level of activity. </w:t>
      </w:r>
      <w:r w:rsidR="00226B1F">
        <w:t xml:space="preserve"> </w:t>
      </w:r>
      <w:r w:rsidR="006A04F6">
        <w:t xml:space="preserve">Analysis of sales revenue showed that </w:t>
      </w:r>
      <w:r w:rsidR="009754D8">
        <w:t xml:space="preserve">the </w:t>
      </w:r>
      <w:r w:rsidR="00A72D15">
        <w:t>actual</w:t>
      </w:r>
      <w:r w:rsidR="009754D8">
        <w:t xml:space="preserve"> sales price </w:t>
      </w:r>
      <w:r w:rsidR="00A72D15">
        <w:t xml:space="preserve">was </w:t>
      </w:r>
      <w:r w:rsidR="00A72D15">
        <w:rPr>
          <w:rFonts w:cs="Times New Roman"/>
        </w:rPr>
        <w:t>£</w:t>
      </w:r>
      <w:r w:rsidR="00A72D15">
        <w:t xml:space="preserve">20 which was different from the original or the budgeted sales price of </w:t>
      </w:r>
      <w:r w:rsidR="00A72D15">
        <w:rPr>
          <w:rFonts w:cs="Times New Roman"/>
        </w:rPr>
        <w:t xml:space="preserve">£25 that resulted in an unfavourable variance of £400000. Unfavourable sales variance in Amana Ltd. might have resulted in lesser demand in tourism industry as a result of the Covid-19 pandemic. This would have caused the company to decrease the actual sales price </w:t>
      </w:r>
      <w:r w:rsidR="00E05BB4">
        <w:rPr>
          <w:rFonts w:cs="Times New Roman"/>
        </w:rPr>
        <w:t xml:space="preserve">per unit to maintain the existing customers. </w:t>
      </w:r>
      <w:r w:rsidR="00D8577C">
        <w:rPr>
          <w:rFonts w:cs="Times New Roman"/>
        </w:rPr>
        <w:t>It might also be due to the fact that the original selling price has been unrealistic and had to be lowered in order to remain competitive especially during the time of pandemic.</w:t>
      </w:r>
    </w:p>
    <w:p w14:paraId="6CDE248C" w14:textId="77777777" w:rsidR="00D8577C" w:rsidRDefault="00D8577C" w:rsidP="000F5E80">
      <w:pPr>
        <w:rPr>
          <w:rFonts w:cs="Times New Roman"/>
        </w:rPr>
      </w:pPr>
      <w:r>
        <w:rPr>
          <w:rFonts w:cs="Times New Roman"/>
        </w:rPr>
        <w:t xml:space="preserve">Material variances are those variances which arises when the actual cost of materials deviate from the standard cost of materials </w:t>
      </w:r>
      <w:sdt>
        <w:sdtPr>
          <w:rPr>
            <w:rFonts w:cs="Times New Roman"/>
          </w:rPr>
          <w:id w:val="521750640"/>
          <w:citation/>
        </w:sdtPr>
        <w:sdtEndPr/>
        <w:sdtContent>
          <w:r>
            <w:rPr>
              <w:rFonts w:cs="Times New Roman"/>
            </w:rPr>
            <w:fldChar w:fldCharType="begin"/>
          </w:r>
          <w:r>
            <w:rPr>
              <w:rFonts w:cs="Times New Roman"/>
              <w:lang w:val="en-US"/>
            </w:rPr>
            <w:instrText xml:space="preserve"> CITATION Sco194 \l 1033 </w:instrText>
          </w:r>
          <w:r>
            <w:rPr>
              <w:rFonts w:cs="Times New Roman"/>
            </w:rPr>
            <w:fldChar w:fldCharType="separate"/>
          </w:r>
          <w:r w:rsidRPr="00D8577C">
            <w:rPr>
              <w:rFonts w:cs="Times New Roman"/>
              <w:noProof/>
              <w:lang w:val="en-US"/>
            </w:rPr>
            <w:t>(Scott, 2019)</w:t>
          </w:r>
          <w:r>
            <w:rPr>
              <w:rFonts w:cs="Times New Roman"/>
            </w:rPr>
            <w:fldChar w:fldCharType="end"/>
          </w:r>
        </w:sdtContent>
      </w:sdt>
      <w:r>
        <w:rPr>
          <w:rFonts w:cs="Times New Roman"/>
        </w:rPr>
        <w:t xml:space="preserve">. </w:t>
      </w:r>
      <w:r w:rsidR="006514D3">
        <w:rPr>
          <w:rFonts w:cs="Times New Roman"/>
        </w:rPr>
        <w:t xml:space="preserve">Under the current scenario, it could be observed that material variance in Amana Ltd. is unfavourable </w:t>
      </w:r>
      <w:r w:rsidR="000A30DB">
        <w:rPr>
          <w:rFonts w:cs="Times New Roman"/>
        </w:rPr>
        <w:t xml:space="preserve">(£80000) </w:t>
      </w:r>
      <w:r w:rsidR="006514D3">
        <w:rPr>
          <w:rFonts w:cs="Times New Roman"/>
        </w:rPr>
        <w:t xml:space="preserve">so that costs are high as far as materials are concerned. Unfavourable material variance in Amana Ltd. might have occurred from the rise in the price general price level which would have increased the </w:t>
      </w:r>
      <w:r w:rsidR="00BD4259">
        <w:rPr>
          <w:rFonts w:cs="Times New Roman"/>
        </w:rPr>
        <w:t xml:space="preserve">input costs of the vendor. This would lead to vendor increasing the price of the materials resulting in high material costs. It might also be due to inefficiencies in standard setting in terms of forecasting and environmental scanning </w:t>
      </w:r>
      <w:r w:rsidR="00607215">
        <w:rPr>
          <w:rFonts w:cs="Times New Roman"/>
        </w:rPr>
        <w:t xml:space="preserve">without anticipating the uncertainties due to external factors from the business </w:t>
      </w:r>
      <w:r w:rsidR="00764EB6">
        <w:rPr>
          <w:rFonts w:cs="Times New Roman"/>
        </w:rPr>
        <w:t>environment</w:t>
      </w:r>
      <w:r w:rsidR="00607215">
        <w:rPr>
          <w:rFonts w:cs="Times New Roman"/>
        </w:rPr>
        <w:t xml:space="preserve">. </w:t>
      </w:r>
      <w:r w:rsidR="00764EB6">
        <w:rPr>
          <w:rFonts w:cs="Times New Roman"/>
        </w:rPr>
        <w:t>Unfavourable material variance might also be due to government interference especially due to Covid-19 pandemic</w:t>
      </w:r>
      <w:r w:rsidR="000A30DB">
        <w:rPr>
          <w:rFonts w:cs="Times New Roman"/>
        </w:rPr>
        <w:t xml:space="preserve"> and other seasonal variations</w:t>
      </w:r>
      <w:r w:rsidR="00764EB6">
        <w:rPr>
          <w:rFonts w:cs="Times New Roman"/>
        </w:rPr>
        <w:t xml:space="preserve">. Unfavourable deviation of material variance can also be due to inefficient or unreliable </w:t>
      </w:r>
      <w:r w:rsidR="00764EB6">
        <w:rPr>
          <w:rFonts w:cs="Times New Roman"/>
        </w:rPr>
        <w:lastRenderedPageBreak/>
        <w:t>suppliers which would have made Amana Ltd. to change from current supplier to more costly supplier.</w:t>
      </w:r>
    </w:p>
    <w:p w14:paraId="6CDE248D" w14:textId="77777777" w:rsidR="00764EB6" w:rsidRDefault="00C247C2" w:rsidP="000F5E80">
      <w:pPr>
        <w:rPr>
          <w:rFonts w:cs="Times New Roman"/>
        </w:rPr>
      </w:pPr>
      <w:r>
        <w:rPr>
          <w:rFonts w:cs="Times New Roman"/>
        </w:rPr>
        <w:t>Labour cost variances</w:t>
      </w:r>
      <w:r w:rsidR="00F576E5">
        <w:rPr>
          <w:rFonts w:cs="Times New Roman"/>
        </w:rPr>
        <w:t xml:space="preserve"> arise when the actual cost of labour deviate from the budgeted cost of labour </w:t>
      </w:r>
      <w:sdt>
        <w:sdtPr>
          <w:rPr>
            <w:rFonts w:cs="Times New Roman"/>
          </w:rPr>
          <w:id w:val="-497037970"/>
          <w:citation/>
        </w:sdtPr>
        <w:sdtEndPr/>
        <w:sdtContent>
          <w:r w:rsidR="00F576E5">
            <w:rPr>
              <w:rFonts w:cs="Times New Roman"/>
            </w:rPr>
            <w:fldChar w:fldCharType="begin"/>
          </w:r>
          <w:r w:rsidR="00F576E5">
            <w:rPr>
              <w:rFonts w:cs="Times New Roman"/>
              <w:lang w:val="en-US"/>
            </w:rPr>
            <w:instrText xml:space="preserve"> CITATION Wey171 \l 1033 </w:instrText>
          </w:r>
          <w:r w:rsidR="00F576E5">
            <w:rPr>
              <w:rFonts w:cs="Times New Roman"/>
            </w:rPr>
            <w:fldChar w:fldCharType="separate"/>
          </w:r>
          <w:r w:rsidR="00F576E5" w:rsidRPr="00F576E5">
            <w:rPr>
              <w:rFonts w:cs="Times New Roman"/>
              <w:noProof/>
              <w:lang w:val="en-US"/>
            </w:rPr>
            <w:t>(Weygandt, et al., 2017)</w:t>
          </w:r>
          <w:r w:rsidR="00F576E5">
            <w:rPr>
              <w:rFonts w:cs="Times New Roman"/>
            </w:rPr>
            <w:fldChar w:fldCharType="end"/>
          </w:r>
        </w:sdtContent>
      </w:sdt>
      <w:r w:rsidR="00F576E5">
        <w:rPr>
          <w:rFonts w:cs="Times New Roman"/>
        </w:rPr>
        <w:t xml:space="preserve">. </w:t>
      </w:r>
      <w:r w:rsidR="000A30DB">
        <w:rPr>
          <w:rFonts w:cs="Times New Roman"/>
        </w:rPr>
        <w:t>It could be observed that Amana Ltd. had an unfavourable labour variance of £120000 indicating high labour costs compared to budget. Unfavourable labour cost variance in Amana Ltd. might have resulted from local job market conditions due to the effect of Covid-19 pandemic which would have affected the hourly rates of the employees. It might also be due to changes in the legislative factors like changes in the minimum wages setting in the country</w:t>
      </w:r>
      <w:r w:rsidR="00815E83">
        <w:rPr>
          <w:rFonts w:cs="Times New Roman"/>
        </w:rPr>
        <w:t xml:space="preserve">. </w:t>
      </w:r>
      <w:r w:rsidR="00DC510E">
        <w:rPr>
          <w:rFonts w:cs="Times New Roman"/>
        </w:rPr>
        <w:t xml:space="preserve">Improper standard setting in terms of labour rates without considering the business environment, external factors and uncertainties would also have contributed to unfavourable variances in Amana Ltd. It might also have resulted from the introduction or withdrawal of some incentives or bonus schemes to the employees of </w:t>
      </w:r>
      <w:r w:rsidR="00683D14">
        <w:rPr>
          <w:rFonts w:cs="Times New Roman"/>
        </w:rPr>
        <w:t>Amana Ltd.</w:t>
      </w:r>
    </w:p>
    <w:p w14:paraId="6CDE248E" w14:textId="77777777" w:rsidR="00683D14" w:rsidRDefault="00683D14" w:rsidP="000F5E80">
      <w:pPr>
        <w:rPr>
          <w:rFonts w:cs="Times New Roman"/>
        </w:rPr>
      </w:pPr>
      <w:r>
        <w:rPr>
          <w:rFonts w:cs="Times New Roman"/>
        </w:rPr>
        <w:t xml:space="preserve">Overhead variance is the difference between standard cost of overhead allowed for actual output achieved and actual overhead cost incurred which might result in under/over absorption of overheads </w:t>
      </w:r>
      <w:sdt>
        <w:sdtPr>
          <w:rPr>
            <w:rFonts w:cs="Times New Roman"/>
          </w:rPr>
          <w:id w:val="-1096484915"/>
          <w:citation/>
        </w:sdtPr>
        <w:sdtEndPr/>
        <w:sdtContent>
          <w:r>
            <w:rPr>
              <w:rFonts w:cs="Times New Roman"/>
            </w:rPr>
            <w:fldChar w:fldCharType="begin"/>
          </w:r>
          <w:r>
            <w:rPr>
              <w:rFonts w:cs="Times New Roman"/>
              <w:lang w:val="en-US"/>
            </w:rPr>
            <w:instrText xml:space="preserve"> CITATION Tem194 \l 1033 </w:instrText>
          </w:r>
          <w:r>
            <w:rPr>
              <w:rFonts w:cs="Times New Roman"/>
            </w:rPr>
            <w:fldChar w:fldCharType="separate"/>
          </w:r>
          <w:r w:rsidRPr="00683D14">
            <w:rPr>
              <w:rFonts w:cs="Times New Roman"/>
              <w:noProof/>
              <w:lang w:val="en-US"/>
            </w:rPr>
            <w:t>(Templar, 2019)</w:t>
          </w:r>
          <w:r>
            <w:rPr>
              <w:rFonts w:cs="Times New Roman"/>
            </w:rPr>
            <w:fldChar w:fldCharType="end"/>
          </w:r>
        </w:sdtContent>
      </w:sdt>
      <w:r>
        <w:rPr>
          <w:rFonts w:cs="Times New Roman"/>
        </w:rPr>
        <w:t xml:space="preserve">. </w:t>
      </w:r>
      <w:r w:rsidR="0048399E">
        <w:rPr>
          <w:rFonts w:cs="Times New Roman"/>
        </w:rPr>
        <w:t xml:space="preserve">It could be observed that actual variable overheads in Amana Ltd. did not deviate from the budget showing efficiency of the company in controlling the variable overhead costs. The company has followed correct budgeting with regard to variable overheads. Fixed overheads would not be flexed as they are fixed in nature and thus would not result in any variances. </w:t>
      </w:r>
      <w:r w:rsidR="00767CDD">
        <w:rPr>
          <w:rFonts w:cs="Times New Roman"/>
        </w:rPr>
        <w:t xml:space="preserve">All the variable costs in Amana Ltd. showed an unfavourable variance along with an unfavourable sales variance resulting in an unfavourable contribution and unfavourable net income in the company. </w:t>
      </w:r>
      <w:r w:rsidR="00D064C5">
        <w:rPr>
          <w:rFonts w:cs="Times New Roman"/>
        </w:rPr>
        <w:t>Amana Ltd. should find ways to control the variable costs in the company in order to earn additional revenue.</w:t>
      </w:r>
    </w:p>
    <w:p w14:paraId="6CDE248F" w14:textId="77777777" w:rsidR="00D064C5" w:rsidRDefault="00D22459" w:rsidP="00D22459">
      <w:pPr>
        <w:pStyle w:val="Heading2"/>
      </w:pPr>
      <w:bookmarkStart w:id="4" w:name="_Toc68789965"/>
      <w:r>
        <w:t>(iii) Recommendations for Improvement</w:t>
      </w:r>
      <w:bookmarkEnd w:id="4"/>
    </w:p>
    <w:p w14:paraId="6CDE2490" w14:textId="77777777" w:rsidR="00D22459" w:rsidRDefault="0096515F" w:rsidP="00D22459">
      <w:r>
        <w:t xml:space="preserve">Variance analysis is an important tool in management accounting that helps in </w:t>
      </w:r>
      <w:r w:rsidR="00136C33">
        <w:t xml:space="preserve">improving performance of a business enterprise through comparison of actual performance with budgeted performance </w:t>
      </w:r>
      <w:sdt>
        <w:sdtPr>
          <w:id w:val="1309364455"/>
          <w:citation/>
        </w:sdtPr>
        <w:sdtEndPr/>
        <w:sdtContent>
          <w:r w:rsidR="00136C33">
            <w:fldChar w:fldCharType="begin"/>
          </w:r>
          <w:r w:rsidR="00136C33">
            <w:rPr>
              <w:lang w:val="en-US"/>
            </w:rPr>
            <w:instrText xml:space="preserve"> CITATION Boy18 \l 1033 </w:instrText>
          </w:r>
          <w:r w:rsidR="00136C33">
            <w:fldChar w:fldCharType="separate"/>
          </w:r>
          <w:r w:rsidR="00136C33" w:rsidRPr="00136C33">
            <w:rPr>
              <w:noProof/>
              <w:lang w:val="en-US"/>
            </w:rPr>
            <w:t>(Boyd, 2018)</w:t>
          </w:r>
          <w:r w:rsidR="00136C33">
            <w:fldChar w:fldCharType="end"/>
          </w:r>
        </w:sdtContent>
      </w:sdt>
      <w:r w:rsidR="00136C33">
        <w:t xml:space="preserve">. </w:t>
      </w:r>
      <w:r w:rsidR="000C4F90">
        <w:t xml:space="preserve">Unfavourable sales variance in Amana Ltd. could be controlled through better budgeting of the sales price taking into consideration of the external events that would affect the entity in the future. Although the pandemic like Covid-19 was not predictable some provisions should be made for adjusting </w:t>
      </w:r>
      <w:r w:rsidR="00450194">
        <w:t>the sales price during uncertainty which would reduce the variance between the stand</w:t>
      </w:r>
      <w:r w:rsidR="00D37FEC">
        <w:t xml:space="preserve">ard and the actual sales price and thus become favourable to Amana Ltd. Unrealistic price assumption should be avoided as it might lead to </w:t>
      </w:r>
      <w:r w:rsidR="00AC167C">
        <w:t xml:space="preserve">losses for the </w:t>
      </w:r>
      <w:r w:rsidR="00AC167C">
        <w:lastRenderedPageBreak/>
        <w:t xml:space="preserve">company. </w:t>
      </w:r>
      <w:r w:rsidR="00012BF7">
        <w:t>Other methods like addition of new features</w:t>
      </w:r>
      <w:r w:rsidR="00827B06">
        <w:t xml:space="preserve"> to the product or service</w:t>
      </w:r>
      <w:r w:rsidR="00012BF7">
        <w:t xml:space="preserve">, </w:t>
      </w:r>
      <w:r w:rsidR="00827B06">
        <w:t xml:space="preserve">new techniques of marketing etc. would help in attracting new customers and thus the sales revenue can be improved enhancing the profitability of the company. </w:t>
      </w:r>
      <w:r w:rsidR="00D151F2">
        <w:t xml:space="preserve">Demand and supply fluctuations in the market should also be considered </w:t>
      </w:r>
      <w:r w:rsidR="007F1F57">
        <w:t xml:space="preserve">while fixing the sales price. Sales price in relation to competitors would also </w:t>
      </w:r>
      <w:r w:rsidR="000A3ECE">
        <w:t>help Amana Ltd. making realistic sales price reducing the variance.</w:t>
      </w:r>
    </w:p>
    <w:p w14:paraId="6CDE2491" w14:textId="77777777" w:rsidR="000A3ECE" w:rsidRDefault="00781E14" w:rsidP="00D22459">
      <w:r>
        <w:t xml:space="preserve">Variance analysis and investigation is important for a business enterprise to communicate relevant information to the various stakeholders of the business </w:t>
      </w:r>
      <w:sdt>
        <w:sdtPr>
          <w:id w:val="1581173437"/>
          <w:citation/>
        </w:sdtPr>
        <w:sdtEndPr/>
        <w:sdtContent>
          <w:r>
            <w:fldChar w:fldCharType="begin"/>
          </w:r>
          <w:r>
            <w:rPr>
              <w:lang w:val="en-US"/>
            </w:rPr>
            <w:instrText xml:space="preserve"> CITATION Dru187 \l 1033 </w:instrText>
          </w:r>
          <w:r>
            <w:fldChar w:fldCharType="separate"/>
          </w:r>
          <w:r w:rsidRPr="00781E14">
            <w:rPr>
              <w:noProof/>
              <w:lang w:val="en-US"/>
            </w:rPr>
            <w:t>(Drury, 2018)</w:t>
          </w:r>
          <w:r>
            <w:fldChar w:fldCharType="end"/>
          </w:r>
        </w:sdtContent>
      </w:sdt>
      <w:r>
        <w:t xml:space="preserve">. </w:t>
      </w:r>
      <w:r w:rsidR="007B294C">
        <w:t>Amana Ltd. should prepare a proper agreement with a specific price for the materials from the suppliers in order to prevent any price change in the future. Amana Ltd. should have multiple suppliers for the materials which would help them to balance the risk if one of the suppliers go bankrupt or face some other issue.</w:t>
      </w:r>
      <w:r w:rsidR="00D30982">
        <w:t xml:space="preserve"> This would increase the bargaining power of Amana Ltd. and would prevent any unreasonable price increases. Proper training should be given to the staff of purchasing department to negotiate the price with the suppliers and thus become more efficient. The standard cost of material must reflect the real situation in the company as setting incorrect budgets would demotivate the employees and thus results in adverse variances.</w:t>
      </w:r>
    </w:p>
    <w:p w14:paraId="6CDE2492" w14:textId="77777777" w:rsidR="0091099E" w:rsidRDefault="003354E9" w:rsidP="00D22459">
      <w:r>
        <w:t xml:space="preserve">Variance analysis helps the management of a business organisation in fixing the responsibility of performance of each division as well as the organisation as a whole </w:t>
      </w:r>
      <w:sdt>
        <w:sdtPr>
          <w:id w:val="-1968885280"/>
          <w:citation/>
        </w:sdtPr>
        <w:sdtEndPr/>
        <w:sdtContent>
          <w:r>
            <w:fldChar w:fldCharType="begin"/>
          </w:r>
          <w:r>
            <w:rPr>
              <w:lang w:val="en-US"/>
            </w:rPr>
            <w:instrText xml:space="preserve"> CITATION Mow181 \l 1033 </w:instrText>
          </w:r>
          <w:r>
            <w:fldChar w:fldCharType="separate"/>
          </w:r>
          <w:r w:rsidRPr="003354E9">
            <w:rPr>
              <w:noProof/>
              <w:lang w:val="en-US"/>
            </w:rPr>
            <w:t>(Mowen, et al., 2018)</w:t>
          </w:r>
          <w:r>
            <w:fldChar w:fldCharType="end"/>
          </w:r>
        </w:sdtContent>
      </w:sdt>
      <w:r>
        <w:t xml:space="preserve">. </w:t>
      </w:r>
      <w:r w:rsidR="00003783">
        <w:t xml:space="preserve">Amana Ltd. should set accurate and attainable standards for labour rates. If the production department do not have control over the preparation of direct labour budget, achievement of organisational goals might not even be feasible. </w:t>
      </w:r>
      <w:r w:rsidR="00655949">
        <w:t>Amana Ltd. should employ right staff with necessary experience and skill in the preparation of budgets.</w:t>
      </w:r>
      <w:r w:rsidR="003B2892">
        <w:t xml:space="preserve"> Amana Ltd. should be careful in setting the plans for incentives and bonus of the employees and the wage payments should be according to the minimum wage rates prevalent in the countries. The company should be cautious as the actual amounts paid might include extra payments for shift differentials or overtime </w:t>
      </w:r>
      <w:sdt>
        <w:sdtPr>
          <w:id w:val="798722959"/>
          <w:citation/>
        </w:sdtPr>
        <w:sdtEndPr/>
        <w:sdtContent>
          <w:r w:rsidR="003B2892">
            <w:fldChar w:fldCharType="begin"/>
          </w:r>
          <w:r w:rsidR="003B2892">
            <w:rPr>
              <w:lang w:val="en-US"/>
            </w:rPr>
            <w:instrText xml:space="preserve"> CITATION Han191 \l 1033 </w:instrText>
          </w:r>
          <w:r w:rsidR="003B2892">
            <w:fldChar w:fldCharType="separate"/>
          </w:r>
          <w:r w:rsidR="003B2892" w:rsidRPr="003B2892">
            <w:rPr>
              <w:noProof/>
              <w:lang w:val="en-US"/>
            </w:rPr>
            <w:t>(Hanif, 2019)</w:t>
          </w:r>
          <w:r w:rsidR="003B2892">
            <w:fldChar w:fldCharType="end"/>
          </w:r>
        </w:sdtContent>
      </w:sdt>
      <w:r w:rsidR="00C61B58">
        <w:t xml:space="preserve">. </w:t>
      </w:r>
      <w:r w:rsidR="0091099E">
        <w:t>Amana Ltd. should also be cautious on assessing the outcome of contract negotiations with any unions representing the staff of the company and also the number of employees retiring from the organisation.</w:t>
      </w:r>
    </w:p>
    <w:p w14:paraId="6CDE2493" w14:textId="77777777" w:rsidR="00D30982" w:rsidRDefault="007B425C" w:rsidP="00D22459">
      <w:r>
        <w:t>Therefore Amana Ltd. should control all the variable costs in order to enhance the sales and profits which would help in maintaining the business during the pandemic. It can also adopt diversified ways of marketing the products like online platform for selling the souvenirs for earning additional revenue.</w:t>
      </w:r>
      <w:r w:rsidR="0091099E">
        <w:t xml:space="preserve"> </w:t>
      </w:r>
      <w:r w:rsidR="00655949">
        <w:t xml:space="preserve"> </w:t>
      </w:r>
    </w:p>
    <w:p w14:paraId="6CDE2494" w14:textId="77777777" w:rsidR="00AB77D7" w:rsidRDefault="00AB77D7" w:rsidP="00D22459">
      <w:r>
        <w:t>Yours Sincerely</w:t>
      </w:r>
    </w:p>
    <w:p w14:paraId="6CDE2495" w14:textId="77777777" w:rsidR="00AB77D7" w:rsidRDefault="00AB77D7" w:rsidP="00D22459">
      <w:r>
        <w:lastRenderedPageBreak/>
        <w:t>PQR, Manager</w:t>
      </w:r>
    </w:p>
    <w:p w14:paraId="6CDE2496" w14:textId="77777777" w:rsidR="00463C9E" w:rsidRDefault="00463C9E" w:rsidP="00463C9E">
      <w:pPr>
        <w:pStyle w:val="Heading1"/>
      </w:pPr>
      <w:bookmarkStart w:id="5" w:name="_Toc68789966"/>
      <w:r>
        <w:t>Part B</w:t>
      </w:r>
      <w:bookmarkEnd w:id="5"/>
    </w:p>
    <w:p w14:paraId="6CDE2497" w14:textId="77777777" w:rsidR="00463C9E" w:rsidRDefault="00CC49E7" w:rsidP="00CC49E7">
      <w:pPr>
        <w:pStyle w:val="Heading2"/>
      </w:pPr>
      <w:bookmarkStart w:id="6" w:name="_Toc68789967"/>
      <w:r>
        <w:t>Analysis of Own Online Shop or Amazon</w:t>
      </w:r>
      <w:bookmarkEnd w:id="6"/>
    </w:p>
    <w:p w14:paraId="6CDE2498" w14:textId="77777777" w:rsidR="00CC49E7" w:rsidRDefault="005F36DB" w:rsidP="00CC49E7">
      <w:r>
        <w:t>E-commerce website is one of the emerging and thriving sectors of web marketing</w:t>
      </w:r>
      <w:sdt>
        <w:sdtPr>
          <w:id w:val="1395383404"/>
          <w:citation/>
        </w:sdtPr>
        <w:sdtEndPr/>
        <w:sdtContent>
          <w:r>
            <w:fldChar w:fldCharType="begin"/>
          </w:r>
          <w:r>
            <w:rPr>
              <w:lang w:val="en-US"/>
            </w:rPr>
            <w:instrText xml:space="preserve"> CITATION Pot21 \l 1033 </w:instrText>
          </w:r>
          <w:r>
            <w:fldChar w:fldCharType="separate"/>
          </w:r>
          <w:r>
            <w:rPr>
              <w:noProof/>
              <w:lang w:val="en-US"/>
            </w:rPr>
            <w:t xml:space="preserve"> </w:t>
          </w:r>
          <w:r w:rsidRPr="005F36DB">
            <w:rPr>
              <w:noProof/>
              <w:lang w:val="en-US"/>
            </w:rPr>
            <w:t>(Potter, 2021)</w:t>
          </w:r>
          <w:r>
            <w:fldChar w:fldCharType="end"/>
          </w:r>
        </w:sdtContent>
      </w:sdt>
      <w:r>
        <w:t xml:space="preserve">. </w:t>
      </w:r>
      <w:r w:rsidR="00C0213D">
        <w:t xml:space="preserve">Mr. Amana, the owner of Amana Ltd. had noticed that many of its competitors have started to sell online to the customers in Europe, UK and US. As a result, Mr. Amana is planning to </w:t>
      </w:r>
      <w:r w:rsidR="00C94C68">
        <w:t>close</w:t>
      </w:r>
      <w:r w:rsidR="00C0213D">
        <w:t xml:space="preserve"> some branches and move 50% of sales online. </w:t>
      </w:r>
      <w:r w:rsidR="00C94C68">
        <w:t>A decision has to be made whether Amana should set up its own online shop or sell on Amazon considering various factors</w:t>
      </w:r>
      <w:r w:rsidR="004919F0">
        <w:t>.</w:t>
      </w:r>
    </w:p>
    <w:p w14:paraId="6CDE2499" w14:textId="77777777" w:rsidR="004919F0" w:rsidRDefault="00BF5090" w:rsidP="00CC49E7">
      <w:pPr>
        <w:rPr>
          <w:b/>
          <w:bCs/>
          <w:u w:val="single"/>
        </w:rPr>
      </w:pPr>
      <w:r w:rsidRPr="00BF5090">
        <w:rPr>
          <w:b/>
          <w:bCs/>
          <w:u w:val="single"/>
        </w:rPr>
        <w:t>1. Cost</w:t>
      </w:r>
      <w:r>
        <w:rPr>
          <w:b/>
          <w:bCs/>
          <w:u w:val="single"/>
        </w:rPr>
        <w:t xml:space="preserve"> Analysis</w:t>
      </w:r>
    </w:p>
    <w:p w14:paraId="6CDE249A" w14:textId="77777777" w:rsidR="00BF5090" w:rsidRDefault="003B392D" w:rsidP="003B392D">
      <w:r>
        <w:t xml:space="preserve">Cost plays an important role in assessing the feasibility of selling the goods and services online and compare the benefits with </w:t>
      </w:r>
      <w:r w:rsidR="00DD3BEA">
        <w:t xml:space="preserve">the </w:t>
      </w:r>
      <w:r>
        <w:t xml:space="preserve">costs to assess the profitability </w:t>
      </w:r>
      <w:sdt>
        <w:sdtPr>
          <w:id w:val="1773819754"/>
          <w:citation/>
        </w:sdtPr>
        <w:sdtEndPr/>
        <w:sdtContent>
          <w:r>
            <w:fldChar w:fldCharType="begin"/>
          </w:r>
          <w:r>
            <w:rPr>
              <w:lang w:val="en-US"/>
            </w:rPr>
            <w:instrText xml:space="preserve"> CITATION Lau19 \l 1033 </w:instrText>
          </w:r>
          <w:r>
            <w:fldChar w:fldCharType="separate"/>
          </w:r>
          <w:r w:rsidRPr="003B392D">
            <w:rPr>
              <w:noProof/>
              <w:lang w:val="en-US"/>
            </w:rPr>
            <w:t>(Laudon &amp; Traver, 2019)</w:t>
          </w:r>
          <w:r>
            <w:fldChar w:fldCharType="end"/>
          </w:r>
        </w:sdtContent>
      </w:sdt>
      <w:r>
        <w:t xml:space="preserve">. </w:t>
      </w:r>
      <w:r w:rsidR="004A78E0">
        <w:t xml:space="preserve">Setting up of a website of its own by Amana Ltd. and upgrading the same would incur costs of setting up delivery network, cost of upgrading the website to handle the large sales volume and also salary for a fulltime IT programmer. </w:t>
      </w:r>
      <w:r w:rsidR="008F0F62">
        <w:t xml:space="preserve">Total costs would be </w:t>
      </w:r>
      <w:r w:rsidR="008F0F62">
        <w:rPr>
          <w:rFonts w:cs="Times New Roman"/>
        </w:rPr>
        <w:t>£</w:t>
      </w:r>
      <w:r w:rsidR="008F0F62">
        <w:t>235000 (</w:t>
      </w:r>
      <w:r w:rsidR="008F0F62">
        <w:rPr>
          <w:rFonts w:cs="Times New Roman"/>
        </w:rPr>
        <w:t>£</w:t>
      </w:r>
      <w:r w:rsidR="008F0F62">
        <w:t xml:space="preserve">150000 + </w:t>
      </w:r>
      <w:r w:rsidR="008F0F62">
        <w:rPr>
          <w:rFonts w:cs="Times New Roman"/>
        </w:rPr>
        <w:t>£</w:t>
      </w:r>
      <w:r w:rsidR="008F0F62">
        <w:t xml:space="preserve">50000 + </w:t>
      </w:r>
      <w:r w:rsidR="008F0F62">
        <w:rPr>
          <w:rFonts w:cs="Times New Roman"/>
        </w:rPr>
        <w:t>£</w:t>
      </w:r>
      <w:r w:rsidR="008F0F62">
        <w:t xml:space="preserve">35000) for selling the products through their own website. </w:t>
      </w:r>
      <w:r w:rsidR="00253E6B">
        <w:t xml:space="preserve">Amana Ltd. would have to </w:t>
      </w:r>
      <w:r w:rsidR="00D5196A">
        <w:t xml:space="preserve">make sure that the sales revenue or the benefits should be more than the cost through sales of 100000 units so that the selling price should be setup in such a way that it would cover up the costs. </w:t>
      </w:r>
      <w:r w:rsidR="003A3C46">
        <w:t xml:space="preserve">It would have to invest in </w:t>
      </w:r>
      <w:r w:rsidR="00F971F4">
        <w:t xml:space="preserve">online marketing in the form of email marketing, content marketing, and social media marketing etc. to ensure that </w:t>
      </w:r>
      <w:r w:rsidR="00620132">
        <w:t>the produc</w:t>
      </w:r>
      <w:r w:rsidR="00EE7A1C">
        <w:t xml:space="preserve">ts are viewed by the customers which would lead to additional sales for the company. </w:t>
      </w:r>
      <w:r w:rsidR="00753DDC">
        <w:t xml:space="preserve">Thus the costs of marketing should also be considered </w:t>
      </w:r>
      <w:r w:rsidR="00E77B2E">
        <w:t>before setting up own website.</w:t>
      </w:r>
    </w:p>
    <w:p w14:paraId="6CDE249B" w14:textId="77777777" w:rsidR="00E77B2E" w:rsidRDefault="000C76D5" w:rsidP="003B392D">
      <w:r>
        <w:t xml:space="preserve">Sale through Amazon requires the business firms to </w:t>
      </w:r>
      <w:r w:rsidR="0040795E">
        <w:t xml:space="preserve">incur the cost in the form of different seller fees like seller plan, referral fees, fulfilment fees etc. </w:t>
      </w:r>
      <w:sdt>
        <w:sdtPr>
          <w:id w:val="-525487271"/>
          <w:citation/>
        </w:sdtPr>
        <w:sdtEndPr/>
        <w:sdtContent>
          <w:r w:rsidR="0040795E">
            <w:fldChar w:fldCharType="begin"/>
          </w:r>
          <w:r w:rsidR="0040795E">
            <w:rPr>
              <w:lang w:val="en-US"/>
            </w:rPr>
            <w:instrText xml:space="preserve"> CITATION Olm20 \l 1033 </w:instrText>
          </w:r>
          <w:r w:rsidR="0040795E">
            <w:fldChar w:fldCharType="separate"/>
          </w:r>
          <w:r w:rsidR="0040795E" w:rsidRPr="0040795E">
            <w:rPr>
              <w:noProof/>
              <w:lang w:val="en-US"/>
            </w:rPr>
            <w:t>(Olmez &amp; Kraynak, 2020)</w:t>
          </w:r>
          <w:r w:rsidR="0040795E">
            <w:fldChar w:fldCharType="end"/>
          </w:r>
        </w:sdtContent>
      </w:sdt>
      <w:r w:rsidR="00A1488A">
        <w:t xml:space="preserve">. Amana Ltd. would have to incur </w:t>
      </w:r>
      <w:r w:rsidR="00A1488A">
        <w:rPr>
          <w:rFonts w:cs="Times New Roman"/>
        </w:rPr>
        <w:t>£</w:t>
      </w:r>
      <w:r w:rsidR="00A1488A">
        <w:t xml:space="preserve">50000 as Amazon fulfilment fees and is expecting a guaranteed sales of 65000 units with the potential to increase depending upon the demand. </w:t>
      </w:r>
      <w:r w:rsidR="000614C7">
        <w:t>Payment of fulfilment fees would help Amana Ltd. in streamlining the order fulfilment and customer service. It improves the product listing optimisation which can lead to higher rankings and sales.</w:t>
      </w:r>
    </w:p>
    <w:p w14:paraId="6CDE249C" w14:textId="77777777" w:rsidR="000614C7" w:rsidRDefault="000614C7" w:rsidP="003B392D">
      <w:r>
        <w:t xml:space="preserve">Thus the decision to sell on the website of Amana Ltd. versus Amazon requires an instant and substantial investment </w:t>
      </w:r>
      <w:r w:rsidR="00491A38">
        <w:t>(</w:t>
      </w:r>
      <w:r w:rsidR="00491A38">
        <w:rPr>
          <w:rFonts w:cs="Times New Roman"/>
        </w:rPr>
        <w:t>£</w:t>
      </w:r>
      <w:r w:rsidR="00491A38">
        <w:t xml:space="preserve">235000) </w:t>
      </w:r>
      <w:r>
        <w:t xml:space="preserve">which would be significantly more than starting an Amazon </w:t>
      </w:r>
      <w:r>
        <w:lastRenderedPageBreak/>
        <w:t>store</w:t>
      </w:r>
      <w:r w:rsidR="00491A38">
        <w:t xml:space="preserve"> (</w:t>
      </w:r>
      <w:r w:rsidR="00491A38">
        <w:rPr>
          <w:rFonts w:cs="Times New Roman"/>
        </w:rPr>
        <w:t>£</w:t>
      </w:r>
      <w:r w:rsidR="00491A38">
        <w:t>65000)</w:t>
      </w:r>
      <w:r>
        <w:t>. Thus Amana Ltd. should compare the upfront cost to the advantages of selling on the website before taking any decision.</w:t>
      </w:r>
    </w:p>
    <w:p w14:paraId="6CDE249D" w14:textId="77777777" w:rsidR="000614C7" w:rsidRPr="000614C7" w:rsidRDefault="000614C7" w:rsidP="003B392D">
      <w:pPr>
        <w:rPr>
          <w:b/>
          <w:bCs/>
          <w:u w:val="single"/>
        </w:rPr>
      </w:pPr>
      <w:r w:rsidRPr="000614C7">
        <w:rPr>
          <w:b/>
          <w:bCs/>
          <w:u w:val="single"/>
        </w:rPr>
        <w:t>2. Control</w:t>
      </w:r>
    </w:p>
    <w:p w14:paraId="6CDE249E" w14:textId="77777777" w:rsidR="004F2B14" w:rsidRDefault="000614C7" w:rsidP="000614C7">
      <w:r>
        <w:t xml:space="preserve">Owning a website means that the company has the complete control over the activities of sale of its products and services </w:t>
      </w:r>
      <w:sdt>
        <w:sdtPr>
          <w:id w:val="-1233781604"/>
          <w:citation/>
        </w:sdtPr>
        <w:sdtEndPr/>
        <w:sdtContent>
          <w:r>
            <w:fldChar w:fldCharType="begin"/>
          </w:r>
          <w:r>
            <w:rPr>
              <w:lang w:val="en-US"/>
            </w:rPr>
            <w:instrText xml:space="preserve"> CITATION Pot21 \l 1033 </w:instrText>
          </w:r>
          <w:r>
            <w:fldChar w:fldCharType="separate"/>
          </w:r>
          <w:r w:rsidRPr="000614C7">
            <w:rPr>
              <w:noProof/>
              <w:lang w:val="en-US"/>
            </w:rPr>
            <w:t>(Potter, 2021)</w:t>
          </w:r>
          <w:r>
            <w:fldChar w:fldCharType="end"/>
          </w:r>
        </w:sdtContent>
      </w:sdt>
      <w:r>
        <w:t xml:space="preserve">. </w:t>
      </w:r>
      <w:r w:rsidR="00491A38">
        <w:t xml:space="preserve">Amana Ltd. would </w:t>
      </w:r>
      <w:r w:rsidR="00491339">
        <w:t xml:space="preserve">be able to sign off on everything from the product page design to the checkout process through owning a website. With an e-commerce website, Amana Ltd. would have complete control of every step of the customer purchasing journey. It would able for the company to choose how the customers discover, interact, purchase and receive deliveries from the business. </w:t>
      </w:r>
      <w:r w:rsidR="004F2B14">
        <w:t xml:space="preserve">Selling the products through Amazon results in signing up to a market place so that Amana Ltd. would have to abide by the rules and thus the control is lost. Amazon focuses on the products and not the sellers so that the company would have limited means to showcase the brand presence. </w:t>
      </w:r>
    </w:p>
    <w:p w14:paraId="6CDE249F" w14:textId="77777777" w:rsidR="0099387D" w:rsidRDefault="0099387D" w:rsidP="000614C7">
      <w:r>
        <w:t xml:space="preserve">Lack of control over the pricing and return policy is another demerit of using Amazon as a medium for sale of products </w:t>
      </w:r>
      <w:sdt>
        <w:sdtPr>
          <w:id w:val="-907232782"/>
          <w:citation/>
        </w:sdtPr>
        <w:sdtEndPr/>
        <w:sdtContent>
          <w:r>
            <w:fldChar w:fldCharType="begin"/>
          </w:r>
          <w:r>
            <w:rPr>
              <w:lang w:val="en-US"/>
            </w:rPr>
            <w:instrText xml:space="preserve"> CITATION Olm20 \l 1033 </w:instrText>
          </w:r>
          <w:r>
            <w:fldChar w:fldCharType="separate"/>
          </w:r>
          <w:r w:rsidRPr="0099387D">
            <w:rPr>
              <w:noProof/>
              <w:lang w:val="en-US"/>
            </w:rPr>
            <w:t>(Olmez &amp; Kraynak, 2020)</w:t>
          </w:r>
          <w:r>
            <w:fldChar w:fldCharType="end"/>
          </w:r>
        </w:sdtContent>
      </w:sdt>
      <w:r>
        <w:t xml:space="preserve">. </w:t>
      </w:r>
      <w:r w:rsidR="00194451">
        <w:t xml:space="preserve">Price could only be fixed through a rough estimate of </w:t>
      </w:r>
      <w:r w:rsidR="004705C3">
        <w:t>costs and overheads and competitor pricing analysis. Amana Ltd. would not have full control over the price and the return policy of the products would be decided by Amazon limiting its control.</w:t>
      </w:r>
    </w:p>
    <w:p w14:paraId="6CDE24A0" w14:textId="77777777" w:rsidR="00764476" w:rsidRDefault="00764476" w:rsidP="000614C7">
      <w:pPr>
        <w:rPr>
          <w:b/>
          <w:bCs/>
          <w:u w:val="single"/>
        </w:rPr>
      </w:pPr>
      <w:r w:rsidRPr="00764476">
        <w:rPr>
          <w:b/>
          <w:bCs/>
          <w:u w:val="single"/>
        </w:rPr>
        <w:t>3. Competition</w:t>
      </w:r>
    </w:p>
    <w:p w14:paraId="6CDE24A1" w14:textId="77777777" w:rsidR="008F0F62" w:rsidRDefault="00764476" w:rsidP="000614C7">
      <w:r>
        <w:t xml:space="preserve">Competition is a major factor that determines the profitability of a product </w:t>
      </w:r>
      <w:sdt>
        <w:sdtPr>
          <w:id w:val="787929931"/>
          <w:citation/>
        </w:sdtPr>
        <w:sdtEndPr/>
        <w:sdtContent>
          <w:r>
            <w:fldChar w:fldCharType="begin"/>
          </w:r>
          <w:r>
            <w:rPr>
              <w:lang w:val="en-US"/>
            </w:rPr>
            <w:instrText xml:space="preserve"> CITATION Lau19 \l 1033 </w:instrText>
          </w:r>
          <w:r>
            <w:fldChar w:fldCharType="separate"/>
          </w:r>
          <w:r w:rsidRPr="00764476">
            <w:rPr>
              <w:noProof/>
              <w:lang w:val="en-US"/>
            </w:rPr>
            <w:t>(Laudon &amp; Traver, 2019)</w:t>
          </w:r>
          <w:r>
            <w:fldChar w:fldCharType="end"/>
          </w:r>
        </w:sdtContent>
      </w:sdt>
      <w:r>
        <w:t xml:space="preserve">. </w:t>
      </w:r>
      <w:r w:rsidR="00F42A16">
        <w:t>Owning the website by Amana Ltd would help in eliminating</w:t>
      </w:r>
      <w:r w:rsidR="00491339">
        <w:t xml:space="preserve"> all the competition that comes from the rented platforms like Amazon, Walmart, Sears Marketplace and Target+. However, even if Amana Ltd. plans to </w:t>
      </w:r>
      <w:r w:rsidR="00F42A16">
        <w:t xml:space="preserve">sell the products through its website, it should consider the </w:t>
      </w:r>
      <w:r w:rsidR="00DD3BEA">
        <w:t>competition</w:t>
      </w:r>
      <w:r w:rsidR="00F42A16">
        <w:t xml:space="preserve">. Many of its close competitors have already </w:t>
      </w:r>
      <w:r w:rsidR="00F60A0B">
        <w:t xml:space="preserve">started selling the products online to the customers in UK, Europe and US. For example, if Amana Ltd. decide to tweak the product page design or use the product videos it would look for the design and strategy of the competitors. Sale through Amazon would also result in competition as Amazon is one of the biggest players in its field and would have to compete with thousands of other sellers which leads to high completion for Amana Ltd. </w:t>
      </w:r>
    </w:p>
    <w:p w14:paraId="6CDE24A2" w14:textId="77777777" w:rsidR="00F60A0B" w:rsidRDefault="00F60A0B" w:rsidP="00F60A0B">
      <w:pPr>
        <w:tabs>
          <w:tab w:val="left" w:pos="1680"/>
        </w:tabs>
        <w:rPr>
          <w:b/>
          <w:bCs/>
          <w:u w:val="single"/>
        </w:rPr>
      </w:pPr>
      <w:r w:rsidRPr="00F60A0B">
        <w:rPr>
          <w:b/>
          <w:bCs/>
          <w:u w:val="single"/>
        </w:rPr>
        <w:t>4. Customer</w:t>
      </w:r>
    </w:p>
    <w:p w14:paraId="6CDE24A3" w14:textId="77777777" w:rsidR="00E06CC1" w:rsidRDefault="00103321" w:rsidP="00103321">
      <w:r>
        <w:t xml:space="preserve">Selling through an e-commerce website helps the business organisation </w:t>
      </w:r>
      <w:r w:rsidR="006C4418">
        <w:t xml:space="preserve">in yielding valuable customer information that is needed by the entity </w:t>
      </w:r>
      <w:sdt>
        <w:sdtPr>
          <w:id w:val="776989347"/>
          <w:citation/>
        </w:sdtPr>
        <w:sdtEndPr/>
        <w:sdtContent>
          <w:r w:rsidR="006C4418">
            <w:fldChar w:fldCharType="begin"/>
          </w:r>
          <w:r w:rsidR="006C4418">
            <w:rPr>
              <w:lang w:val="en-US"/>
            </w:rPr>
            <w:instrText xml:space="preserve"> CITATION Olm20 \l 1033 </w:instrText>
          </w:r>
          <w:r w:rsidR="006C4418">
            <w:fldChar w:fldCharType="separate"/>
          </w:r>
          <w:r w:rsidR="006C4418" w:rsidRPr="006C4418">
            <w:rPr>
              <w:noProof/>
              <w:lang w:val="en-US"/>
            </w:rPr>
            <w:t>(Olmez &amp; Kraynak, 2020)</w:t>
          </w:r>
          <w:r w:rsidR="006C4418">
            <w:fldChar w:fldCharType="end"/>
          </w:r>
        </w:sdtContent>
      </w:sdt>
      <w:r w:rsidR="006C4418">
        <w:t xml:space="preserve">. </w:t>
      </w:r>
      <w:r w:rsidR="00523D80">
        <w:t xml:space="preserve">Information on </w:t>
      </w:r>
      <w:r w:rsidR="00523D80">
        <w:lastRenderedPageBreak/>
        <w:t xml:space="preserve">the customers help Amana Ltd. in boosting the personalisation of the company with email marketing campaigns, targeted discounts, and improved shopping experiences. </w:t>
      </w:r>
      <w:r w:rsidR="00BC1DE7">
        <w:t xml:space="preserve">If Amana Ltd. plans to sell on Amazon, Amazon provides the access for the company to the customers and thus would remain Amazon customers. This arrangement might make Amana Ltd. to build a relationship with the customers and establish customer loyalty. However, selling on the </w:t>
      </w:r>
      <w:r w:rsidR="00E06CC1">
        <w:t xml:space="preserve">website makes the customers of Amana Ltd. remaining their own customers. Owning the customers through own website or online shop versus borrowing the customers from Amazon allows Amana Ltd. to take full advantage of digital marketing. It would help the company in using the strategies like social media marketing, email marketing, and paid advertising to generate sales from existing and future customers. For example, Amana Ltd. could create a campaign that targets abandoned shopping carts using email marketing. Emails could persuade the customers to come back and finish the purchase which helps in generating another sale. </w:t>
      </w:r>
    </w:p>
    <w:p w14:paraId="6CDE24A4" w14:textId="77777777" w:rsidR="00E06CC1" w:rsidRDefault="00E06CC1" w:rsidP="00103321">
      <w:r>
        <w:t xml:space="preserve">Customer ownership helps in access to a range of strategies that leads to growth of a business </w:t>
      </w:r>
      <w:sdt>
        <w:sdtPr>
          <w:id w:val="94677004"/>
          <w:citation/>
        </w:sdtPr>
        <w:sdtEndPr/>
        <w:sdtContent>
          <w:r>
            <w:fldChar w:fldCharType="begin"/>
          </w:r>
          <w:r>
            <w:rPr>
              <w:lang w:val="en-US"/>
            </w:rPr>
            <w:instrText xml:space="preserve"> CITATION Pot21 \l 1033 </w:instrText>
          </w:r>
          <w:r>
            <w:fldChar w:fldCharType="separate"/>
          </w:r>
          <w:r w:rsidRPr="00E06CC1">
            <w:rPr>
              <w:noProof/>
              <w:lang w:val="en-US"/>
            </w:rPr>
            <w:t>(Potter, 2021)</w:t>
          </w:r>
          <w:r>
            <w:fldChar w:fldCharType="end"/>
          </w:r>
        </w:sdtContent>
      </w:sdt>
      <w:r>
        <w:t xml:space="preserve">. Owning a website leads to customer ownership and helps Amana Ltd. to grow and expand the business. </w:t>
      </w:r>
      <w:r w:rsidR="0096256D">
        <w:t>However, selling through Amazon limits the business of Amana Ltd. which would impact its short and long-term growth potential</w:t>
      </w:r>
      <w:r w:rsidR="004705C3">
        <w:t>.</w:t>
      </w:r>
    </w:p>
    <w:p w14:paraId="6CDE24A5" w14:textId="77777777" w:rsidR="004705C3" w:rsidRDefault="004705C3" w:rsidP="00103321">
      <w:pPr>
        <w:rPr>
          <w:b/>
          <w:bCs/>
          <w:u w:val="single"/>
        </w:rPr>
      </w:pPr>
      <w:r w:rsidRPr="004705C3">
        <w:rPr>
          <w:b/>
          <w:bCs/>
          <w:u w:val="single"/>
        </w:rPr>
        <w:t>Other Factors</w:t>
      </w:r>
    </w:p>
    <w:p w14:paraId="6CDE24A6" w14:textId="77777777" w:rsidR="0099387D" w:rsidRDefault="00A86C79" w:rsidP="00103321">
      <w:r>
        <w:t xml:space="preserve">Reach of the customers would be massive through Amazon sale as far as owned website is concerned </w:t>
      </w:r>
      <w:sdt>
        <w:sdtPr>
          <w:id w:val="2127196956"/>
          <w:citation/>
        </w:sdtPr>
        <w:sdtEndPr/>
        <w:sdtContent>
          <w:r>
            <w:fldChar w:fldCharType="begin"/>
          </w:r>
          <w:r>
            <w:rPr>
              <w:lang w:val="en-US"/>
            </w:rPr>
            <w:instrText xml:space="preserve"> CITATION Olm20 \l 1033 </w:instrText>
          </w:r>
          <w:r>
            <w:fldChar w:fldCharType="separate"/>
          </w:r>
          <w:r w:rsidRPr="00A86C79">
            <w:rPr>
              <w:noProof/>
              <w:lang w:val="en-US"/>
            </w:rPr>
            <w:t>(Olmez &amp; Kraynak, 2020)</w:t>
          </w:r>
          <w:r>
            <w:fldChar w:fldCharType="end"/>
          </w:r>
        </w:sdtContent>
      </w:sdt>
      <w:r>
        <w:t xml:space="preserve">. </w:t>
      </w:r>
      <w:r w:rsidR="006F7882">
        <w:t>Being a worldwide trusted brand, Amazon gives Amana Ltd. an opportunity to go beyond the local geographical location and extend the business to other parts of the globe. However, if Amana Ltd. could invest in Search Engine Optimisation (SEO) which takes about three to six months to work, it helps in making the website of the company more visible in the search results. Amazon has a great reputation and is trusted by many retailers and thus would enjoy more credibility than owned website.</w:t>
      </w:r>
    </w:p>
    <w:p w14:paraId="6CDE24A7" w14:textId="77777777" w:rsidR="0096256D" w:rsidRDefault="006651F2" w:rsidP="006651F2">
      <w:pPr>
        <w:pStyle w:val="Heading1"/>
      </w:pPr>
      <w:bookmarkStart w:id="7" w:name="_Toc68789968"/>
      <w:r>
        <w:t>Conclusion</w:t>
      </w:r>
      <w:bookmarkEnd w:id="7"/>
    </w:p>
    <w:p w14:paraId="6CDE24A8" w14:textId="77777777" w:rsidR="007F554D" w:rsidRDefault="00265403" w:rsidP="006651F2">
      <w:r>
        <w:t xml:space="preserve">From the above discussions it could be concluded that </w:t>
      </w:r>
      <w:r w:rsidR="00A6554A">
        <w:t xml:space="preserve">Amana Ltd. </w:t>
      </w:r>
      <w:r w:rsidR="009F1213">
        <w:t xml:space="preserve">should cut down the costs and should take remedial actions to correct the </w:t>
      </w:r>
      <w:r w:rsidR="00F02DC7">
        <w:t xml:space="preserve">unfavourable variances and convert the same to favourable results. </w:t>
      </w:r>
      <w:r w:rsidR="00EC68F6">
        <w:t xml:space="preserve">Although sale through Amazon reduces the development and other related overheads and costs compared to owned website, Amana Ltd. should consider other factors before taking a decision. </w:t>
      </w:r>
    </w:p>
    <w:p w14:paraId="6CDE24A9" w14:textId="77777777" w:rsidR="007F554D" w:rsidRDefault="007F554D">
      <w:pPr>
        <w:spacing w:line="259" w:lineRule="auto"/>
        <w:jc w:val="left"/>
      </w:pPr>
      <w:r>
        <w:br w:type="page"/>
      </w:r>
    </w:p>
    <w:bookmarkStart w:id="8" w:name="_Toc68789969" w:displacedByCustomXml="next"/>
    <w:sdt>
      <w:sdtPr>
        <w:rPr>
          <w:rFonts w:eastAsiaTheme="minorHAnsi" w:cstheme="minorBidi"/>
          <w:b w:val="0"/>
          <w:szCs w:val="22"/>
        </w:rPr>
        <w:id w:val="298351329"/>
        <w:docPartObj>
          <w:docPartGallery w:val="Bibliographies"/>
          <w:docPartUnique/>
        </w:docPartObj>
      </w:sdtPr>
      <w:sdtEndPr/>
      <w:sdtContent>
        <w:p w14:paraId="6CDE24AA" w14:textId="77777777" w:rsidR="007F554D" w:rsidRDefault="007F554D">
          <w:pPr>
            <w:pStyle w:val="Heading1"/>
          </w:pPr>
          <w:r>
            <w:t>References</w:t>
          </w:r>
          <w:bookmarkEnd w:id="8"/>
        </w:p>
        <w:sdt>
          <w:sdtPr>
            <w:id w:val="-573587230"/>
            <w:bibliography/>
          </w:sdtPr>
          <w:sdtEndPr/>
          <w:sdtContent>
            <w:p w14:paraId="6CDE24AB" w14:textId="77777777" w:rsidR="007F554D" w:rsidRDefault="007F554D" w:rsidP="007F554D">
              <w:pPr>
                <w:pStyle w:val="Bibliography"/>
                <w:rPr>
                  <w:noProof/>
                </w:rPr>
              </w:pPr>
              <w:r>
                <w:fldChar w:fldCharType="begin"/>
              </w:r>
              <w:r>
                <w:instrText xml:space="preserve"> BIBLIOGRAPHY </w:instrText>
              </w:r>
              <w:r>
                <w:fldChar w:fldCharType="separate"/>
              </w:r>
              <w:r>
                <w:rPr>
                  <w:noProof/>
                </w:rPr>
                <w:t xml:space="preserve">Bamber, M. &amp; Parry, S., 2020. </w:t>
              </w:r>
              <w:r>
                <w:rPr>
                  <w:i/>
                  <w:iCs/>
                  <w:noProof/>
                </w:rPr>
                <w:t xml:space="preserve">Accounting and Finance for Managers A Business Decision Making Approach. </w:t>
              </w:r>
              <w:r>
                <w:rPr>
                  <w:noProof/>
                </w:rPr>
                <w:t>London: Kogan Page.</w:t>
              </w:r>
            </w:p>
            <w:p w14:paraId="6CDE24AC" w14:textId="77777777" w:rsidR="007F554D" w:rsidRDefault="007F554D" w:rsidP="007F554D">
              <w:pPr>
                <w:pStyle w:val="Bibliography"/>
                <w:rPr>
                  <w:noProof/>
                </w:rPr>
              </w:pPr>
              <w:r>
                <w:rPr>
                  <w:noProof/>
                </w:rPr>
                <w:t xml:space="preserve">Boyd, K. W., 2018. </w:t>
              </w:r>
              <w:r>
                <w:rPr>
                  <w:i/>
                  <w:iCs/>
                  <w:noProof/>
                </w:rPr>
                <w:t xml:space="preserve">Accounting All-in-One For Dummies, with Online Practice. </w:t>
              </w:r>
              <w:r>
                <w:rPr>
                  <w:noProof/>
                </w:rPr>
                <w:t>New Jersey: Wiley.</w:t>
              </w:r>
            </w:p>
            <w:p w14:paraId="6CDE24AD" w14:textId="77777777" w:rsidR="007F554D" w:rsidRDefault="007F554D" w:rsidP="007F554D">
              <w:pPr>
                <w:pStyle w:val="Bibliography"/>
                <w:rPr>
                  <w:noProof/>
                </w:rPr>
              </w:pPr>
              <w:r>
                <w:rPr>
                  <w:noProof/>
                </w:rPr>
                <w:t xml:space="preserve">Charifzadeh, M. &amp; Taschner, A., 2017. </w:t>
              </w:r>
              <w:r>
                <w:rPr>
                  <w:i/>
                  <w:iCs/>
                  <w:noProof/>
                </w:rPr>
                <w:t xml:space="preserve">Management Accounting and Control Tools and Concepts in a Central European Context. </w:t>
              </w:r>
              <w:r>
                <w:rPr>
                  <w:noProof/>
                </w:rPr>
                <w:t>New Jersey: Wiley.</w:t>
              </w:r>
            </w:p>
            <w:p w14:paraId="6CDE24AE" w14:textId="77777777" w:rsidR="007F554D" w:rsidRDefault="007F554D" w:rsidP="007F554D">
              <w:pPr>
                <w:pStyle w:val="Bibliography"/>
                <w:rPr>
                  <w:noProof/>
                </w:rPr>
              </w:pPr>
              <w:r>
                <w:rPr>
                  <w:noProof/>
                </w:rPr>
                <w:t xml:space="preserve">Drury, C., 2018. </w:t>
              </w:r>
              <w:r>
                <w:rPr>
                  <w:i/>
                  <w:iCs/>
                  <w:noProof/>
                </w:rPr>
                <w:t xml:space="preserve">Management Accounting for Business. </w:t>
              </w:r>
              <w:r>
                <w:rPr>
                  <w:noProof/>
                </w:rPr>
                <w:t>New York: Cengage Learning.</w:t>
              </w:r>
            </w:p>
            <w:p w14:paraId="6CDE24AF" w14:textId="77777777" w:rsidR="007F554D" w:rsidRDefault="007F554D" w:rsidP="007F554D">
              <w:pPr>
                <w:pStyle w:val="Bibliography"/>
                <w:rPr>
                  <w:noProof/>
                </w:rPr>
              </w:pPr>
              <w:r>
                <w:rPr>
                  <w:noProof/>
                </w:rPr>
                <w:t xml:space="preserve">Hanif, M., 2019. </w:t>
              </w:r>
              <w:r>
                <w:rPr>
                  <w:i/>
                  <w:iCs/>
                  <w:noProof/>
                </w:rPr>
                <w:t xml:space="preserve">Modern Cost and Management Accounting. </w:t>
              </w:r>
              <w:r>
                <w:rPr>
                  <w:noProof/>
                </w:rPr>
                <w:t>London: McGraw-Hill Education.</w:t>
              </w:r>
            </w:p>
            <w:p w14:paraId="6CDE24B0" w14:textId="77777777" w:rsidR="007F554D" w:rsidRDefault="007F554D" w:rsidP="007F554D">
              <w:pPr>
                <w:pStyle w:val="Bibliography"/>
                <w:rPr>
                  <w:noProof/>
                </w:rPr>
              </w:pPr>
              <w:r>
                <w:rPr>
                  <w:noProof/>
                </w:rPr>
                <w:t xml:space="preserve">Laudon, K. C. &amp; Traver, C. G., 2019. </w:t>
              </w:r>
              <w:r>
                <w:rPr>
                  <w:i/>
                  <w:iCs/>
                  <w:noProof/>
                </w:rPr>
                <w:t xml:space="preserve">E-commerce Business, Technology, Society. </w:t>
              </w:r>
              <w:r>
                <w:rPr>
                  <w:noProof/>
                </w:rPr>
                <w:t>15 ed. Essex: Pearson.</w:t>
              </w:r>
            </w:p>
            <w:p w14:paraId="6CDE24B1" w14:textId="77777777" w:rsidR="007F554D" w:rsidRDefault="007F554D" w:rsidP="007F554D">
              <w:pPr>
                <w:pStyle w:val="Bibliography"/>
                <w:rPr>
                  <w:noProof/>
                </w:rPr>
              </w:pPr>
              <w:r>
                <w:rPr>
                  <w:noProof/>
                </w:rPr>
                <w:t xml:space="preserve">Mowen, M. M. et al., 2018. </w:t>
              </w:r>
              <w:r>
                <w:rPr>
                  <w:i/>
                  <w:iCs/>
                  <w:noProof/>
                </w:rPr>
                <w:t xml:space="preserve">Managerial Accounting: Asia-Pacific Edition. </w:t>
              </w:r>
              <w:r>
                <w:rPr>
                  <w:noProof/>
                </w:rPr>
                <w:t>2 ed. Melbourne: Cengage Learning Australia.</w:t>
              </w:r>
            </w:p>
            <w:p w14:paraId="6CDE24B2" w14:textId="77777777" w:rsidR="007F554D" w:rsidRDefault="007F554D" w:rsidP="007F554D">
              <w:pPr>
                <w:pStyle w:val="Bibliography"/>
                <w:rPr>
                  <w:noProof/>
                </w:rPr>
              </w:pPr>
              <w:r>
                <w:rPr>
                  <w:noProof/>
                </w:rPr>
                <w:t xml:space="preserve">Olmez, D. &amp; Kraynak, J., 2020. </w:t>
              </w:r>
              <w:r>
                <w:rPr>
                  <w:i/>
                  <w:iCs/>
                  <w:noProof/>
                </w:rPr>
                <w:t xml:space="preserve">Selling on Amazon For Dummies. </w:t>
              </w:r>
              <w:r>
                <w:rPr>
                  <w:noProof/>
                </w:rPr>
                <w:t>New Jersey: Wiley.</w:t>
              </w:r>
            </w:p>
            <w:p w14:paraId="6CDE24B3" w14:textId="77777777" w:rsidR="007F554D" w:rsidRDefault="007F554D" w:rsidP="007F554D">
              <w:pPr>
                <w:pStyle w:val="Bibliography"/>
                <w:rPr>
                  <w:noProof/>
                </w:rPr>
              </w:pPr>
              <w:r>
                <w:rPr>
                  <w:noProof/>
                </w:rPr>
                <w:t xml:space="preserve">Potter, W. J., 2021. </w:t>
              </w:r>
              <w:r>
                <w:rPr>
                  <w:i/>
                  <w:iCs/>
                  <w:noProof/>
                </w:rPr>
                <w:t xml:space="preserve">Digital Media Effects. </w:t>
              </w:r>
              <w:r>
                <w:rPr>
                  <w:noProof/>
                </w:rPr>
                <w:t>Plymouth: Rowman &amp; Littlefield Publishers.</w:t>
              </w:r>
            </w:p>
            <w:p w14:paraId="6CDE24B4" w14:textId="77777777" w:rsidR="007F554D" w:rsidRDefault="007F554D" w:rsidP="007F554D">
              <w:pPr>
                <w:pStyle w:val="Bibliography"/>
                <w:rPr>
                  <w:noProof/>
                </w:rPr>
              </w:pPr>
              <w:r>
                <w:rPr>
                  <w:noProof/>
                </w:rPr>
                <w:t xml:space="preserve">Scott, P., 2019. </w:t>
              </w:r>
              <w:r>
                <w:rPr>
                  <w:i/>
                  <w:iCs/>
                  <w:noProof/>
                </w:rPr>
                <w:t xml:space="preserve">Introduction to Management Accounting. </w:t>
              </w:r>
              <w:r>
                <w:rPr>
                  <w:noProof/>
                </w:rPr>
                <w:t>Oxford: Oxford University Press.</w:t>
              </w:r>
            </w:p>
            <w:p w14:paraId="6CDE24B5" w14:textId="77777777" w:rsidR="007F554D" w:rsidRDefault="007F554D" w:rsidP="007F554D">
              <w:pPr>
                <w:pStyle w:val="Bibliography"/>
                <w:rPr>
                  <w:noProof/>
                </w:rPr>
              </w:pPr>
              <w:r>
                <w:rPr>
                  <w:noProof/>
                </w:rPr>
                <w:t xml:space="preserve">Templar, S., 2019. </w:t>
              </w:r>
              <w:r>
                <w:rPr>
                  <w:i/>
                  <w:iCs/>
                  <w:noProof/>
                </w:rPr>
                <w:t xml:space="preserve">Supply Chain Management Accounting Managing Profitability, Working Capital and Asset Utilization. </w:t>
              </w:r>
              <w:r>
                <w:rPr>
                  <w:noProof/>
                </w:rPr>
                <w:t>London: Kogan Page.</w:t>
              </w:r>
            </w:p>
            <w:p w14:paraId="6CDE24B6" w14:textId="77777777" w:rsidR="007F554D" w:rsidRDefault="007F554D" w:rsidP="007F554D">
              <w:pPr>
                <w:pStyle w:val="Bibliography"/>
                <w:rPr>
                  <w:noProof/>
                </w:rPr>
              </w:pPr>
              <w:r>
                <w:rPr>
                  <w:noProof/>
                </w:rPr>
                <w:t xml:space="preserve">Weetman, P., 2019. </w:t>
              </w:r>
              <w:r>
                <w:rPr>
                  <w:i/>
                  <w:iCs/>
                  <w:noProof/>
                </w:rPr>
                <w:t xml:space="preserve">Financial and Management Accounting. </w:t>
              </w:r>
              <w:r>
                <w:rPr>
                  <w:noProof/>
                </w:rPr>
                <w:t>8 ed. Essex: Pearson.</w:t>
              </w:r>
            </w:p>
            <w:p w14:paraId="6CDE24B7" w14:textId="77777777" w:rsidR="007F554D" w:rsidRDefault="007F554D" w:rsidP="007F554D">
              <w:pPr>
                <w:pStyle w:val="Bibliography"/>
                <w:rPr>
                  <w:noProof/>
                </w:rPr>
              </w:pPr>
              <w:r>
                <w:rPr>
                  <w:noProof/>
                </w:rPr>
                <w:t xml:space="preserve">Weygandt, J. J., Kimmel, P. D. &amp; Kieso, D. E., 2017. </w:t>
              </w:r>
              <w:r>
                <w:rPr>
                  <w:i/>
                  <w:iCs/>
                  <w:noProof/>
                </w:rPr>
                <w:t xml:space="preserve">Weygandt's Managerial Accounting Tools for Business Decision Making. </w:t>
              </w:r>
              <w:r>
                <w:rPr>
                  <w:noProof/>
                </w:rPr>
                <w:t>New Jersey: Wiley.</w:t>
              </w:r>
            </w:p>
            <w:p w14:paraId="6CDE24B8" w14:textId="77777777" w:rsidR="007F554D" w:rsidRDefault="007F554D" w:rsidP="007F554D">
              <w:r>
                <w:rPr>
                  <w:b/>
                  <w:bCs/>
                  <w:noProof/>
                </w:rPr>
                <w:fldChar w:fldCharType="end"/>
              </w:r>
            </w:p>
          </w:sdtContent>
        </w:sdt>
      </w:sdtContent>
    </w:sdt>
    <w:p w14:paraId="6CDE24B9" w14:textId="77777777" w:rsidR="006651F2" w:rsidRPr="006651F2" w:rsidRDefault="006651F2" w:rsidP="006651F2"/>
    <w:p w14:paraId="6CDE24BA" w14:textId="77777777" w:rsidR="00F60A0B" w:rsidRDefault="00E06CC1" w:rsidP="00103321">
      <w:r>
        <w:t xml:space="preserve"> </w:t>
      </w:r>
    </w:p>
    <w:p w14:paraId="6CDE24BB" w14:textId="77777777" w:rsidR="00F60A0B" w:rsidRPr="00F60A0B" w:rsidRDefault="00F60A0B" w:rsidP="00F60A0B">
      <w:pPr>
        <w:tabs>
          <w:tab w:val="left" w:pos="1680"/>
        </w:tabs>
        <w:rPr>
          <w:b/>
          <w:bCs/>
          <w:u w:val="single"/>
        </w:rPr>
      </w:pPr>
    </w:p>
    <w:p w14:paraId="6CDE24BC" w14:textId="77777777" w:rsidR="00C94C68" w:rsidRPr="00CC49E7" w:rsidRDefault="00C94C68" w:rsidP="00CC49E7"/>
    <w:sectPr w:rsidR="00C94C68" w:rsidRPr="00CC49E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69C0B" w14:textId="77777777" w:rsidR="009545F6" w:rsidRDefault="009545F6" w:rsidP="006B1A19">
      <w:pPr>
        <w:spacing w:after="0" w:line="240" w:lineRule="auto"/>
      </w:pPr>
      <w:r>
        <w:separator/>
      </w:r>
    </w:p>
  </w:endnote>
  <w:endnote w:type="continuationSeparator" w:id="0">
    <w:p w14:paraId="4EA3C4BE" w14:textId="77777777" w:rsidR="009545F6" w:rsidRDefault="009545F6" w:rsidP="006B1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Kartika">
    <w:altName w:val="Kartika"/>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360405"/>
      <w:docPartObj>
        <w:docPartGallery w:val="Page Numbers (Bottom of Page)"/>
        <w:docPartUnique/>
      </w:docPartObj>
    </w:sdtPr>
    <w:sdtEndPr>
      <w:rPr>
        <w:noProof/>
      </w:rPr>
    </w:sdtEndPr>
    <w:sdtContent>
      <w:p w14:paraId="6CDE24C1" w14:textId="77777777" w:rsidR="00E05BB4" w:rsidRDefault="00E05BB4">
        <w:pPr>
          <w:pStyle w:val="Footer"/>
          <w:jc w:val="right"/>
        </w:pPr>
        <w:r>
          <w:fldChar w:fldCharType="begin"/>
        </w:r>
        <w:r>
          <w:instrText xml:space="preserve"> PAGE   \* MERGEFORMAT </w:instrText>
        </w:r>
        <w:r>
          <w:fldChar w:fldCharType="separate"/>
        </w:r>
        <w:r w:rsidR="000612E8">
          <w:rPr>
            <w:noProof/>
          </w:rPr>
          <w:t>11</w:t>
        </w:r>
        <w:r>
          <w:rPr>
            <w:noProof/>
          </w:rPr>
          <w:fldChar w:fldCharType="end"/>
        </w:r>
      </w:p>
    </w:sdtContent>
  </w:sdt>
  <w:p w14:paraId="6CDE24C2" w14:textId="77777777" w:rsidR="00E05BB4" w:rsidRDefault="00E05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63AD4" w14:textId="77777777" w:rsidR="009545F6" w:rsidRDefault="009545F6" w:rsidP="006B1A19">
      <w:pPr>
        <w:spacing w:after="0" w:line="240" w:lineRule="auto"/>
      </w:pPr>
      <w:r>
        <w:separator/>
      </w:r>
    </w:p>
  </w:footnote>
  <w:footnote w:type="continuationSeparator" w:id="0">
    <w:p w14:paraId="63798399" w14:textId="77777777" w:rsidR="009545F6" w:rsidRDefault="009545F6" w:rsidP="006B1A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06C"/>
    <w:rsid w:val="00003783"/>
    <w:rsid w:val="00012BF7"/>
    <w:rsid w:val="000241A8"/>
    <w:rsid w:val="000612E8"/>
    <w:rsid w:val="000614C7"/>
    <w:rsid w:val="00065A0E"/>
    <w:rsid w:val="000A30DB"/>
    <w:rsid w:val="000A3ECE"/>
    <w:rsid w:val="000C4F90"/>
    <w:rsid w:val="000C76D5"/>
    <w:rsid w:val="000E4684"/>
    <w:rsid w:val="000F5E80"/>
    <w:rsid w:val="00103321"/>
    <w:rsid w:val="00136C33"/>
    <w:rsid w:val="00190AC0"/>
    <w:rsid w:val="00194451"/>
    <w:rsid w:val="001A6436"/>
    <w:rsid w:val="00226B1F"/>
    <w:rsid w:val="00253E6B"/>
    <w:rsid w:val="0025470C"/>
    <w:rsid w:val="00265403"/>
    <w:rsid w:val="00276C66"/>
    <w:rsid w:val="0028239C"/>
    <w:rsid w:val="002A6BE1"/>
    <w:rsid w:val="002D5ED9"/>
    <w:rsid w:val="003354E9"/>
    <w:rsid w:val="00350561"/>
    <w:rsid w:val="003A187B"/>
    <w:rsid w:val="003A3C46"/>
    <w:rsid w:val="003A752B"/>
    <w:rsid w:val="003B11BB"/>
    <w:rsid w:val="003B2892"/>
    <w:rsid w:val="003B392D"/>
    <w:rsid w:val="003D0FC5"/>
    <w:rsid w:val="003D50D6"/>
    <w:rsid w:val="0040795E"/>
    <w:rsid w:val="00450194"/>
    <w:rsid w:val="00463C9E"/>
    <w:rsid w:val="004705C3"/>
    <w:rsid w:val="0048399E"/>
    <w:rsid w:val="00491339"/>
    <w:rsid w:val="004919F0"/>
    <w:rsid w:val="00491A38"/>
    <w:rsid w:val="004A58AC"/>
    <w:rsid w:val="004A78E0"/>
    <w:rsid w:val="004C5648"/>
    <w:rsid w:val="004D5223"/>
    <w:rsid w:val="004F2B14"/>
    <w:rsid w:val="00523D80"/>
    <w:rsid w:val="005C5B85"/>
    <w:rsid w:val="005F36DB"/>
    <w:rsid w:val="00607215"/>
    <w:rsid w:val="00620132"/>
    <w:rsid w:val="006514D3"/>
    <w:rsid w:val="00655949"/>
    <w:rsid w:val="00660887"/>
    <w:rsid w:val="006651F2"/>
    <w:rsid w:val="00683D14"/>
    <w:rsid w:val="00684C54"/>
    <w:rsid w:val="006A04F6"/>
    <w:rsid w:val="006B1A19"/>
    <w:rsid w:val="006C4418"/>
    <w:rsid w:val="006F7882"/>
    <w:rsid w:val="007404DF"/>
    <w:rsid w:val="00744936"/>
    <w:rsid w:val="00753DDC"/>
    <w:rsid w:val="00756D45"/>
    <w:rsid w:val="00764476"/>
    <w:rsid w:val="00764EB6"/>
    <w:rsid w:val="00767CDD"/>
    <w:rsid w:val="00781E14"/>
    <w:rsid w:val="0079142B"/>
    <w:rsid w:val="00796993"/>
    <w:rsid w:val="007B294C"/>
    <w:rsid w:val="007B425C"/>
    <w:rsid w:val="007E41C8"/>
    <w:rsid w:val="007F1F57"/>
    <w:rsid w:val="007F554D"/>
    <w:rsid w:val="00815E83"/>
    <w:rsid w:val="00827B06"/>
    <w:rsid w:val="008345A8"/>
    <w:rsid w:val="00856C3A"/>
    <w:rsid w:val="008B7799"/>
    <w:rsid w:val="008F0F62"/>
    <w:rsid w:val="00907D1A"/>
    <w:rsid w:val="0091099E"/>
    <w:rsid w:val="0093706C"/>
    <w:rsid w:val="009545F6"/>
    <w:rsid w:val="0096256D"/>
    <w:rsid w:val="0096515F"/>
    <w:rsid w:val="00966405"/>
    <w:rsid w:val="009676BE"/>
    <w:rsid w:val="009754D8"/>
    <w:rsid w:val="0098156C"/>
    <w:rsid w:val="00983E43"/>
    <w:rsid w:val="0099387D"/>
    <w:rsid w:val="009F1213"/>
    <w:rsid w:val="00A1488A"/>
    <w:rsid w:val="00A6554A"/>
    <w:rsid w:val="00A67F6C"/>
    <w:rsid w:val="00A72D15"/>
    <w:rsid w:val="00A74D47"/>
    <w:rsid w:val="00A86C79"/>
    <w:rsid w:val="00AB2D05"/>
    <w:rsid w:val="00AB77D7"/>
    <w:rsid w:val="00AC167C"/>
    <w:rsid w:val="00AE2997"/>
    <w:rsid w:val="00AF75C3"/>
    <w:rsid w:val="00B50441"/>
    <w:rsid w:val="00BC1DE7"/>
    <w:rsid w:val="00BC7C27"/>
    <w:rsid w:val="00BD3345"/>
    <w:rsid w:val="00BD4259"/>
    <w:rsid w:val="00BF071B"/>
    <w:rsid w:val="00BF5090"/>
    <w:rsid w:val="00C0213D"/>
    <w:rsid w:val="00C16B38"/>
    <w:rsid w:val="00C247C2"/>
    <w:rsid w:val="00C61B58"/>
    <w:rsid w:val="00C76DB0"/>
    <w:rsid w:val="00C94C68"/>
    <w:rsid w:val="00CC49E7"/>
    <w:rsid w:val="00D064C5"/>
    <w:rsid w:val="00D151F2"/>
    <w:rsid w:val="00D22459"/>
    <w:rsid w:val="00D30982"/>
    <w:rsid w:val="00D37FEC"/>
    <w:rsid w:val="00D5196A"/>
    <w:rsid w:val="00D8577C"/>
    <w:rsid w:val="00DC510E"/>
    <w:rsid w:val="00DD3BEA"/>
    <w:rsid w:val="00DE0A84"/>
    <w:rsid w:val="00DE79FB"/>
    <w:rsid w:val="00E05BB4"/>
    <w:rsid w:val="00E06CC1"/>
    <w:rsid w:val="00E21C53"/>
    <w:rsid w:val="00E35370"/>
    <w:rsid w:val="00E77B2E"/>
    <w:rsid w:val="00EC68F6"/>
    <w:rsid w:val="00EE7A1C"/>
    <w:rsid w:val="00EF1788"/>
    <w:rsid w:val="00F02DC7"/>
    <w:rsid w:val="00F1025B"/>
    <w:rsid w:val="00F42A16"/>
    <w:rsid w:val="00F576E5"/>
    <w:rsid w:val="00F60A0B"/>
    <w:rsid w:val="00F9644E"/>
    <w:rsid w:val="00F971F4"/>
    <w:rsid w:val="00FE4809"/>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E23EF"/>
  <w15:chartTrackingRefBased/>
  <w15:docId w15:val="{A8506965-3077-42D6-9AB3-477248F36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ml-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78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E480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1025B"/>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A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A19"/>
  </w:style>
  <w:style w:type="paragraph" w:styleId="Footer">
    <w:name w:val="footer"/>
    <w:basedOn w:val="Normal"/>
    <w:link w:val="FooterChar"/>
    <w:uiPriority w:val="99"/>
    <w:unhideWhenUsed/>
    <w:rsid w:val="006B1A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A19"/>
  </w:style>
  <w:style w:type="paragraph" w:styleId="Title">
    <w:name w:val="Title"/>
    <w:basedOn w:val="Normal"/>
    <w:next w:val="Normal"/>
    <w:link w:val="TitleChar"/>
    <w:uiPriority w:val="10"/>
    <w:qFormat/>
    <w:rsid w:val="00A74D47"/>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A74D47"/>
    <w:rPr>
      <w:rFonts w:ascii="Times New Roman" w:eastAsiaTheme="majorEastAsia" w:hAnsi="Times New Roman" w:cstheme="majorBidi"/>
      <w:b/>
      <w:spacing w:val="-10"/>
      <w:kern w:val="28"/>
      <w:sz w:val="40"/>
      <w:szCs w:val="56"/>
    </w:rPr>
  </w:style>
  <w:style w:type="character" w:customStyle="1" w:styleId="Heading1Char">
    <w:name w:val="Heading 1 Char"/>
    <w:basedOn w:val="DefaultParagraphFont"/>
    <w:link w:val="Heading1"/>
    <w:uiPriority w:val="9"/>
    <w:rsid w:val="00FE480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1025B"/>
    <w:rPr>
      <w:rFonts w:ascii="Times New Roman" w:eastAsiaTheme="majorEastAsia" w:hAnsi="Times New Roman" w:cstheme="majorBidi"/>
      <w:b/>
      <w:i/>
      <w:sz w:val="24"/>
      <w:szCs w:val="26"/>
    </w:rPr>
  </w:style>
  <w:style w:type="paragraph" w:styleId="ListParagraph">
    <w:name w:val="List Paragraph"/>
    <w:basedOn w:val="Normal"/>
    <w:uiPriority w:val="34"/>
    <w:qFormat/>
    <w:rsid w:val="00BF5090"/>
    <w:pPr>
      <w:ind w:left="720"/>
      <w:contextualSpacing/>
    </w:pPr>
  </w:style>
  <w:style w:type="paragraph" w:styleId="Bibliography">
    <w:name w:val="Bibliography"/>
    <w:basedOn w:val="Normal"/>
    <w:next w:val="Normal"/>
    <w:uiPriority w:val="37"/>
    <w:unhideWhenUsed/>
    <w:rsid w:val="007F554D"/>
  </w:style>
  <w:style w:type="paragraph" w:styleId="TOCHeading">
    <w:name w:val="TOC Heading"/>
    <w:basedOn w:val="Heading1"/>
    <w:next w:val="Normal"/>
    <w:uiPriority w:val="39"/>
    <w:unhideWhenUsed/>
    <w:qFormat/>
    <w:rsid w:val="003A187B"/>
    <w:pPr>
      <w:spacing w:line="259" w:lineRule="auto"/>
      <w:jc w:val="left"/>
      <w:outlineLvl w:val="9"/>
    </w:pPr>
    <w:rPr>
      <w:rFonts w:asciiTheme="majorHAnsi" w:hAnsiTheme="majorHAnsi"/>
      <w:b w:val="0"/>
      <w:color w:val="2E74B5" w:themeColor="accent1" w:themeShade="BF"/>
      <w:sz w:val="32"/>
      <w:lang w:val="en-US" w:bidi="ar-SA"/>
    </w:rPr>
  </w:style>
  <w:style w:type="paragraph" w:styleId="TOC1">
    <w:name w:val="toc 1"/>
    <w:basedOn w:val="Normal"/>
    <w:next w:val="Normal"/>
    <w:autoRedefine/>
    <w:uiPriority w:val="39"/>
    <w:unhideWhenUsed/>
    <w:rsid w:val="003A187B"/>
    <w:pPr>
      <w:spacing w:after="100"/>
    </w:pPr>
  </w:style>
  <w:style w:type="paragraph" w:styleId="TOC2">
    <w:name w:val="toc 2"/>
    <w:basedOn w:val="Normal"/>
    <w:next w:val="Normal"/>
    <w:autoRedefine/>
    <w:uiPriority w:val="39"/>
    <w:unhideWhenUsed/>
    <w:rsid w:val="003A187B"/>
    <w:pPr>
      <w:spacing w:after="100"/>
      <w:ind w:left="240"/>
    </w:pPr>
  </w:style>
  <w:style w:type="character" w:styleId="Hyperlink">
    <w:name w:val="Hyperlink"/>
    <w:basedOn w:val="DefaultParagraphFont"/>
    <w:uiPriority w:val="99"/>
    <w:unhideWhenUsed/>
    <w:rsid w:val="003A187B"/>
    <w:rPr>
      <w:color w:val="0563C1" w:themeColor="hyperlink"/>
      <w:u w:val="single"/>
    </w:rPr>
  </w:style>
  <w:style w:type="paragraph" w:customStyle="1" w:styleId="Default">
    <w:name w:val="Default"/>
    <w:rsid w:val="00756D45"/>
    <w:pPr>
      <w:autoSpaceDE w:val="0"/>
      <w:autoSpaceDN w:val="0"/>
      <w:adjustRightInd w:val="0"/>
      <w:spacing w:after="0" w:line="240" w:lineRule="auto"/>
    </w:pPr>
    <w:rPr>
      <w:rFonts w:ascii="Tahoma" w:eastAsiaTheme="minorEastAsia" w:hAnsi="Tahoma" w:cs="Tahoma"/>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7395">
      <w:bodyDiv w:val="1"/>
      <w:marLeft w:val="0"/>
      <w:marRight w:val="0"/>
      <w:marTop w:val="0"/>
      <w:marBottom w:val="0"/>
      <w:divBdr>
        <w:top w:val="none" w:sz="0" w:space="0" w:color="auto"/>
        <w:left w:val="none" w:sz="0" w:space="0" w:color="auto"/>
        <w:bottom w:val="none" w:sz="0" w:space="0" w:color="auto"/>
        <w:right w:val="none" w:sz="0" w:space="0" w:color="auto"/>
      </w:divBdr>
    </w:div>
    <w:div w:id="95566433">
      <w:bodyDiv w:val="1"/>
      <w:marLeft w:val="0"/>
      <w:marRight w:val="0"/>
      <w:marTop w:val="0"/>
      <w:marBottom w:val="0"/>
      <w:divBdr>
        <w:top w:val="none" w:sz="0" w:space="0" w:color="auto"/>
        <w:left w:val="none" w:sz="0" w:space="0" w:color="auto"/>
        <w:bottom w:val="none" w:sz="0" w:space="0" w:color="auto"/>
        <w:right w:val="none" w:sz="0" w:space="0" w:color="auto"/>
      </w:divBdr>
    </w:div>
    <w:div w:id="175537955">
      <w:bodyDiv w:val="1"/>
      <w:marLeft w:val="0"/>
      <w:marRight w:val="0"/>
      <w:marTop w:val="0"/>
      <w:marBottom w:val="0"/>
      <w:divBdr>
        <w:top w:val="none" w:sz="0" w:space="0" w:color="auto"/>
        <w:left w:val="none" w:sz="0" w:space="0" w:color="auto"/>
        <w:bottom w:val="none" w:sz="0" w:space="0" w:color="auto"/>
        <w:right w:val="none" w:sz="0" w:space="0" w:color="auto"/>
      </w:divBdr>
    </w:div>
    <w:div w:id="404844196">
      <w:bodyDiv w:val="1"/>
      <w:marLeft w:val="0"/>
      <w:marRight w:val="0"/>
      <w:marTop w:val="0"/>
      <w:marBottom w:val="0"/>
      <w:divBdr>
        <w:top w:val="none" w:sz="0" w:space="0" w:color="auto"/>
        <w:left w:val="none" w:sz="0" w:space="0" w:color="auto"/>
        <w:bottom w:val="none" w:sz="0" w:space="0" w:color="auto"/>
        <w:right w:val="none" w:sz="0" w:space="0" w:color="auto"/>
      </w:divBdr>
    </w:div>
    <w:div w:id="533544177">
      <w:bodyDiv w:val="1"/>
      <w:marLeft w:val="0"/>
      <w:marRight w:val="0"/>
      <w:marTop w:val="0"/>
      <w:marBottom w:val="0"/>
      <w:divBdr>
        <w:top w:val="none" w:sz="0" w:space="0" w:color="auto"/>
        <w:left w:val="none" w:sz="0" w:space="0" w:color="auto"/>
        <w:bottom w:val="none" w:sz="0" w:space="0" w:color="auto"/>
        <w:right w:val="none" w:sz="0" w:space="0" w:color="auto"/>
      </w:divBdr>
    </w:div>
    <w:div w:id="579869916">
      <w:bodyDiv w:val="1"/>
      <w:marLeft w:val="0"/>
      <w:marRight w:val="0"/>
      <w:marTop w:val="0"/>
      <w:marBottom w:val="0"/>
      <w:divBdr>
        <w:top w:val="none" w:sz="0" w:space="0" w:color="auto"/>
        <w:left w:val="none" w:sz="0" w:space="0" w:color="auto"/>
        <w:bottom w:val="none" w:sz="0" w:space="0" w:color="auto"/>
        <w:right w:val="none" w:sz="0" w:space="0" w:color="auto"/>
      </w:divBdr>
    </w:div>
    <w:div w:id="697318635">
      <w:bodyDiv w:val="1"/>
      <w:marLeft w:val="0"/>
      <w:marRight w:val="0"/>
      <w:marTop w:val="0"/>
      <w:marBottom w:val="0"/>
      <w:divBdr>
        <w:top w:val="none" w:sz="0" w:space="0" w:color="auto"/>
        <w:left w:val="none" w:sz="0" w:space="0" w:color="auto"/>
        <w:bottom w:val="none" w:sz="0" w:space="0" w:color="auto"/>
        <w:right w:val="none" w:sz="0" w:space="0" w:color="auto"/>
      </w:divBdr>
    </w:div>
    <w:div w:id="822506140">
      <w:bodyDiv w:val="1"/>
      <w:marLeft w:val="0"/>
      <w:marRight w:val="0"/>
      <w:marTop w:val="0"/>
      <w:marBottom w:val="0"/>
      <w:divBdr>
        <w:top w:val="none" w:sz="0" w:space="0" w:color="auto"/>
        <w:left w:val="none" w:sz="0" w:space="0" w:color="auto"/>
        <w:bottom w:val="none" w:sz="0" w:space="0" w:color="auto"/>
        <w:right w:val="none" w:sz="0" w:space="0" w:color="auto"/>
      </w:divBdr>
    </w:div>
    <w:div w:id="824205272">
      <w:bodyDiv w:val="1"/>
      <w:marLeft w:val="0"/>
      <w:marRight w:val="0"/>
      <w:marTop w:val="0"/>
      <w:marBottom w:val="0"/>
      <w:divBdr>
        <w:top w:val="none" w:sz="0" w:space="0" w:color="auto"/>
        <w:left w:val="none" w:sz="0" w:space="0" w:color="auto"/>
        <w:bottom w:val="none" w:sz="0" w:space="0" w:color="auto"/>
        <w:right w:val="none" w:sz="0" w:space="0" w:color="auto"/>
      </w:divBdr>
    </w:div>
    <w:div w:id="876116888">
      <w:bodyDiv w:val="1"/>
      <w:marLeft w:val="0"/>
      <w:marRight w:val="0"/>
      <w:marTop w:val="0"/>
      <w:marBottom w:val="0"/>
      <w:divBdr>
        <w:top w:val="none" w:sz="0" w:space="0" w:color="auto"/>
        <w:left w:val="none" w:sz="0" w:space="0" w:color="auto"/>
        <w:bottom w:val="none" w:sz="0" w:space="0" w:color="auto"/>
        <w:right w:val="none" w:sz="0" w:space="0" w:color="auto"/>
      </w:divBdr>
    </w:div>
    <w:div w:id="958336986">
      <w:bodyDiv w:val="1"/>
      <w:marLeft w:val="0"/>
      <w:marRight w:val="0"/>
      <w:marTop w:val="0"/>
      <w:marBottom w:val="0"/>
      <w:divBdr>
        <w:top w:val="none" w:sz="0" w:space="0" w:color="auto"/>
        <w:left w:val="none" w:sz="0" w:space="0" w:color="auto"/>
        <w:bottom w:val="none" w:sz="0" w:space="0" w:color="auto"/>
        <w:right w:val="none" w:sz="0" w:space="0" w:color="auto"/>
      </w:divBdr>
    </w:div>
    <w:div w:id="1020008404">
      <w:bodyDiv w:val="1"/>
      <w:marLeft w:val="0"/>
      <w:marRight w:val="0"/>
      <w:marTop w:val="0"/>
      <w:marBottom w:val="0"/>
      <w:divBdr>
        <w:top w:val="none" w:sz="0" w:space="0" w:color="auto"/>
        <w:left w:val="none" w:sz="0" w:space="0" w:color="auto"/>
        <w:bottom w:val="none" w:sz="0" w:space="0" w:color="auto"/>
        <w:right w:val="none" w:sz="0" w:space="0" w:color="auto"/>
      </w:divBdr>
    </w:div>
    <w:div w:id="1339036245">
      <w:bodyDiv w:val="1"/>
      <w:marLeft w:val="0"/>
      <w:marRight w:val="0"/>
      <w:marTop w:val="0"/>
      <w:marBottom w:val="0"/>
      <w:divBdr>
        <w:top w:val="none" w:sz="0" w:space="0" w:color="auto"/>
        <w:left w:val="none" w:sz="0" w:space="0" w:color="auto"/>
        <w:bottom w:val="none" w:sz="0" w:space="0" w:color="auto"/>
        <w:right w:val="none" w:sz="0" w:space="0" w:color="auto"/>
      </w:divBdr>
    </w:div>
    <w:div w:id="1498306009">
      <w:bodyDiv w:val="1"/>
      <w:marLeft w:val="0"/>
      <w:marRight w:val="0"/>
      <w:marTop w:val="0"/>
      <w:marBottom w:val="0"/>
      <w:divBdr>
        <w:top w:val="none" w:sz="0" w:space="0" w:color="auto"/>
        <w:left w:val="none" w:sz="0" w:space="0" w:color="auto"/>
        <w:bottom w:val="none" w:sz="0" w:space="0" w:color="auto"/>
        <w:right w:val="none" w:sz="0" w:space="0" w:color="auto"/>
      </w:divBdr>
    </w:div>
    <w:div w:id="1609921644">
      <w:bodyDiv w:val="1"/>
      <w:marLeft w:val="0"/>
      <w:marRight w:val="0"/>
      <w:marTop w:val="0"/>
      <w:marBottom w:val="0"/>
      <w:divBdr>
        <w:top w:val="none" w:sz="0" w:space="0" w:color="auto"/>
        <w:left w:val="none" w:sz="0" w:space="0" w:color="auto"/>
        <w:bottom w:val="none" w:sz="0" w:space="0" w:color="auto"/>
        <w:right w:val="none" w:sz="0" w:space="0" w:color="auto"/>
      </w:divBdr>
    </w:div>
    <w:div w:id="1636718889">
      <w:bodyDiv w:val="1"/>
      <w:marLeft w:val="0"/>
      <w:marRight w:val="0"/>
      <w:marTop w:val="0"/>
      <w:marBottom w:val="0"/>
      <w:divBdr>
        <w:top w:val="none" w:sz="0" w:space="0" w:color="auto"/>
        <w:left w:val="none" w:sz="0" w:space="0" w:color="auto"/>
        <w:bottom w:val="none" w:sz="0" w:space="0" w:color="auto"/>
        <w:right w:val="none" w:sz="0" w:space="0" w:color="auto"/>
      </w:divBdr>
    </w:div>
    <w:div w:id="1776289963">
      <w:bodyDiv w:val="1"/>
      <w:marLeft w:val="0"/>
      <w:marRight w:val="0"/>
      <w:marTop w:val="0"/>
      <w:marBottom w:val="0"/>
      <w:divBdr>
        <w:top w:val="none" w:sz="0" w:space="0" w:color="auto"/>
        <w:left w:val="none" w:sz="0" w:space="0" w:color="auto"/>
        <w:bottom w:val="none" w:sz="0" w:space="0" w:color="auto"/>
        <w:right w:val="none" w:sz="0" w:space="0" w:color="auto"/>
      </w:divBdr>
    </w:div>
    <w:div w:id="1806120291">
      <w:bodyDiv w:val="1"/>
      <w:marLeft w:val="0"/>
      <w:marRight w:val="0"/>
      <w:marTop w:val="0"/>
      <w:marBottom w:val="0"/>
      <w:divBdr>
        <w:top w:val="none" w:sz="0" w:space="0" w:color="auto"/>
        <w:left w:val="none" w:sz="0" w:space="0" w:color="auto"/>
        <w:bottom w:val="none" w:sz="0" w:space="0" w:color="auto"/>
        <w:right w:val="none" w:sz="0" w:space="0" w:color="auto"/>
      </w:divBdr>
    </w:div>
    <w:div w:id="1814716355">
      <w:bodyDiv w:val="1"/>
      <w:marLeft w:val="0"/>
      <w:marRight w:val="0"/>
      <w:marTop w:val="0"/>
      <w:marBottom w:val="0"/>
      <w:divBdr>
        <w:top w:val="none" w:sz="0" w:space="0" w:color="auto"/>
        <w:left w:val="none" w:sz="0" w:space="0" w:color="auto"/>
        <w:bottom w:val="none" w:sz="0" w:space="0" w:color="auto"/>
        <w:right w:val="none" w:sz="0" w:space="0" w:color="auto"/>
      </w:divBdr>
    </w:div>
    <w:div w:id="1889027017">
      <w:bodyDiv w:val="1"/>
      <w:marLeft w:val="0"/>
      <w:marRight w:val="0"/>
      <w:marTop w:val="0"/>
      <w:marBottom w:val="0"/>
      <w:divBdr>
        <w:top w:val="none" w:sz="0" w:space="0" w:color="auto"/>
        <w:left w:val="none" w:sz="0" w:space="0" w:color="auto"/>
        <w:bottom w:val="none" w:sz="0" w:space="0" w:color="auto"/>
        <w:right w:val="none" w:sz="0" w:space="0" w:color="auto"/>
      </w:divBdr>
    </w:div>
    <w:div w:id="1947299612">
      <w:bodyDiv w:val="1"/>
      <w:marLeft w:val="0"/>
      <w:marRight w:val="0"/>
      <w:marTop w:val="0"/>
      <w:marBottom w:val="0"/>
      <w:divBdr>
        <w:top w:val="none" w:sz="0" w:space="0" w:color="auto"/>
        <w:left w:val="none" w:sz="0" w:space="0" w:color="auto"/>
        <w:bottom w:val="none" w:sz="0" w:space="0" w:color="auto"/>
        <w:right w:val="none" w:sz="0" w:space="0" w:color="auto"/>
      </w:divBdr>
    </w:div>
    <w:div w:id="197093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Cha1714</b:Tag>
    <b:SourceType>Book</b:SourceType>
    <b:Guid>{3A406709-6103-4357-AB86-143896E5F130}</b:Guid>
    <b:Author>
      <b:Author>
        <b:NameList>
          <b:Person>
            <b:Last>Charifzadeh</b:Last>
            <b:First>Michel</b:First>
          </b:Person>
          <b:Person>
            <b:Last>Taschner</b:Last>
            <b:First>Andreas</b:First>
          </b:Person>
        </b:NameList>
      </b:Author>
    </b:Author>
    <b:Title>Management Accounting and Control Tools and Concepts in a Central European Context</b:Title>
    <b:Year>2017</b:Year>
    <b:City>New Jersey</b:City>
    <b:Publisher>Wiley</b:Publisher>
    <b:RefOrder>1</b:RefOrder>
  </b:Source>
  <b:Source>
    <b:Tag>Bam20</b:Tag>
    <b:SourceType>Book</b:SourceType>
    <b:Guid>{14A51E62-ABF4-408E-8555-4A5C434CA0BD}</b:Guid>
    <b:Author>
      <b:Author>
        <b:NameList>
          <b:Person>
            <b:Last>Bamber</b:Last>
            <b:First>Matt</b:First>
          </b:Person>
          <b:Person>
            <b:Last>Parry</b:Last>
            <b:First>Simon</b:First>
          </b:Person>
        </b:NameList>
      </b:Author>
    </b:Author>
    <b:Title>Accounting and Finance for Managers A Business Decision Making Approach</b:Title>
    <b:Year>2020</b:Year>
    <b:City>London</b:City>
    <b:Publisher>Kogan Page</b:Publisher>
    <b:RefOrder>2</b:RefOrder>
  </b:Source>
  <b:Source>
    <b:Tag>Wee1914</b:Tag>
    <b:SourceType>Book</b:SourceType>
    <b:Guid>{33470F49-12D4-479F-A0B8-6E6134F20CBA}</b:Guid>
    <b:Author>
      <b:Author>
        <b:NameList>
          <b:Person>
            <b:Last>Weetman</b:Last>
            <b:First>Pauline</b:First>
          </b:Person>
        </b:NameList>
      </b:Author>
    </b:Author>
    <b:Title>Financial and Management Accounting</b:Title>
    <b:Year>2019</b:Year>
    <b:City>Essex</b:City>
    <b:Publisher>Pearson</b:Publisher>
    <b:Edition>8</b:Edition>
    <b:RefOrder>3</b:RefOrder>
  </b:Source>
  <b:Source>
    <b:Tag>Sco194</b:Tag>
    <b:SourceType>Book</b:SourceType>
    <b:Guid>{F56C5982-3B55-43A3-80EE-A5A0DF023D84}</b:Guid>
    <b:Author>
      <b:Author>
        <b:NameList>
          <b:Person>
            <b:Last>Scott</b:Last>
            <b:First>Peter</b:First>
          </b:Person>
        </b:NameList>
      </b:Author>
    </b:Author>
    <b:Title>Introduction to Management Accounting</b:Title>
    <b:Year>2019</b:Year>
    <b:City>Oxford</b:City>
    <b:Publisher>Oxford University Press</b:Publisher>
    <b:RefOrder>4</b:RefOrder>
  </b:Source>
  <b:Source>
    <b:Tag>Wey171</b:Tag>
    <b:SourceType>Book</b:SourceType>
    <b:Guid>{50011A1D-DB4D-442B-A3C3-C9FDDAF29101}</b:Guid>
    <b:Author>
      <b:Author>
        <b:NameList>
          <b:Person>
            <b:Last>Weygandt</b:Last>
            <b:First>Jerry</b:First>
            <b:Middle>J.</b:Middle>
          </b:Person>
          <b:Person>
            <b:Last>Kimmel</b:Last>
            <b:First>Paul</b:First>
            <b:Middle>D</b:Middle>
          </b:Person>
          <b:Person>
            <b:Last>Kieso</b:Last>
            <b:First>Donald</b:First>
            <b:Middle>E.</b:Middle>
          </b:Person>
        </b:NameList>
      </b:Author>
    </b:Author>
    <b:Title>Weygandt's Managerial Accounting Tools for Business Decision Making</b:Title>
    <b:Year>2017</b:Year>
    <b:City>New Jersey</b:City>
    <b:Publisher>Wiley</b:Publisher>
    <b:RefOrder>5</b:RefOrder>
  </b:Source>
  <b:Source>
    <b:Tag>Tem194</b:Tag>
    <b:SourceType>Book</b:SourceType>
    <b:Guid>{7C5D73D7-532B-4631-B5FE-7A579A122605}</b:Guid>
    <b:Author>
      <b:Author>
        <b:NameList>
          <b:Person>
            <b:Last>Templar</b:Last>
            <b:First>Simon</b:First>
          </b:Person>
        </b:NameList>
      </b:Author>
    </b:Author>
    <b:Title>Supply Chain Management Accounting Managing Profitability, Working Capital and Asset Utilization</b:Title>
    <b:Year>2019</b:Year>
    <b:City>London</b:City>
    <b:Publisher>Kogan Page</b:Publisher>
    <b:RefOrder>6</b:RefOrder>
  </b:Source>
  <b:Source>
    <b:Tag>Boy18</b:Tag>
    <b:SourceType>Book</b:SourceType>
    <b:Guid>{9CBBE17E-ADC0-4B10-A6F0-996CAA39A100}</b:Guid>
    <b:Author>
      <b:Author>
        <b:NameList>
          <b:Person>
            <b:Last>Boyd</b:Last>
            <b:First>Kenneth</b:First>
            <b:Middle>W.</b:Middle>
          </b:Person>
        </b:NameList>
      </b:Author>
    </b:Author>
    <b:Title>Accounting All-in-One For Dummies, with Online Practice</b:Title>
    <b:Year>2018</b:Year>
    <b:City>New Jersey</b:City>
    <b:Publisher>Wiley</b:Publisher>
    <b:RefOrder>7</b:RefOrder>
  </b:Source>
  <b:Source>
    <b:Tag>Dru187</b:Tag>
    <b:SourceType>Book</b:SourceType>
    <b:Guid>{7B38BDA2-26BB-4F46-9C69-CB6D2257D6DB}</b:Guid>
    <b:Author>
      <b:Author>
        <b:NameList>
          <b:Person>
            <b:Last>Drury</b:Last>
            <b:First>Colin</b:First>
          </b:Person>
        </b:NameList>
      </b:Author>
    </b:Author>
    <b:Title>Management Accounting for Business</b:Title>
    <b:Year>2018</b:Year>
    <b:City>New York</b:City>
    <b:Publisher>Cengage Learning</b:Publisher>
    <b:RefOrder>8</b:RefOrder>
  </b:Source>
  <b:Source>
    <b:Tag>Mow181</b:Tag>
    <b:SourceType>Book</b:SourceType>
    <b:Guid>{2414A945-43FF-4D2C-9DCB-FD7C824130F3}</b:Guid>
    <b:Author>
      <b:Author>
        <b:NameList>
          <b:Person>
            <b:Last>Mowen</b:Last>
            <b:First>Maryanne</b:First>
            <b:Middle>M.</b:Middle>
          </b:Person>
          <b:Person>
            <b:Last>Winata</b:Last>
            <b:First>Lanita</b:First>
          </b:Person>
          <b:Person>
            <b:Last>Hansen</b:Last>
            <b:First>Don</b:First>
            <b:Middle>R.</b:Middle>
          </b:Person>
          <b:Person>
            <b:Last>Sands</b:Last>
            <b:First>John</b:First>
          </b:Person>
          <b:Person>
            <b:Last>Heitger</b:Last>
            <b:First>Dan</b:First>
            <b:Middle>L.</b:Middle>
          </b:Person>
          <b:Person>
            <b:Last>Su</b:Last>
            <b:First>Sophia</b:First>
          </b:Person>
        </b:NameList>
      </b:Author>
    </b:Author>
    <b:Title>Managerial Accounting: Asia-Pacific Edition</b:Title>
    <b:Year>2018</b:Year>
    <b:City>Melbourne</b:City>
    <b:Publisher>Cengage Learning Australia</b:Publisher>
    <b:Edition>2</b:Edition>
    <b:RefOrder>9</b:RefOrder>
  </b:Source>
  <b:Source>
    <b:Tag>Han191</b:Tag>
    <b:SourceType>Book</b:SourceType>
    <b:Guid>{7AEF8180-D857-4C3D-BCD2-DF9C7628B1FF}</b:Guid>
    <b:Author>
      <b:Author>
        <b:NameList>
          <b:Person>
            <b:Last>Hanif</b:Last>
            <b:First>M</b:First>
          </b:Person>
        </b:NameList>
      </b:Author>
    </b:Author>
    <b:Title>Modern Cost and Management Accounting</b:Title>
    <b:Year>2019</b:Year>
    <b:City>London</b:City>
    <b:Publisher>McGraw-Hill Education</b:Publisher>
    <b:RefOrder>10</b:RefOrder>
  </b:Source>
  <b:Source>
    <b:Tag>Pot21</b:Tag>
    <b:SourceType>Book</b:SourceType>
    <b:Guid>{96B40A10-22D8-4689-B52F-59BFCF9758AC}</b:Guid>
    <b:Author>
      <b:Author>
        <b:NameList>
          <b:Person>
            <b:Last>Potter</b:Last>
            <b:First>W.</b:First>
            <b:Middle>James</b:Middle>
          </b:Person>
        </b:NameList>
      </b:Author>
    </b:Author>
    <b:Title>Digital Media Effects</b:Title>
    <b:Year>2021</b:Year>
    <b:City>Plymouth</b:City>
    <b:Publisher>Rowman &amp; Littlefield Publishers</b:Publisher>
    <b:RefOrder>11</b:RefOrder>
  </b:Source>
  <b:Source>
    <b:Tag>Lau19</b:Tag>
    <b:SourceType>Book</b:SourceType>
    <b:Guid>{A74A8355-D5C0-4912-A612-024A4258B1ED}</b:Guid>
    <b:Author>
      <b:Author>
        <b:NameList>
          <b:Person>
            <b:Last>Laudon</b:Last>
            <b:First>Kenneth</b:First>
            <b:Middle>C.</b:Middle>
          </b:Person>
          <b:Person>
            <b:Last>Traver</b:Last>
            <b:First>Carol</b:First>
            <b:Middle>Guercio</b:Middle>
          </b:Person>
        </b:NameList>
      </b:Author>
    </b:Author>
    <b:Title>E-commerce Business, Technology, Society</b:Title>
    <b:Year>2019</b:Year>
    <b:City>Essex</b:City>
    <b:Publisher>Pearson</b:Publisher>
    <b:Edition>15</b:Edition>
    <b:RefOrder>12</b:RefOrder>
  </b:Source>
  <b:Source>
    <b:Tag>Olm20</b:Tag>
    <b:SourceType>Book</b:SourceType>
    <b:Guid>{A7925B24-5E7C-4EF3-B3FA-AD5267B39F22}</b:Guid>
    <b:Author>
      <b:Author>
        <b:NameList>
          <b:Person>
            <b:Last>Olmez</b:Last>
            <b:First>Deniz</b:First>
          </b:Person>
          <b:Person>
            <b:Last>Kraynak</b:Last>
            <b:First>Joseph</b:First>
          </b:Person>
        </b:NameList>
      </b:Author>
    </b:Author>
    <b:Title>Selling on Amazon For Dummies</b:Title>
    <b:Year>2020</b:Year>
    <b:City>New Jersey</b:City>
    <b:Publisher>Wiley</b:Publisher>
    <b:RefOrder>13</b:RefOrder>
  </b:Source>
</b:Sources>
</file>

<file path=customXml/itemProps1.xml><?xml version="1.0" encoding="utf-8"?>
<ds:datastoreItem xmlns:ds="http://schemas.openxmlformats.org/officeDocument/2006/customXml" ds:itemID="{192D6FB7-E293-4943-8FD8-1C8819D05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2901</TotalTime>
  <Pages>10</Pages>
  <Words>2977</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Toni Koleva</cp:lastModifiedBy>
  <cp:revision>3</cp:revision>
  <dcterms:created xsi:type="dcterms:W3CDTF">2021-04-06T07:10:00Z</dcterms:created>
  <dcterms:modified xsi:type="dcterms:W3CDTF">2021-05-05T15:31:00Z</dcterms:modified>
</cp:coreProperties>
</file>