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CAED9A" w14:textId="77777777" w:rsidR="00BE38E0" w:rsidRPr="008644CE" w:rsidRDefault="00BE38E0" w:rsidP="00BE38E0">
      <w:pPr>
        <w:jc w:val="center"/>
        <w:rPr>
          <w:rFonts w:ascii="Arial" w:hAnsi="Arial" w:cs="Arial"/>
          <w:b/>
          <w:sz w:val="24"/>
          <w:szCs w:val="24"/>
        </w:rPr>
      </w:pPr>
    </w:p>
    <w:p w14:paraId="38E0C5AE" w14:textId="77777777" w:rsidR="00BE38E0" w:rsidRPr="008644CE" w:rsidRDefault="00BE38E0" w:rsidP="00BE38E0">
      <w:pPr>
        <w:jc w:val="center"/>
        <w:rPr>
          <w:rFonts w:ascii="Arial" w:hAnsi="Arial" w:cs="Arial"/>
          <w:b/>
          <w:sz w:val="24"/>
          <w:szCs w:val="24"/>
        </w:rPr>
      </w:pPr>
    </w:p>
    <w:p w14:paraId="507296C1" w14:textId="77777777" w:rsidR="00BE38E0" w:rsidRPr="008644CE" w:rsidRDefault="00BE38E0" w:rsidP="00BE38E0">
      <w:pPr>
        <w:jc w:val="center"/>
        <w:rPr>
          <w:rFonts w:ascii="Arial" w:hAnsi="Arial" w:cs="Arial"/>
          <w:b/>
          <w:sz w:val="24"/>
          <w:szCs w:val="24"/>
        </w:rPr>
      </w:pPr>
    </w:p>
    <w:p w14:paraId="1A010B1D" w14:textId="220C645A" w:rsidR="00E74FEE" w:rsidRPr="008644CE" w:rsidRDefault="00BE38E0" w:rsidP="00BE38E0">
      <w:pPr>
        <w:jc w:val="center"/>
        <w:rPr>
          <w:rFonts w:ascii="Arial" w:hAnsi="Arial" w:cs="Arial"/>
          <w:b/>
          <w:sz w:val="32"/>
          <w:szCs w:val="32"/>
        </w:rPr>
      </w:pPr>
      <w:r w:rsidRPr="008644CE">
        <w:rPr>
          <w:rFonts w:ascii="Arial" w:hAnsi="Arial" w:cs="Arial"/>
          <w:b/>
          <w:sz w:val="32"/>
          <w:szCs w:val="32"/>
        </w:rPr>
        <w:t>BMPL4009_CARD</w:t>
      </w:r>
    </w:p>
    <w:p w14:paraId="46F6A951" w14:textId="00FFD7A5" w:rsidR="00BE38E0" w:rsidRPr="008644CE" w:rsidRDefault="00BE38E0" w:rsidP="00BE38E0">
      <w:pPr>
        <w:jc w:val="center"/>
        <w:rPr>
          <w:rFonts w:ascii="Arial" w:hAnsi="Arial" w:cs="Arial"/>
          <w:b/>
          <w:sz w:val="32"/>
          <w:szCs w:val="32"/>
        </w:rPr>
      </w:pPr>
      <w:r w:rsidRPr="008644CE">
        <w:rPr>
          <w:rFonts w:ascii="Arial" w:hAnsi="Arial" w:cs="Arial"/>
          <w:b/>
          <w:sz w:val="32"/>
          <w:szCs w:val="32"/>
        </w:rPr>
        <w:t>Criminal Law</w:t>
      </w:r>
    </w:p>
    <w:p w14:paraId="16ACC302" w14:textId="77777777" w:rsidR="00BE38E0" w:rsidRPr="008644CE" w:rsidRDefault="00BE38E0" w:rsidP="00BE38E0">
      <w:pPr>
        <w:jc w:val="center"/>
        <w:rPr>
          <w:rFonts w:ascii="Arial" w:hAnsi="Arial" w:cs="Arial"/>
          <w:b/>
          <w:sz w:val="32"/>
          <w:szCs w:val="32"/>
        </w:rPr>
      </w:pPr>
    </w:p>
    <w:p w14:paraId="34DF66C0" w14:textId="48F24478" w:rsidR="00BE38E0" w:rsidRPr="008644CE" w:rsidRDefault="00BE38E0" w:rsidP="00BE38E0">
      <w:pPr>
        <w:jc w:val="center"/>
        <w:rPr>
          <w:rFonts w:ascii="Arial" w:hAnsi="Arial" w:cs="Arial"/>
          <w:b/>
          <w:sz w:val="32"/>
          <w:szCs w:val="32"/>
        </w:rPr>
      </w:pPr>
      <w:r w:rsidRPr="008644CE">
        <w:rPr>
          <w:rFonts w:ascii="Arial" w:hAnsi="Arial" w:cs="Arial"/>
          <w:b/>
          <w:sz w:val="32"/>
          <w:szCs w:val="32"/>
        </w:rPr>
        <w:t>Assignment Title: Scenario question</w:t>
      </w:r>
    </w:p>
    <w:p w14:paraId="67FE119F" w14:textId="77777777" w:rsidR="00BE38E0" w:rsidRPr="008644CE" w:rsidRDefault="00BE38E0" w:rsidP="00BE38E0">
      <w:pPr>
        <w:jc w:val="center"/>
        <w:rPr>
          <w:rFonts w:ascii="Arial" w:hAnsi="Arial" w:cs="Arial"/>
          <w:b/>
          <w:sz w:val="24"/>
          <w:szCs w:val="24"/>
        </w:rPr>
      </w:pPr>
    </w:p>
    <w:p w14:paraId="56267E53" w14:textId="77777777" w:rsidR="00BE38E0" w:rsidRPr="008644CE" w:rsidRDefault="00BE38E0" w:rsidP="00BE38E0">
      <w:pPr>
        <w:jc w:val="center"/>
        <w:rPr>
          <w:rFonts w:ascii="Arial" w:hAnsi="Arial" w:cs="Arial"/>
          <w:b/>
          <w:sz w:val="24"/>
          <w:szCs w:val="24"/>
        </w:rPr>
      </w:pPr>
    </w:p>
    <w:p w14:paraId="47C49A6F" w14:textId="1EC0BED2" w:rsidR="00BE38E0" w:rsidRPr="008644CE" w:rsidRDefault="00BE38E0" w:rsidP="00BE38E0">
      <w:pPr>
        <w:jc w:val="center"/>
        <w:rPr>
          <w:rFonts w:ascii="Arial" w:hAnsi="Arial" w:cs="Arial"/>
          <w:b/>
          <w:sz w:val="24"/>
          <w:szCs w:val="24"/>
        </w:rPr>
      </w:pPr>
      <w:r w:rsidRPr="008644CE">
        <w:rPr>
          <w:rFonts w:ascii="Arial" w:hAnsi="Arial" w:cs="Arial"/>
          <w:b/>
          <w:sz w:val="24"/>
          <w:szCs w:val="24"/>
        </w:rPr>
        <w:t>Student Name:</w:t>
      </w:r>
    </w:p>
    <w:p w14:paraId="42B243B0" w14:textId="2433B5CE" w:rsidR="00BE38E0" w:rsidRPr="008644CE" w:rsidRDefault="00BE38E0" w:rsidP="00BE38E0">
      <w:pPr>
        <w:jc w:val="center"/>
        <w:rPr>
          <w:rFonts w:ascii="Arial" w:hAnsi="Arial" w:cs="Arial"/>
          <w:b/>
          <w:sz w:val="24"/>
          <w:szCs w:val="24"/>
        </w:rPr>
      </w:pPr>
      <w:r w:rsidRPr="008644CE">
        <w:rPr>
          <w:rFonts w:ascii="Arial" w:hAnsi="Arial" w:cs="Arial"/>
          <w:b/>
          <w:sz w:val="24"/>
          <w:szCs w:val="24"/>
        </w:rPr>
        <w:t>Student ID:</w:t>
      </w:r>
    </w:p>
    <w:p w14:paraId="1890562E" w14:textId="77777777" w:rsidR="00BE38E0" w:rsidRPr="008644CE" w:rsidRDefault="00BE38E0" w:rsidP="00BE38E0">
      <w:pPr>
        <w:jc w:val="center"/>
        <w:rPr>
          <w:rFonts w:ascii="Arial" w:hAnsi="Arial" w:cs="Arial"/>
          <w:b/>
          <w:sz w:val="24"/>
          <w:szCs w:val="24"/>
        </w:rPr>
      </w:pPr>
    </w:p>
    <w:p w14:paraId="61118D61" w14:textId="6EA7E930" w:rsidR="00BE38E0" w:rsidRPr="008644CE" w:rsidRDefault="00BE38E0" w:rsidP="00BE38E0">
      <w:pPr>
        <w:jc w:val="center"/>
        <w:rPr>
          <w:rFonts w:ascii="Arial" w:hAnsi="Arial" w:cs="Arial"/>
          <w:b/>
          <w:sz w:val="24"/>
          <w:szCs w:val="24"/>
        </w:rPr>
      </w:pPr>
      <w:r w:rsidRPr="008644CE">
        <w:rPr>
          <w:rFonts w:ascii="Arial" w:hAnsi="Arial" w:cs="Arial"/>
          <w:b/>
          <w:sz w:val="24"/>
          <w:szCs w:val="24"/>
        </w:rPr>
        <w:t>Date of Submission:</w:t>
      </w:r>
    </w:p>
    <w:p w14:paraId="585D644E" w14:textId="77777777" w:rsidR="00BE38E0" w:rsidRPr="008644CE" w:rsidRDefault="00BE38E0" w:rsidP="00BE38E0">
      <w:pPr>
        <w:jc w:val="center"/>
        <w:rPr>
          <w:rFonts w:ascii="Arial" w:hAnsi="Arial" w:cs="Arial"/>
          <w:b/>
          <w:sz w:val="24"/>
          <w:szCs w:val="24"/>
        </w:rPr>
      </w:pPr>
    </w:p>
    <w:p w14:paraId="08508E22" w14:textId="77777777" w:rsidR="00BE38E0" w:rsidRPr="008644CE" w:rsidRDefault="00BE38E0" w:rsidP="00BE38E0">
      <w:pPr>
        <w:jc w:val="center"/>
        <w:rPr>
          <w:rFonts w:ascii="Arial" w:hAnsi="Arial" w:cs="Arial"/>
          <w:b/>
          <w:sz w:val="24"/>
          <w:szCs w:val="24"/>
        </w:rPr>
      </w:pPr>
    </w:p>
    <w:p w14:paraId="095BD6DA" w14:textId="77777777" w:rsidR="00BE38E0" w:rsidRPr="008644CE" w:rsidRDefault="00BE38E0" w:rsidP="00BE38E0">
      <w:pPr>
        <w:jc w:val="center"/>
        <w:rPr>
          <w:rFonts w:ascii="Arial" w:hAnsi="Arial" w:cs="Arial"/>
          <w:b/>
          <w:sz w:val="24"/>
          <w:szCs w:val="24"/>
        </w:rPr>
      </w:pPr>
    </w:p>
    <w:p w14:paraId="06DFA1F6" w14:textId="77777777" w:rsidR="00BE38E0" w:rsidRPr="008644CE" w:rsidRDefault="00BE38E0" w:rsidP="00BE38E0">
      <w:pPr>
        <w:jc w:val="center"/>
        <w:rPr>
          <w:rFonts w:ascii="Arial" w:hAnsi="Arial" w:cs="Arial"/>
          <w:b/>
          <w:sz w:val="24"/>
          <w:szCs w:val="24"/>
        </w:rPr>
      </w:pPr>
    </w:p>
    <w:p w14:paraId="76EF7E67" w14:textId="77777777" w:rsidR="00BE38E0" w:rsidRPr="008644CE" w:rsidRDefault="00BE38E0" w:rsidP="00BE38E0">
      <w:pPr>
        <w:jc w:val="center"/>
        <w:rPr>
          <w:rFonts w:ascii="Arial" w:hAnsi="Arial" w:cs="Arial"/>
          <w:b/>
          <w:sz w:val="24"/>
          <w:szCs w:val="24"/>
        </w:rPr>
      </w:pPr>
    </w:p>
    <w:p w14:paraId="616D41A6" w14:textId="77777777" w:rsidR="00BE38E0" w:rsidRPr="008644CE" w:rsidRDefault="00BE38E0" w:rsidP="00BE38E0">
      <w:pPr>
        <w:jc w:val="center"/>
        <w:rPr>
          <w:rFonts w:ascii="Arial" w:hAnsi="Arial" w:cs="Arial"/>
          <w:b/>
          <w:sz w:val="24"/>
          <w:szCs w:val="24"/>
        </w:rPr>
      </w:pPr>
    </w:p>
    <w:p w14:paraId="383C1735" w14:textId="77777777" w:rsidR="00BE38E0" w:rsidRPr="008644CE" w:rsidRDefault="00BE38E0" w:rsidP="00BE38E0">
      <w:pPr>
        <w:jc w:val="center"/>
        <w:rPr>
          <w:rFonts w:ascii="Arial" w:hAnsi="Arial" w:cs="Arial"/>
          <w:b/>
          <w:sz w:val="24"/>
          <w:szCs w:val="24"/>
        </w:rPr>
      </w:pPr>
    </w:p>
    <w:p w14:paraId="364508BE" w14:textId="77777777" w:rsidR="00BE38E0" w:rsidRPr="008644CE" w:rsidRDefault="00BE38E0" w:rsidP="00BE38E0">
      <w:pPr>
        <w:jc w:val="center"/>
        <w:rPr>
          <w:rFonts w:ascii="Arial" w:hAnsi="Arial" w:cs="Arial"/>
          <w:b/>
          <w:sz w:val="24"/>
          <w:szCs w:val="24"/>
        </w:rPr>
      </w:pPr>
    </w:p>
    <w:p w14:paraId="266C827A" w14:textId="77777777" w:rsidR="00BE38E0" w:rsidRPr="008644CE" w:rsidRDefault="00BE38E0" w:rsidP="00BE38E0">
      <w:pPr>
        <w:jc w:val="center"/>
        <w:rPr>
          <w:rFonts w:ascii="Arial" w:hAnsi="Arial" w:cs="Arial"/>
          <w:b/>
          <w:sz w:val="24"/>
          <w:szCs w:val="24"/>
        </w:rPr>
      </w:pPr>
    </w:p>
    <w:p w14:paraId="5641C91B" w14:textId="77777777" w:rsidR="00BE38E0" w:rsidRPr="008644CE" w:rsidRDefault="00BE38E0" w:rsidP="00BE38E0">
      <w:pPr>
        <w:jc w:val="center"/>
        <w:rPr>
          <w:rFonts w:ascii="Arial" w:hAnsi="Arial" w:cs="Arial"/>
          <w:b/>
          <w:sz w:val="24"/>
          <w:szCs w:val="24"/>
        </w:rPr>
      </w:pPr>
    </w:p>
    <w:p w14:paraId="3452B3FA" w14:textId="77777777" w:rsidR="00BE38E0" w:rsidRPr="008644CE" w:rsidRDefault="00BE38E0" w:rsidP="00BE38E0">
      <w:pPr>
        <w:jc w:val="center"/>
        <w:rPr>
          <w:rFonts w:ascii="Arial" w:hAnsi="Arial" w:cs="Arial"/>
          <w:b/>
          <w:sz w:val="24"/>
          <w:szCs w:val="24"/>
        </w:rPr>
      </w:pPr>
    </w:p>
    <w:p w14:paraId="245180D8" w14:textId="77777777" w:rsidR="00BE38E0" w:rsidRPr="008644CE" w:rsidRDefault="00BE38E0" w:rsidP="00BE38E0">
      <w:pPr>
        <w:jc w:val="center"/>
        <w:rPr>
          <w:rFonts w:ascii="Arial" w:hAnsi="Arial" w:cs="Arial"/>
          <w:b/>
          <w:sz w:val="24"/>
          <w:szCs w:val="24"/>
        </w:rPr>
      </w:pPr>
    </w:p>
    <w:p w14:paraId="5E3718AF" w14:textId="77777777" w:rsidR="00BE38E0" w:rsidRPr="008644CE" w:rsidRDefault="00BE38E0" w:rsidP="00BE38E0">
      <w:pPr>
        <w:jc w:val="center"/>
        <w:rPr>
          <w:rFonts w:ascii="Arial" w:hAnsi="Arial" w:cs="Arial"/>
          <w:b/>
          <w:sz w:val="24"/>
          <w:szCs w:val="24"/>
        </w:rPr>
      </w:pPr>
    </w:p>
    <w:p w14:paraId="18AE1A7E" w14:textId="77777777" w:rsidR="008644CE" w:rsidRPr="008644CE" w:rsidRDefault="008644CE" w:rsidP="00BE38E0">
      <w:pPr>
        <w:jc w:val="center"/>
        <w:rPr>
          <w:rFonts w:ascii="Arial" w:hAnsi="Arial" w:cs="Arial"/>
          <w:b/>
          <w:sz w:val="24"/>
          <w:szCs w:val="24"/>
        </w:rPr>
      </w:pPr>
    </w:p>
    <w:p w14:paraId="75331830" w14:textId="77777777" w:rsidR="008644CE" w:rsidRPr="008644CE" w:rsidRDefault="008644CE" w:rsidP="00BE38E0">
      <w:pPr>
        <w:jc w:val="center"/>
        <w:rPr>
          <w:rFonts w:ascii="Arial" w:hAnsi="Arial" w:cs="Arial"/>
          <w:b/>
          <w:sz w:val="24"/>
          <w:szCs w:val="24"/>
        </w:rPr>
      </w:pPr>
    </w:p>
    <w:p w14:paraId="5428A706" w14:textId="77777777" w:rsidR="00BE38E0" w:rsidRPr="008644CE" w:rsidRDefault="00BE38E0" w:rsidP="00BE38E0">
      <w:pPr>
        <w:jc w:val="center"/>
        <w:rPr>
          <w:rFonts w:ascii="Arial" w:hAnsi="Arial" w:cs="Arial"/>
          <w:b/>
          <w:sz w:val="24"/>
          <w:szCs w:val="24"/>
        </w:rPr>
      </w:pPr>
    </w:p>
    <w:p w14:paraId="6007DC7B" w14:textId="77777777" w:rsidR="008644CE" w:rsidRPr="008644CE" w:rsidRDefault="008644CE" w:rsidP="008644CE">
      <w:pPr>
        <w:pStyle w:val="Heading1"/>
        <w:rPr>
          <w:rFonts w:ascii="Arial" w:hAnsi="Arial" w:cs="Arial"/>
          <w:sz w:val="24"/>
          <w:szCs w:val="24"/>
        </w:rPr>
      </w:pPr>
      <w:r w:rsidRPr="008644CE">
        <w:rPr>
          <w:rFonts w:ascii="Arial" w:hAnsi="Arial" w:cs="Arial"/>
          <w:sz w:val="24"/>
          <w:szCs w:val="24"/>
        </w:rPr>
        <w:lastRenderedPageBreak/>
        <w:t>Legal Analysis and Advice for Linda</w:t>
      </w:r>
    </w:p>
    <w:p w14:paraId="28A24DA0"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Linda,</w:t>
      </w:r>
    </w:p>
    <w:p w14:paraId="7588BF06"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This letter aims to provide a thorough legal analysis of your acts and the possible criminal consequences. According to the scenario supplied, your actions may result in charges of theft, criminal damage, and assault, resulting in actual bodily harm (ABH). This examination will illuminate the basic components of these crimes, such as actus reus and men's rea, while providing practical assistance in anticipating and proceeding.</w:t>
      </w:r>
    </w:p>
    <w:p w14:paraId="1A154976" w14:textId="77777777" w:rsidR="008644CE" w:rsidRPr="008644CE" w:rsidRDefault="008644CE" w:rsidP="008644CE">
      <w:pPr>
        <w:pStyle w:val="Heading2"/>
        <w:rPr>
          <w:rFonts w:ascii="Arial" w:hAnsi="Arial" w:cs="Arial"/>
          <w:sz w:val="24"/>
          <w:szCs w:val="24"/>
        </w:rPr>
      </w:pPr>
      <w:r w:rsidRPr="008644CE">
        <w:rPr>
          <w:rFonts w:ascii="Arial" w:hAnsi="Arial" w:cs="Arial"/>
          <w:sz w:val="24"/>
          <w:szCs w:val="24"/>
        </w:rPr>
        <w:t>Analysis of Potential Charges</w:t>
      </w:r>
    </w:p>
    <w:p w14:paraId="3DAFE625" w14:textId="77777777" w:rsidR="008644CE" w:rsidRPr="008644CE" w:rsidRDefault="008644CE" w:rsidP="008644CE">
      <w:pPr>
        <w:pStyle w:val="Heading2"/>
        <w:rPr>
          <w:rFonts w:ascii="Arial" w:hAnsi="Arial" w:cs="Arial"/>
          <w:sz w:val="24"/>
          <w:szCs w:val="24"/>
        </w:rPr>
      </w:pPr>
      <w:r w:rsidRPr="008644CE">
        <w:rPr>
          <w:rFonts w:ascii="Arial" w:hAnsi="Arial" w:cs="Arial"/>
          <w:sz w:val="24"/>
          <w:szCs w:val="24"/>
        </w:rPr>
        <w:t>Theft</w:t>
      </w:r>
    </w:p>
    <w:p w14:paraId="201CEEB6"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Section 1(1) of the Theft Act 1968 defines </w:t>
      </w:r>
      <w:r w:rsidRPr="008644CE">
        <w:rPr>
          <w:rFonts w:ascii="Arial" w:hAnsi="Arial" w:cs="Arial"/>
          <w:bCs/>
          <w:i/>
          <w:iCs/>
          <w:sz w:val="24"/>
          <w:szCs w:val="24"/>
        </w:rPr>
        <w:t>theft</w:t>
      </w:r>
      <w:r w:rsidRPr="008644CE">
        <w:rPr>
          <w:rFonts w:ascii="Arial" w:hAnsi="Arial" w:cs="Arial"/>
          <w:bCs/>
          <w:sz w:val="24"/>
          <w:szCs w:val="24"/>
        </w:rPr>
        <w:t xml:space="preserve"> as the dishonest seizure of another's property to permanently deprive the other of it. This concept includes the act of appropriating Aida's jewels in your scenario. The </w:t>
      </w:r>
      <w:proofErr w:type="spellStart"/>
      <w:r w:rsidRPr="008644CE">
        <w:rPr>
          <w:rFonts w:ascii="Arial" w:hAnsi="Arial" w:cs="Arial"/>
          <w:bCs/>
          <w:sz w:val="24"/>
          <w:szCs w:val="24"/>
        </w:rPr>
        <w:t>mens</w:t>
      </w:r>
      <w:proofErr w:type="spellEnd"/>
      <w:r w:rsidRPr="008644CE">
        <w:rPr>
          <w:rFonts w:ascii="Arial" w:hAnsi="Arial" w:cs="Arial"/>
          <w:bCs/>
          <w:sz w:val="24"/>
          <w:szCs w:val="24"/>
        </w:rPr>
        <w:t xml:space="preserve"> rea of stealing includes the desire to irreversibly deprive and dishonesty, but the actus reus of theft is the appropriation of property and property belonging to someone else.</w:t>
      </w:r>
    </w:p>
    <w:p w14:paraId="10FE8AB8"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In R v Morris [1983], the court concluded that appropriation occurs when the defendant takes any of the proprietor's rights. This element is met by your act of purchasing and keeping the jewellery. The Ivey test for dishonesty, as defined in Ivey v Genting Casinos [2017], determines if your conduct </w:t>
      </w:r>
      <w:proofErr w:type="spellStart"/>
      <w:r w:rsidRPr="008644CE">
        <w:rPr>
          <w:rFonts w:ascii="Arial" w:hAnsi="Arial" w:cs="Arial"/>
          <w:bCs/>
          <w:sz w:val="24"/>
          <w:szCs w:val="24"/>
        </w:rPr>
        <w:t>waswas</w:t>
      </w:r>
      <w:proofErr w:type="spellEnd"/>
      <w:r w:rsidRPr="008644CE">
        <w:rPr>
          <w:rFonts w:ascii="Arial" w:hAnsi="Arial" w:cs="Arial"/>
          <w:bCs/>
          <w:sz w:val="24"/>
          <w:szCs w:val="24"/>
        </w:rPr>
        <w:t xml:space="preserve"> dishonest by ordinary, respectable people's standards, which it certainly was. This assessment assesses your true degree of knowledge or conviction and decides if your acts were dishonest when compared to the standards of regular, decent people. </w:t>
      </w:r>
    </w:p>
    <w:p w14:paraId="101C7D14" w14:textId="77777777" w:rsidR="008644CE" w:rsidRPr="008644CE" w:rsidRDefault="008644CE" w:rsidP="008644CE">
      <w:pPr>
        <w:pStyle w:val="Heading2"/>
        <w:rPr>
          <w:rFonts w:ascii="Arial" w:hAnsi="Arial" w:cs="Arial"/>
          <w:sz w:val="24"/>
          <w:szCs w:val="24"/>
        </w:rPr>
      </w:pPr>
      <w:r w:rsidRPr="008644CE">
        <w:rPr>
          <w:rFonts w:ascii="Arial" w:hAnsi="Arial" w:cs="Arial"/>
          <w:sz w:val="24"/>
          <w:szCs w:val="24"/>
        </w:rPr>
        <w:t>Criminal Damage</w:t>
      </w:r>
    </w:p>
    <w:p w14:paraId="2FF71FA4"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According to Section 1(1) of the Criminal Damage Act 1971, which criminalizes the destruction or damage of another's property without a legitimate cause, your act of cutting holes in Aida's clothing constitutes criminal damage. The actus reus is the act of injuring property, but the </w:t>
      </w:r>
      <w:proofErr w:type="spellStart"/>
      <w:r w:rsidRPr="008644CE">
        <w:rPr>
          <w:rFonts w:ascii="Arial" w:hAnsi="Arial" w:cs="Arial"/>
          <w:bCs/>
          <w:sz w:val="24"/>
          <w:szCs w:val="24"/>
        </w:rPr>
        <w:t>mens</w:t>
      </w:r>
      <w:proofErr w:type="spellEnd"/>
      <w:r w:rsidRPr="008644CE">
        <w:rPr>
          <w:rFonts w:ascii="Arial" w:hAnsi="Arial" w:cs="Arial"/>
          <w:bCs/>
          <w:sz w:val="24"/>
          <w:szCs w:val="24"/>
        </w:rPr>
        <w:t xml:space="preserve"> rea relates to the purpose or carelessness that caused the damage.</w:t>
      </w:r>
    </w:p>
    <w:p w14:paraId="368592F9"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In the case of R v </w:t>
      </w:r>
      <w:proofErr w:type="spellStart"/>
      <w:r w:rsidRPr="008644CE">
        <w:rPr>
          <w:rFonts w:ascii="Arial" w:hAnsi="Arial" w:cs="Arial"/>
          <w:bCs/>
          <w:sz w:val="24"/>
          <w:szCs w:val="24"/>
        </w:rPr>
        <w:t>Pembliton</w:t>
      </w:r>
      <w:proofErr w:type="spellEnd"/>
      <w:r w:rsidRPr="008644CE">
        <w:rPr>
          <w:rFonts w:ascii="Arial" w:hAnsi="Arial" w:cs="Arial"/>
          <w:bCs/>
          <w:sz w:val="24"/>
          <w:szCs w:val="24"/>
        </w:rPr>
        <w:t xml:space="preserve"> [1874], </w:t>
      </w:r>
      <w:r w:rsidRPr="008644CE">
        <w:rPr>
          <w:rFonts w:ascii="Arial" w:hAnsi="Arial" w:cs="Arial"/>
          <w:bCs/>
          <w:i/>
          <w:iCs/>
          <w:sz w:val="24"/>
          <w:szCs w:val="24"/>
        </w:rPr>
        <w:t>recklessness</w:t>
      </w:r>
      <w:r w:rsidRPr="008644CE">
        <w:rPr>
          <w:rFonts w:ascii="Arial" w:hAnsi="Arial" w:cs="Arial"/>
          <w:bCs/>
          <w:sz w:val="24"/>
          <w:szCs w:val="24"/>
        </w:rPr>
        <w:t xml:space="preserve"> was defined as going while knowing there is a danger. Your purposeful behaviour is an example of such recklessness. Furthermore, the court in R v Smith [1974] concluded that property damage, whether </w:t>
      </w:r>
      <w:r w:rsidRPr="008644CE">
        <w:rPr>
          <w:rFonts w:ascii="Arial" w:hAnsi="Arial" w:cs="Arial"/>
          <w:bCs/>
          <w:sz w:val="24"/>
          <w:szCs w:val="24"/>
        </w:rPr>
        <w:lastRenderedPageBreak/>
        <w:t xml:space="preserve">temporary or permanent, meets the elements of criminal damage. Your acts are consistent with this understanding, indicating your liability for criminal harm. </w:t>
      </w:r>
    </w:p>
    <w:p w14:paraId="3D641D5E" w14:textId="77777777" w:rsidR="008644CE" w:rsidRPr="008644CE" w:rsidRDefault="008644CE" w:rsidP="008644CE">
      <w:pPr>
        <w:pStyle w:val="Heading2"/>
        <w:rPr>
          <w:rFonts w:ascii="Arial" w:hAnsi="Arial" w:cs="Arial"/>
          <w:sz w:val="24"/>
          <w:szCs w:val="24"/>
        </w:rPr>
      </w:pPr>
      <w:r w:rsidRPr="008644CE">
        <w:rPr>
          <w:rFonts w:ascii="Arial" w:hAnsi="Arial" w:cs="Arial"/>
          <w:sz w:val="24"/>
          <w:szCs w:val="24"/>
        </w:rPr>
        <w:t>Assault Occasioning Actual Bodily Harm (ABH)</w:t>
      </w:r>
    </w:p>
    <w:p w14:paraId="44C780DB"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The act of hitting Aida, which causes a small abrasion, is ABH under Section 47 of the Offences Against the Person Act 1861 (CPS, 2022). The </w:t>
      </w:r>
      <w:proofErr w:type="spellStart"/>
      <w:r w:rsidRPr="008644CE">
        <w:rPr>
          <w:rFonts w:ascii="Arial" w:hAnsi="Arial" w:cs="Arial"/>
          <w:bCs/>
          <w:sz w:val="24"/>
          <w:szCs w:val="24"/>
        </w:rPr>
        <w:t>mens</w:t>
      </w:r>
      <w:proofErr w:type="spellEnd"/>
      <w:r w:rsidRPr="008644CE">
        <w:rPr>
          <w:rFonts w:ascii="Arial" w:hAnsi="Arial" w:cs="Arial"/>
          <w:bCs/>
          <w:sz w:val="24"/>
          <w:szCs w:val="24"/>
        </w:rPr>
        <w:t xml:space="preserve"> rea is the purpose or carelessness in inflicting some damage, while the actus reus is an attack that causes true bodily harm.</w:t>
      </w:r>
    </w:p>
    <w:p w14:paraId="34A72601"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The case of R v Roberts [1971] proved that ABH occurs when the defendant's acts cause bodily hurt. This criterion is met by your strike, which injured Aida physically. Furthermore, R v Savage [1991] established that the </w:t>
      </w:r>
      <w:proofErr w:type="spellStart"/>
      <w:r w:rsidRPr="008644CE">
        <w:rPr>
          <w:rFonts w:ascii="Arial" w:hAnsi="Arial" w:cs="Arial"/>
          <w:bCs/>
          <w:sz w:val="24"/>
          <w:szCs w:val="24"/>
        </w:rPr>
        <w:t>mens</w:t>
      </w:r>
      <w:proofErr w:type="spellEnd"/>
      <w:r w:rsidRPr="008644CE">
        <w:rPr>
          <w:rFonts w:ascii="Arial" w:hAnsi="Arial" w:cs="Arial"/>
          <w:bCs/>
          <w:sz w:val="24"/>
          <w:szCs w:val="24"/>
        </w:rPr>
        <w:t xml:space="preserve"> rea for ABH includes carelessness resulting in the infliction of some kind of damage. According to the decision in R v Chan-Fook [1994], "actual bodily harm" refers to any injury that is more than insignificant but not severe, including the tiny abrasion inflicted by your blow. Furthermore, the case of DPP v Smith [2006] reminds us that any injury must be significant enough to interrupt the victim's health or comfort, regardless of severity. Your activities meet </w:t>
      </w:r>
      <w:proofErr w:type="gramStart"/>
      <w:r w:rsidRPr="008644CE">
        <w:rPr>
          <w:rFonts w:ascii="Arial" w:hAnsi="Arial" w:cs="Arial"/>
          <w:bCs/>
          <w:sz w:val="24"/>
          <w:szCs w:val="24"/>
        </w:rPr>
        <w:t>this criteria</w:t>
      </w:r>
      <w:proofErr w:type="gramEnd"/>
      <w:r w:rsidRPr="008644CE">
        <w:rPr>
          <w:rFonts w:ascii="Arial" w:hAnsi="Arial" w:cs="Arial"/>
          <w:bCs/>
          <w:sz w:val="24"/>
          <w:szCs w:val="24"/>
        </w:rPr>
        <w:t xml:space="preserve">. </w:t>
      </w:r>
    </w:p>
    <w:p w14:paraId="0B69C30B" w14:textId="77777777" w:rsidR="008644CE" w:rsidRPr="008644CE" w:rsidRDefault="008644CE" w:rsidP="008644CE">
      <w:pPr>
        <w:pStyle w:val="Heading2"/>
        <w:rPr>
          <w:rFonts w:ascii="Arial" w:hAnsi="Arial" w:cs="Arial"/>
          <w:sz w:val="24"/>
          <w:szCs w:val="24"/>
        </w:rPr>
      </w:pPr>
      <w:r w:rsidRPr="008644CE">
        <w:rPr>
          <w:rFonts w:ascii="Arial" w:hAnsi="Arial" w:cs="Arial"/>
          <w:sz w:val="24"/>
          <w:szCs w:val="24"/>
        </w:rPr>
        <w:t>Advice on What to Expect and How to Proceed</w:t>
      </w:r>
    </w:p>
    <w:p w14:paraId="736C25D4"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CCTV video indicates that you will likely face charges for stealing, criminal damage, and ABH. These infractions have significant consequences, including the possibility of jail and a criminal record. You may expect the following:</w:t>
      </w:r>
    </w:p>
    <w:p w14:paraId="16F435FF" w14:textId="77777777" w:rsidR="008644CE" w:rsidRPr="008644CE" w:rsidRDefault="008644CE" w:rsidP="008644CE">
      <w:pPr>
        <w:numPr>
          <w:ilvl w:val="0"/>
          <w:numId w:val="1"/>
        </w:numPr>
        <w:spacing w:line="360" w:lineRule="auto"/>
        <w:jc w:val="both"/>
        <w:rPr>
          <w:rFonts w:ascii="Arial" w:hAnsi="Arial" w:cs="Arial"/>
          <w:bCs/>
          <w:sz w:val="24"/>
          <w:szCs w:val="24"/>
        </w:rPr>
      </w:pPr>
      <w:r w:rsidRPr="008644CE">
        <w:rPr>
          <w:rFonts w:ascii="Arial" w:hAnsi="Arial" w:cs="Arial"/>
          <w:b/>
          <w:bCs/>
          <w:sz w:val="24"/>
          <w:szCs w:val="24"/>
        </w:rPr>
        <w:t>Theft</w:t>
      </w:r>
      <w:r w:rsidRPr="008644CE">
        <w:rPr>
          <w:rFonts w:ascii="Arial" w:hAnsi="Arial" w:cs="Arial"/>
          <w:bCs/>
          <w:sz w:val="24"/>
          <w:szCs w:val="24"/>
        </w:rPr>
        <w:t>: A conviction for larceny may result in imprisonment, penalties, or both. The severity of the punishment will be determined by the circumstances surrounding the conduct and the value of the stolen item.</w:t>
      </w:r>
    </w:p>
    <w:p w14:paraId="31C83468" w14:textId="77777777" w:rsidR="008644CE" w:rsidRPr="008644CE" w:rsidRDefault="008644CE" w:rsidP="008644CE">
      <w:pPr>
        <w:numPr>
          <w:ilvl w:val="0"/>
          <w:numId w:val="1"/>
        </w:numPr>
        <w:spacing w:line="360" w:lineRule="auto"/>
        <w:jc w:val="both"/>
        <w:rPr>
          <w:rFonts w:ascii="Arial" w:hAnsi="Arial" w:cs="Arial"/>
          <w:bCs/>
          <w:sz w:val="24"/>
          <w:szCs w:val="24"/>
        </w:rPr>
      </w:pPr>
      <w:r w:rsidRPr="008644CE">
        <w:rPr>
          <w:rFonts w:ascii="Arial" w:hAnsi="Arial" w:cs="Arial"/>
          <w:b/>
          <w:bCs/>
          <w:sz w:val="24"/>
          <w:szCs w:val="24"/>
        </w:rPr>
        <w:t>Criminal Damage</w:t>
      </w:r>
      <w:r w:rsidRPr="008644CE">
        <w:rPr>
          <w:rFonts w:ascii="Arial" w:hAnsi="Arial" w:cs="Arial"/>
          <w:bCs/>
          <w:sz w:val="24"/>
          <w:szCs w:val="24"/>
        </w:rPr>
        <w:t>: This violation may result in jail or fines, depending on the severity and worth of the damage. The court will consider various elements, including the victim's effect and purpose.</w:t>
      </w:r>
    </w:p>
    <w:p w14:paraId="688F392B" w14:textId="77777777" w:rsidR="008644CE" w:rsidRPr="008644CE" w:rsidRDefault="008644CE" w:rsidP="008644CE">
      <w:pPr>
        <w:numPr>
          <w:ilvl w:val="0"/>
          <w:numId w:val="1"/>
        </w:numPr>
        <w:spacing w:line="360" w:lineRule="auto"/>
        <w:jc w:val="both"/>
        <w:rPr>
          <w:rFonts w:ascii="Arial" w:hAnsi="Arial" w:cs="Arial"/>
          <w:bCs/>
          <w:sz w:val="24"/>
          <w:szCs w:val="24"/>
        </w:rPr>
      </w:pPr>
      <w:r w:rsidRPr="008644CE">
        <w:rPr>
          <w:rFonts w:ascii="Arial" w:hAnsi="Arial" w:cs="Arial"/>
          <w:b/>
          <w:bCs/>
          <w:sz w:val="24"/>
          <w:szCs w:val="24"/>
        </w:rPr>
        <w:t>Assault Occasioning ABH</w:t>
      </w:r>
      <w:r w:rsidRPr="008644CE">
        <w:rPr>
          <w:rFonts w:ascii="Arial" w:hAnsi="Arial" w:cs="Arial"/>
          <w:bCs/>
          <w:sz w:val="24"/>
          <w:szCs w:val="24"/>
        </w:rPr>
        <w:t>: This serious violation may result in a jail term. The court will consider the severity of the injuries and any aggravating elements, such as the circumstances surrounding the attack.</w:t>
      </w:r>
    </w:p>
    <w:p w14:paraId="59911A16"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lastRenderedPageBreak/>
        <w:t>It is critical to seek legal assistance immediately. A counsel may help you investigate all relevant defences and even negotiate a plea deal to reduce the charges or the harshness of the punishment. Additionally, displaying repentance, presenting mitigating circumstances, and collaborating with the inquiry may benefit the result. Consequently, your activities may lead to claims of ABH, criminal damage, or theft. It is critical to understand the components of these charges and build a solid defence with the help of legal counsel. To properly manage this challenging scenario, you must be proactive and cooperative.</w:t>
      </w:r>
    </w:p>
    <w:p w14:paraId="2EA29450" w14:textId="77777777" w:rsidR="008644CE" w:rsidRPr="008644CE" w:rsidRDefault="008644CE" w:rsidP="008644CE">
      <w:pPr>
        <w:pStyle w:val="Heading1"/>
        <w:rPr>
          <w:rFonts w:ascii="Arial" w:hAnsi="Arial" w:cs="Arial"/>
          <w:sz w:val="24"/>
          <w:szCs w:val="24"/>
        </w:rPr>
      </w:pPr>
      <w:r w:rsidRPr="008644CE">
        <w:rPr>
          <w:rFonts w:ascii="Arial" w:hAnsi="Arial" w:cs="Arial"/>
          <w:sz w:val="24"/>
          <w:szCs w:val="24"/>
        </w:rPr>
        <w:t>Legal Analysis and Advice for Michael</w:t>
      </w:r>
    </w:p>
    <w:p w14:paraId="2E207E21"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Dear Michael,</w:t>
      </w:r>
    </w:p>
    <w:p w14:paraId="2F939341"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This letter provides a complete legal examination of your acts and the possible criminal consequences you may face. As seen in the example, your actions may lead to claims of assault and involuntary manslaughter. This examination will illuminate the basic components of these crimes, such as actus reus and men's rea, while providing practical assistance in anticipating and proceeding.</w:t>
      </w:r>
    </w:p>
    <w:p w14:paraId="4B84E13B" w14:textId="77777777" w:rsidR="008644CE" w:rsidRPr="008644CE" w:rsidRDefault="008644CE" w:rsidP="008644CE">
      <w:pPr>
        <w:pStyle w:val="Heading2"/>
        <w:rPr>
          <w:rFonts w:ascii="Arial" w:hAnsi="Arial" w:cs="Arial"/>
          <w:sz w:val="24"/>
          <w:szCs w:val="24"/>
        </w:rPr>
      </w:pPr>
      <w:r w:rsidRPr="008644CE">
        <w:rPr>
          <w:rFonts w:ascii="Arial" w:hAnsi="Arial" w:cs="Arial"/>
          <w:sz w:val="24"/>
          <w:szCs w:val="24"/>
        </w:rPr>
        <w:t>Analysis of Potential Charges</w:t>
      </w:r>
    </w:p>
    <w:p w14:paraId="43C16C40" w14:textId="77777777" w:rsidR="008644CE" w:rsidRPr="008644CE" w:rsidRDefault="008644CE" w:rsidP="008644CE">
      <w:pPr>
        <w:pStyle w:val="Heading2"/>
        <w:rPr>
          <w:rFonts w:ascii="Arial" w:hAnsi="Arial" w:cs="Arial"/>
          <w:sz w:val="24"/>
          <w:szCs w:val="24"/>
        </w:rPr>
      </w:pPr>
      <w:r w:rsidRPr="008644CE">
        <w:rPr>
          <w:rFonts w:ascii="Arial" w:hAnsi="Arial" w:cs="Arial"/>
          <w:sz w:val="24"/>
          <w:szCs w:val="24"/>
        </w:rPr>
        <w:t>Involuntary Manslaughter</w:t>
      </w:r>
    </w:p>
    <w:p w14:paraId="6E62A897"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i/>
          <w:iCs/>
          <w:sz w:val="24"/>
          <w:szCs w:val="24"/>
        </w:rPr>
        <w:t>Involuntary manslaughter</w:t>
      </w:r>
      <w:r w:rsidRPr="008644CE">
        <w:rPr>
          <w:rFonts w:ascii="Arial" w:hAnsi="Arial" w:cs="Arial"/>
          <w:bCs/>
          <w:sz w:val="24"/>
          <w:szCs w:val="24"/>
        </w:rPr>
        <w:t xml:space="preserve"> is defined as the act of inflicting death without intending to kill or cause serious bodily harm. Your acts that led to Billy's death might be classed as an illegal act of manslaughter, which is a risky conduct that causes death (Storey, 2017). The actus reus relates to illegal conduct, but the </w:t>
      </w:r>
      <w:proofErr w:type="spellStart"/>
      <w:r w:rsidRPr="008644CE">
        <w:rPr>
          <w:rFonts w:ascii="Arial" w:hAnsi="Arial" w:cs="Arial"/>
          <w:bCs/>
          <w:sz w:val="24"/>
          <w:szCs w:val="24"/>
        </w:rPr>
        <w:t>mens</w:t>
      </w:r>
      <w:proofErr w:type="spellEnd"/>
      <w:r w:rsidRPr="008644CE">
        <w:rPr>
          <w:rFonts w:ascii="Arial" w:hAnsi="Arial" w:cs="Arial"/>
          <w:bCs/>
          <w:sz w:val="24"/>
          <w:szCs w:val="24"/>
        </w:rPr>
        <w:t xml:space="preserve"> rea refers to the purpose of using force without necessarily expecting serious damage (CPS, 2024).</w:t>
      </w:r>
    </w:p>
    <w:p w14:paraId="59EAA4C9"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The conduct must be harmful according to the norms of all sane and rational people, as stated in the case of R v Church [1966]. Although your violent shove was not meant to cause death, it fits this condition since any reasonable person would recognize the risk of some injury. Furthermore, R v Goodfellow [1986] established that the illegal conduct must substantially cause death, as in this case (Mitchell, 2007). </w:t>
      </w:r>
      <w:r w:rsidRPr="008644CE">
        <w:rPr>
          <w:rFonts w:ascii="Arial" w:hAnsi="Arial" w:cs="Arial"/>
          <w:bCs/>
          <w:i/>
          <w:iCs/>
          <w:sz w:val="24"/>
          <w:szCs w:val="24"/>
        </w:rPr>
        <w:t>Manslaughter</w:t>
      </w:r>
      <w:r w:rsidRPr="008644CE">
        <w:rPr>
          <w:rFonts w:ascii="Arial" w:hAnsi="Arial" w:cs="Arial"/>
          <w:bCs/>
          <w:sz w:val="24"/>
          <w:szCs w:val="24"/>
        </w:rPr>
        <w:t xml:space="preserve"> is defined by the court in R v Larkin [1943] as an illegal conduct that is likely to cause injury to another person and cause death. It is consistent with this understanding that your thrust is illegal conduct. </w:t>
      </w:r>
    </w:p>
    <w:p w14:paraId="19C09DA5" w14:textId="77777777" w:rsidR="008644CE" w:rsidRPr="008644CE" w:rsidRDefault="008644CE" w:rsidP="008644CE">
      <w:pPr>
        <w:pStyle w:val="Heading2"/>
        <w:rPr>
          <w:rFonts w:ascii="Arial" w:hAnsi="Arial" w:cs="Arial"/>
          <w:sz w:val="24"/>
          <w:szCs w:val="24"/>
        </w:rPr>
      </w:pPr>
      <w:r w:rsidRPr="008644CE">
        <w:rPr>
          <w:rFonts w:ascii="Arial" w:hAnsi="Arial" w:cs="Arial"/>
          <w:sz w:val="24"/>
          <w:szCs w:val="24"/>
        </w:rPr>
        <w:lastRenderedPageBreak/>
        <w:t>Assault</w:t>
      </w:r>
    </w:p>
    <w:p w14:paraId="0D6C88A1"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The act of pushing Billy might also be considered assault if it is demonstrated that you either meant or were excessively irresponsible in your use of force. </w:t>
      </w:r>
      <w:r w:rsidRPr="008644CE">
        <w:rPr>
          <w:rFonts w:ascii="Arial" w:hAnsi="Arial" w:cs="Arial"/>
          <w:bCs/>
          <w:i/>
          <w:iCs/>
          <w:sz w:val="24"/>
          <w:szCs w:val="24"/>
        </w:rPr>
        <w:t>Assault</w:t>
      </w:r>
      <w:r w:rsidRPr="008644CE">
        <w:rPr>
          <w:rFonts w:ascii="Arial" w:hAnsi="Arial" w:cs="Arial"/>
          <w:bCs/>
          <w:sz w:val="24"/>
          <w:szCs w:val="24"/>
        </w:rPr>
        <w:t xml:space="preserve"> is the purposeful or reckless use of illegal force on another person. The </w:t>
      </w:r>
      <w:proofErr w:type="spellStart"/>
      <w:r w:rsidRPr="008644CE">
        <w:rPr>
          <w:rFonts w:ascii="Arial" w:hAnsi="Arial" w:cs="Arial"/>
          <w:bCs/>
          <w:sz w:val="24"/>
          <w:szCs w:val="24"/>
        </w:rPr>
        <w:t>mens</w:t>
      </w:r>
      <w:proofErr w:type="spellEnd"/>
      <w:r w:rsidRPr="008644CE">
        <w:rPr>
          <w:rFonts w:ascii="Arial" w:hAnsi="Arial" w:cs="Arial"/>
          <w:bCs/>
          <w:sz w:val="24"/>
          <w:szCs w:val="24"/>
        </w:rPr>
        <w:t xml:space="preserve"> rea is the purpose or carelessness in using force, while the actus reus is the use of force (Iliffe, 1954).</w:t>
      </w:r>
    </w:p>
    <w:p w14:paraId="17C2391F"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In R v Venna [1976], the court held that assault is sufficient if the force used was negligent. Your carelessness is clear in Billy's deadly fall due to your attempted removal. In R v Cunningham [1957], recklessness was described as anticipating danger and proceeding despite it, which is consistent with your conduct (Allen, 2017). In the case of R v </w:t>
      </w:r>
      <w:proofErr w:type="gramStart"/>
      <w:r w:rsidRPr="008644CE">
        <w:rPr>
          <w:rFonts w:ascii="Arial" w:hAnsi="Arial" w:cs="Arial"/>
          <w:bCs/>
          <w:sz w:val="24"/>
          <w:szCs w:val="24"/>
        </w:rPr>
        <w:t>Savage;</w:t>
      </w:r>
      <w:proofErr w:type="gramEnd"/>
      <w:r w:rsidRPr="008644CE">
        <w:rPr>
          <w:rFonts w:ascii="Arial" w:hAnsi="Arial" w:cs="Arial"/>
          <w:bCs/>
          <w:sz w:val="24"/>
          <w:szCs w:val="24"/>
        </w:rPr>
        <w:t xml:space="preserve"> Parmenter [1991], the </w:t>
      </w:r>
      <w:proofErr w:type="spellStart"/>
      <w:r w:rsidRPr="008644CE">
        <w:rPr>
          <w:rFonts w:ascii="Arial" w:hAnsi="Arial" w:cs="Arial"/>
          <w:bCs/>
          <w:sz w:val="24"/>
          <w:szCs w:val="24"/>
        </w:rPr>
        <w:t>mens</w:t>
      </w:r>
      <w:proofErr w:type="spellEnd"/>
      <w:r w:rsidRPr="008644CE">
        <w:rPr>
          <w:rFonts w:ascii="Arial" w:hAnsi="Arial" w:cs="Arial"/>
          <w:bCs/>
          <w:sz w:val="24"/>
          <w:szCs w:val="24"/>
        </w:rPr>
        <w:t xml:space="preserve"> rea for assault is defined as the desire to use force or an indifference to whether such force is used. Your action of pushing Billy, which resulted in a fatal injury, as well as your frustration, plainly indicate irresponsible behaviour. </w:t>
      </w:r>
    </w:p>
    <w:p w14:paraId="11160952" w14:textId="77777777" w:rsidR="008644CE" w:rsidRPr="008644CE" w:rsidRDefault="008644CE" w:rsidP="008644CE">
      <w:pPr>
        <w:pStyle w:val="Heading2"/>
        <w:rPr>
          <w:rFonts w:ascii="Arial" w:hAnsi="Arial" w:cs="Arial"/>
          <w:sz w:val="24"/>
          <w:szCs w:val="24"/>
        </w:rPr>
      </w:pPr>
      <w:r w:rsidRPr="008644CE">
        <w:rPr>
          <w:rFonts w:ascii="Arial" w:hAnsi="Arial" w:cs="Arial"/>
          <w:sz w:val="24"/>
          <w:szCs w:val="24"/>
        </w:rPr>
        <w:t>Advice on What to Expect and How to Proceed</w:t>
      </w:r>
    </w:p>
    <w:p w14:paraId="157044F7"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Given the current evidence, you will most likely face charges of assault and involuntary manslaughter. Each of these infractions has serious consequences, including the possibility of jail. You may expect the following:</w:t>
      </w:r>
    </w:p>
    <w:p w14:paraId="0F1277B9" w14:textId="77777777" w:rsidR="008644CE" w:rsidRPr="008644CE" w:rsidRDefault="008644CE" w:rsidP="008644CE">
      <w:pPr>
        <w:numPr>
          <w:ilvl w:val="0"/>
          <w:numId w:val="2"/>
        </w:numPr>
        <w:spacing w:line="360" w:lineRule="auto"/>
        <w:jc w:val="both"/>
        <w:rPr>
          <w:rFonts w:ascii="Arial" w:hAnsi="Arial" w:cs="Arial"/>
          <w:bCs/>
          <w:sz w:val="24"/>
          <w:szCs w:val="24"/>
        </w:rPr>
      </w:pPr>
      <w:r w:rsidRPr="008644CE">
        <w:rPr>
          <w:rFonts w:ascii="Arial" w:hAnsi="Arial" w:cs="Arial"/>
          <w:b/>
          <w:bCs/>
          <w:sz w:val="24"/>
          <w:szCs w:val="24"/>
        </w:rPr>
        <w:t>Involuntary Manslaughter</w:t>
      </w:r>
      <w:r w:rsidRPr="008644CE">
        <w:rPr>
          <w:rFonts w:ascii="Arial" w:hAnsi="Arial" w:cs="Arial"/>
          <w:bCs/>
          <w:sz w:val="24"/>
          <w:szCs w:val="24"/>
        </w:rPr>
        <w:t>: The seriousness of causing death by illegal conduct might be reflected in the lengthy prison term that may be imposed on a person convicted of involuntary manslaughter. The court will assess the act's danger and potential harm (Ministry of Justice Consultations, 2014).</w:t>
      </w:r>
    </w:p>
    <w:p w14:paraId="5287AC54" w14:textId="77777777" w:rsidR="008644CE" w:rsidRPr="008644CE" w:rsidRDefault="008644CE" w:rsidP="008644CE">
      <w:pPr>
        <w:numPr>
          <w:ilvl w:val="0"/>
          <w:numId w:val="2"/>
        </w:numPr>
        <w:spacing w:line="360" w:lineRule="auto"/>
        <w:jc w:val="both"/>
        <w:rPr>
          <w:rFonts w:ascii="Arial" w:hAnsi="Arial" w:cs="Arial"/>
          <w:bCs/>
          <w:sz w:val="24"/>
          <w:szCs w:val="24"/>
        </w:rPr>
      </w:pPr>
      <w:r w:rsidRPr="008644CE">
        <w:rPr>
          <w:rFonts w:ascii="Arial" w:hAnsi="Arial" w:cs="Arial"/>
          <w:b/>
          <w:bCs/>
          <w:sz w:val="24"/>
          <w:szCs w:val="24"/>
        </w:rPr>
        <w:t>Assault</w:t>
      </w:r>
      <w:r w:rsidRPr="008644CE">
        <w:rPr>
          <w:rFonts w:ascii="Arial" w:hAnsi="Arial" w:cs="Arial"/>
          <w:bCs/>
          <w:sz w:val="24"/>
          <w:szCs w:val="24"/>
        </w:rPr>
        <w:t>: The assault charge, which might be lethal, adds to the gravity of your situation. A conviction might end in incarceration, especially given the consequences of your acts. The court will consider the purpose and carelessness of your acts (CPS, 2022).</w:t>
      </w:r>
    </w:p>
    <w:p w14:paraId="39EAEE3B"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It is critical to seek legal assistance immediately. A counsel may help you investigate all relevant defences and even negotiate a plea deal to reduce the charges or the harshness of the punishment. Additionally, displaying repentance, presenting mitigating circumstances, and collaborating with the inquiry may benefit the result.</w:t>
      </w:r>
    </w:p>
    <w:p w14:paraId="04C20D80" w14:textId="77777777" w:rsid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lastRenderedPageBreak/>
        <w:t xml:space="preserve">Potential defences may include claiming that you were ignorant of the serious repercussions of your push. The objective standard developed in R v Ball [1989] holds that responsibility exists if the conduct was harmful, independent of your subjective damage assessment. This will be a critical point in your defence. </w:t>
      </w:r>
      <w:proofErr w:type="gramStart"/>
      <w:r w:rsidRPr="008644CE">
        <w:rPr>
          <w:rFonts w:ascii="Arial" w:hAnsi="Arial" w:cs="Arial"/>
          <w:bCs/>
          <w:sz w:val="24"/>
          <w:szCs w:val="24"/>
        </w:rPr>
        <w:t>As a consequence of</w:t>
      </w:r>
      <w:proofErr w:type="gramEnd"/>
      <w:r w:rsidRPr="008644CE">
        <w:rPr>
          <w:rFonts w:ascii="Arial" w:hAnsi="Arial" w:cs="Arial"/>
          <w:bCs/>
          <w:sz w:val="24"/>
          <w:szCs w:val="24"/>
        </w:rPr>
        <w:t xml:space="preserve"> your acts, you may face assault and involuntary manslaughter charges. It is critical to understand the components of these charges and build a solid defence with the help of legal counsel. To properly manage this challenging scenario, you must be proactive and cooperative. </w:t>
      </w:r>
    </w:p>
    <w:p w14:paraId="7F070885" w14:textId="77777777" w:rsidR="008644CE" w:rsidRDefault="008644CE" w:rsidP="008644CE">
      <w:pPr>
        <w:spacing w:line="360" w:lineRule="auto"/>
        <w:jc w:val="both"/>
        <w:rPr>
          <w:rFonts w:ascii="Arial" w:hAnsi="Arial" w:cs="Arial"/>
          <w:bCs/>
          <w:sz w:val="24"/>
          <w:szCs w:val="24"/>
        </w:rPr>
      </w:pPr>
    </w:p>
    <w:p w14:paraId="3C96B822" w14:textId="77777777" w:rsidR="008644CE" w:rsidRDefault="008644CE" w:rsidP="008644CE">
      <w:pPr>
        <w:spacing w:line="360" w:lineRule="auto"/>
        <w:jc w:val="both"/>
        <w:rPr>
          <w:rFonts w:ascii="Arial" w:hAnsi="Arial" w:cs="Arial"/>
          <w:bCs/>
          <w:sz w:val="24"/>
          <w:szCs w:val="24"/>
        </w:rPr>
      </w:pPr>
    </w:p>
    <w:p w14:paraId="3A602F39" w14:textId="77777777" w:rsidR="008644CE" w:rsidRDefault="008644CE" w:rsidP="008644CE">
      <w:pPr>
        <w:spacing w:line="360" w:lineRule="auto"/>
        <w:jc w:val="both"/>
        <w:rPr>
          <w:rFonts w:ascii="Arial" w:hAnsi="Arial" w:cs="Arial"/>
          <w:bCs/>
          <w:sz w:val="24"/>
          <w:szCs w:val="24"/>
        </w:rPr>
      </w:pPr>
    </w:p>
    <w:p w14:paraId="0892408D" w14:textId="77777777" w:rsidR="008644CE" w:rsidRDefault="008644CE" w:rsidP="008644CE">
      <w:pPr>
        <w:spacing w:line="360" w:lineRule="auto"/>
        <w:jc w:val="both"/>
        <w:rPr>
          <w:rFonts w:ascii="Arial" w:hAnsi="Arial" w:cs="Arial"/>
          <w:bCs/>
          <w:sz w:val="24"/>
          <w:szCs w:val="24"/>
        </w:rPr>
      </w:pPr>
    </w:p>
    <w:p w14:paraId="7111DC48" w14:textId="77777777" w:rsidR="008644CE" w:rsidRDefault="008644CE" w:rsidP="008644CE">
      <w:pPr>
        <w:spacing w:line="360" w:lineRule="auto"/>
        <w:jc w:val="both"/>
        <w:rPr>
          <w:rFonts w:ascii="Arial" w:hAnsi="Arial" w:cs="Arial"/>
          <w:bCs/>
          <w:sz w:val="24"/>
          <w:szCs w:val="24"/>
        </w:rPr>
      </w:pPr>
    </w:p>
    <w:p w14:paraId="13554E62" w14:textId="77777777" w:rsidR="008644CE" w:rsidRDefault="008644CE" w:rsidP="008644CE">
      <w:pPr>
        <w:spacing w:line="360" w:lineRule="auto"/>
        <w:jc w:val="both"/>
        <w:rPr>
          <w:rFonts w:ascii="Arial" w:hAnsi="Arial" w:cs="Arial"/>
          <w:bCs/>
          <w:sz w:val="24"/>
          <w:szCs w:val="24"/>
        </w:rPr>
      </w:pPr>
    </w:p>
    <w:p w14:paraId="5E0BB408" w14:textId="77777777" w:rsidR="008644CE" w:rsidRDefault="008644CE" w:rsidP="008644CE">
      <w:pPr>
        <w:spacing w:line="360" w:lineRule="auto"/>
        <w:jc w:val="both"/>
        <w:rPr>
          <w:rFonts w:ascii="Arial" w:hAnsi="Arial" w:cs="Arial"/>
          <w:bCs/>
          <w:sz w:val="24"/>
          <w:szCs w:val="24"/>
        </w:rPr>
      </w:pPr>
    </w:p>
    <w:p w14:paraId="502252E3" w14:textId="77777777" w:rsidR="008644CE" w:rsidRDefault="008644CE" w:rsidP="008644CE">
      <w:pPr>
        <w:spacing w:line="360" w:lineRule="auto"/>
        <w:jc w:val="both"/>
        <w:rPr>
          <w:rFonts w:ascii="Arial" w:hAnsi="Arial" w:cs="Arial"/>
          <w:bCs/>
          <w:sz w:val="24"/>
          <w:szCs w:val="24"/>
        </w:rPr>
      </w:pPr>
    </w:p>
    <w:p w14:paraId="633B96B8" w14:textId="77777777" w:rsidR="008644CE" w:rsidRDefault="008644CE" w:rsidP="008644CE">
      <w:pPr>
        <w:spacing w:line="360" w:lineRule="auto"/>
        <w:jc w:val="both"/>
        <w:rPr>
          <w:rFonts w:ascii="Arial" w:hAnsi="Arial" w:cs="Arial"/>
          <w:bCs/>
          <w:sz w:val="24"/>
          <w:szCs w:val="24"/>
        </w:rPr>
      </w:pPr>
    </w:p>
    <w:p w14:paraId="4DFCE3DC" w14:textId="77777777" w:rsidR="008644CE" w:rsidRDefault="008644CE" w:rsidP="008644CE">
      <w:pPr>
        <w:spacing w:line="360" w:lineRule="auto"/>
        <w:jc w:val="both"/>
        <w:rPr>
          <w:rFonts w:ascii="Arial" w:hAnsi="Arial" w:cs="Arial"/>
          <w:bCs/>
          <w:sz w:val="24"/>
          <w:szCs w:val="24"/>
        </w:rPr>
      </w:pPr>
    </w:p>
    <w:p w14:paraId="1780D78B" w14:textId="77777777" w:rsidR="008644CE" w:rsidRDefault="008644CE" w:rsidP="008644CE">
      <w:pPr>
        <w:spacing w:line="360" w:lineRule="auto"/>
        <w:jc w:val="both"/>
        <w:rPr>
          <w:rFonts w:ascii="Arial" w:hAnsi="Arial" w:cs="Arial"/>
          <w:bCs/>
          <w:sz w:val="24"/>
          <w:szCs w:val="24"/>
        </w:rPr>
      </w:pPr>
    </w:p>
    <w:p w14:paraId="6E2566EB" w14:textId="77777777" w:rsidR="008644CE" w:rsidRDefault="008644CE" w:rsidP="008644CE">
      <w:pPr>
        <w:spacing w:line="360" w:lineRule="auto"/>
        <w:jc w:val="both"/>
        <w:rPr>
          <w:rFonts w:ascii="Arial" w:hAnsi="Arial" w:cs="Arial"/>
          <w:bCs/>
          <w:sz w:val="24"/>
          <w:szCs w:val="24"/>
        </w:rPr>
      </w:pPr>
    </w:p>
    <w:p w14:paraId="51DE53CB" w14:textId="77777777" w:rsidR="008644CE" w:rsidRDefault="008644CE" w:rsidP="008644CE">
      <w:pPr>
        <w:spacing w:line="360" w:lineRule="auto"/>
        <w:jc w:val="both"/>
        <w:rPr>
          <w:rFonts w:ascii="Arial" w:hAnsi="Arial" w:cs="Arial"/>
          <w:bCs/>
          <w:sz w:val="24"/>
          <w:szCs w:val="24"/>
        </w:rPr>
      </w:pPr>
    </w:p>
    <w:p w14:paraId="3C8DF812" w14:textId="77777777" w:rsidR="008644CE" w:rsidRDefault="008644CE" w:rsidP="008644CE">
      <w:pPr>
        <w:spacing w:line="360" w:lineRule="auto"/>
        <w:jc w:val="both"/>
        <w:rPr>
          <w:rFonts w:ascii="Arial" w:hAnsi="Arial" w:cs="Arial"/>
          <w:bCs/>
          <w:sz w:val="24"/>
          <w:szCs w:val="24"/>
        </w:rPr>
      </w:pPr>
    </w:p>
    <w:p w14:paraId="23410197" w14:textId="77777777" w:rsidR="008644CE" w:rsidRDefault="008644CE" w:rsidP="008644CE">
      <w:pPr>
        <w:spacing w:line="360" w:lineRule="auto"/>
        <w:jc w:val="both"/>
        <w:rPr>
          <w:rFonts w:ascii="Arial" w:hAnsi="Arial" w:cs="Arial"/>
          <w:bCs/>
          <w:sz w:val="24"/>
          <w:szCs w:val="24"/>
        </w:rPr>
      </w:pPr>
    </w:p>
    <w:p w14:paraId="257D7E62" w14:textId="77777777" w:rsidR="008644CE" w:rsidRDefault="008644CE" w:rsidP="008644CE">
      <w:pPr>
        <w:spacing w:line="360" w:lineRule="auto"/>
        <w:jc w:val="both"/>
        <w:rPr>
          <w:rFonts w:ascii="Arial" w:hAnsi="Arial" w:cs="Arial"/>
          <w:bCs/>
          <w:sz w:val="24"/>
          <w:szCs w:val="24"/>
        </w:rPr>
      </w:pPr>
    </w:p>
    <w:p w14:paraId="1D484A2C" w14:textId="77777777" w:rsidR="008644CE" w:rsidRPr="008644CE" w:rsidRDefault="008644CE" w:rsidP="008644CE">
      <w:pPr>
        <w:spacing w:line="360" w:lineRule="auto"/>
        <w:jc w:val="both"/>
        <w:rPr>
          <w:rFonts w:ascii="Arial" w:hAnsi="Arial" w:cs="Arial"/>
          <w:bCs/>
          <w:sz w:val="24"/>
          <w:szCs w:val="24"/>
        </w:rPr>
      </w:pPr>
    </w:p>
    <w:p w14:paraId="274C96B1" w14:textId="516FDDB2" w:rsidR="008644CE" w:rsidRPr="008644CE" w:rsidRDefault="008644CE" w:rsidP="008644CE">
      <w:pPr>
        <w:pStyle w:val="Heading1"/>
        <w:rPr>
          <w:rFonts w:ascii="Arial" w:hAnsi="Arial" w:cs="Arial"/>
          <w:sz w:val="24"/>
          <w:szCs w:val="24"/>
        </w:rPr>
      </w:pPr>
      <w:r w:rsidRPr="008644CE">
        <w:rPr>
          <w:rFonts w:ascii="Arial" w:hAnsi="Arial" w:cs="Arial"/>
          <w:sz w:val="24"/>
          <w:szCs w:val="24"/>
        </w:rPr>
        <w:lastRenderedPageBreak/>
        <w:t>References</w:t>
      </w:r>
    </w:p>
    <w:p w14:paraId="52CFC346"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Allen, M. (2017) </w:t>
      </w:r>
      <w:r w:rsidRPr="008644CE">
        <w:rPr>
          <w:rFonts w:ascii="Arial" w:hAnsi="Arial" w:cs="Arial"/>
          <w:bCs/>
          <w:i/>
          <w:iCs/>
          <w:sz w:val="24"/>
          <w:szCs w:val="24"/>
        </w:rPr>
        <w:t>Criminal law</w:t>
      </w:r>
      <w:r w:rsidRPr="008644CE">
        <w:rPr>
          <w:rFonts w:ascii="Arial" w:hAnsi="Arial" w:cs="Arial"/>
          <w:bCs/>
          <w:sz w:val="24"/>
          <w:szCs w:val="24"/>
        </w:rPr>
        <w:t>. Oxford: Oxford University Press.</w:t>
      </w:r>
    </w:p>
    <w:p w14:paraId="0783370A"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CPS (2022, March) Offences against the Person, incorporating the Charging Standard. Available at: </w:t>
      </w:r>
      <w:hyperlink r:id="rId7" w:tgtFrame="_new" w:history="1">
        <w:r w:rsidRPr="008644CE">
          <w:rPr>
            <w:rStyle w:val="Hyperlink"/>
            <w:rFonts w:ascii="Arial" w:hAnsi="Arial" w:cs="Arial"/>
            <w:bCs/>
            <w:sz w:val="24"/>
            <w:szCs w:val="24"/>
          </w:rPr>
          <w:t>https://www.cps.gov.uk/legal-guidance/offences-against-person-incorporating-charging-standard</w:t>
        </w:r>
      </w:hyperlink>
      <w:r w:rsidRPr="008644CE">
        <w:rPr>
          <w:rFonts w:ascii="Arial" w:hAnsi="Arial" w:cs="Arial"/>
          <w:bCs/>
          <w:sz w:val="24"/>
          <w:szCs w:val="24"/>
        </w:rPr>
        <w:t xml:space="preserve"> (Accessed: 13 July 2024).</w:t>
      </w:r>
    </w:p>
    <w:p w14:paraId="4FE32F9B"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CPS (2024, June) Homicide: Murder, manslaughter, infanticide and causing or allowing the death or serious injury of a child or vulnerable adult. Available at: </w:t>
      </w:r>
      <w:hyperlink r:id="rId8" w:tgtFrame="_new" w:history="1">
        <w:r w:rsidRPr="008644CE">
          <w:rPr>
            <w:rStyle w:val="Hyperlink"/>
            <w:rFonts w:ascii="Arial" w:hAnsi="Arial" w:cs="Arial"/>
            <w:bCs/>
            <w:sz w:val="24"/>
            <w:szCs w:val="24"/>
          </w:rPr>
          <w:t>https://www.cps.gov.uk/legal-guidance/homicide-murder-manslaughter-infanticide-and-causing-or-allowing-death-or-serious</w:t>
        </w:r>
      </w:hyperlink>
      <w:r w:rsidRPr="008644CE">
        <w:rPr>
          <w:rFonts w:ascii="Arial" w:hAnsi="Arial" w:cs="Arial"/>
          <w:bCs/>
          <w:sz w:val="24"/>
          <w:szCs w:val="24"/>
        </w:rPr>
        <w:t xml:space="preserve"> (Accessed: 14 July 2024).</w:t>
      </w:r>
    </w:p>
    <w:p w14:paraId="59A63742"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Iliffe, J. A. (1954) 'Provocation in Homicide and Assault Cases: The Common Law and Criminal Codes', </w:t>
      </w:r>
      <w:r w:rsidRPr="008644CE">
        <w:rPr>
          <w:rFonts w:ascii="Arial" w:hAnsi="Arial" w:cs="Arial"/>
          <w:bCs/>
          <w:i/>
          <w:iCs/>
          <w:sz w:val="24"/>
          <w:szCs w:val="24"/>
        </w:rPr>
        <w:t>International &amp; Comparative Law Quarterly</w:t>
      </w:r>
      <w:r w:rsidRPr="008644CE">
        <w:rPr>
          <w:rFonts w:ascii="Arial" w:hAnsi="Arial" w:cs="Arial"/>
          <w:bCs/>
          <w:sz w:val="24"/>
          <w:szCs w:val="24"/>
        </w:rPr>
        <w:t>, 3(1), pp. 23-48B.</w:t>
      </w:r>
    </w:p>
    <w:p w14:paraId="58A2B2AC"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Legislation.gov.uk (2013) Theft Act 1968. Available at: </w:t>
      </w:r>
      <w:hyperlink r:id="rId9" w:tgtFrame="_new" w:history="1">
        <w:r w:rsidRPr="008644CE">
          <w:rPr>
            <w:rStyle w:val="Hyperlink"/>
            <w:rFonts w:ascii="Arial" w:hAnsi="Arial" w:cs="Arial"/>
            <w:bCs/>
            <w:sz w:val="24"/>
            <w:szCs w:val="24"/>
          </w:rPr>
          <w:t>https://www.legislation.gov.uk/ukpga/1968/60</w:t>
        </w:r>
      </w:hyperlink>
      <w:r w:rsidRPr="008644CE">
        <w:rPr>
          <w:rFonts w:ascii="Arial" w:hAnsi="Arial" w:cs="Arial"/>
          <w:bCs/>
          <w:sz w:val="24"/>
          <w:szCs w:val="24"/>
        </w:rPr>
        <w:t xml:space="preserve"> (Accessed: 14 July 2024).</w:t>
      </w:r>
    </w:p>
    <w:p w14:paraId="74AD4633"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Legislation.gov.uk (no date) Criminal Damage Act 1971. Available at: </w:t>
      </w:r>
      <w:hyperlink r:id="rId10" w:tgtFrame="_new" w:history="1">
        <w:r w:rsidRPr="008644CE">
          <w:rPr>
            <w:rStyle w:val="Hyperlink"/>
            <w:rFonts w:ascii="Arial" w:hAnsi="Arial" w:cs="Arial"/>
            <w:bCs/>
            <w:sz w:val="24"/>
            <w:szCs w:val="24"/>
          </w:rPr>
          <w:t>https://www.legislation.gov.uk/ukpga/1971/48/contents</w:t>
        </w:r>
      </w:hyperlink>
      <w:r w:rsidRPr="008644CE">
        <w:rPr>
          <w:rFonts w:ascii="Arial" w:hAnsi="Arial" w:cs="Arial"/>
          <w:bCs/>
          <w:sz w:val="24"/>
          <w:szCs w:val="24"/>
        </w:rPr>
        <w:t xml:space="preserve"> (Accessed: 13 July 2024).</w:t>
      </w:r>
    </w:p>
    <w:p w14:paraId="366B0AF0"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Ministry of Justice Consultations (2014) Manslaughter Guideline Consultation. Available at: </w:t>
      </w:r>
      <w:hyperlink r:id="rId11" w:tgtFrame="_new" w:history="1">
        <w:r w:rsidRPr="008644CE">
          <w:rPr>
            <w:rStyle w:val="Hyperlink"/>
            <w:rFonts w:ascii="Arial" w:hAnsi="Arial" w:cs="Arial"/>
            <w:bCs/>
            <w:sz w:val="24"/>
            <w:szCs w:val="24"/>
          </w:rPr>
          <w:t>https://consult.justice.gov.uk/sentencing-council/manslaughter-guideline-consultation/user_uploads/section-one-1.pdf</w:t>
        </w:r>
      </w:hyperlink>
      <w:r w:rsidRPr="008644CE">
        <w:rPr>
          <w:rFonts w:ascii="Arial" w:hAnsi="Arial" w:cs="Arial"/>
          <w:bCs/>
          <w:sz w:val="24"/>
          <w:szCs w:val="24"/>
        </w:rPr>
        <w:t xml:space="preserve"> (Accessed: 14 July 2024).</w:t>
      </w:r>
    </w:p>
    <w:p w14:paraId="438F6F21" w14:textId="7777777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Mitchell, B. (2007) 'Distinguishing between murder and manslaughter in practice', </w:t>
      </w:r>
      <w:r w:rsidRPr="008644CE">
        <w:rPr>
          <w:rFonts w:ascii="Arial" w:hAnsi="Arial" w:cs="Arial"/>
          <w:bCs/>
          <w:i/>
          <w:iCs/>
          <w:sz w:val="24"/>
          <w:szCs w:val="24"/>
        </w:rPr>
        <w:t>The Journal of Criminal Law</w:t>
      </w:r>
      <w:r w:rsidRPr="008644CE">
        <w:rPr>
          <w:rFonts w:ascii="Arial" w:hAnsi="Arial" w:cs="Arial"/>
          <w:bCs/>
          <w:sz w:val="24"/>
          <w:szCs w:val="24"/>
        </w:rPr>
        <w:t>, 71(4), pp. 318-341.</w:t>
      </w:r>
    </w:p>
    <w:p w14:paraId="49B91C57" w14:textId="39D20E37" w:rsidR="008644CE" w:rsidRPr="008644CE" w:rsidRDefault="008644CE" w:rsidP="008644CE">
      <w:pPr>
        <w:spacing w:line="360" w:lineRule="auto"/>
        <w:jc w:val="both"/>
        <w:rPr>
          <w:rFonts w:ascii="Arial" w:hAnsi="Arial" w:cs="Arial"/>
          <w:bCs/>
          <w:sz w:val="24"/>
          <w:szCs w:val="24"/>
        </w:rPr>
      </w:pPr>
      <w:r w:rsidRPr="008644CE">
        <w:rPr>
          <w:rFonts w:ascii="Arial" w:hAnsi="Arial" w:cs="Arial"/>
          <w:bCs/>
          <w:sz w:val="24"/>
          <w:szCs w:val="24"/>
        </w:rPr>
        <w:t xml:space="preserve">Storey, T. (2017) 'Unlawful and Dangerous: A Comparative Analysis of Unlawful Act Manslaughter in English, Australian and Canadian Law', </w:t>
      </w:r>
      <w:r w:rsidRPr="008644CE">
        <w:rPr>
          <w:rFonts w:ascii="Arial" w:hAnsi="Arial" w:cs="Arial"/>
          <w:bCs/>
          <w:i/>
          <w:iCs/>
          <w:sz w:val="24"/>
          <w:szCs w:val="24"/>
        </w:rPr>
        <w:t>The Journal of Criminal Law</w:t>
      </w:r>
      <w:r w:rsidRPr="008644CE">
        <w:rPr>
          <w:rFonts w:ascii="Arial" w:hAnsi="Arial" w:cs="Arial"/>
          <w:bCs/>
          <w:sz w:val="24"/>
          <w:szCs w:val="24"/>
        </w:rPr>
        <w:t>, 81(2), pp. 143-160.</w:t>
      </w:r>
    </w:p>
    <w:p w14:paraId="1F94A005" w14:textId="77777777" w:rsidR="008644CE" w:rsidRPr="008644CE" w:rsidRDefault="008644CE" w:rsidP="008644CE">
      <w:pPr>
        <w:pStyle w:val="Heading2"/>
        <w:rPr>
          <w:rFonts w:ascii="Arial" w:hAnsi="Arial" w:cs="Arial"/>
          <w:sz w:val="24"/>
          <w:szCs w:val="24"/>
        </w:rPr>
      </w:pPr>
      <w:r w:rsidRPr="008644CE">
        <w:rPr>
          <w:rFonts w:ascii="Arial" w:hAnsi="Arial" w:cs="Arial"/>
          <w:sz w:val="24"/>
          <w:szCs w:val="24"/>
        </w:rPr>
        <w:t>Law Cases</w:t>
      </w:r>
    </w:p>
    <w:p w14:paraId="23CBB0E4" w14:textId="77777777" w:rsidR="008644CE" w:rsidRPr="008644CE" w:rsidRDefault="008644CE" w:rsidP="008644CE">
      <w:pPr>
        <w:numPr>
          <w:ilvl w:val="0"/>
          <w:numId w:val="3"/>
        </w:numPr>
        <w:spacing w:line="360" w:lineRule="auto"/>
        <w:jc w:val="both"/>
        <w:rPr>
          <w:rFonts w:ascii="Arial" w:hAnsi="Arial" w:cs="Arial"/>
          <w:bCs/>
          <w:sz w:val="24"/>
          <w:szCs w:val="24"/>
        </w:rPr>
      </w:pPr>
      <w:r w:rsidRPr="008644CE">
        <w:rPr>
          <w:rFonts w:ascii="Arial" w:hAnsi="Arial" w:cs="Arial"/>
          <w:bCs/>
          <w:i/>
          <w:iCs/>
          <w:sz w:val="24"/>
          <w:szCs w:val="24"/>
        </w:rPr>
        <w:t>R v Church</w:t>
      </w:r>
      <w:r w:rsidRPr="008644CE">
        <w:rPr>
          <w:rFonts w:ascii="Arial" w:hAnsi="Arial" w:cs="Arial"/>
          <w:bCs/>
          <w:sz w:val="24"/>
          <w:szCs w:val="24"/>
        </w:rPr>
        <w:t xml:space="preserve"> [1966] 1 QB 59.</w:t>
      </w:r>
    </w:p>
    <w:p w14:paraId="584DE2D5" w14:textId="77777777" w:rsidR="008644CE" w:rsidRPr="008644CE" w:rsidRDefault="008644CE" w:rsidP="008644CE">
      <w:pPr>
        <w:numPr>
          <w:ilvl w:val="0"/>
          <w:numId w:val="3"/>
        </w:numPr>
        <w:spacing w:line="360" w:lineRule="auto"/>
        <w:jc w:val="both"/>
        <w:rPr>
          <w:rFonts w:ascii="Arial" w:hAnsi="Arial" w:cs="Arial"/>
          <w:bCs/>
          <w:sz w:val="24"/>
          <w:szCs w:val="24"/>
        </w:rPr>
      </w:pPr>
      <w:r w:rsidRPr="008644CE">
        <w:rPr>
          <w:rFonts w:ascii="Arial" w:hAnsi="Arial" w:cs="Arial"/>
          <w:bCs/>
          <w:i/>
          <w:iCs/>
          <w:sz w:val="24"/>
          <w:szCs w:val="24"/>
        </w:rPr>
        <w:t>R v Goodfellow</w:t>
      </w:r>
      <w:r w:rsidRPr="008644CE">
        <w:rPr>
          <w:rFonts w:ascii="Arial" w:hAnsi="Arial" w:cs="Arial"/>
          <w:bCs/>
          <w:sz w:val="24"/>
          <w:szCs w:val="24"/>
        </w:rPr>
        <w:t xml:space="preserve"> [1986] 83 Cr App R 23.</w:t>
      </w:r>
    </w:p>
    <w:p w14:paraId="3F03F493" w14:textId="77777777" w:rsidR="008644CE" w:rsidRPr="008644CE" w:rsidRDefault="008644CE" w:rsidP="008644CE">
      <w:pPr>
        <w:numPr>
          <w:ilvl w:val="0"/>
          <w:numId w:val="3"/>
        </w:numPr>
        <w:spacing w:line="360" w:lineRule="auto"/>
        <w:jc w:val="both"/>
        <w:rPr>
          <w:rFonts w:ascii="Arial" w:hAnsi="Arial" w:cs="Arial"/>
          <w:bCs/>
          <w:sz w:val="24"/>
          <w:szCs w:val="24"/>
        </w:rPr>
      </w:pPr>
      <w:r w:rsidRPr="008644CE">
        <w:rPr>
          <w:rFonts w:ascii="Arial" w:hAnsi="Arial" w:cs="Arial"/>
          <w:bCs/>
          <w:i/>
          <w:iCs/>
          <w:sz w:val="24"/>
          <w:szCs w:val="24"/>
        </w:rPr>
        <w:t>R v Larkin</w:t>
      </w:r>
      <w:r w:rsidRPr="008644CE">
        <w:rPr>
          <w:rFonts w:ascii="Arial" w:hAnsi="Arial" w:cs="Arial"/>
          <w:bCs/>
          <w:sz w:val="24"/>
          <w:szCs w:val="24"/>
        </w:rPr>
        <w:t xml:space="preserve"> [1943] KB 174.</w:t>
      </w:r>
    </w:p>
    <w:p w14:paraId="15CA7429" w14:textId="77777777" w:rsidR="008644CE" w:rsidRPr="008644CE" w:rsidRDefault="008644CE" w:rsidP="008644CE">
      <w:pPr>
        <w:numPr>
          <w:ilvl w:val="0"/>
          <w:numId w:val="3"/>
        </w:numPr>
        <w:spacing w:line="360" w:lineRule="auto"/>
        <w:jc w:val="both"/>
        <w:rPr>
          <w:rFonts w:ascii="Arial" w:hAnsi="Arial" w:cs="Arial"/>
          <w:bCs/>
          <w:sz w:val="24"/>
          <w:szCs w:val="24"/>
        </w:rPr>
      </w:pPr>
      <w:r w:rsidRPr="008644CE">
        <w:rPr>
          <w:rFonts w:ascii="Arial" w:hAnsi="Arial" w:cs="Arial"/>
          <w:bCs/>
          <w:i/>
          <w:iCs/>
          <w:sz w:val="24"/>
          <w:szCs w:val="24"/>
        </w:rPr>
        <w:t>R v Venna</w:t>
      </w:r>
      <w:r w:rsidRPr="008644CE">
        <w:rPr>
          <w:rFonts w:ascii="Arial" w:hAnsi="Arial" w:cs="Arial"/>
          <w:bCs/>
          <w:sz w:val="24"/>
          <w:szCs w:val="24"/>
        </w:rPr>
        <w:t xml:space="preserve"> [1976] QB 421.</w:t>
      </w:r>
    </w:p>
    <w:p w14:paraId="12D70AAF" w14:textId="77777777" w:rsidR="008644CE" w:rsidRPr="008644CE" w:rsidRDefault="008644CE" w:rsidP="008644CE">
      <w:pPr>
        <w:numPr>
          <w:ilvl w:val="0"/>
          <w:numId w:val="3"/>
        </w:numPr>
        <w:spacing w:line="360" w:lineRule="auto"/>
        <w:jc w:val="both"/>
        <w:rPr>
          <w:rFonts w:ascii="Arial" w:hAnsi="Arial" w:cs="Arial"/>
          <w:bCs/>
          <w:sz w:val="24"/>
          <w:szCs w:val="24"/>
        </w:rPr>
      </w:pPr>
      <w:r w:rsidRPr="008644CE">
        <w:rPr>
          <w:rFonts w:ascii="Arial" w:hAnsi="Arial" w:cs="Arial"/>
          <w:bCs/>
          <w:i/>
          <w:iCs/>
          <w:sz w:val="24"/>
          <w:szCs w:val="24"/>
        </w:rPr>
        <w:lastRenderedPageBreak/>
        <w:t>R v Cunningham</w:t>
      </w:r>
      <w:r w:rsidRPr="008644CE">
        <w:rPr>
          <w:rFonts w:ascii="Arial" w:hAnsi="Arial" w:cs="Arial"/>
          <w:bCs/>
          <w:sz w:val="24"/>
          <w:szCs w:val="24"/>
        </w:rPr>
        <w:t xml:space="preserve"> [1957] 2 QB 396.</w:t>
      </w:r>
    </w:p>
    <w:p w14:paraId="5EC1A17B" w14:textId="77777777" w:rsidR="008644CE" w:rsidRPr="008644CE" w:rsidRDefault="008644CE" w:rsidP="008644CE">
      <w:pPr>
        <w:numPr>
          <w:ilvl w:val="0"/>
          <w:numId w:val="3"/>
        </w:numPr>
        <w:spacing w:line="360" w:lineRule="auto"/>
        <w:jc w:val="both"/>
        <w:rPr>
          <w:rFonts w:ascii="Arial" w:hAnsi="Arial" w:cs="Arial"/>
          <w:bCs/>
          <w:sz w:val="24"/>
          <w:szCs w:val="24"/>
        </w:rPr>
      </w:pPr>
      <w:r w:rsidRPr="008644CE">
        <w:rPr>
          <w:rFonts w:ascii="Arial" w:hAnsi="Arial" w:cs="Arial"/>
          <w:bCs/>
          <w:i/>
          <w:iCs/>
          <w:sz w:val="24"/>
          <w:szCs w:val="24"/>
        </w:rPr>
        <w:t>R v Savage; Parmenter</w:t>
      </w:r>
      <w:r w:rsidRPr="008644CE">
        <w:rPr>
          <w:rFonts w:ascii="Arial" w:hAnsi="Arial" w:cs="Arial"/>
          <w:bCs/>
          <w:sz w:val="24"/>
          <w:szCs w:val="24"/>
        </w:rPr>
        <w:t xml:space="preserve"> [1991] 94 Cr App R 193.</w:t>
      </w:r>
    </w:p>
    <w:p w14:paraId="455CD795" w14:textId="77777777" w:rsidR="008644CE" w:rsidRPr="008644CE" w:rsidRDefault="008644CE" w:rsidP="008644CE">
      <w:pPr>
        <w:numPr>
          <w:ilvl w:val="0"/>
          <w:numId w:val="3"/>
        </w:numPr>
        <w:spacing w:line="360" w:lineRule="auto"/>
        <w:jc w:val="both"/>
        <w:rPr>
          <w:rFonts w:ascii="Arial" w:hAnsi="Arial" w:cs="Arial"/>
          <w:bCs/>
          <w:sz w:val="24"/>
          <w:szCs w:val="24"/>
        </w:rPr>
      </w:pPr>
      <w:r w:rsidRPr="008644CE">
        <w:rPr>
          <w:rFonts w:ascii="Arial" w:hAnsi="Arial" w:cs="Arial"/>
          <w:bCs/>
          <w:i/>
          <w:iCs/>
          <w:sz w:val="24"/>
          <w:szCs w:val="24"/>
        </w:rPr>
        <w:t>R v Ball</w:t>
      </w:r>
      <w:r w:rsidRPr="008644CE">
        <w:rPr>
          <w:rFonts w:ascii="Arial" w:hAnsi="Arial" w:cs="Arial"/>
          <w:bCs/>
          <w:sz w:val="24"/>
          <w:szCs w:val="24"/>
        </w:rPr>
        <w:t xml:space="preserve"> [1989] Crim LR 730.</w:t>
      </w:r>
    </w:p>
    <w:p w14:paraId="4A975995" w14:textId="77777777" w:rsidR="00BE38E0" w:rsidRPr="008644CE" w:rsidRDefault="00BE38E0" w:rsidP="00BE38E0">
      <w:pPr>
        <w:spacing w:line="360" w:lineRule="auto"/>
        <w:jc w:val="both"/>
        <w:rPr>
          <w:rFonts w:ascii="Arial" w:hAnsi="Arial" w:cs="Arial"/>
          <w:bCs/>
          <w:sz w:val="24"/>
          <w:szCs w:val="24"/>
        </w:rPr>
      </w:pPr>
    </w:p>
    <w:sectPr w:rsidR="00BE38E0" w:rsidRPr="008644C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B46BA5" w14:textId="77777777" w:rsidR="0033740D" w:rsidRDefault="0033740D" w:rsidP="00BE38E0">
      <w:pPr>
        <w:spacing w:after="0" w:line="240" w:lineRule="auto"/>
      </w:pPr>
      <w:r>
        <w:separator/>
      </w:r>
    </w:p>
  </w:endnote>
  <w:endnote w:type="continuationSeparator" w:id="0">
    <w:p w14:paraId="5CA2A26D" w14:textId="77777777" w:rsidR="0033740D" w:rsidRDefault="0033740D" w:rsidP="00BE3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77930137"/>
      <w:docPartObj>
        <w:docPartGallery w:val="Page Numbers (Bottom of Page)"/>
        <w:docPartUnique/>
      </w:docPartObj>
    </w:sdtPr>
    <w:sdtEndPr>
      <w:rPr>
        <w:noProof/>
      </w:rPr>
    </w:sdtEndPr>
    <w:sdtContent>
      <w:p w14:paraId="2F10A319" w14:textId="21470DE9" w:rsidR="008644CE" w:rsidRDefault="008644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EBA6AE" w14:textId="77777777" w:rsidR="008644CE" w:rsidRDefault="008644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97B024" w14:textId="77777777" w:rsidR="0033740D" w:rsidRDefault="0033740D" w:rsidP="00BE38E0">
      <w:pPr>
        <w:spacing w:after="0" w:line="240" w:lineRule="auto"/>
      </w:pPr>
      <w:r>
        <w:separator/>
      </w:r>
    </w:p>
  </w:footnote>
  <w:footnote w:type="continuationSeparator" w:id="0">
    <w:p w14:paraId="6ECB7681" w14:textId="77777777" w:rsidR="0033740D" w:rsidRDefault="0033740D" w:rsidP="00BE38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F2A329" w14:textId="2ACFEFF4" w:rsidR="00BE38E0" w:rsidRDefault="00BE38E0">
    <w:pPr>
      <w:pStyle w:val="Header"/>
    </w:pPr>
    <w:r w:rsidRPr="00BE38E0">
      <w:rPr>
        <w:noProof/>
      </w:rPr>
      <w:drawing>
        <wp:inline distT="0" distB="0" distL="0" distR="0" wp14:anchorId="2FCDB978" wp14:editId="23F075D1">
          <wp:extent cx="1447800" cy="476250"/>
          <wp:effectExtent l="0" t="0" r="0" b="0"/>
          <wp:docPr id="899646217"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646217" name="Picture 1" descr="A close-up of black text&#10;&#10;Description automatically generated"/>
                  <pic:cNvPicPr/>
                </pic:nvPicPr>
                <pic:blipFill>
                  <a:blip r:embed="rId1"/>
                  <a:stretch>
                    <a:fillRect/>
                  </a:stretch>
                </pic:blipFill>
                <pic:spPr>
                  <a:xfrm>
                    <a:off x="0" y="0"/>
                    <a:ext cx="1448007" cy="476318"/>
                  </a:xfrm>
                  <a:prstGeom prst="rect">
                    <a:avLst/>
                  </a:prstGeom>
                </pic:spPr>
              </pic:pic>
            </a:graphicData>
          </a:graphic>
        </wp:inline>
      </w:drawing>
    </w:r>
  </w:p>
  <w:p w14:paraId="05B4D492" w14:textId="77777777" w:rsidR="00BE38E0" w:rsidRDefault="00BE38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A30F0C"/>
    <w:multiLevelType w:val="multilevel"/>
    <w:tmpl w:val="C56A0C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6A783A"/>
    <w:multiLevelType w:val="multilevel"/>
    <w:tmpl w:val="26A04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85B0417"/>
    <w:multiLevelType w:val="multilevel"/>
    <w:tmpl w:val="3AA8B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4863276">
    <w:abstractNumId w:val="0"/>
  </w:num>
  <w:num w:numId="2" w16cid:durableId="1489441893">
    <w:abstractNumId w:val="1"/>
  </w:num>
  <w:num w:numId="3" w16cid:durableId="17844255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F1E"/>
    <w:rsid w:val="00135F1E"/>
    <w:rsid w:val="0033740D"/>
    <w:rsid w:val="00405FCD"/>
    <w:rsid w:val="008644CE"/>
    <w:rsid w:val="0088651B"/>
    <w:rsid w:val="00BE38E0"/>
    <w:rsid w:val="00CA7FDE"/>
    <w:rsid w:val="00E74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68E60"/>
  <w15:chartTrackingRefBased/>
  <w15:docId w15:val="{4F344818-7138-477F-A12B-921054EA6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F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5F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5F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5F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F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F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F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F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F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F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5F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5F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5F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F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F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F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F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F1E"/>
    <w:rPr>
      <w:rFonts w:eastAsiaTheme="majorEastAsia" w:cstheme="majorBidi"/>
      <w:color w:val="272727" w:themeColor="text1" w:themeTint="D8"/>
    </w:rPr>
  </w:style>
  <w:style w:type="paragraph" w:styleId="Title">
    <w:name w:val="Title"/>
    <w:basedOn w:val="Normal"/>
    <w:next w:val="Normal"/>
    <w:link w:val="TitleChar"/>
    <w:uiPriority w:val="10"/>
    <w:qFormat/>
    <w:rsid w:val="00135F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F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F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F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F1E"/>
    <w:pPr>
      <w:spacing w:before="160"/>
      <w:jc w:val="center"/>
    </w:pPr>
    <w:rPr>
      <w:i/>
      <w:iCs/>
      <w:color w:val="404040" w:themeColor="text1" w:themeTint="BF"/>
    </w:rPr>
  </w:style>
  <w:style w:type="character" w:customStyle="1" w:styleId="QuoteChar">
    <w:name w:val="Quote Char"/>
    <w:basedOn w:val="DefaultParagraphFont"/>
    <w:link w:val="Quote"/>
    <w:uiPriority w:val="29"/>
    <w:rsid w:val="00135F1E"/>
    <w:rPr>
      <w:i/>
      <w:iCs/>
      <w:color w:val="404040" w:themeColor="text1" w:themeTint="BF"/>
    </w:rPr>
  </w:style>
  <w:style w:type="paragraph" w:styleId="ListParagraph">
    <w:name w:val="List Paragraph"/>
    <w:basedOn w:val="Normal"/>
    <w:uiPriority w:val="34"/>
    <w:qFormat/>
    <w:rsid w:val="00135F1E"/>
    <w:pPr>
      <w:ind w:left="720"/>
      <w:contextualSpacing/>
    </w:pPr>
  </w:style>
  <w:style w:type="character" w:styleId="IntenseEmphasis">
    <w:name w:val="Intense Emphasis"/>
    <w:basedOn w:val="DefaultParagraphFont"/>
    <w:uiPriority w:val="21"/>
    <w:qFormat/>
    <w:rsid w:val="00135F1E"/>
    <w:rPr>
      <w:i/>
      <w:iCs/>
      <w:color w:val="0F4761" w:themeColor="accent1" w:themeShade="BF"/>
    </w:rPr>
  </w:style>
  <w:style w:type="paragraph" w:styleId="IntenseQuote">
    <w:name w:val="Intense Quote"/>
    <w:basedOn w:val="Normal"/>
    <w:next w:val="Normal"/>
    <w:link w:val="IntenseQuoteChar"/>
    <w:uiPriority w:val="30"/>
    <w:qFormat/>
    <w:rsid w:val="00135F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F1E"/>
    <w:rPr>
      <w:i/>
      <w:iCs/>
      <w:color w:val="0F4761" w:themeColor="accent1" w:themeShade="BF"/>
    </w:rPr>
  </w:style>
  <w:style w:type="character" w:styleId="IntenseReference">
    <w:name w:val="Intense Reference"/>
    <w:basedOn w:val="DefaultParagraphFont"/>
    <w:uiPriority w:val="32"/>
    <w:qFormat/>
    <w:rsid w:val="00135F1E"/>
    <w:rPr>
      <w:b/>
      <w:bCs/>
      <w:smallCaps/>
      <w:color w:val="0F4761" w:themeColor="accent1" w:themeShade="BF"/>
      <w:spacing w:val="5"/>
    </w:rPr>
  </w:style>
  <w:style w:type="paragraph" w:styleId="Header">
    <w:name w:val="header"/>
    <w:basedOn w:val="Normal"/>
    <w:link w:val="HeaderChar"/>
    <w:uiPriority w:val="99"/>
    <w:unhideWhenUsed/>
    <w:rsid w:val="00BE38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8E0"/>
  </w:style>
  <w:style w:type="paragraph" w:styleId="Footer">
    <w:name w:val="footer"/>
    <w:basedOn w:val="Normal"/>
    <w:link w:val="FooterChar"/>
    <w:uiPriority w:val="99"/>
    <w:unhideWhenUsed/>
    <w:rsid w:val="00BE38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8E0"/>
  </w:style>
  <w:style w:type="character" w:styleId="Hyperlink">
    <w:name w:val="Hyperlink"/>
    <w:basedOn w:val="DefaultParagraphFont"/>
    <w:uiPriority w:val="99"/>
    <w:unhideWhenUsed/>
    <w:rsid w:val="008644CE"/>
    <w:rPr>
      <w:color w:val="467886" w:themeColor="hyperlink"/>
      <w:u w:val="single"/>
    </w:rPr>
  </w:style>
  <w:style w:type="character" w:styleId="UnresolvedMention">
    <w:name w:val="Unresolved Mention"/>
    <w:basedOn w:val="DefaultParagraphFont"/>
    <w:uiPriority w:val="99"/>
    <w:semiHidden/>
    <w:unhideWhenUsed/>
    <w:rsid w:val="008644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537426">
      <w:bodyDiv w:val="1"/>
      <w:marLeft w:val="0"/>
      <w:marRight w:val="0"/>
      <w:marTop w:val="0"/>
      <w:marBottom w:val="0"/>
      <w:divBdr>
        <w:top w:val="none" w:sz="0" w:space="0" w:color="auto"/>
        <w:left w:val="none" w:sz="0" w:space="0" w:color="auto"/>
        <w:bottom w:val="none" w:sz="0" w:space="0" w:color="auto"/>
        <w:right w:val="none" w:sz="0" w:space="0" w:color="auto"/>
      </w:divBdr>
    </w:div>
    <w:div w:id="374619126">
      <w:bodyDiv w:val="1"/>
      <w:marLeft w:val="0"/>
      <w:marRight w:val="0"/>
      <w:marTop w:val="0"/>
      <w:marBottom w:val="0"/>
      <w:divBdr>
        <w:top w:val="none" w:sz="0" w:space="0" w:color="auto"/>
        <w:left w:val="none" w:sz="0" w:space="0" w:color="auto"/>
        <w:bottom w:val="none" w:sz="0" w:space="0" w:color="auto"/>
        <w:right w:val="none" w:sz="0" w:space="0" w:color="auto"/>
      </w:divBdr>
    </w:div>
    <w:div w:id="2107993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homicide-murder-manslaughter-infanticide-and-causing-or-allowing-death-or-seriou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ps.gov.uk/legal-guidance/offences-against-person-incorporating-charging-standard"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nsult.justice.gov.uk/sentencing-council/manslaughter-guideline-consultation/user_uploads/section-one-1.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egislation.gov.uk/ukpga/1971/48/contents" TargetMode="External"/><Relationship Id="rId4" Type="http://schemas.openxmlformats.org/officeDocument/2006/relationships/webSettings" Target="webSettings.xml"/><Relationship Id="rId9" Type="http://schemas.openxmlformats.org/officeDocument/2006/relationships/hyperlink" Target="https://www.legislation.gov.uk/ukpga/1968/60"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1733</Words>
  <Characters>9882</Characters>
  <Application>Microsoft Office Word</Application>
  <DocSecurity>0</DocSecurity>
  <Lines>82</Lines>
  <Paragraphs>23</Paragraphs>
  <ScaleCrop>false</ScaleCrop>
  <Company/>
  <LinksUpToDate>false</LinksUpToDate>
  <CharactersWithSpaces>11592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Daniela Dan</dc:creator>
  <cp:keywords/>
  <dc:description/>
  <cp:revision>3</cp:revision>
  <dcterms:created xsi:type="dcterms:W3CDTF">2024-07-16T13:19:00Z</dcterms:created>
  <dcterms:modified xsi:type="dcterms:W3CDTF">2024-07-17T12:46:00Z</dcterms:modified>
</cp:coreProperties>
</file>