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6160" w:rsidRPr="00DA6160" w:rsidRDefault="00DA6160" w:rsidP="00DA6160">
      <w:pPr>
        <w:spacing w:after="0" w:line="240" w:lineRule="auto"/>
        <w:ind w:left="-180" w:right="-334"/>
        <w:rPr>
          <w:rFonts w:ascii="Georgia" w:eastAsia="SimSun" w:hAnsi="Georgia" w:cs="Times New Roman"/>
          <w:color w:val="000000"/>
          <w:sz w:val="21"/>
          <w:szCs w:val="21"/>
          <w:lang w:eastAsia="zh-CN"/>
        </w:rPr>
      </w:pPr>
      <w:r w:rsidRPr="00DA6160">
        <w:rPr>
          <w:rFonts w:ascii="Georgia" w:eastAsia="SimSun" w:hAnsi="Georgia" w:cs="Times New Roman"/>
          <w:noProof/>
          <w:color w:val="000000"/>
          <w:sz w:val="21"/>
          <w:szCs w:val="21"/>
          <w:lang w:eastAsia="en-GB"/>
        </w:rPr>
        <w:drawing>
          <wp:inline distT="0" distB="0" distL="0" distR="0">
            <wp:extent cx="2057400" cy="853440"/>
            <wp:effectExtent l="0" t="0" r="0" b="3810"/>
            <wp:docPr id="1" name="Picture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57400" cy="853440"/>
                    </a:xfrm>
                    <a:prstGeom prst="rect">
                      <a:avLst/>
                    </a:prstGeom>
                    <a:noFill/>
                    <a:ln>
                      <a:noFill/>
                    </a:ln>
                  </pic:spPr>
                </pic:pic>
              </a:graphicData>
            </a:graphic>
          </wp:inline>
        </w:drawing>
      </w:r>
    </w:p>
    <w:p w:rsidR="00DA6160" w:rsidRPr="00DA6160" w:rsidRDefault="00DA6160" w:rsidP="00DA6160">
      <w:pPr>
        <w:spacing w:after="0" w:line="240" w:lineRule="auto"/>
        <w:ind w:left="-180" w:right="-334"/>
        <w:rPr>
          <w:rFonts w:ascii="Georgia" w:eastAsia="SimSun" w:hAnsi="Georgia" w:cs="Times New Roman"/>
          <w:color w:val="000000"/>
          <w:sz w:val="21"/>
          <w:szCs w:val="21"/>
          <w:lang w:eastAsia="zh-CN"/>
        </w:rPr>
      </w:pPr>
    </w:p>
    <w:p w:rsidR="00DA6160" w:rsidRPr="00DA6160" w:rsidRDefault="00DA6160" w:rsidP="00DA6160">
      <w:pPr>
        <w:spacing w:after="0" w:line="240" w:lineRule="auto"/>
        <w:ind w:left="-180" w:right="-334"/>
        <w:rPr>
          <w:rFonts w:ascii="Georgia" w:eastAsia="SimSun" w:hAnsi="Georgia" w:cs="Times New Roman"/>
          <w:color w:val="000000"/>
          <w:sz w:val="21"/>
          <w:szCs w:val="21"/>
          <w:lang w:eastAsia="zh-CN"/>
        </w:rPr>
      </w:pPr>
    </w:p>
    <w:p w:rsidR="00DA6160" w:rsidRPr="00DA6160" w:rsidRDefault="00DA6160" w:rsidP="00DA6160">
      <w:pPr>
        <w:spacing w:after="0" w:line="240" w:lineRule="auto"/>
        <w:ind w:left="-180" w:right="-334"/>
        <w:jc w:val="center"/>
        <w:rPr>
          <w:rFonts w:ascii="Arial" w:eastAsia="SimSun" w:hAnsi="Arial" w:cs="Arial"/>
          <w:b/>
          <w:color w:val="000000"/>
          <w:sz w:val="28"/>
          <w:szCs w:val="28"/>
          <w:lang w:val="cy-GB" w:eastAsia="zh-CN"/>
        </w:rPr>
      </w:pPr>
      <w:r w:rsidRPr="00DA6160">
        <w:rPr>
          <w:rFonts w:ascii="Arial" w:eastAsia="SimSun" w:hAnsi="Arial" w:cs="Arial"/>
          <w:b/>
          <w:color w:val="000000"/>
          <w:sz w:val="28"/>
          <w:szCs w:val="28"/>
          <w:lang w:val="cy-GB" w:eastAsia="zh-CN"/>
        </w:rPr>
        <w:t xml:space="preserve">Postgraduate/Distance Learning </w:t>
      </w:r>
    </w:p>
    <w:p w:rsidR="00DA6160" w:rsidRPr="00DA6160" w:rsidRDefault="00DA6160" w:rsidP="00DA6160">
      <w:pPr>
        <w:spacing w:after="0" w:line="240" w:lineRule="auto"/>
        <w:ind w:left="-180" w:right="-334"/>
        <w:jc w:val="center"/>
        <w:rPr>
          <w:rFonts w:ascii="Arial" w:eastAsia="SimSun" w:hAnsi="Arial" w:cs="Arial"/>
          <w:b/>
          <w:color w:val="000000"/>
          <w:sz w:val="28"/>
          <w:szCs w:val="28"/>
          <w:lang w:eastAsia="zh-CN"/>
        </w:rPr>
      </w:pPr>
      <w:r w:rsidRPr="00DA6160">
        <w:rPr>
          <w:rFonts w:ascii="Arial" w:eastAsia="SimSun" w:hAnsi="Arial" w:cs="Arial"/>
          <w:b/>
          <w:color w:val="000000"/>
          <w:sz w:val="28"/>
          <w:szCs w:val="28"/>
          <w:lang w:val="cy-GB" w:eastAsia="zh-CN"/>
        </w:rPr>
        <w:t>Assignment coversheet &amp; feedback form</w:t>
      </w:r>
    </w:p>
    <w:p w:rsidR="00DA6160" w:rsidRPr="00DA6160" w:rsidRDefault="00DA6160" w:rsidP="00DA6160">
      <w:pPr>
        <w:spacing w:after="0" w:line="240" w:lineRule="auto"/>
        <w:rPr>
          <w:rFonts w:ascii="Arial" w:eastAsia="SimSun" w:hAnsi="Arial" w:cs="Arial"/>
          <w:sz w:val="28"/>
          <w:szCs w:val="28"/>
          <w:lang w:val="cy-GB" w:eastAsia="zh-CN"/>
        </w:rPr>
      </w:pPr>
    </w:p>
    <w:p w:rsidR="00DA6160" w:rsidRPr="00DA6160" w:rsidRDefault="00DA6160" w:rsidP="00DA6160">
      <w:pPr>
        <w:keepNext/>
        <w:spacing w:after="0" w:line="240" w:lineRule="auto"/>
        <w:ind w:left="720"/>
        <w:jc w:val="center"/>
        <w:outlineLvl w:val="2"/>
        <w:rPr>
          <w:rFonts w:ascii="Tahoma" w:eastAsia="SimSun" w:hAnsi="Tahoma" w:cs="Tahoma"/>
          <w:b/>
          <w:bCs/>
          <w:sz w:val="20"/>
          <w:szCs w:val="20"/>
          <w:lang w:val="cy-GB" w:eastAsia="zh-CN"/>
        </w:rPr>
      </w:pPr>
      <w:r w:rsidRPr="00DA6160">
        <w:rPr>
          <w:rFonts w:ascii="Tahoma" w:eastAsia="SimSun" w:hAnsi="Tahoma" w:cs="Tahoma"/>
          <w:b/>
          <w:bCs/>
          <w:sz w:val="20"/>
          <w:szCs w:val="20"/>
          <w:lang w:val="cy-GB" w:eastAsia="zh-CN"/>
        </w:rPr>
        <w:t>THIS SHEET MUST BE THE FIRST PAGE OF THE ASSIGNMENT YOU ARE SUBMITTING  (DO NOT SEND AS A SEPARATE FILE)</w:t>
      </w:r>
    </w:p>
    <w:p w:rsidR="00DA6160" w:rsidRPr="00DA6160" w:rsidRDefault="00DA6160" w:rsidP="00DA6160">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A6160" w:rsidRPr="00DA6160" w:rsidTr="001D1053">
        <w:trPr>
          <w:trHeight w:val="614"/>
        </w:trPr>
        <w:tc>
          <w:tcPr>
            <w:tcW w:w="8856" w:type="dxa"/>
            <w:gridSpan w:val="5"/>
          </w:tcPr>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b/>
                <w:color w:val="000000"/>
                <w:lang w:eastAsia="zh-CN"/>
              </w:rPr>
              <w:t>For completion by the student</w:t>
            </w:r>
            <w:r w:rsidRPr="00DA6160">
              <w:rPr>
                <w:rFonts w:ascii="Arial" w:eastAsia="SimSun" w:hAnsi="Arial" w:cs="Arial"/>
                <w:color w:val="000000"/>
                <w:lang w:eastAsia="zh-CN"/>
              </w:rPr>
              <w:t>:</w:t>
            </w:r>
          </w:p>
        </w:tc>
      </w:tr>
      <w:tr w:rsidR="00DA6160" w:rsidRPr="00DA6160" w:rsidTr="001D1053">
        <w:trPr>
          <w:trHeight w:val="718"/>
        </w:trPr>
        <w:tc>
          <w:tcPr>
            <w:tcW w:w="8856" w:type="dxa"/>
            <w:gridSpan w:val="5"/>
          </w:tcPr>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Student Name:</w:t>
            </w:r>
            <w:r>
              <w:rPr>
                <w:rFonts w:ascii="Arial" w:eastAsia="SimSun" w:hAnsi="Arial" w:cs="Arial"/>
                <w:color w:val="000000"/>
                <w:lang w:eastAsia="zh-CN"/>
              </w:rPr>
              <w:t xml:space="preserve"> Daniel Annenberg</w:t>
            </w:r>
          </w:p>
          <w:p w:rsidR="00DA6160" w:rsidRPr="00DA6160" w:rsidRDefault="00DA6160" w:rsidP="00DA6160">
            <w:pPr>
              <w:spacing w:after="0" w:line="240" w:lineRule="auto"/>
              <w:ind w:right="34"/>
              <w:rPr>
                <w:rFonts w:ascii="Arial" w:eastAsia="SimSun" w:hAnsi="Arial" w:cs="Arial"/>
                <w:color w:val="000000"/>
                <w:lang w:eastAsia="zh-CN"/>
              </w:rPr>
            </w:pPr>
          </w:p>
        </w:tc>
      </w:tr>
      <w:tr w:rsidR="00DA6160" w:rsidRPr="00DA6160" w:rsidTr="001D1053">
        <w:trPr>
          <w:trHeight w:val="849"/>
        </w:trPr>
        <w:tc>
          <w:tcPr>
            <w:tcW w:w="4788" w:type="dxa"/>
          </w:tcPr>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Module code:</w:t>
            </w:r>
            <w:r>
              <w:rPr>
                <w:rFonts w:ascii="Arial" w:eastAsia="SimSun" w:hAnsi="Arial" w:cs="Arial"/>
                <w:color w:val="000000"/>
                <w:lang w:eastAsia="zh-CN"/>
              </w:rPr>
              <w:t xml:space="preserve"> </w:t>
            </w:r>
            <w:r w:rsidRPr="00DA6160">
              <w:rPr>
                <w:rFonts w:ascii="Arial" w:eastAsia="SimSun" w:hAnsi="Arial" w:cs="Arial"/>
                <w:color w:val="000000"/>
                <w:lang w:eastAsia="zh-CN"/>
              </w:rPr>
              <w:t>TRDL7064</w:t>
            </w:r>
          </w:p>
          <w:p w:rsidR="00DA6160" w:rsidRPr="00DA6160" w:rsidRDefault="00DA6160" w:rsidP="00DA6160">
            <w:pPr>
              <w:spacing w:after="0" w:line="240" w:lineRule="auto"/>
              <w:ind w:right="34"/>
              <w:rPr>
                <w:rFonts w:ascii="Arial" w:eastAsia="SimSun" w:hAnsi="Arial" w:cs="Arial"/>
                <w:color w:val="000000"/>
                <w:lang w:eastAsia="zh-CN"/>
              </w:rPr>
            </w:pPr>
          </w:p>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Module title:</w:t>
            </w:r>
            <w:r>
              <w:t xml:space="preserve"> </w:t>
            </w:r>
            <w:r w:rsidRPr="00DA6160">
              <w:rPr>
                <w:rFonts w:ascii="Arial" w:eastAsia="SimSun" w:hAnsi="Arial" w:cs="Arial"/>
                <w:color w:val="000000"/>
                <w:lang w:eastAsia="zh-CN"/>
              </w:rPr>
              <w:t>Islamic Law in the Contemporary World</w:t>
            </w:r>
          </w:p>
          <w:p w:rsidR="00DA6160" w:rsidRPr="00DA6160" w:rsidRDefault="00DA6160" w:rsidP="00DA6160">
            <w:pPr>
              <w:spacing w:after="0" w:line="240" w:lineRule="auto"/>
              <w:ind w:right="34"/>
              <w:rPr>
                <w:rFonts w:ascii="Arial" w:eastAsia="SimSun" w:hAnsi="Arial" w:cs="Arial"/>
                <w:color w:val="000000"/>
                <w:lang w:eastAsia="zh-CN"/>
              </w:rPr>
            </w:pPr>
          </w:p>
          <w:p w:rsidR="00DA6160" w:rsidRPr="00DA6160" w:rsidRDefault="00DA6160" w:rsidP="00DA6160">
            <w:pPr>
              <w:spacing w:after="0" w:line="240" w:lineRule="auto"/>
              <w:ind w:right="34"/>
              <w:rPr>
                <w:rFonts w:ascii="Arial" w:eastAsia="SimSun" w:hAnsi="Arial" w:cs="Arial"/>
                <w:color w:val="000000"/>
                <w:lang w:eastAsia="zh-CN"/>
              </w:rPr>
            </w:pPr>
          </w:p>
        </w:tc>
        <w:tc>
          <w:tcPr>
            <w:tcW w:w="2266" w:type="dxa"/>
            <w:gridSpan w:val="3"/>
          </w:tcPr>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Student ID number:</w:t>
            </w:r>
            <w:r>
              <w:t xml:space="preserve"> </w:t>
            </w:r>
            <w:r w:rsidRPr="00DA6160">
              <w:rPr>
                <w:rFonts w:ascii="Arial" w:eastAsia="SimSun" w:hAnsi="Arial" w:cs="Arial"/>
                <w:color w:val="000000"/>
                <w:lang w:eastAsia="zh-CN"/>
              </w:rPr>
              <w:t>1704048</w:t>
            </w:r>
            <w:r>
              <w:rPr>
                <w:rFonts w:ascii="Arial" w:eastAsia="SimSun" w:hAnsi="Arial" w:cs="Arial"/>
                <w:color w:val="000000"/>
                <w:lang w:eastAsia="zh-CN"/>
              </w:rPr>
              <w:t xml:space="preserve">  </w:t>
            </w:r>
          </w:p>
        </w:tc>
        <w:tc>
          <w:tcPr>
            <w:tcW w:w="1802" w:type="dxa"/>
          </w:tcPr>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Educational support needs:</w:t>
            </w:r>
          </w:p>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Yes/</w:t>
            </w:r>
            <w:r w:rsidRPr="00DA6160">
              <w:rPr>
                <w:rFonts w:ascii="Arial" w:eastAsia="SimSun" w:hAnsi="Arial" w:cs="Arial"/>
                <w:b/>
                <w:color w:val="000000"/>
                <w:lang w:eastAsia="zh-CN"/>
              </w:rPr>
              <w:t>No</w:t>
            </w:r>
          </w:p>
        </w:tc>
      </w:tr>
      <w:tr w:rsidR="00DA6160" w:rsidRPr="00DA6160" w:rsidTr="001D1053">
        <w:trPr>
          <w:trHeight w:val="1139"/>
        </w:trPr>
        <w:tc>
          <w:tcPr>
            <w:tcW w:w="8856" w:type="dxa"/>
            <w:gridSpan w:val="5"/>
          </w:tcPr>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Module tutor:</w:t>
            </w:r>
            <w:r>
              <w:t xml:space="preserve"> </w:t>
            </w:r>
            <w:r w:rsidRPr="00DA6160">
              <w:rPr>
                <w:rFonts w:ascii="Arial" w:eastAsia="SimSun" w:hAnsi="Arial" w:cs="Arial"/>
                <w:color w:val="000000"/>
                <w:lang w:eastAsia="zh-CN"/>
              </w:rPr>
              <w:t>Dr Shadaab Rahemtulla</w:t>
            </w:r>
          </w:p>
          <w:p w:rsidR="00DA6160" w:rsidRPr="00DA6160" w:rsidRDefault="00DA6160" w:rsidP="00DA6160">
            <w:pPr>
              <w:spacing w:after="0" w:line="240" w:lineRule="auto"/>
              <w:ind w:right="34"/>
              <w:rPr>
                <w:rFonts w:ascii="Arial" w:eastAsia="SimSun" w:hAnsi="Arial" w:cs="Arial"/>
                <w:color w:val="000000"/>
                <w:lang w:eastAsia="zh-CN"/>
              </w:rPr>
            </w:pPr>
          </w:p>
          <w:p w:rsidR="00DA6160" w:rsidRPr="00DA6160" w:rsidRDefault="00DA6160" w:rsidP="00DA6160">
            <w:pPr>
              <w:spacing w:after="0" w:line="240" w:lineRule="auto"/>
              <w:ind w:right="34"/>
              <w:rPr>
                <w:rFonts w:ascii="Arial" w:eastAsia="SimSun" w:hAnsi="Arial" w:cs="Arial"/>
                <w:color w:val="000000"/>
                <w:lang w:eastAsia="zh-CN"/>
              </w:rPr>
            </w:pPr>
          </w:p>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Assignment due date:</w:t>
            </w:r>
            <w:r>
              <w:rPr>
                <w:rFonts w:ascii="Arial" w:eastAsia="SimSun" w:hAnsi="Arial" w:cs="Arial"/>
                <w:color w:val="000000"/>
                <w:lang w:eastAsia="zh-CN"/>
              </w:rPr>
              <w:t xml:space="preserve"> 12/12/2017</w:t>
            </w:r>
          </w:p>
        </w:tc>
      </w:tr>
      <w:tr w:rsidR="00DA6160" w:rsidRPr="00DA6160" w:rsidTr="001D1053">
        <w:trPr>
          <w:trHeight w:val="978"/>
        </w:trPr>
        <w:tc>
          <w:tcPr>
            <w:tcW w:w="8856" w:type="dxa"/>
            <w:gridSpan w:val="5"/>
            <w:tcBorders>
              <w:bottom w:val="single" w:sz="4" w:space="0" w:color="000000"/>
            </w:tcBorders>
          </w:tcPr>
          <w:p w:rsidR="00DA6160" w:rsidRPr="00DA6160" w:rsidRDefault="00DA6160" w:rsidP="00DA6160">
            <w:pPr>
              <w:spacing w:after="0" w:line="240" w:lineRule="auto"/>
              <w:rPr>
                <w:rFonts w:ascii="Arial" w:eastAsia="SimSun" w:hAnsi="Arial" w:cs="Arial"/>
                <w:lang w:eastAsia="zh-CN"/>
              </w:rPr>
            </w:pPr>
            <w:r w:rsidRPr="00DA6160">
              <w:rPr>
                <w:rFonts w:ascii="Arial" w:eastAsia="SimSun" w:hAnsi="Arial" w:cs="Arial"/>
                <w:lang w:eastAsia="zh-CN"/>
              </w:rPr>
              <w:t>If your module has multiple submissions please indicate which piece of work this is.</w:t>
            </w:r>
          </w:p>
          <w:p w:rsidR="00DA6160" w:rsidRPr="00DA6160" w:rsidRDefault="00DA6160" w:rsidP="00DA6160">
            <w:pPr>
              <w:spacing w:after="0" w:line="240" w:lineRule="auto"/>
              <w:rPr>
                <w:rFonts w:ascii="Arial" w:eastAsia="SimSun" w:hAnsi="Arial" w:cs="Arial"/>
                <w:lang w:eastAsia="zh-CN"/>
              </w:rPr>
            </w:pPr>
          </w:p>
          <w:p w:rsidR="00DA6160" w:rsidRPr="00DA6160" w:rsidRDefault="00DA6160" w:rsidP="00DA6160">
            <w:pPr>
              <w:spacing w:after="0" w:line="240" w:lineRule="auto"/>
              <w:rPr>
                <w:rFonts w:ascii="Arial" w:eastAsia="SimSun" w:hAnsi="Arial" w:cs="Arial"/>
                <w:lang w:eastAsia="zh-CN"/>
              </w:rPr>
            </w:pPr>
            <w:r w:rsidRPr="00DA6160">
              <w:rPr>
                <w:rFonts w:ascii="Arial" w:eastAsia="SimSun" w:hAnsi="Arial" w:cs="Arial"/>
                <w:lang w:eastAsia="zh-CN"/>
              </w:rPr>
              <w:t>1</w:t>
            </w:r>
            <w:r w:rsidRPr="00DA6160">
              <w:rPr>
                <w:rFonts w:ascii="Arial" w:eastAsia="SimSun" w:hAnsi="Arial" w:cs="Arial"/>
                <w:vertAlign w:val="superscript"/>
                <w:lang w:eastAsia="zh-CN"/>
              </w:rPr>
              <w:t xml:space="preserve">st </w:t>
            </w:r>
            <w:bookmarkStart w:id="0" w:name="_GoBack"/>
            <w:r w:rsidRPr="004C351D">
              <w:rPr>
                <w:rFonts w:ascii="Arial" w:eastAsia="SimSun" w:hAnsi="Arial" w:cs="Arial"/>
                <w:sz w:val="32"/>
                <w:szCs w:val="32"/>
                <w:vertAlign w:val="superscript"/>
                <w:lang w:eastAsia="zh-CN"/>
              </w:rPr>
              <w:t>x</w:t>
            </w:r>
            <w:bookmarkEnd w:id="0"/>
            <w:r w:rsidRPr="00DA6160">
              <w:rPr>
                <w:rFonts w:ascii="Arial" w:eastAsia="SimSun" w:hAnsi="Arial" w:cs="Arial"/>
                <w:lang w:eastAsia="zh-CN"/>
              </w:rPr>
              <w:fldChar w:fldCharType="begin">
                <w:ffData>
                  <w:name w:val="Check13"/>
                  <w:enabled/>
                  <w:calcOnExit w:val="0"/>
                  <w:checkBox>
                    <w:sizeAuto/>
                    <w:default w:val="0"/>
                  </w:checkBox>
                </w:ffData>
              </w:fldChar>
            </w:r>
            <w:bookmarkStart w:id="1" w:name="Check13"/>
            <w:r w:rsidRPr="00DA6160">
              <w:rPr>
                <w:rFonts w:ascii="Arial" w:eastAsia="SimSun" w:hAnsi="Arial" w:cs="Arial"/>
                <w:lang w:eastAsia="zh-CN"/>
              </w:rPr>
              <w:instrText xml:space="preserve"> FORMCHECKBOX </w:instrText>
            </w:r>
            <w:r w:rsidR="00C834E6">
              <w:rPr>
                <w:rFonts w:ascii="Arial" w:eastAsia="SimSun" w:hAnsi="Arial" w:cs="Arial"/>
                <w:lang w:eastAsia="zh-CN"/>
              </w:rPr>
            </w:r>
            <w:r w:rsidR="00C834E6">
              <w:rPr>
                <w:rFonts w:ascii="Arial" w:eastAsia="SimSun" w:hAnsi="Arial" w:cs="Arial"/>
                <w:lang w:eastAsia="zh-CN"/>
              </w:rPr>
              <w:fldChar w:fldCharType="separate"/>
            </w:r>
            <w:r w:rsidRPr="00DA6160">
              <w:rPr>
                <w:rFonts w:ascii="Arial" w:eastAsia="SimSun" w:hAnsi="Arial" w:cs="Arial"/>
                <w:lang w:eastAsia="zh-CN"/>
              </w:rPr>
              <w:fldChar w:fldCharType="end"/>
            </w:r>
            <w:bookmarkEnd w:id="1"/>
            <w:r w:rsidRPr="00DA6160">
              <w:rPr>
                <w:rFonts w:ascii="Arial" w:eastAsia="SimSun" w:hAnsi="Arial" w:cs="Arial"/>
                <w:lang w:eastAsia="zh-CN"/>
              </w:rPr>
              <w:t xml:space="preserve">    2</w:t>
            </w:r>
            <w:r w:rsidRPr="00DA6160">
              <w:rPr>
                <w:rFonts w:ascii="Arial" w:eastAsia="SimSun" w:hAnsi="Arial" w:cs="Arial"/>
                <w:vertAlign w:val="superscript"/>
                <w:lang w:eastAsia="zh-CN"/>
              </w:rPr>
              <w:t>nd</w:t>
            </w:r>
            <w:r w:rsidRPr="00DA6160">
              <w:rPr>
                <w:rFonts w:ascii="Arial" w:eastAsia="SimSun" w:hAnsi="Arial" w:cs="Arial"/>
                <w:lang w:eastAsia="zh-CN"/>
              </w:rPr>
              <w:t xml:space="preserve">  </w:t>
            </w:r>
            <w:r w:rsidRPr="00DA6160">
              <w:rPr>
                <w:rFonts w:ascii="Arial" w:eastAsia="SimSun" w:hAnsi="Arial" w:cs="Arial"/>
                <w:lang w:eastAsia="zh-CN"/>
              </w:rPr>
              <w:fldChar w:fldCharType="begin">
                <w:ffData>
                  <w:name w:val="Check14"/>
                  <w:enabled/>
                  <w:calcOnExit w:val="0"/>
                  <w:checkBox>
                    <w:sizeAuto/>
                    <w:default w:val="0"/>
                  </w:checkBox>
                </w:ffData>
              </w:fldChar>
            </w:r>
            <w:bookmarkStart w:id="2" w:name="Check14"/>
            <w:r w:rsidRPr="00DA6160">
              <w:rPr>
                <w:rFonts w:ascii="Arial" w:eastAsia="SimSun" w:hAnsi="Arial" w:cs="Arial"/>
                <w:lang w:eastAsia="zh-CN"/>
              </w:rPr>
              <w:instrText xml:space="preserve"> FORMCHECKBOX </w:instrText>
            </w:r>
            <w:r w:rsidR="00C834E6">
              <w:rPr>
                <w:rFonts w:ascii="Arial" w:eastAsia="SimSun" w:hAnsi="Arial" w:cs="Arial"/>
                <w:lang w:eastAsia="zh-CN"/>
              </w:rPr>
            </w:r>
            <w:r w:rsidR="00C834E6">
              <w:rPr>
                <w:rFonts w:ascii="Arial" w:eastAsia="SimSun" w:hAnsi="Arial" w:cs="Arial"/>
                <w:lang w:eastAsia="zh-CN"/>
              </w:rPr>
              <w:fldChar w:fldCharType="separate"/>
            </w:r>
            <w:r w:rsidRPr="00DA6160">
              <w:rPr>
                <w:rFonts w:ascii="Arial" w:eastAsia="SimSun" w:hAnsi="Arial" w:cs="Arial"/>
                <w:lang w:eastAsia="zh-CN"/>
              </w:rPr>
              <w:fldChar w:fldCharType="end"/>
            </w:r>
            <w:bookmarkEnd w:id="2"/>
            <w:r w:rsidRPr="00DA6160">
              <w:rPr>
                <w:rFonts w:ascii="Arial" w:eastAsia="SimSun" w:hAnsi="Arial" w:cs="Arial"/>
                <w:lang w:eastAsia="zh-CN"/>
              </w:rPr>
              <w:t xml:space="preserve">     3</w:t>
            </w:r>
            <w:r w:rsidRPr="00DA6160">
              <w:rPr>
                <w:rFonts w:ascii="Arial" w:eastAsia="SimSun" w:hAnsi="Arial" w:cs="Arial"/>
                <w:vertAlign w:val="superscript"/>
                <w:lang w:eastAsia="zh-CN"/>
              </w:rPr>
              <w:t>rd</w:t>
            </w:r>
            <w:r w:rsidRPr="00DA6160">
              <w:rPr>
                <w:rFonts w:ascii="Arial" w:eastAsia="SimSun" w:hAnsi="Arial" w:cs="Arial"/>
                <w:lang w:eastAsia="zh-CN"/>
              </w:rPr>
              <w:t xml:space="preserve">  </w:t>
            </w:r>
            <w:r w:rsidRPr="00DA6160">
              <w:rPr>
                <w:rFonts w:ascii="Arial" w:eastAsia="SimSun" w:hAnsi="Arial" w:cs="Arial"/>
                <w:lang w:eastAsia="zh-CN"/>
              </w:rPr>
              <w:fldChar w:fldCharType="begin">
                <w:ffData>
                  <w:name w:val="Check15"/>
                  <w:enabled/>
                  <w:calcOnExit w:val="0"/>
                  <w:checkBox>
                    <w:sizeAuto/>
                    <w:default w:val="0"/>
                  </w:checkBox>
                </w:ffData>
              </w:fldChar>
            </w:r>
            <w:bookmarkStart w:id="3" w:name="Check15"/>
            <w:r w:rsidRPr="00DA6160">
              <w:rPr>
                <w:rFonts w:ascii="Arial" w:eastAsia="SimSun" w:hAnsi="Arial" w:cs="Arial"/>
                <w:lang w:eastAsia="zh-CN"/>
              </w:rPr>
              <w:instrText xml:space="preserve"> FORMCHECKBOX </w:instrText>
            </w:r>
            <w:r w:rsidR="00C834E6">
              <w:rPr>
                <w:rFonts w:ascii="Arial" w:eastAsia="SimSun" w:hAnsi="Arial" w:cs="Arial"/>
                <w:lang w:eastAsia="zh-CN"/>
              </w:rPr>
            </w:r>
            <w:r w:rsidR="00C834E6">
              <w:rPr>
                <w:rFonts w:ascii="Arial" w:eastAsia="SimSun" w:hAnsi="Arial" w:cs="Arial"/>
                <w:lang w:eastAsia="zh-CN"/>
              </w:rPr>
              <w:fldChar w:fldCharType="separate"/>
            </w:r>
            <w:r w:rsidRPr="00DA6160">
              <w:rPr>
                <w:rFonts w:ascii="Arial" w:eastAsia="SimSun" w:hAnsi="Arial" w:cs="Arial"/>
                <w:lang w:eastAsia="zh-CN"/>
              </w:rPr>
              <w:fldChar w:fldCharType="end"/>
            </w:r>
            <w:bookmarkEnd w:id="3"/>
            <w:r w:rsidRPr="00DA6160">
              <w:rPr>
                <w:rFonts w:ascii="Arial" w:eastAsia="SimSun" w:hAnsi="Arial" w:cs="Arial"/>
                <w:lang w:eastAsia="zh-CN"/>
              </w:rPr>
              <w:t xml:space="preserve">      4</w:t>
            </w:r>
            <w:r w:rsidRPr="00DA6160">
              <w:rPr>
                <w:rFonts w:ascii="Arial" w:eastAsia="SimSun" w:hAnsi="Arial" w:cs="Arial"/>
                <w:vertAlign w:val="superscript"/>
                <w:lang w:eastAsia="zh-CN"/>
              </w:rPr>
              <w:t>th</w:t>
            </w:r>
            <w:r w:rsidRPr="00DA6160">
              <w:rPr>
                <w:rFonts w:ascii="Arial" w:eastAsia="SimSun" w:hAnsi="Arial" w:cs="Arial"/>
                <w:lang w:eastAsia="zh-CN"/>
              </w:rPr>
              <w:t xml:space="preserve"> </w:t>
            </w:r>
            <w:r w:rsidRPr="00DA6160">
              <w:rPr>
                <w:rFonts w:ascii="Arial" w:eastAsia="SimSun" w:hAnsi="Arial" w:cs="Arial"/>
                <w:lang w:eastAsia="zh-CN"/>
              </w:rPr>
              <w:fldChar w:fldCharType="begin">
                <w:ffData>
                  <w:name w:val="Check16"/>
                  <w:enabled/>
                  <w:calcOnExit w:val="0"/>
                  <w:checkBox>
                    <w:sizeAuto/>
                    <w:default w:val="0"/>
                  </w:checkBox>
                </w:ffData>
              </w:fldChar>
            </w:r>
            <w:bookmarkStart w:id="4" w:name="Check16"/>
            <w:r w:rsidRPr="00DA6160">
              <w:rPr>
                <w:rFonts w:ascii="Arial" w:eastAsia="SimSun" w:hAnsi="Arial" w:cs="Arial"/>
                <w:lang w:eastAsia="zh-CN"/>
              </w:rPr>
              <w:instrText xml:space="preserve"> FORMCHECKBOX </w:instrText>
            </w:r>
            <w:r w:rsidR="00C834E6">
              <w:rPr>
                <w:rFonts w:ascii="Arial" w:eastAsia="SimSun" w:hAnsi="Arial" w:cs="Arial"/>
                <w:lang w:eastAsia="zh-CN"/>
              </w:rPr>
            </w:r>
            <w:r w:rsidR="00C834E6">
              <w:rPr>
                <w:rFonts w:ascii="Arial" w:eastAsia="SimSun" w:hAnsi="Arial" w:cs="Arial"/>
                <w:lang w:eastAsia="zh-CN"/>
              </w:rPr>
              <w:fldChar w:fldCharType="separate"/>
            </w:r>
            <w:r w:rsidRPr="00DA6160">
              <w:rPr>
                <w:rFonts w:ascii="Arial" w:eastAsia="SimSun" w:hAnsi="Arial" w:cs="Arial"/>
                <w:lang w:eastAsia="zh-CN"/>
              </w:rPr>
              <w:fldChar w:fldCharType="end"/>
            </w:r>
            <w:bookmarkEnd w:id="4"/>
            <w:r w:rsidRPr="00DA6160">
              <w:rPr>
                <w:rFonts w:ascii="Arial" w:eastAsia="SimSun" w:hAnsi="Arial" w:cs="Arial"/>
                <w:lang w:eastAsia="zh-CN"/>
              </w:rPr>
              <w:t xml:space="preserve">      5</w:t>
            </w:r>
            <w:r w:rsidRPr="00DA6160">
              <w:rPr>
                <w:rFonts w:ascii="Arial" w:eastAsia="SimSun" w:hAnsi="Arial" w:cs="Arial"/>
                <w:vertAlign w:val="superscript"/>
                <w:lang w:eastAsia="zh-CN"/>
              </w:rPr>
              <w:t>th</w:t>
            </w:r>
            <w:r w:rsidRPr="00DA6160">
              <w:rPr>
                <w:rFonts w:ascii="Arial" w:eastAsia="SimSun" w:hAnsi="Arial" w:cs="Arial"/>
                <w:lang w:eastAsia="zh-CN"/>
              </w:rPr>
              <w:t xml:space="preserve"> </w:t>
            </w:r>
            <w:r w:rsidRPr="00DA6160">
              <w:rPr>
                <w:rFonts w:ascii="Arial" w:eastAsia="SimSun" w:hAnsi="Arial" w:cs="Arial"/>
                <w:lang w:eastAsia="zh-CN"/>
              </w:rPr>
              <w:fldChar w:fldCharType="begin">
                <w:ffData>
                  <w:name w:val="Check17"/>
                  <w:enabled/>
                  <w:calcOnExit w:val="0"/>
                  <w:checkBox>
                    <w:sizeAuto/>
                    <w:default w:val="0"/>
                  </w:checkBox>
                </w:ffData>
              </w:fldChar>
            </w:r>
            <w:bookmarkStart w:id="5" w:name="Check17"/>
            <w:r w:rsidRPr="00DA6160">
              <w:rPr>
                <w:rFonts w:ascii="Arial" w:eastAsia="SimSun" w:hAnsi="Arial" w:cs="Arial"/>
                <w:lang w:eastAsia="zh-CN"/>
              </w:rPr>
              <w:instrText xml:space="preserve"> FORMCHECKBOX </w:instrText>
            </w:r>
            <w:r w:rsidR="00C834E6">
              <w:rPr>
                <w:rFonts w:ascii="Arial" w:eastAsia="SimSun" w:hAnsi="Arial" w:cs="Arial"/>
                <w:lang w:eastAsia="zh-CN"/>
              </w:rPr>
            </w:r>
            <w:r w:rsidR="00C834E6">
              <w:rPr>
                <w:rFonts w:ascii="Arial" w:eastAsia="SimSun" w:hAnsi="Arial" w:cs="Arial"/>
                <w:lang w:eastAsia="zh-CN"/>
              </w:rPr>
              <w:fldChar w:fldCharType="separate"/>
            </w:r>
            <w:r w:rsidRPr="00DA6160">
              <w:rPr>
                <w:rFonts w:ascii="Arial" w:eastAsia="SimSun" w:hAnsi="Arial" w:cs="Arial"/>
                <w:lang w:eastAsia="zh-CN"/>
              </w:rPr>
              <w:fldChar w:fldCharType="end"/>
            </w:r>
            <w:bookmarkEnd w:id="5"/>
            <w:r w:rsidRPr="00DA6160">
              <w:rPr>
                <w:rFonts w:ascii="Arial" w:eastAsia="SimSun" w:hAnsi="Arial" w:cs="Arial"/>
                <w:lang w:eastAsia="zh-CN"/>
              </w:rPr>
              <w:t xml:space="preserve">      6</w:t>
            </w:r>
            <w:r w:rsidRPr="00DA6160">
              <w:rPr>
                <w:rFonts w:ascii="Arial" w:eastAsia="SimSun" w:hAnsi="Arial" w:cs="Arial"/>
                <w:vertAlign w:val="superscript"/>
                <w:lang w:eastAsia="zh-CN"/>
              </w:rPr>
              <w:t>th</w:t>
            </w:r>
            <w:r w:rsidRPr="00DA6160">
              <w:rPr>
                <w:rFonts w:ascii="Arial" w:eastAsia="SimSun" w:hAnsi="Arial" w:cs="Arial"/>
                <w:lang w:eastAsia="zh-CN"/>
              </w:rPr>
              <w:t xml:space="preserve"> </w:t>
            </w:r>
            <w:r w:rsidRPr="00DA6160">
              <w:rPr>
                <w:rFonts w:ascii="Arial" w:eastAsia="SimSun" w:hAnsi="Arial" w:cs="Arial"/>
                <w:lang w:eastAsia="zh-CN"/>
              </w:rPr>
              <w:fldChar w:fldCharType="begin">
                <w:ffData>
                  <w:name w:val="Check18"/>
                  <w:enabled/>
                  <w:calcOnExit w:val="0"/>
                  <w:checkBox>
                    <w:sizeAuto/>
                    <w:default w:val="0"/>
                  </w:checkBox>
                </w:ffData>
              </w:fldChar>
            </w:r>
            <w:bookmarkStart w:id="6" w:name="Check18"/>
            <w:r w:rsidRPr="00DA6160">
              <w:rPr>
                <w:rFonts w:ascii="Arial" w:eastAsia="SimSun" w:hAnsi="Arial" w:cs="Arial"/>
                <w:lang w:eastAsia="zh-CN"/>
              </w:rPr>
              <w:instrText xml:space="preserve"> FORMCHECKBOX </w:instrText>
            </w:r>
            <w:r w:rsidR="00C834E6">
              <w:rPr>
                <w:rFonts w:ascii="Arial" w:eastAsia="SimSun" w:hAnsi="Arial" w:cs="Arial"/>
                <w:lang w:eastAsia="zh-CN"/>
              </w:rPr>
            </w:r>
            <w:r w:rsidR="00C834E6">
              <w:rPr>
                <w:rFonts w:ascii="Arial" w:eastAsia="SimSun" w:hAnsi="Arial" w:cs="Arial"/>
                <w:lang w:eastAsia="zh-CN"/>
              </w:rPr>
              <w:fldChar w:fldCharType="separate"/>
            </w:r>
            <w:r w:rsidRPr="00DA6160">
              <w:rPr>
                <w:rFonts w:ascii="Arial" w:eastAsia="SimSun" w:hAnsi="Arial" w:cs="Arial"/>
                <w:lang w:eastAsia="zh-CN"/>
              </w:rPr>
              <w:fldChar w:fldCharType="end"/>
            </w:r>
            <w:bookmarkEnd w:id="6"/>
          </w:p>
        </w:tc>
      </w:tr>
      <w:tr w:rsidR="00DA6160" w:rsidRPr="00DA6160" w:rsidTr="001D1053">
        <w:trPr>
          <w:trHeight w:val="978"/>
        </w:trPr>
        <w:tc>
          <w:tcPr>
            <w:tcW w:w="8856" w:type="dxa"/>
            <w:gridSpan w:val="5"/>
            <w:shd w:val="clear" w:color="auto" w:fill="D9D9D9"/>
          </w:tcPr>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I confirm that this is my original work and that I have adhered to the University policy on plagiarism.</w:t>
            </w:r>
          </w:p>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Arial" w:eastAsia="SimSun" w:hAnsi="Arial" w:cs="Arial"/>
                <w:color w:val="000000"/>
                <w:lang w:eastAsia="zh-CN"/>
              </w:rPr>
              <w:t xml:space="preserve">Signed </w:t>
            </w:r>
            <w:r>
              <w:rPr>
                <w:rFonts w:ascii="Arial" w:eastAsia="SimSun" w:hAnsi="Arial" w:cs="Arial"/>
                <w:color w:val="000000"/>
                <w:lang w:eastAsia="zh-CN"/>
              </w:rPr>
              <w:t>Daniel Annenberg</w:t>
            </w:r>
          </w:p>
          <w:p w:rsidR="00DA6160" w:rsidRPr="00DA6160" w:rsidRDefault="00DA6160" w:rsidP="00DA6160">
            <w:pPr>
              <w:spacing w:after="0" w:line="240" w:lineRule="auto"/>
              <w:ind w:right="34"/>
              <w:rPr>
                <w:rFonts w:ascii="Calibri" w:eastAsia="SimSun" w:hAnsi="Calibri" w:cs="Calibri"/>
                <w:b/>
                <w:color w:val="000000"/>
                <w:sz w:val="44"/>
                <w:szCs w:val="44"/>
                <w:lang w:eastAsia="zh-CN"/>
              </w:rPr>
            </w:pPr>
            <w:r w:rsidRPr="00DA6160">
              <w:rPr>
                <w:rFonts w:ascii="Calibri" w:eastAsia="SimSun" w:hAnsi="Calibri" w:cs="Tahoma"/>
                <w:b/>
                <w:color w:val="000000"/>
                <w:sz w:val="24"/>
                <w:szCs w:val="24"/>
                <w:lang w:eastAsia="zh-CN"/>
              </w:rPr>
              <w:t xml:space="preserve">Email submission: if you are submitting this form via email, please tick this box </w:t>
            </w:r>
            <w:r w:rsidRPr="00DA6160">
              <w:rPr>
                <w:rFonts w:ascii="Calibri" w:eastAsia="SimSun" w:hAnsi="Calibri" w:cs="Calibri"/>
                <w:b/>
                <w:color w:val="000000"/>
                <w:sz w:val="44"/>
                <w:szCs w:val="44"/>
                <w:lang w:eastAsia="zh-CN"/>
              </w:rPr>
              <w:t>□</w:t>
            </w:r>
            <w:r>
              <w:rPr>
                <w:rFonts w:ascii="Calibri" w:eastAsia="SimSun" w:hAnsi="Calibri" w:cs="Calibri"/>
                <w:b/>
                <w:color w:val="000000"/>
                <w:sz w:val="44"/>
                <w:szCs w:val="44"/>
                <w:lang w:eastAsia="zh-CN"/>
              </w:rPr>
              <w:t>X</w:t>
            </w:r>
          </w:p>
          <w:p w:rsidR="00DA6160" w:rsidRPr="00DA6160" w:rsidRDefault="00DA6160" w:rsidP="00DA6160">
            <w:pPr>
              <w:spacing w:after="0" w:line="240" w:lineRule="auto"/>
              <w:ind w:right="34"/>
              <w:rPr>
                <w:rFonts w:ascii="Arial" w:eastAsia="SimSun" w:hAnsi="Arial" w:cs="Arial"/>
                <w:color w:val="000000"/>
                <w:lang w:eastAsia="zh-CN"/>
              </w:rPr>
            </w:pPr>
            <w:r w:rsidRPr="00DA6160">
              <w:rPr>
                <w:rFonts w:ascii="Calibri" w:eastAsia="SimSun" w:hAnsi="Calibri" w:cs="Tahoma"/>
                <w:b/>
                <w:color w:val="000000"/>
                <w:sz w:val="24"/>
                <w:szCs w:val="24"/>
                <w:lang w:eastAsia="zh-CN"/>
              </w:rPr>
              <w:t>(as a substitute for your signature) to confirm that you agree to the above declaration.</w:t>
            </w:r>
          </w:p>
        </w:tc>
      </w:tr>
      <w:tr w:rsidR="00DA6160" w:rsidRPr="00DA6160" w:rsidTr="001D1053">
        <w:trPr>
          <w:trHeight w:val="3972"/>
        </w:trPr>
        <w:tc>
          <w:tcPr>
            <w:tcW w:w="8856" w:type="dxa"/>
            <w:gridSpan w:val="5"/>
          </w:tcPr>
          <w:p w:rsidR="00DA6160" w:rsidRPr="00DA6160" w:rsidRDefault="00DA6160" w:rsidP="00DA6160">
            <w:pPr>
              <w:spacing w:after="0" w:line="240" w:lineRule="auto"/>
              <w:rPr>
                <w:rFonts w:ascii="Arial" w:eastAsia="SimSun" w:hAnsi="Arial" w:cs="Times New Roman"/>
                <w:b/>
                <w:sz w:val="24"/>
                <w:szCs w:val="24"/>
                <w:lang w:eastAsia="zh-CN"/>
              </w:rPr>
            </w:pPr>
          </w:p>
          <w:p w:rsidR="00DA6160" w:rsidRPr="00DA6160" w:rsidRDefault="00DA6160" w:rsidP="00DA6160">
            <w:pPr>
              <w:spacing w:after="0" w:line="240" w:lineRule="auto"/>
              <w:rPr>
                <w:rFonts w:ascii="Arial" w:eastAsia="SimSun" w:hAnsi="Arial" w:cs="Times New Roman"/>
                <w:sz w:val="24"/>
                <w:szCs w:val="24"/>
                <w:lang w:eastAsia="zh-CN"/>
              </w:rPr>
            </w:pPr>
            <w:r w:rsidRPr="00DA6160">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A6160" w:rsidRPr="00DA6160" w:rsidTr="001D1053">
              <w:tc>
                <w:tcPr>
                  <w:tcW w:w="6970" w:type="dxa"/>
                </w:tcPr>
                <w:p w:rsidR="00DA6160" w:rsidRPr="00DA6160" w:rsidRDefault="00DA6160" w:rsidP="00DA6160">
                  <w:pPr>
                    <w:spacing w:after="0" w:line="240" w:lineRule="auto"/>
                    <w:rPr>
                      <w:rFonts w:ascii="Arial" w:eastAsia="SimSun" w:hAnsi="Arial" w:cs="Times New Roman"/>
                      <w:sz w:val="20"/>
                      <w:szCs w:val="20"/>
                      <w:lang w:eastAsia="zh-CN"/>
                    </w:rPr>
                  </w:pPr>
                </w:p>
                <w:p w:rsidR="00DA6160" w:rsidRPr="00DA6160" w:rsidRDefault="00DA6160" w:rsidP="00DA6160">
                  <w:pPr>
                    <w:spacing w:after="0" w:line="240" w:lineRule="auto"/>
                    <w:rPr>
                      <w:rFonts w:ascii="Arial" w:eastAsia="SimSun" w:hAnsi="Arial" w:cs="Times New Roman"/>
                      <w:sz w:val="20"/>
                      <w:szCs w:val="20"/>
                      <w:lang w:eastAsia="zh-CN"/>
                    </w:rPr>
                  </w:pPr>
                  <w:r w:rsidRPr="00DA6160">
                    <w:rPr>
                      <w:rFonts w:ascii="Arial" w:eastAsia="SimSun" w:hAnsi="Arial" w:cs="Times New Roman"/>
                      <w:sz w:val="20"/>
                      <w:szCs w:val="20"/>
                      <w:lang w:eastAsia="zh-CN"/>
                    </w:rPr>
                    <w:t>1</w:t>
                  </w:r>
                  <w:r w:rsidRPr="00DA6160">
                    <w:rPr>
                      <w:rFonts w:ascii="Arial" w:eastAsia="SimSun" w:hAnsi="Arial" w:cs="Times New Roman"/>
                      <w:sz w:val="20"/>
                      <w:szCs w:val="20"/>
                      <w:vertAlign w:val="superscript"/>
                      <w:lang w:eastAsia="zh-CN"/>
                    </w:rPr>
                    <w:t>st</w:t>
                  </w:r>
                  <w:r w:rsidRPr="00DA6160">
                    <w:rPr>
                      <w:rFonts w:ascii="Arial" w:eastAsia="SimSun" w:hAnsi="Arial" w:cs="Times New Roman"/>
                      <w:sz w:val="20"/>
                      <w:szCs w:val="20"/>
                      <w:lang w:eastAsia="zh-CN"/>
                    </w:rPr>
                    <w:t xml:space="preserve"> Marker’s Provisional mark</w:t>
                  </w:r>
                </w:p>
              </w:tc>
              <w:tc>
                <w:tcPr>
                  <w:tcW w:w="1660" w:type="dxa"/>
                </w:tcPr>
                <w:p w:rsidR="00DA6160" w:rsidRPr="00DA6160" w:rsidRDefault="00DA6160" w:rsidP="00DA6160">
                  <w:pPr>
                    <w:spacing w:after="0" w:line="240" w:lineRule="auto"/>
                    <w:rPr>
                      <w:rFonts w:ascii="Arial" w:eastAsia="SimSun" w:hAnsi="Arial" w:cs="Times New Roman"/>
                      <w:sz w:val="20"/>
                      <w:szCs w:val="20"/>
                      <w:lang w:eastAsia="zh-CN"/>
                    </w:rPr>
                  </w:pPr>
                </w:p>
              </w:tc>
            </w:tr>
            <w:tr w:rsidR="00DA6160" w:rsidRPr="00DA6160" w:rsidTr="001D1053">
              <w:tc>
                <w:tcPr>
                  <w:tcW w:w="6970" w:type="dxa"/>
                </w:tcPr>
                <w:p w:rsidR="00DA6160" w:rsidRPr="00DA6160" w:rsidRDefault="00DA6160" w:rsidP="00DA6160">
                  <w:pPr>
                    <w:spacing w:after="0" w:line="240" w:lineRule="auto"/>
                    <w:rPr>
                      <w:rFonts w:ascii="Arial" w:eastAsia="SimSun" w:hAnsi="Arial" w:cs="Times New Roman"/>
                      <w:sz w:val="20"/>
                      <w:szCs w:val="20"/>
                      <w:lang w:eastAsia="zh-CN"/>
                    </w:rPr>
                  </w:pPr>
                </w:p>
                <w:p w:rsidR="00DA6160" w:rsidRPr="00DA6160" w:rsidRDefault="00DA6160" w:rsidP="00DA6160">
                  <w:pPr>
                    <w:spacing w:after="0" w:line="240" w:lineRule="auto"/>
                    <w:rPr>
                      <w:rFonts w:ascii="Arial" w:eastAsia="SimSun" w:hAnsi="Arial" w:cs="Times New Roman"/>
                      <w:sz w:val="20"/>
                      <w:szCs w:val="20"/>
                      <w:lang w:eastAsia="zh-CN"/>
                    </w:rPr>
                  </w:pPr>
                  <w:r w:rsidRPr="00DA6160">
                    <w:rPr>
                      <w:rFonts w:ascii="Arial" w:eastAsia="SimSun" w:hAnsi="Arial" w:cs="Times New Roman"/>
                      <w:sz w:val="20"/>
                      <w:szCs w:val="20"/>
                      <w:lang w:eastAsia="zh-CN"/>
                    </w:rPr>
                    <w:t>2</w:t>
                  </w:r>
                  <w:r w:rsidRPr="00DA6160">
                    <w:rPr>
                      <w:rFonts w:ascii="Arial" w:eastAsia="SimSun" w:hAnsi="Arial" w:cs="Times New Roman"/>
                      <w:sz w:val="20"/>
                      <w:szCs w:val="20"/>
                      <w:vertAlign w:val="superscript"/>
                      <w:lang w:eastAsia="zh-CN"/>
                    </w:rPr>
                    <w:t>nd</w:t>
                  </w:r>
                  <w:r w:rsidRPr="00DA6160">
                    <w:rPr>
                      <w:rFonts w:ascii="Arial" w:eastAsia="SimSun" w:hAnsi="Arial" w:cs="Times New Roman"/>
                      <w:sz w:val="20"/>
                      <w:szCs w:val="20"/>
                      <w:lang w:eastAsia="zh-CN"/>
                    </w:rPr>
                    <w:t xml:space="preserve"> Marker’s/Moderator’s provisional mark</w:t>
                  </w:r>
                </w:p>
              </w:tc>
              <w:tc>
                <w:tcPr>
                  <w:tcW w:w="1660" w:type="dxa"/>
                </w:tcPr>
                <w:p w:rsidR="00DA6160" w:rsidRPr="00DA6160" w:rsidRDefault="00DA6160" w:rsidP="00DA6160">
                  <w:pPr>
                    <w:spacing w:after="0" w:line="240" w:lineRule="auto"/>
                    <w:rPr>
                      <w:rFonts w:ascii="Arial" w:eastAsia="SimSun" w:hAnsi="Arial" w:cs="Times New Roman"/>
                      <w:sz w:val="20"/>
                      <w:szCs w:val="20"/>
                      <w:lang w:eastAsia="zh-CN"/>
                    </w:rPr>
                  </w:pPr>
                </w:p>
              </w:tc>
            </w:tr>
            <w:tr w:rsidR="00DA6160" w:rsidRPr="00DA6160" w:rsidTr="001D1053">
              <w:tc>
                <w:tcPr>
                  <w:tcW w:w="6970" w:type="dxa"/>
                </w:tcPr>
                <w:p w:rsidR="00DA6160" w:rsidRPr="00DA6160" w:rsidRDefault="00DA6160" w:rsidP="00DA6160">
                  <w:pPr>
                    <w:spacing w:after="0" w:line="240" w:lineRule="auto"/>
                    <w:rPr>
                      <w:rFonts w:ascii="Arial" w:eastAsia="SimSun" w:hAnsi="Arial" w:cs="Times New Roman"/>
                      <w:sz w:val="20"/>
                      <w:szCs w:val="20"/>
                      <w:lang w:eastAsia="zh-CN"/>
                    </w:rPr>
                  </w:pPr>
                  <w:r w:rsidRPr="00DA6160">
                    <w:rPr>
                      <w:rFonts w:ascii="Arial" w:eastAsia="SimSun" w:hAnsi="Arial" w:cs="Times New Roman"/>
                      <w:sz w:val="20"/>
                      <w:szCs w:val="20"/>
                      <w:lang w:eastAsia="zh-CN"/>
                    </w:rPr>
                    <w:t xml:space="preserve">Agreed Internal Mark: </w:t>
                  </w:r>
                </w:p>
                <w:p w:rsidR="00DA6160" w:rsidRPr="00DA6160" w:rsidRDefault="00DA6160" w:rsidP="00DA6160">
                  <w:pPr>
                    <w:spacing w:after="0" w:line="240" w:lineRule="auto"/>
                    <w:rPr>
                      <w:rFonts w:ascii="Arial" w:eastAsia="SimSun" w:hAnsi="Arial" w:cs="Times New Roman"/>
                      <w:sz w:val="20"/>
                      <w:szCs w:val="20"/>
                      <w:highlight w:val="yellow"/>
                      <w:lang w:eastAsia="zh-CN"/>
                    </w:rPr>
                  </w:pPr>
                </w:p>
              </w:tc>
              <w:tc>
                <w:tcPr>
                  <w:tcW w:w="1660" w:type="dxa"/>
                </w:tcPr>
                <w:p w:rsidR="00DA6160" w:rsidRPr="00DA6160" w:rsidRDefault="00DA6160" w:rsidP="00DA6160">
                  <w:pPr>
                    <w:spacing w:after="0" w:line="240" w:lineRule="auto"/>
                    <w:rPr>
                      <w:rFonts w:ascii="Arial" w:eastAsia="SimSun" w:hAnsi="Arial" w:cs="Times New Roman"/>
                      <w:sz w:val="20"/>
                      <w:szCs w:val="20"/>
                      <w:highlight w:val="yellow"/>
                      <w:lang w:eastAsia="zh-CN"/>
                    </w:rPr>
                  </w:pPr>
                </w:p>
              </w:tc>
            </w:tr>
            <w:tr w:rsidR="00DA6160" w:rsidRPr="00DA6160" w:rsidTr="001D1053">
              <w:tc>
                <w:tcPr>
                  <w:tcW w:w="6970" w:type="dxa"/>
                </w:tcPr>
                <w:p w:rsidR="00DA6160" w:rsidRPr="00DA6160" w:rsidRDefault="00DA6160" w:rsidP="00DA6160">
                  <w:pPr>
                    <w:spacing w:after="0" w:line="240" w:lineRule="auto"/>
                    <w:rPr>
                      <w:rFonts w:ascii="Arial" w:eastAsia="SimSun" w:hAnsi="Arial" w:cs="Times New Roman"/>
                      <w:sz w:val="20"/>
                      <w:szCs w:val="20"/>
                      <w:lang w:eastAsia="zh-CN"/>
                    </w:rPr>
                  </w:pPr>
                </w:p>
                <w:p w:rsidR="00DA6160" w:rsidRPr="00DA6160" w:rsidRDefault="00DA6160" w:rsidP="00DA6160">
                  <w:pPr>
                    <w:spacing w:after="0" w:line="240" w:lineRule="auto"/>
                    <w:rPr>
                      <w:rFonts w:ascii="Arial" w:eastAsia="SimSun" w:hAnsi="Arial" w:cs="Times New Roman"/>
                      <w:sz w:val="20"/>
                      <w:szCs w:val="20"/>
                      <w:lang w:eastAsia="zh-CN"/>
                    </w:rPr>
                  </w:pPr>
                  <w:r w:rsidRPr="00DA6160">
                    <w:rPr>
                      <w:rFonts w:ascii="Arial" w:eastAsia="SimSun" w:hAnsi="Arial" w:cs="Times New Roman"/>
                      <w:sz w:val="20"/>
                      <w:szCs w:val="20"/>
                      <w:lang w:eastAsia="zh-CN"/>
                    </w:rPr>
                    <w:t>External Examiner’s mark (if relevant)</w:t>
                  </w:r>
                </w:p>
              </w:tc>
              <w:tc>
                <w:tcPr>
                  <w:tcW w:w="1660" w:type="dxa"/>
                </w:tcPr>
                <w:p w:rsidR="00DA6160" w:rsidRPr="00DA6160" w:rsidRDefault="00DA6160" w:rsidP="00DA6160">
                  <w:pPr>
                    <w:spacing w:after="0" w:line="240" w:lineRule="auto"/>
                    <w:rPr>
                      <w:rFonts w:ascii="Arial" w:eastAsia="SimSun" w:hAnsi="Arial" w:cs="Times New Roman"/>
                      <w:sz w:val="20"/>
                      <w:szCs w:val="20"/>
                      <w:lang w:eastAsia="zh-CN"/>
                    </w:rPr>
                  </w:pPr>
                </w:p>
              </w:tc>
            </w:tr>
            <w:tr w:rsidR="00DA6160" w:rsidRPr="00DA6160" w:rsidTr="001D1053">
              <w:tc>
                <w:tcPr>
                  <w:tcW w:w="6970" w:type="dxa"/>
                </w:tcPr>
                <w:p w:rsidR="00DA6160" w:rsidRPr="00DA6160" w:rsidRDefault="00DA6160" w:rsidP="00DA6160">
                  <w:pPr>
                    <w:spacing w:after="0" w:line="240" w:lineRule="auto"/>
                    <w:rPr>
                      <w:rFonts w:ascii="Arial" w:eastAsia="SimSun" w:hAnsi="Arial" w:cs="Times New Roman"/>
                      <w:sz w:val="20"/>
                      <w:szCs w:val="20"/>
                      <w:lang w:eastAsia="zh-CN"/>
                    </w:rPr>
                  </w:pPr>
                </w:p>
                <w:p w:rsidR="00DA6160" w:rsidRPr="00DA6160" w:rsidRDefault="00DA6160" w:rsidP="00DA6160">
                  <w:pPr>
                    <w:spacing w:after="0" w:line="240" w:lineRule="auto"/>
                    <w:rPr>
                      <w:rFonts w:ascii="Arial" w:eastAsia="SimSun" w:hAnsi="Arial" w:cs="Times New Roman"/>
                      <w:b/>
                      <w:sz w:val="20"/>
                      <w:szCs w:val="20"/>
                      <w:lang w:eastAsia="zh-CN"/>
                    </w:rPr>
                  </w:pPr>
                  <w:r w:rsidRPr="00DA6160">
                    <w:rPr>
                      <w:rFonts w:ascii="Arial" w:eastAsia="SimSun" w:hAnsi="Arial" w:cs="Times New Roman"/>
                      <w:b/>
                      <w:sz w:val="20"/>
                      <w:szCs w:val="20"/>
                      <w:lang w:eastAsia="zh-CN"/>
                    </w:rPr>
                    <w:t>Final Mark</w:t>
                  </w:r>
                </w:p>
                <w:p w:rsidR="00DA6160" w:rsidRPr="00DA6160" w:rsidRDefault="00DA6160" w:rsidP="00DA6160">
                  <w:pPr>
                    <w:spacing w:after="0" w:line="240" w:lineRule="auto"/>
                    <w:rPr>
                      <w:rFonts w:ascii="Arial" w:eastAsia="SimSun" w:hAnsi="Arial" w:cs="Times New Roman"/>
                      <w:sz w:val="20"/>
                      <w:szCs w:val="20"/>
                      <w:lang w:eastAsia="zh-CN"/>
                    </w:rPr>
                  </w:pPr>
                </w:p>
              </w:tc>
              <w:tc>
                <w:tcPr>
                  <w:tcW w:w="1660" w:type="dxa"/>
                </w:tcPr>
                <w:p w:rsidR="00DA6160" w:rsidRPr="00DA6160" w:rsidRDefault="00DA6160" w:rsidP="00DA6160">
                  <w:pPr>
                    <w:spacing w:after="0" w:line="240" w:lineRule="auto"/>
                    <w:rPr>
                      <w:rFonts w:ascii="Arial" w:eastAsia="SimSun" w:hAnsi="Arial" w:cs="Times New Roman"/>
                      <w:sz w:val="20"/>
                      <w:szCs w:val="20"/>
                      <w:lang w:eastAsia="zh-CN"/>
                    </w:rPr>
                  </w:pPr>
                </w:p>
              </w:tc>
            </w:tr>
          </w:tbl>
          <w:p w:rsidR="00DA6160" w:rsidRPr="00DA6160" w:rsidRDefault="00DA6160" w:rsidP="00DA6160">
            <w:pPr>
              <w:spacing w:after="0" w:line="240" w:lineRule="auto"/>
              <w:ind w:left="142" w:right="34"/>
              <w:rPr>
                <w:rFonts w:ascii="Arial" w:eastAsia="SimSun" w:hAnsi="Arial" w:cs="Arial"/>
                <w:b/>
                <w:color w:val="000000"/>
                <w:lang w:eastAsia="zh-CN"/>
              </w:rPr>
            </w:pPr>
          </w:p>
          <w:p w:rsidR="00DA6160" w:rsidRPr="00DA6160" w:rsidRDefault="00DA6160" w:rsidP="00DA6160">
            <w:pPr>
              <w:spacing w:after="0" w:line="240" w:lineRule="auto"/>
              <w:ind w:left="142" w:right="34"/>
              <w:rPr>
                <w:rFonts w:ascii="Arial" w:eastAsia="SimSun" w:hAnsi="Arial" w:cs="Arial"/>
                <w:color w:val="000000"/>
                <w:lang w:eastAsia="zh-CN"/>
              </w:rPr>
            </w:pPr>
            <w:r w:rsidRPr="00DA6160">
              <w:rPr>
                <w:rFonts w:ascii="Arial" w:eastAsia="SimSun" w:hAnsi="Arial" w:cs="Arial"/>
                <w:b/>
                <w:color w:val="000000"/>
                <w:lang w:eastAsia="zh-CN"/>
              </w:rPr>
              <w:t>NB.</w:t>
            </w:r>
            <w:r w:rsidRPr="00DA6160">
              <w:rPr>
                <w:rFonts w:ascii="Arial" w:eastAsia="SimSun" w:hAnsi="Arial" w:cs="Arial"/>
                <w:color w:val="000000"/>
                <w:lang w:eastAsia="zh-CN"/>
              </w:rPr>
              <w:t xml:space="preserve">  All marks are provisional until confirmed by the Final Examination Board.</w:t>
            </w:r>
          </w:p>
          <w:p w:rsidR="00DA6160" w:rsidRPr="00DA6160" w:rsidRDefault="00DA6160" w:rsidP="00DA6160">
            <w:pPr>
              <w:spacing w:after="0" w:line="240" w:lineRule="auto"/>
              <w:rPr>
                <w:rFonts w:ascii="Arial" w:eastAsia="SimSun" w:hAnsi="Arial" w:cs="Arial"/>
                <w:b/>
                <w:color w:val="000000"/>
                <w:lang w:eastAsia="zh-CN"/>
              </w:rPr>
            </w:pPr>
          </w:p>
          <w:p w:rsidR="00DA6160" w:rsidRPr="00DA6160" w:rsidRDefault="00DA6160" w:rsidP="00DA6160">
            <w:pPr>
              <w:spacing w:after="0" w:line="240" w:lineRule="auto"/>
              <w:rPr>
                <w:rFonts w:ascii="Arial" w:eastAsia="SimSun" w:hAnsi="Arial" w:cs="Arial"/>
                <w:b/>
                <w:color w:val="000000"/>
                <w:lang w:eastAsia="zh-CN"/>
              </w:rPr>
            </w:pPr>
          </w:p>
          <w:p w:rsidR="00DA6160" w:rsidRPr="00DA6160" w:rsidRDefault="00DA6160" w:rsidP="00DA6160">
            <w:pPr>
              <w:spacing w:after="0" w:line="240" w:lineRule="auto"/>
              <w:rPr>
                <w:rFonts w:ascii="Arial" w:eastAsia="SimSun" w:hAnsi="Arial" w:cs="Arial"/>
                <w:b/>
                <w:color w:val="000000"/>
                <w:lang w:eastAsia="zh-CN"/>
              </w:rPr>
            </w:pPr>
          </w:p>
          <w:p w:rsidR="00DA6160" w:rsidRPr="00DA6160" w:rsidRDefault="00DA6160" w:rsidP="00DA6160">
            <w:pPr>
              <w:spacing w:after="0" w:line="240" w:lineRule="auto"/>
              <w:rPr>
                <w:rFonts w:ascii="Arial" w:eastAsia="SimSun" w:hAnsi="Arial" w:cs="Arial"/>
                <w:b/>
                <w:color w:val="000000"/>
                <w:lang w:eastAsia="zh-CN"/>
              </w:rPr>
            </w:pPr>
          </w:p>
          <w:p w:rsidR="00DA6160" w:rsidRPr="00DA6160" w:rsidRDefault="00DA6160" w:rsidP="00DA6160">
            <w:pPr>
              <w:spacing w:after="0" w:line="240" w:lineRule="auto"/>
              <w:rPr>
                <w:rFonts w:ascii="Arial" w:eastAsia="SimSun" w:hAnsi="Arial" w:cs="Arial"/>
                <w:b/>
                <w:color w:val="000000"/>
                <w:lang w:eastAsia="zh-CN"/>
              </w:rPr>
            </w:pPr>
            <w:r w:rsidRPr="00DA6160">
              <w:rPr>
                <w:rFonts w:ascii="Arial" w:eastAsia="SimSun" w:hAnsi="Arial" w:cs="Arial"/>
                <w:b/>
                <w:color w:val="000000"/>
                <w:lang w:eastAsia="zh-CN"/>
              </w:rPr>
              <w:t>For completion by Marker 1 :</w:t>
            </w:r>
          </w:p>
          <w:p w:rsidR="00DA6160" w:rsidRPr="00DA6160" w:rsidRDefault="00DA6160" w:rsidP="00DA6160">
            <w:pPr>
              <w:spacing w:before="100" w:beforeAutospacing="1" w:after="100" w:afterAutospacing="1" w:line="240" w:lineRule="auto"/>
              <w:rPr>
                <w:rFonts w:ascii="Arial" w:eastAsia="SimSun" w:hAnsi="Arial" w:cs="Arial"/>
                <w:color w:val="000000"/>
                <w:lang w:eastAsia="zh-CN"/>
              </w:rPr>
            </w:pPr>
            <w:r w:rsidRPr="00DA6160">
              <w:rPr>
                <w:rFonts w:ascii="Arial" w:eastAsia="SimSun" w:hAnsi="Arial" w:cs="Arial"/>
                <w:color w:val="000000"/>
                <w:lang w:eastAsia="zh-CN"/>
              </w:rPr>
              <w:t>Comments:</w:t>
            </w:r>
          </w:p>
          <w:p w:rsidR="00DA6160" w:rsidRPr="00DA6160" w:rsidRDefault="00DA6160" w:rsidP="00DA6160">
            <w:pPr>
              <w:spacing w:before="100" w:beforeAutospacing="1" w:after="100" w:afterAutospacing="1" w:line="240" w:lineRule="auto"/>
              <w:rPr>
                <w:rFonts w:ascii="Arial" w:eastAsia="SimSun" w:hAnsi="Arial" w:cs="Arial"/>
                <w:color w:val="000000"/>
                <w:lang w:eastAsia="zh-CN"/>
              </w:rPr>
            </w:pPr>
          </w:p>
        </w:tc>
      </w:tr>
      <w:tr w:rsidR="00DA6160" w:rsidRPr="00DA6160" w:rsidTr="001D1053">
        <w:trPr>
          <w:trHeight w:val="492"/>
        </w:trPr>
        <w:tc>
          <w:tcPr>
            <w:tcW w:w="6768" w:type="dxa"/>
            <w:gridSpan w:val="3"/>
          </w:tcPr>
          <w:p w:rsidR="00DA6160" w:rsidRPr="00DA6160" w:rsidRDefault="00DA6160" w:rsidP="00DA6160">
            <w:pPr>
              <w:spacing w:before="100" w:beforeAutospacing="1" w:after="100" w:afterAutospacing="1" w:line="240" w:lineRule="auto"/>
              <w:ind w:left="142" w:right="34"/>
              <w:rPr>
                <w:rFonts w:ascii="Arial" w:eastAsia="SimSun" w:hAnsi="Arial" w:cs="Arial"/>
                <w:color w:val="000000"/>
                <w:lang w:eastAsia="zh-CN"/>
              </w:rPr>
            </w:pPr>
            <w:r w:rsidRPr="00DA6160">
              <w:rPr>
                <w:rFonts w:ascii="Arial" w:eastAsia="SimSun" w:hAnsi="Arial" w:cs="Arial"/>
                <w:color w:val="000000"/>
                <w:lang w:eastAsia="zh-CN"/>
              </w:rPr>
              <w:t>Marker’s signature:</w:t>
            </w:r>
          </w:p>
        </w:tc>
        <w:tc>
          <w:tcPr>
            <w:tcW w:w="2088" w:type="dxa"/>
            <w:gridSpan w:val="2"/>
          </w:tcPr>
          <w:p w:rsidR="00DA6160" w:rsidRPr="00DA6160" w:rsidRDefault="00DA6160" w:rsidP="00DA6160">
            <w:pPr>
              <w:spacing w:before="100" w:beforeAutospacing="1" w:after="0" w:afterAutospacing="1" w:line="240" w:lineRule="auto"/>
              <w:ind w:left="142" w:right="34"/>
              <w:rPr>
                <w:rFonts w:ascii="Arial" w:eastAsia="SimSun" w:hAnsi="Arial" w:cs="Arial"/>
                <w:color w:val="000000"/>
                <w:lang w:eastAsia="zh-CN"/>
              </w:rPr>
            </w:pPr>
            <w:r w:rsidRPr="00DA6160">
              <w:rPr>
                <w:rFonts w:ascii="Arial" w:eastAsia="SimSun" w:hAnsi="Arial" w:cs="Arial"/>
                <w:color w:val="000000"/>
                <w:lang w:eastAsia="zh-CN"/>
              </w:rPr>
              <w:t>Date:</w:t>
            </w:r>
          </w:p>
        </w:tc>
      </w:tr>
      <w:tr w:rsidR="00DA6160" w:rsidRPr="00DA6160" w:rsidTr="001D1053">
        <w:tc>
          <w:tcPr>
            <w:tcW w:w="8856" w:type="dxa"/>
            <w:gridSpan w:val="5"/>
          </w:tcPr>
          <w:p w:rsidR="00DA6160" w:rsidRPr="00DA6160" w:rsidRDefault="00DA6160" w:rsidP="00DA6160">
            <w:pPr>
              <w:spacing w:after="0" w:line="240" w:lineRule="auto"/>
              <w:ind w:right="-334"/>
              <w:rPr>
                <w:rFonts w:ascii="Arial" w:eastAsia="SimSun" w:hAnsi="Arial" w:cs="Arial"/>
                <w:bCs/>
                <w:i/>
                <w:color w:val="000000"/>
                <w:lang w:eastAsia="zh-CN"/>
              </w:rPr>
            </w:pPr>
          </w:p>
          <w:p w:rsidR="00DA6160" w:rsidRPr="00DA6160" w:rsidRDefault="00DA6160" w:rsidP="00DA6160">
            <w:pPr>
              <w:spacing w:after="0" w:line="240" w:lineRule="auto"/>
              <w:ind w:right="-334"/>
              <w:rPr>
                <w:rFonts w:ascii="Arial" w:eastAsia="SimSun" w:hAnsi="Arial" w:cs="Arial"/>
                <w:b/>
                <w:bCs/>
                <w:color w:val="000000"/>
                <w:lang w:eastAsia="zh-CN"/>
              </w:rPr>
            </w:pPr>
            <w:r w:rsidRPr="00DA6160">
              <w:rPr>
                <w:rFonts w:ascii="Arial" w:eastAsia="SimSun" w:hAnsi="Arial" w:cs="Arial"/>
                <w:b/>
                <w:bCs/>
                <w:color w:val="000000"/>
                <w:lang w:eastAsia="zh-CN"/>
              </w:rPr>
              <w:t>For completion by Marker 2/Moderator:</w:t>
            </w:r>
          </w:p>
          <w:p w:rsidR="00DA6160" w:rsidRPr="00DA6160" w:rsidRDefault="00DA6160" w:rsidP="00DA6160">
            <w:pPr>
              <w:spacing w:after="0" w:line="240" w:lineRule="auto"/>
              <w:ind w:right="-334"/>
              <w:rPr>
                <w:rFonts w:ascii="Arial" w:eastAsia="SimSun" w:hAnsi="Arial" w:cs="Arial"/>
                <w:b/>
                <w:bCs/>
                <w:color w:val="000000"/>
                <w:lang w:eastAsia="zh-CN"/>
              </w:rPr>
            </w:pPr>
          </w:p>
          <w:p w:rsidR="00DA6160" w:rsidRPr="00DA6160" w:rsidRDefault="00DA6160" w:rsidP="00DA6160">
            <w:pPr>
              <w:spacing w:after="0" w:line="240" w:lineRule="auto"/>
              <w:ind w:right="-334"/>
              <w:rPr>
                <w:rFonts w:ascii="Arial" w:eastAsia="SimSun" w:hAnsi="Arial" w:cs="Arial"/>
                <w:bCs/>
                <w:color w:val="000000"/>
                <w:lang w:eastAsia="zh-CN"/>
              </w:rPr>
            </w:pPr>
            <w:r w:rsidRPr="00DA6160">
              <w:rPr>
                <w:rFonts w:ascii="Arial" w:eastAsia="SimSun" w:hAnsi="Arial" w:cs="Arial"/>
                <w:bCs/>
                <w:color w:val="000000"/>
                <w:lang w:eastAsia="zh-CN"/>
              </w:rPr>
              <w:t>Comments:</w:t>
            </w:r>
          </w:p>
          <w:p w:rsidR="00DA6160" w:rsidRPr="00DA6160" w:rsidRDefault="00DA6160" w:rsidP="00DA6160">
            <w:pPr>
              <w:spacing w:after="0" w:line="240" w:lineRule="auto"/>
              <w:ind w:right="-334"/>
              <w:rPr>
                <w:rFonts w:ascii="Arial" w:eastAsia="SimSun" w:hAnsi="Arial" w:cs="Arial"/>
                <w:bCs/>
                <w:color w:val="000000"/>
                <w:lang w:eastAsia="zh-CN"/>
              </w:rPr>
            </w:pPr>
          </w:p>
          <w:p w:rsidR="00DA6160" w:rsidRPr="00DA6160" w:rsidRDefault="00DA6160" w:rsidP="00DA6160">
            <w:pPr>
              <w:spacing w:after="0" w:line="240" w:lineRule="auto"/>
              <w:ind w:right="-334"/>
              <w:rPr>
                <w:rFonts w:ascii="Arial" w:eastAsia="SimSun" w:hAnsi="Arial" w:cs="Arial"/>
                <w:bCs/>
                <w:color w:val="000000"/>
                <w:lang w:eastAsia="zh-CN"/>
              </w:rPr>
            </w:pPr>
          </w:p>
          <w:p w:rsidR="00DA6160" w:rsidRPr="00DA6160" w:rsidRDefault="00DA6160" w:rsidP="00DA6160">
            <w:pPr>
              <w:spacing w:after="0" w:line="240" w:lineRule="auto"/>
              <w:ind w:right="-334"/>
              <w:rPr>
                <w:rFonts w:ascii="Arial" w:eastAsia="SimSun" w:hAnsi="Arial" w:cs="Arial"/>
                <w:bCs/>
                <w:color w:val="000000"/>
                <w:lang w:eastAsia="zh-CN"/>
              </w:rPr>
            </w:pPr>
          </w:p>
        </w:tc>
      </w:tr>
      <w:tr w:rsidR="00DA6160" w:rsidRPr="00DA6160" w:rsidTr="001D1053">
        <w:trPr>
          <w:trHeight w:val="720"/>
        </w:trPr>
        <w:tc>
          <w:tcPr>
            <w:tcW w:w="5211" w:type="dxa"/>
            <w:gridSpan w:val="2"/>
          </w:tcPr>
          <w:p w:rsidR="00DA6160" w:rsidRPr="00DA6160" w:rsidRDefault="00DA6160" w:rsidP="00DA6160">
            <w:pPr>
              <w:spacing w:after="0" w:line="240" w:lineRule="auto"/>
              <w:ind w:right="-334"/>
              <w:rPr>
                <w:rFonts w:ascii="Arial" w:eastAsia="SimSun" w:hAnsi="Arial" w:cs="Arial"/>
                <w:bCs/>
                <w:color w:val="000000"/>
                <w:lang w:eastAsia="zh-CN"/>
              </w:rPr>
            </w:pPr>
            <w:r w:rsidRPr="00DA6160">
              <w:rPr>
                <w:rFonts w:ascii="Arial" w:eastAsia="SimSun" w:hAnsi="Arial" w:cs="Arial"/>
                <w:bCs/>
                <w:color w:val="000000"/>
                <w:lang w:eastAsia="zh-CN"/>
              </w:rPr>
              <w:t>Marker’s Signature:</w:t>
            </w:r>
          </w:p>
        </w:tc>
        <w:tc>
          <w:tcPr>
            <w:tcW w:w="3645" w:type="dxa"/>
            <w:gridSpan w:val="3"/>
          </w:tcPr>
          <w:p w:rsidR="00DA6160" w:rsidRPr="00DA6160" w:rsidRDefault="00DA6160" w:rsidP="00DA6160">
            <w:pPr>
              <w:spacing w:after="0" w:line="240" w:lineRule="auto"/>
              <w:ind w:right="-334"/>
              <w:rPr>
                <w:rFonts w:ascii="Arial" w:eastAsia="SimSun" w:hAnsi="Arial" w:cs="Arial"/>
                <w:bCs/>
                <w:color w:val="000000"/>
                <w:lang w:eastAsia="zh-CN"/>
              </w:rPr>
            </w:pPr>
            <w:r w:rsidRPr="00DA6160">
              <w:rPr>
                <w:rFonts w:ascii="Arial" w:eastAsia="SimSun" w:hAnsi="Arial" w:cs="Arial"/>
                <w:bCs/>
                <w:color w:val="000000"/>
                <w:lang w:eastAsia="zh-CN"/>
              </w:rPr>
              <w:t>Date:</w:t>
            </w:r>
          </w:p>
        </w:tc>
      </w:tr>
      <w:tr w:rsidR="00DA6160" w:rsidRPr="00DA6160" w:rsidTr="001D1053">
        <w:trPr>
          <w:trHeight w:val="720"/>
        </w:trPr>
        <w:tc>
          <w:tcPr>
            <w:tcW w:w="8856" w:type="dxa"/>
            <w:gridSpan w:val="5"/>
          </w:tcPr>
          <w:p w:rsidR="00DA6160" w:rsidRPr="00DA6160" w:rsidRDefault="00DA6160" w:rsidP="00DA6160">
            <w:pPr>
              <w:spacing w:after="0" w:line="240" w:lineRule="auto"/>
              <w:rPr>
                <w:rFonts w:ascii="Arial" w:eastAsia="SimSun" w:hAnsi="Arial" w:cs="Arial"/>
                <w:b/>
                <w:lang w:eastAsia="zh-CN"/>
              </w:rPr>
            </w:pPr>
            <w:r w:rsidRPr="00DA6160">
              <w:rPr>
                <w:rFonts w:ascii="Arial" w:eastAsia="SimSun" w:hAnsi="Arial" w:cs="Arial"/>
                <w:b/>
                <w:lang w:eastAsia="zh-CN"/>
              </w:rPr>
              <w:t>AGREED INTERNAL MARK (where necessary):</w:t>
            </w:r>
          </w:p>
          <w:p w:rsidR="00DA6160" w:rsidRPr="00DA6160" w:rsidRDefault="00DA6160" w:rsidP="00DA6160">
            <w:pPr>
              <w:spacing w:after="0" w:line="240" w:lineRule="auto"/>
              <w:rPr>
                <w:rFonts w:ascii="Arial" w:eastAsia="SimSun" w:hAnsi="Arial" w:cs="Arial"/>
                <w:b/>
                <w:lang w:eastAsia="zh-CN"/>
              </w:rPr>
            </w:pPr>
          </w:p>
          <w:p w:rsidR="00DA6160" w:rsidRPr="00DA6160" w:rsidRDefault="00DA6160" w:rsidP="00DA6160">
            <w:pPr>
              <w:spacing w:after="0" w:line="240" w:lineRule="auto"/>
              <w:rPr>
                <w:rFonts w:ascii="Arial" w:eastAsia="SimSun" w:hAnsi="Arial" w:cs="Arial"/>
                <w:b/>
                <w:lang w:eastAsia="zh-CN"/>
              </w:rPr>
            </w:pPr>
            <w:r w:rsidRPr="00DA6160">
              <w:rPr>
                <w:rFonts w:ascii="Arial" w:eastAsia="SimSun" w:hAnsi="Arial" w:cs="Arial"/>
                <w:b/>
                <w:lang w:eastAsia="zh-CN"/>
              </w:rPr>
              <w:t>Comment on process on arriving at agreed mark:</w:t>
            </w:r>
          </w:p>
          <w:p w:rsidR="00DA6160" w:rsidRPr="00DA6160" w:rsidRDefault="00DA6160" w:rsidP="00DA6160">
            <w:pPr>
              <w:spacing w:after="0" w:line="240" w:lineRule="auto"/>
              <w:rPr>
                <w:rFonts w:ascii="Arial" w:eastAsia="SimSun" w:hAnsi="Arial" w:cs="Arial"/>
                <w:b/>
                <w:lang w:eastAsia="zh-CN"/>
              </w:rPr>
            </w:pPr>
          </w:p>
          <w:p w:rsidR="00DA6160" w:rsidRPr="00DA6160" w:rsidRDefault="00DA6160" w:rsidP="00DA6160">
            <w:pPr>
              <w:spacing w:after="0" w:line="240" w:lineRule="auto"/>
              <w:rPr>
                <w:rFonts w:ascii="Arial" w:eastAsia="SimSun" w:hAnsi="Arial" w:cs="Arial"/>
                <w:b/>
                <w:lang w:eastAsia="zh-CN"/>
              </w:rPr>
            </w:pPr>
          </w:p>
        </w:tc>
      </w:tr>
      <w:tr w:rsidR="00DA6160" w:rsidRPr="00DA6160" w:rsidTr="001D1053">
        <w:trPr>
          <w:trHeight w:val="720"/>
        </w:trPr>
        <w:tc>
          <w:tcPr>
            <w:tcW w:w="8856" w:type="dxa"/>
            <w:gridSpan w:val="5"/>
          </w:tcPr>
          <w:p w:rsidR="00DA6160" w:rsidRPr="00DA6160" w:rsidRDefault="00DA6160" w:rsidP="00DA6160">
            <w:pPr>
              <w:spacing w:after="0" w:line="240" w:lineRule="auto"/>
              <w:rPr>
                <w:rFonts w:ascii="Arial" w:eastAsia="SimSun" w:hAnsi="Arial" w:cs="Arial"/>
                <w:b/>
                <w:lang w:eastAsia="zh-CN"/>
              </w:rPr>
            </w:pPr>
            <w:r w:rsidRPr="00DA6160">
              <w:rPr>
                <w:rFonts w:ascii="Arial" w:eastAsia="SimSun" w:hAnsi="Arial" w:cs="Arial"/>
                <w:b/>
                <w:lang w:eastAsia="zh-CN"/>
              </w:rPr>
              <w:t>External Examiner’s comments (if relevant)</w:t>
            </w:r>
          </w:p>
          <w:p w:rsidR="00DA6160" w:rsidRPr="00DA6160" w:rsidRDefault="00DA6160" w:rsidP="00DA6160">
            <w:pPr>
              <w:spacing w:after="0" w:line="240" w:lineRule="auto"/>
              <w:ind w:right="-334"/>
              <w:rPr>
                <w:rFonts w:ascii="Arial" w:eastAsia="SimSun" w:hAnsi="Arial" w:cs="Arial"/>
                <w:bCs/>
                <w:color w:val="000000"/>
                <w:lang w:eastAsia="zh-CN"/>
              </w:rPr>
            </w:pPr>
          </w:p>
          <w:p w:rsidR="00DA6160" w:rsidRPr="00DA6160" w:rsidRDefault="00DA6160" w:rsidP="00DA6160">
            <w:pPr>
              <w:spacing w:after="0" w:line="240" w:lineRule="auto"/>
              <w:ind w:right="-334"/>
              <w:rPr>
                <w:rFonts w:ascii="Arial" w:eastAsia="SimSun" w:hAnsi="Arial" w:cs="Arial"/>
                <w:bCs/>
                <w:color w:val="000000"/>
                <w:lang w:eastAsia="zh-CN"/>
              </w:rPr>
            </w:pPr>
          </w:p>
          <w:p w:rsidR="00DA6160" w:rsidRPr="00DA6160" w:rsidRDefault="00DA6160" w:rsidP="00DA6160">
            <w:pPr>
              <w:spacing w:after="0" w:line="240" w:lineRule="auto"/>
              <w:ind w:right="-334"/>
              <w:rPr>
                <w:rFonts w:ascii="Arial" w:eastAsia="SimSun" w:hAnsi="Arial" w:cs="Arial"/>
                <w:bCs/>
                <w:color w:val="000000"/>
                <w:lang w:eastAsia="zh-CN"/>
              </w:rPr>
            </w:pPr>
          </w:p>
        </w:tc>
      </w:tr>
      <w:tr w:rsidR="00DA6160" w:rsidRPr="00DA6160" w:rsidTr="001D1053">
        <w:trPr>
          <w:trHeight w:val="720"/>
        </w:trPr>
        <w:tc>
          <w:tcPr>
            <w:tcW w:w="5211" w:type="dxa"/>
            <w:gridSpan w:val="2"/>
          </w:tcPr>
          <w:p w:rsidR="00DA6160" w:rsidRPr="00DA6160" w:rsidRDefault="00DA6160" w:rsidP="00DA6160">
            <w:pPr>
              <w:spacing w:after="0" w:line="240" w:lineRule="auto"/>
              <w:rPr>
                <w:rFonts w:ascii="Arial" w:eastAsia="SimSun" w:hAnsi="Arial" w:cs="Arial"/>
                <w:lang w:eastAsia="zh-CN"/>
              </w:rPr>
            </w:pPr>
            <w:r w:rsidRPr="00DA6160">
              <w:rPr>
                <w:rFonts w:ascii="Arial" w:eastAsia="SimSun" w:hAnsi="Arial" w:cs="Arial"/>
                <w:lang w:eastAsia="zh-CN"/>
              </w:rPr>
              <w:t>External Examiner’s Signature:</w:t>
            </w:r>
          </w:p>
        </w:tc>
        <w:tc>
          <w:tcPr>
            <w:tcW w:w="3645" w:type="dxa"/>
            <w:gridSpan w:val="3"/>
          </w:tcPr>
          <w:p w:rsidR="00DA6160" w:rsidRPr="00DA6160" w:rsidRDefault="00DA6160" w:rsidP="00DA6160">
            <w:pPr>
              <w:spacing w:after="0" w:line="240" w:lineRule="auto"/>
              <w:rPr>
                <w:rFonts w:ascii="Arial" w:eastAsia="SimSun" w:hAnsi="Arial" w:cs="Arial"/>
                <w:lang w:eastAsia="zh-CN"/>
              </w:rPr>
            </w:pPr>
            <w:r w:rsidRPr="00DA6160">
              <w:rPr>
                <w:rFonts w:ascii="Arial" w:eastAsia="SimSun" w:hAnsi="Arial" w:cs="Arial"/>
                <w:lang w:eastAsia="zh-CN"/>
              </w:rPr>
              <w:t>Date:</w:t>
            </w:r>
          </w:p>
        </w:tc>
      </w:tr>
    </w:tbl>
    <w:p w:rsidR="00DA6160" w:rsidRDefault="00DA6160" w:rsidP="00DA6160">
      <w:pPr>
        <w:spacing w:after="0" w:line="240" w:lineRule="auto"/>
        <w:ind w:right="-334"/>
        <w:rPr>
          <w:rFonts w:ascii="Trebuchet MS" w:eastAsia="SimSun" w:hAnsi="Trebuchet MS" w:cs="Tahoma"/>
          <w:bCs/>
          <w:color w:val="000000"/>
          <w:sz w:val="24"/>
          <w:szCs w:val="24"/>
          <w:lang w:eastAsia="zh-CN"/>
        </w:rPr>
      </w:pPr>
    </w:p>
    <w:p w:rsidR="00DA6160" w:rsidRDefault="00DA6160">
      <w:pPr>
        <w:rPr>
          <w:rFonts w:ascii="Trebuchet MS" w:eastAsia="SimSun" w:hAnsi="Trebuchet MS" w:cs="Tahoma"/>
          <w:bCs/>
          <w:color w:val="000000"/>
          <w:sz w:val="24"/>
          <w:szCs w:val="24"/>
          <w:lang w:eastAsia="zh-CN"/>
        </w:rPr>
      </w:pPr>
      <w:r>
        <w:rPr>
          <w:rFonts w:ascii="Trebuchet MS" w:eastAsia="SimSun" w:hAnsi="Trebuchet MS" w:cs="Tahoma"/>
          <w:bCs/>
          <w:color w:val="000000"/>
          <w:sz w:val="24"/>
          <w:szCs w:val="24"/>
          <w:lang w:eastAsia="zh-CN"/>
        </w:rPr>
        <w:br w:type="page"/>
      </w:r>
    </w:p>
    <w:p w:rsidR="001D1B27" w:rsidRPr="003E6F6F" w:rsidRDefault="001D1B27" w:rsidP="001D1B27">
      <w:pPr>
        <w:pStyle w:val="NormalWeb"/>
        <w:spacing w:before="0" w:beforeAutospacing="0" w:after="0" w:afterAutospacing="0"/>
        <w:rPr>
          <w:b/>
          <w:sz w:val="32"/>
          <w:szCs w:val="32"/>
        </w:rPr>
      </w:pPr>
      <w:r w:rsidRPr="003E6F6F">
        <w:rPr>
          <w:b/>
          <w:sz w:val="32"/>
          <w:szCs w:val="32"/>
        </w:rPr>
        <w:lastRenderedPageBreak/>
        <w:t>Describe the background and formation of the four schools of Islamic law</w:t>
      </w:r>
    </w:p>
    <w:p w:rsidR="001D1B27" w:rsidRPr="003E6F6F" w:rsidRDefault="001D1B27">
      <w:pPr>
        <w:rPr>
          <w:rFonts w:ascii="Times New Roman" w:hAnsi="Times New Roman" w:cs="Times New Roman"/>
          <w:sz w:val="24"/>
          <w:szCs w:val="24"/>
        </w:rPr>
      </w:pPr>
    </w:p>
    <w:p w:rsidR="00810075" w:rsidRPr="003E6F6F" w:rsidRDefault="00810075"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t>Introduction</w:t>
      </w:r>
    </w:p>
    <w:p w:rsidR="00810075" w:rsidRPr="003E6F6F" w:rsidRDefault="00810075"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The British legal system developed and matured in a distinct geographical space.</w:t>
      </w:r>
      <w:r w:rsidR="00781C41" w:rsidRPr="003E6F6F">
        <w:rPr>
          <w:rFonts w:ascii="Times New Roman" w:hAnsi="Times New Roman" w:cs="Times New Roman"/>
          <w:sz w:val="24"/>
          <w:szCs w:val="24"/>
        </w:rPr>
        <w:t xml:space="preserve"> Y</w:t>
      </w:r>
      <w:r w:rsidR="008838A5" w:rsidRPr="003E6F6F">
        <w:rPr>
          <w:rFonts w:ascii="Times New Roman" w:hAnsi="Times New Roman" w:cs="Times New Roman"/>
          <w:sz w:val="24"/>
          <w:szCs w:val="24"/>
        </w:rPr>
        <w:t>ears later</w:t>
      </w:r>
      <w:r w:rsidRPr="003E6F6F">
        <w:rPr>
          <w:rFonts w:ascii="Times New Roman" w:hAnsi="Times New Roman" w:cs="Times New Roman"/>
          <w:sz w:val="24"/>
          <w:szCs w:val="24"/>
        </w:rPr>
        <w:t xml:space="preserve">, and </w:t>
      </w:r>
      <w:r w:rsidR="00781C41" w:rsidRPr="003E6F6F">
        <w:rPr>
          <w:rFonts w:ascii="Times New Roman" w:hAnsi="Times New Roman" w:cs="Times New Roman"/>
          <w:sz w:val="24"/>
          <w:szCs w:val="24"/>
        </w:rPr>
        <w:t>with the advent of colonial expansion</w:t>
      </w:r>
      <w:r w:rsidRPr="003E6F6F">
        <w:rPr>
          <w:rFonts w:ascii="Times New Roman" w:hAnsi="Times New Roman" w:cs="Times New Roman"/>
          <w:sz w:val="24"/>
          <w:szCs w:val="24"/>
        </w:rPr>
        <w:t xml:space="preserve">, it was ready to be exported (almost wholesale) </w:t>
      </w:r>
      <w:r w:rsidRPr="003E6F6F">
        <w:rPr>
          <w:rFonts w:ascii="Times New Roman" w:hAnsi="Times New Roman" w:cs="Times New Roman"/>
          <w:noProof/>
          <w:sz w:val="24"/>
          <w:szCs w:val="24"/>
        </w:rPr>
        <w:t>into</w:t>
      </w:r>
      <w:r w:rsidRPr="003E6F6F">
        <w:rPr>
          <w:rFonts w:ascii="Times New Roman" w:hAnsi="Times New Roman" w:cs="Times New Roman"/>
          <w:sz w:val="24"/>
          <w:szCs w:val="24"/>
        </w:rPr>
        <w:t xml:space="preserve"> new territories. </w:t>
      </w:r>
      <w:r w:rsidR="008838A5" w:rsidRPr="003E6F6F">
        <w:rPr>
          <w:rFonts w:ascii="Times New Roman" w:hAnsi="Times New Roman" w:cs="Times New Roman"/>
          <w:sz w:val="24"/>
          <w:szCs w:val="24"/>
        </w:rPr>
        <w:t>By</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contrast</w:t>
      </w:r>
      <w:r w:rsidR="001308BD" w:rsidRPr="003E6F6F">
        <w:rPr>
          <w:rFonts w:ascii="Times New Roman" w:hAnsi="Times New Roman" w:cs="Times New Roman"/>
          <w:noProof/>
          <w:sz w:val="24"/>
          <w:szCs w:val="24"/>
        </w:rPr>
        <w:t>,</w:t>
      </w:r>
      <w:r w:rsidRPr="003E6F6F">
        <w:rPr>
          <w:rFonts w:ascii="Times New Roman" w:hAnsi="Times New Roman" w:cs="Times New Roman"/>
          <w:sz w:val="24"/>
          <w:szCs w:val="24"/>
        </w:rPr>
        <w:t xml:space="preserve"> the Islamic legal system was</w:t>
      </w:r>
      <w:r w:rsidR="00FF4430"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in its infancy as Islam made great strides geographically. </w:t>
      </w:r>
      <w:r w:rsidRPr="003E6F6F">
        <w:rPr>
          <w:rFonts w:ascii="Times New Roman" w:hAnsi="Times New Roman" w:cs="Times New Roman"/>
          <w:noProof/>
          <w:sz w:val="24"/>
          <w:szCs w:val="24"/>
        </w:rPr>
        <w:t>This</w:t>
      </w:r>
      <w:r w:rsidRPr="003E6F6F">
        <w:rPr>
          <w:rFonts w:ascii="Times New Roman" w:hAnsi="Times New Roman" w:cs="Times New Roman"/>
          <w:sz w:val="24"/>
          <w:szCs w:val="24"/>
        </w:rPr>
        <w:t xml:space="preserve"> led to the development of distinct legal systems as each sought to adapt the</w:t>
      </w:r>
      <w:r w:rsidR="00FF4430" w:rsidRPr="003E6F6F">
        <w:rPr>
          <w:rFonts w:ascii="Times New Roman" w:hAnsi="Times New Roman" w:cs="Times New Roman"/>
          <w:sz w:val="24"/>
          <w:szCs w:val="24"/>
        </w:rPr>
        <w:t>se</w:t>
      </w:r>
      <w:r w:rsidRPr="003E6F6F">
        <w:rPr>
          <w:rFonts w:ascii="Times New Roman" w:hAnsi="Times New Roman" w:cs="Times New Roman"/>
          <w:sz w:val="24"/>
          <w:szCs w:val="24"/>
        </w:rPr>
        <w:t xml:space="preserve"> limited foundations to </w:t>
      </w:r>
      <w:r w:rsidRPr="003E6F6F">
        <w:rPr>
          <w:rFonts w:ascii="Times New Roman" w:hAnsi="Times New Roman" w:cs="Times New Roman"/>
          <w:noProof/>
          <w:sz w:val="24"/>
          <w:szCs w:val="24"/>
        </w:rPr>
        <w:t>suit</w:t>
      </w:r>
      <w:r w:rsidRPr="003E6F6F">
        <w:rPr>
          <w:rFonts w:ascii="Times New Roman" w:hAnsi="Times New Roman" w:cs="Times New Roman"/>
          <w:sz w:val="24"/>
          <w:szCs w:val="24"/>
        </w:rPr>
        <w:t xml:space="preserve"> the</w:t>
      </w:r>
      <w:r w:rsidR="00FF4430" w:rsidRPr="003E6F6F">
        <w:rPr>
          <w:rFonts w:ascii="Times New Roman" w:hAnsi="Times New Roman" w:cs="Times New Roman"/>
          <w:sz w:val="24"/>
          <w:szCs w:val="24"/>
        </w:rPr>
        <w:t>ir</w:t>
      </w:r>
      <w:r w:rsidRPr="003E6F6F">
        <w:rPr>
          <w:rFonts w:ascii="Times New Roman" w:hAnsi="Times New Roman" w:cs="Times New Roman"/>
          <w:sz w:val="24"/>
          <w:szCs w:val="24"/>
        </w:rPr>
        <w:t xml:space="preserve"> specific context</w:t>
      </w:r>
      <w:r w:rsidR="00FF4430" w:rsidRPr="003E6F6F">
        <w:rPr>
          <w:rFonts w:ascii="Times New Roman" w:hAnsi="Times New Roman" w:cs="Times New Roman"/>
          <w:sz w:val="24"/>
          <w:szCs w:val="24"/>
        </w:rPr>
        <w:t>s</w:t>
      </w:r>
      <w:r w:rsidRPr="003E6F6F">
        <w:rPr>
          <w:rFonts w:ascii="Times New Roman" w:hAnsi="Times New Roman" w:cs="Times New Roman"/>
          <w:sz w:val="24"/>
          <w:szCs w:val="24"/>
        </w:rPr>
        <w:t>.</w:t>
      </w:r>
      <w:r w:rsidR="00FF4430" w:rsidRPr="003E6F6F">
        <w:rPr>
          <w:rFonts w:ascii="Times New Roman" w:hAnsi="Times New Roman" w:cs="Times New Roman"/>
          <w:sz w:val="24"/>
          <w:szCs w:val="24"/>
        </w:rPr>
        <w:t xml:space="preserve"> The result was four legal system</w:t>
      </w:r>
      <w:r w:rsidR="005466A8" w:rsidRPr="003E6F6F">
        <w:rPr>
          <w:rFonts w:ascii="Times New Roman" w:hAnsi="Times New Roman" w:cs="Times New Roman"/>
          <w:sz w:val="24"/>
          <w:szCs w:val="24"/>
        </w:rPr>
        <w:t>s</w:t>
      </w:r>
      <w:r w:rsidR="00FF4430" w:rsidRPr="003E6F6F">
        <w:rPr>
          <w:rFonts w:ascii="Times New Roman" w:hAnsi="Times New Roman" w:cs="Times New Roman"/>
          <w:sz w:val="24"/>
          <w:szCs w:val="24"/>
        </w:rPr>
        <w:t>. First, we shall consider the background that underpins these schools. Then</w:t>
      </w:r>
      <w:r w:rsidRPr="003E6F6F">
        <w:rPr>
          <w:rFonts w:ascii="Times New Roman" w:hAnsi="Times New Roman" w:cs="Times New Roman"/>
          <w:sz w:val="24"/>
          <w:szCs w:val="24"/>
        </w:rPr>
        <w:t xml:space="preserve"> </w:t>
      </w:r>
      <w:r w:rsidR="00FF4430" w:rsidRPr="003E6F6F">
        <w:rPr>
          <w:rFonts w:ascii="Times New Roman" w:hAnsi="Times New Roman" w:cs="Times New Roman"/>
          <w:sz w:val="24"/>
          <w:szCs w:val="24"/>
        </w:rPr>
        <w:t xml:space="preserve">the formation of each </w:t>
      </w:r>
      <w:r w:rsidRPr="003E6F6F">
        <w:rPr>
          <w:rFonts w:ascii="Times New Roman" w:hAnsi="Times New Roman" w:cs="Times New Roman"/>
          <w:sz w:val="24"/>
          <w:szCs w:val="24"/>
        </w:rPr>
        <w:t>will be examined in tur</w:t>
      </w:r>
      <w:r w:rsidR="00FF4430" w:rsidRPr="003E6F6F">
        <w:rPr>
          <w:rFonts w:ascii="Times New Roman" w:hAnsi="Times New Roman" w:cs="Times New Roman"/>
          <w:sz w:val="24"/>
          <w:szCs w:val="24"/>
        </w:rPr>
        <w:t>n.</w:t>
      </w:r>
      <w:r w:rsidRPr="003E6F6F">
        <w:rPr>
          <w:rFonts w:ascii="Times New Roman" w:hAnsi="Times New Roman" w:cs="Times New Roman"/>
          <w:sz w:val="24"/>
          <w:szCs w:val="24"/>
        </w:rPr>
        <w:t xml:space="preserve"> </w:t>
      </w:r>
    </w:p>
    <w:p w:rsidR="002E42EB" w:rsidRPr="003E6F6F" w:rsidRDefault="002E42EB"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t>Background</w:t>
      </w:r>
    </w:p>
    <w:p w:rsidR="002E42EB" w:rsidRPr="003E6F6F" w:rsidRDefault="008838A5"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Islamic monotheism is born into </w:t>
      </w:r>
      <w:r w:rsidRPr="003E6F6F">
        <w:rPr>
          <w:rFonts w:ascii="Times New Roman" w:hAnsi="Times New Roman" w:cs="Times New Roman"/>
          <w:noProof/>
          <w:sz w:val="24"/>
          <w:szCs w:val="24"/>
        </w:rPr>
        <w:t>a simple</w:t>
      </w:r>
      <w:r w:rsidRPr="003E6F6F">
        <w:rPr>
          <w:rFonts w:ascii="Times New Roman" w:hAnsi="Times New Roman" w:cs="Times New Roman"/>
          <w:sz w:val="24"/>
          <w:szCs w:val="24"/>
        </w:rPr>
        <w:t xml:space="preserve"> culture of nomadic tribes capable of moving with emerging weather patterns and trading demands.</w:t>
      </w:r>
      <w:r w:rsidRPr="003E6F6F">
        <w:rPr>
          <w:rStyle w:val="FootnoteReference"/>
          <w:rFonts w:ascii="Times New Roman" w:hAnsi="Times New Roman" w:cs="Times New Roman"/>
          <w:sz w:val="24"/>
          <w:szCs w:val="24"/>
        </w:rPr>
        <w:footnoteReference w:id="1"/>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In</w:t>
      </w:r>
      <w:r w:rsidRPr="003E6F6F">
        <w:rPr>
          <w:rFonts w:ascii="Times New Roman" w:hAnsi="Times New Roman" w:cs="Times New Roman"/>
          <w:sz w:val="24"/>
          <w:szCs w:val="24"/>
        </w:rPr>
        <w:t xml:space="preserve"> this </w:t>
      </w:r>
      <w:r w:rsidRPr="003E6F6F">
        <w:rPr>
          <w:rFonts w:ascii="Times New Roman" w:hAnsi="Times New Roman" w:cs="Times New Roman"/>
          <w:noProof/>
          <w:sz w:val="24"/>
          <w:szCs w:val="24"/>
        </w:rPr>
        <w:t>context</w:t>
      </w:r>
      <w:r w:rsidR="001308BD" w:rsidRPr="003E6F6F">
        <w:rPr>
          <w:rFonts w:ascii="Times New Roman" w:hAnsi="Times New Roman" w:cs="Times New Roman"/>
          <w:noProof/>
          <w:sz w:val="24"/>
          <w:szCs w:val="24"/>
        </w:rPr>
        <w:t>,</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a</w:t>
      </w:r>
      <w:r w:rsidRPr="003E6F6F">
        <w:rPr>
          <w:rFonts w:ascii="Times New Roman" w:hAnsi="Times New Roman" w:cs="Times New Roman"/>
          <w:sz w:val="24"/>
          <w:szCs w:val="24"/>
        </w:rPr>
        <w:t xml:space="preserve"> faith </w:t>
      </w:r>
      <w:r w:rsidR="001308BD" w:rsidRPr="003E6F6F">
        <w:rPr>
          <w:rFonts w:ascii="Times New Roman" w:hAnsi="Times New Roman" w:cs="Times New Roman"/>
          <w:noProof/>
          <w:sz w:val="24"/>
          <w:szCs w:val="24"/>
        </w:rPr>
        <w:t>emerges</w:t>
      </w:r>
      <w:r w:rsidR="001308BD"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emphasising </w:t>
      </w:r>
      <w:r w:rsidR="001308BD" w:rsidRPr="003E6F6F">
        <w:rPr>
          <w:rFonts w:ascii="Times New Roman" w:hAnsi="Times New Roman" w:cs="Times New Roman"/>
          <w:sz w:val="24"/>
          <w:szCs w:val="24"/>
        </w:rPr>
        <w:t xml:space="preserve">the </w:t>
      </w:r>
      <w:r w:rsidR="002E42EB" w:rsidRPr="003E6F6F">
        <w:rPr>
          <w:rFonts w:ascii="Times New Roman" w:hAnsi="Times New Roman" w:cs="Times New Roman"/>
          <w:sz w:val="24"/>
          <w:szCs w:val="24"/>
        </w:rPr>
        <w:t xml:space="preserve">centrality of law </w:t>
      </w:r>
      <w:r w:rsidRPr="003E6F6F">
        <w:rPr>
          <w:rFonts w:ascii="Times New Roman" w:hAnsi="Times New Roman" w:cs="Times New Roman"/>
          <w:sz w:val="24"/>
          <w:szCs w:val="24"/>
        </w:rPr>
        <w:t xml:space="preserve">in </w:t>
      </w:r>
      <w:r w:rsidR="00C03894" w:rsidRPr="003E6F6F">
        <w:rPr>
          <w:rFonts w:ascii="Times New Roman" w:hAnsi="Times New Roman" w:cs="Times New Roman"/>
          <w:sz w:val="24"/>
          <w:szCs w:val="24"/>
        </w:rPr>
        <w:t xml:space="preserve">daily life and </w:t>
      </w:r>
      <w:r w:rsidRPr="003E6F6F">
        <w:rPr>
          <w:rFonts w:ascii="Times New Roman" w:hAnsi="Times New Roman" w:cs="Times New Roman"/>
          <w:sz w:val="24"/>
          <w:szCs w:val="24"/>
        </w:rPr>
        <w:t>religious observance.</w:t>
      </w:r>
      <w:r w:rsidR="002E42EB"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As </w:t>
      </w:r>
      <w:r w:rsidR="002E42EB" w:rsidRPr="003E6F6F">
        <w:rPr>
          <w:rFonts w:ascii="Times New Roman" w:hAnsi="Times New Roman" w:cs="Times New Roman"/>
          <w:sz w:val="24"/>
          <w:szCs w:val="24"/>
        </w:rPr>
        <w:t xml:space="preserve">Joseph Schacht </w:t>
      </w:r>
      <w:r w:rsidRPr="003E6F6F">
        <w:rPr>
          <w:rFonts w:ascii="Times New Roman" w:hAnsi="Times New Roman" w:cs="Times New Roman"/>
          <w:sz w:val="24"/>
          <w:szCs w:val="24"/>
        </w:rPr>
        <w:t>observed</w:t>
      </w:r>
      <w:r w:rsidR="002E42EB" w:rsidRPr="003E6F6F">
        <w:rPr>
          <w:rFonts w:ascii="Times New Roman" w:hAnsi="Times New Roman" w:cs="Times New Roman"/>
          <w:sz w:val="24"/>
          <w:szCs w:val="24"/>
        </w:rPr>
        <w:t>:</w:t>
      </w:r>
    </w:p>
    <w:p w:rsidR="002E42EB" w:rsidRPr="003E6F6F" w:rsidRDefault="002E42EB" w:rsidP="009B2A94">
      <w:pPr>
        <w:spacing w:after="200"/>
        <w:ind w:left="720"/>
        <w:rPr>
          <w:rFonts w:ascii="Arial" w:hAnsi="Arial" w:cs="Arial"/>
          <w:sz w:val="20"/>
          <w:szCs w:val="20"/>
        </w:rPr>
      </w:pPr>
      <w:r w:rsidRPr="003E6F6F">
        <w:rPr>
          <w:rFonts w:ascii="Arial" w:hAnsi="Arial" w:cs="Arial"/>
          <w:sz w:val="20"/>
          <w:szCs w:val="20"/>
        </w:rPr>
        <w:t xml:space="preserve">Islamic Law is the epitome of Islamic thought, the most typical; </w:t>
      </w:r>
      <w:r w:rsidRPr="003E6F6F">
        <w:rPr>
          <w:rFonts w:ascii="Arial" w:hAnsi="Arial" w:cs="Arial"/>
          <w:noProof/>
          <w:sz w:val="20"/>
          <w:szCs w:val="20"/>
        </w:rPr>
        <w:t>manifestation</w:t>
      </w:r>
      <w:r w:rsidRPr="003E6F6F">
        <w:rPr>
          <w:rFonts w:ascii="Arial" w:hAnsi="Arial" w:cs="Arial"/>
          <w:sz w:val="20"/>
          <w:szCs w:val="20"/>
        </w:rPr>
        <w:t xml:space="preserve"> of the Islamic way of life, the core and kernel of Islam itself.</w:t>
      </w:r>
      <w:r w:rsidRPr="003E6F6F">
        <w:rPr>
          <w:rStyle w:val="FootnoteReference"/>
          <w:rFonts w:ascii="Arial" w:hAnsi="Arial" w:cs="Arial"/>
          <w:sz w:val="20"/>
          <w:szCs w:val="20"/>
        </w:rPr>
        <w:footnoteReference w:id="2"/>
      </w:r>
    </w:p>
    <w:p w:rsidR="00BE7706" w:rsidRPr="003E6F6F" w:rsidRDefault="002E42EB"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Islam, then, has a prior emphasis on right practice (orthopraxy) over right belief (orthodoxy) and it is within this </w:t>
      </w:r>
      <w:r w:rsidR="00C03894" w:rsidRPr="003E6F6F">
        <w:rPr>
          <w:rFonts w:ascii="Times New Roman" w:hAnsi="Times New Roman" w:cs="Times New Roman"/>
          <w:sz w:val="24"/>
          <w:szCs w:val="24"/>
        </w:rPr>
        <w:t xml:space="preserve">doctrinal background </w:t>
      </w:r>
      <w:r w:rsidRPr="003E6F6F">
        <w:rPr>
          <w:rFonts w:ascii="Times New Roman" w:hAnsi="Times New Roman" w:cs="Times New Roman"/>
          <w:sz w:val="24"/>
          <w:szCs w:val="24"/>
        </w:rPr>
        <w:t xml:space="preserve">that the </w:t>
      </w:r>
      <w:r w:rsidR="00D41E20" w:rsidRPr="003E6F6F">
        <w:rPr>
          <w:rFonts w:ascii="Times New Roman" w:hAnsi="Times New Roman" w:cs="Times New Roman"/>
          <w:i/>
          <w:iCs/>
          <w:sz w:val="24"/>
          <w:szCs w:val="24"/>
        </w:rPr>
        <w:t>sh̲arīʿa</w:t>
      </w:r>
      <w:r w:rsidRPr="003E6F6F">
        <w:rPr>
          <w:rFonts w:ascii="Times New Roman" w:hAnsi="Times New Roman" w:cs="Times New Roman"/>
          <w:sz w:val="24"/>
          <w:szCs w:val="24"/>
        </w:rPr>
        <w:t xml:space="preserve"> develops.</w:t>
      </w:r>
      <w:r w:rsidRPr="003E6F6F">
        <w:rPr>
          <w:rStyle w:val="FootnoteReference"/>
          <w:rFonts w:ascii="Times New Roman" w:hAnsi="Times New Roman" w:cs="Times New Roman"/>
          <w:sz w:val="24"/>
          <w:szCs w:val="24"/>
        </w:rPr>
        <w:footnoteReference w:id="3"/>
      </w:r>
      <w:r w:rsidRPr="003E6F6F">
        <w:rPr>
          <w:rFonts w:ascii="Times New Roman" w:hAnsi="Times New Roman" w:cs="Times New Roman"/>
          <w:sz w:val="24"/>
          <w:szCs w:val="24"/>
        </w:rPr>
        <w:t xml:space="preserve"> </w:t>
      </w:r>
      <w:r w:rsidR="00A650EC" w:rsidRPr="003E6F6F">
        <w:rPr>
          <w:rFonts w:ascii="Times New Roman" w:hAnsi="Times New Roman" w:cs="Times New Roman"/>
          <w:sz w:val="24"/>
          <w:szCs w:val="24"/>
        </w:rPr>
        <w:t xml:space="preserve">That </w:t>
      </w:r>
      <w:r w:rsidRPr="003E6F6F">
        <w:rPr>
          <w:rFonts w:ascii="Times New Roman" w:hAnsi="Times New Roman" w:cs="Times New Roman"/>
          <w:sz w:val="24"/>
          <w:szCs w:val="24"/>
        </w:rPr>
        <w:t>said</w:t>
      </w:r>
      <w:r w:rsidR="00FB38BE" w:rsidRPr="003E6F6F">
        <w:rPr>
          <w:rFonts w:ascii="Times New Roman" w:hAnsi="Times New Roman" w:cs="Times New Roman"/>
          <w:sz w:val="24"/>
          <w:szCs w:val="24"/>
        </w:rPr>
        <w:t xml:space="preserve"> </w:t>
      </w:r>
      <w:r w:rsidR="00BE7706" w:rsidRPr="003E6F6F">
        <w:rPr>
          <w:rFonts w:ascii="Times New Roman" w:hAnsi="Times New Roman" w:cs="Times New Roman"/>
          <w:sz w:val="24"/>
          <w:szCs w:val="24"/>
        </w:rPr>
        <w:t xml:space="preserve">a </w:t>
      </w:r>
      <w:r w:rsidR="00FB38BE" w:rsidRPr="003E6F6F">
        <w:rPr>
          <w:rFonts w:ascii="Times New Roman" w:hAnsi="Times New Roman" w:cs="Times New Roman"/>
          <w:sz w:val="24"/>
          <w:szCs w:val="24"/>
        </w:rPr>
        <w:t xml:space="preserve">shared theological </w:t>
      </w:r>
      <w:r w:rsidR="00FB38BE" w:rsidRPr="003E6F6F">
        <w:rPr>
          <w:rFonts w:ascii="Times New Roman" w:hAnsi="Times New Roman" w:cs="Times New Roman"/>
          <w:noProof/>
          <w:sz w:val="24"/>
          <w:szCs w:val="24"/>
        </w:rPr>
        <w:t>background</w:t>
      </w:r>
      <w:r w:rsidR="00FB38BE" w:rsidRPr="003E6F6F">
        <w:rPr>
          <w:rFonts w:ascii="Times New Roman" w:hAnsi="Times New Roman" w:cs="Times New Roman"/>
          <w:sz w:val="24"/>
          <w:szCs w:val="24"/>
        </w:rPr>
        <w:t xml:space="preserve"> </w:t>
      </w:r>
      <w:r w:rsidR="00BE7706" w:rsidRPr="003E6F6F">
        <w:rPr>
          <w:rFonts w:ascii="Times New Roman" w:hAnsi="Times New Roman" w:cs="Times New Roman"/>
          <w:sz w:val="24"/>
          <w:szCs w:val="24"/>
        </w:rPr>
        <w:t xml:space="preserve">and framework </w:t>
      </w:r>
      <w:r w:rsidR="00FB38BE" w:rsidRPr="003E6F6F">
        <w:rPr>
          <w:rFonts w:ascii="Times New Roman" w:hAnsi="Times New Roman" w:cs="Times New Roman"/>
          <w:sz w:val="24"/>
          <w:szCs w:val="24"/>
        </w:rPr>
        <w:t xml:space="preserve">exists that </w:t>
      </w:r>
      <w:r w:rsidRPr="003E6F6F">
        <w:rPr>
          <w:rFonts w:ascii="Times New Roman" w:hAnsi="Times New Roman" w:cs="Times New Roman"/>
          <w:sz w:val="24"/>
          <w:szCs w:val="24"/>
        </w:rPr>
        <w:t>the four schools hold in common</w:t>
      </w:r>
      <w:r w:rsidR="00FB38BE" w:rsidRPr="003E6F6F">
        <w:rPr>
          <w:rFonts w:ascii="Times New Roman" w:hAnsi="Times New Roman" w:cs="Times New Roman"/>
          <w:sz w:val="24"/>
          <w:szCs w:val="24"/>
        </w:rPr>
        <w:t>.</w:t>
      </w:r>
      <w:r w:rsidRPr="003E6F6F">
        <w:rPr>
          <w:rFonts w:ascii="Times New Roman" w:hAnsi="Times New Roman" w:cs="Times New Roman"/>
          <w:sz w:val="24"/>
          <w:szCs w:val="24"/>
        </w:rPr>
        <w:t xml:space="preserve"> </w:t>
      </w:r>
      <w:r w:rsidR="00FB38BE" w:rsidRPr="003E6F6F">
        <w:rPr>
          <w:rFonts w:ascii="Times New Roman" w:hAnsi="Times New Roman" w:cs="Times New Roman"/>
          <w:noProof/>
          <w:sz w:val="24"/>
          <w:szCs w:val="24"/>
        </w:rPr>
        <w:t>K</w:t>
      </w:r>
      <w:r w:rsidRPr="003E6F6F">
        <w:rPr>
          <w:rFonts w:ascii="Times New Roman" w:hAnsi="Times New Roman" w:cs="Times New Roman"/>
          <w:noProof/>
          <w:sz w:val="24"/>
          <w:szCs w:val="24"/>
        </w:rPr>
        <w:t>ey</w:t>
      </w:r>
      <w:r w:rsidRPr="003E6F6F">
        <w:rPr>
          <w:rFonts w:ascii="Times New Roman" w:hAnsi="Times New Roman" w:cs="Times New Roman"/>
          <w:sz w:val="24"/>
          <w:szCs w:val="24"/>
        </w:rPr>
        <w:t xml:space="preserve"> texts from the classical sources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 and </w:t>
      </w:r>
      <w:r w:rsidR="00D41E20" w:rsidRPr="003E6F6F">
        <w:rPr>
          <w:rFonts w:ascii="Times New Roman" w:hAnsi="Times New Roman" w:cs="Times New Roman"/>
          <w:i/>
          <w:sz w:val="24"/>
          <w:szCs w:val="24"/>
        </w:rPr>
        <w:t>ḥadīt̲h̲</w:t>
      </w:r>
      <w:r w:rsidRPr="003E6F6F">
        <w:rPr>
          <w:rFonts w:ascii="Times New Roman" w:hAnsi="Times New Roman" w:cs="Times New Roman"/>
          <w:sz w:val="24"/>
          <w:szCs w:val="24"/>
        </w:rPr>
        <w:t>) are foundational t</w:t>
      </w:r>
      <w:r w:rsidR="00FB38BE" w:rsidRPr="003E6F6F">
        <w:rPr>
          <w:rFonts w:ascii="Times New Roman" w:hAnsi="Times New Roman" w:cs="Times New Roman"/>
          <w:sz w:val="24"/>
          <w:szCs w:val="24"/>
        </w:rPr>
        <w:t xml:space="preserve">o the justification of the institution of </w:t>
      </w:r>
      <w:r w:rsidR="00D41E20" w:rsidRPr="003E6F6F">
        <w:rPr>
          <w:rFonts w:ascii="Times New Roman" w:hAnsi="Times New Roman" w:cs="Times New Roman"/>
          <w:i/>
          <w:iCs/>
          <w:sz w:val="24"/>
          <w:szCs w:val="24"/>
        </w:rPr>
        <w:t>sh̲arīʿa</w:t>
      </w:r>
      <w:r w:rsidR="00A650EC" w:rsidRPr="003E6F6F">
        <w:rPr>
          <w:rFonts w:ascii="Times New Roman" w:hAnsi="Times New Roman" w:cs="Times New Roman"/>
          <w:sz w:val="24"/>
          <w:szCs w:val="24"/>
        </w:rPr>
        <w:t>:</w:t>
      </w:r>
      <w:r w:rsidR="00587721" w:rsidRPr="003E6F6F">
        <w:rPr>
          <w:rFonts w:ascii="Times New Roman" w:hAnsi="Times New Roman" w:cs="Times New Roman"/>
          <w:sz w:val="24"/>
          <w:szCs w:val="24"/>
        </w:rPr>
        <w:t xml:space="preserve"> </w:t>
      </w:r>
    </w:p>
    <w:p w:rsidR="00587721" w:rsidRPr="003E6F6F" w:rsidRDefault="00587721" w:rsidP="00587721">
      <w:pPr>
        <w:spacing w:before="100" w:beforeAutospacing="1" w:after="100" w:afterAutospacing="1" w:line="240" w:lineRule="auto"/>
        <w:ind w:left="720"/>
        <w:rPr>
          <w:rFonts w:ascii="Arial" w:eastAsia="Times New Roman" w:hAnsi="Arial" w:cs="Arial"/>
          <w:color w:val="121212"/>
          <w:spacing w:val="8"/>
          <w:sz w:val="20"/>
          <w:szCs w:val="20"/>
          <w:lang w:eastAsia="en-GB"/>
        </w:rPr>
      </w:pPr>
      <w:r w:rsidRPr="003E6F6F">
        <w:rPr>
          <w:rFonts w:ascii="Arial" w:eastAsia="Times New Roman" w:hAnsi="Arial" w:cs="Arial"/>
          <w:color w:val="121212"/>
          <w:spacing w:val="8"/>
          <w:sz w:val="20"/>
          <w:szCs w:val="20"/>
          <w:lang w:eastAsia="en-GB"/>
        </w:rPr>
        <w:t>Show us the straight way, the way of those on whom Thou hast bestowed Thy Grace, those whose (portion) is not wrath, and who go not astray. (</w:t>
      </w:r>
      <w:r w:rsidRPr="003E6F6F">
        <w:rPr>
          <w:rFonts w:ascii="Arial" w:eastAsia="Times New Roman" w:hAnsi="Arial" w:cs="Arial"/>
          <w:i/>
          <w:color w:val="121212"/>
          <w:spacing w:val="8"/>
          <w:sz w:val="20"/>
          <w:szCs w:val="20"/>
          <w:lang w:eastAsia="en-GB"/>
        </w:rPr>
        <w:t>Surah Al Fatiha</w:t>
      </w:r>
      <w:r w:rsidRPr="003E6F6F">
        <w:rPr>
          <w:rFonts w:ascii="Arial" w:eastAsia="Times New Roman" w:hAnsi="Arial" w:cs="Arial"/>
          <w:color w:val="121212"/>
          <w:spacing w:val="8"/>
          <w:sz w:val="20"/>
          <w:szCs w:val="20"/>
          <w:lang w:eastAsia="en-GB"/>
        </w:rPr>
        <w:t xml:space="preserve"> 6-7)</w:t>
      </w:r>
    </w:p>
    <w:p w:rsidR="009447CF" w:rsidRDefault="00A650EC" w:rsidP="009447CF">
      <w:pPr>
        <w:spacing w:before="100" w:beforeAutospacing="1" w:after="100" w:afterAutospacing="1" w:line="240" w:lineRule="auto"/>
        <w:rPr>
          <w:rFonts w:ascii="Times New Roman" w:eastAsia="Times New Roman" w:hAnsi="Times New Roman" w:cs="Times New Roman"/>
          <w:color w:val="121212"/>
          <w:spacing w:val="8"/>
          <w:sz w:val="24"/>
          <w:szCs w:val="24"/>
          <w:lang w:eastAsia="en-GB"/>
        </w:rPr>
      </w:pPr>
      <w:r w:rsidRPr="003E6F6F">
        <w:rPr>
          <w:rFonts w:ascii="Times New Roman" w:eastAsia="Times New Roman" w:hAnsi="Times New Roman" w:cs="Times New Roman"/>
          <w:color w:val="121212"/>
          <w:spacing w:val="8"/>
          <w:sz w:val="24"/>
          <w:szCs w:val="24"/>
          <w:lang w:eastAsia="en-GB"/>
        </w:rPr>
        <w:t>As well as:</w:t>
      </w:r>
    </w:p>
    <w:p w:rsidR="009B2A94" w:rsidRDefault="009B2A94" w:rsidP="009447CF">
      <w:pPr>
        <w:spacing w:before="100" w:beforeAutospacing="1" w:after="100" w:afterAutospacing="1" w:line="240" w:lineRule="auto"/>
        <w:rPr>
          <w:rFonts w:ascii="Times New Roman" w:eastAsia="Times New Roman" w:hAnsi="Times New Roman" w:cs="Times New Roman"/>
          <w:color w:val="121212"/>
          <w:spacing w:val="8"/>
          <w:sz w:val="24"/>
          <w:szCs w:val="24"/>
          <w:lang w:eastAsia="en-GB"/>
        </w:rPr>
      </w:pPr>
    </w:p>
    <w:p w:rsidR="009B2A94" w:rsidRPr="003E6F6F" w:rsidRDefault="009B2A94" w:rsidP="009447CF">
      <w:pPr>
        <w:spacing w:before="100" w:beforeAutospacing="1" w:after="100" w:afterAutospacing="1" w:line="240" w:lineRule="auto"/>
        <w:rPr>
          <w:rFonts w:ascii="Times New Roman" w:eastAsia="Times New Roman" w:hAnsi="Times New Roman" w:cs="Times New Roman"/>
          <w:color w:val="121212"/>
          <w:spacing w:val="8"/>
          <w:sz w:val="24"/>
          <w:szCs w:val="24"/>
          <w:lang w:eastAsia="en-GB"/>
        </w:rPr>
      </w:pPr>
    </w:p>
    <w:p w:rsidR="00587721" w:rsidRPr="003E6F6F" w:rsidRDefault="009447CF" w:rsidP="009B2A94">
      <w:pPr>
        <w:spacing w:before="100" w:beforeAutospacing="1" w:after="100" w:afterAutospacing="1" w:line="240" w:lineRule="auto"/>
        <w:ind w:left="720"/>
        <w:rPr>
          <w:rFonts w:ascii="Arial" w:eastAsia="Times New Roman" w:hAnsi="Arial" w:cs="Arial"/>
          <w:color w:val="121212"/>
          <w:spacing w:val="8"/>
          <w:sz w:val="20"/>
          <w:szCs w:val="20"/>
          <w:lang w:eastAsia="en-GB"/>
        </w:rPr>
      </w:pPr>
      <w:r w:rsidRPr="003E6F6F">
        <w:rPr>
          <w:rFonts w:ascii="Arial" w:eastAsia="Times New Roman" w:hAnsi="Arial" w:cs="Arial"/>
          <w:color w:val="121212"/>
          <w:spacing w:val="8"/>
          <w:sz w:val="20"/>
          <w:szCs w:val="20"/>
          <w:lang w:eastAsia="en-GB"/>
        </w:rPr>
        <w:lastRenderedPageBreak/>
        <w:t>Narrated Hammam:</w:t>
      </w:r>
      <w:r w:rsidRPr="003E6F6F">
        <w:rPr>
          <w:rFonts w:ascii="Arial" w:eastAsia="Times New Roman" w:hAnsi="Arial" w:cs="Arial"/>
          <w:color w:val="121212"/>
          <w:spacing w:val="8"/>
          <w:sz w:val="20"/>
          <w:szCs w:val="20"/>
          <w:lang w:eastAsia="en-GB"/>
        </w:rPr>
        <w:br/>
      </w:r>
      <w:r w:rsidRPr="003E6F6F">
        <w:rPr>
          <w:rFonts w:ascii="Arial" w:eastAsia="Times New Roman" w:hAnsi="Arial" w:cs="Arial"/>
          <w:color w:val="121212"/>
          <w:spacing w:val="8"/>
          <w:sz w:val="20"/>
          <w:szCs w:val="20"/>
          <w:lang w:eastAsia="en-GB"/>
        </w:rPr>
        <w:br/>
        <w:t xml:space="preserve">Hudhaifa said, "O the Group of Al-Qurra! Follow the straight path, for then you have taken a great lead (and will be the leaders), but if you divert right or left, then you will go astray far away." (Sahih Bukhari, </w:t>
      </w:r>
      <w:bookmarkStart w:id="9" w:name="009.092.386"/>
      <w:r w:rsidRPr="003E6F6F">
        <w:rPr>
          <w:rStyle w:val="Emphasis"/>
          <w:rFonts w:ascii="Arial" w:hAnsi="Arial" w:cs="Arial"/>
          <w:i w:val="0"/>
          <w:spacing w:val="8"/>
          <w:sz w:val="20"/>
          <w:szCs w:val="20"/>
        </w:rPr>
        <w:t>Volume 9, Book 92, Number 386</w:t>
      </w:r>
      <w:bookmarkEnd w:id="9"/>
      <w:r w:rsidR="00AC0F4F" w:rsidRPr="003E6F6F">
        <w:rPr>
          <w:rStyle w:val="Emphasis"/>
          <w:rFonts w:ascii="Arial" w:hAnsi="Arial" w:cs="Arial"/>
          <w:i w:val="0"/>
          <w:spacing w:val="8"/>
          <w:sz w:val="20"/>
          <w:szCs w:val="20"/>
        </w:rPr>
        <w:t>)</w:t>
      </w:r>
      <w:r w:rsidR="00AC0F4F" w:rsidRPr="003E6F6F">
        <w:rPr>
          <w:rStyle w:val="FootnoteReference"/>
          <w:rFonts w:ascii="Arial" w:hAnsi="Arial" w:cs="Arial"/>
          <w:iCs/>
          <w:spacing w:val="8"/>
          <w:sz w:val="20"/>
          <w:szCs w:val="20"/>
        </w:rPr>
        <w:footnoteReference w:id="4"/>
      </w:r>
    </w:p>
    <w:p w:rsidR="009B2A94" w:rsidRDefault="00C03894" w:rsidP="003E6F6F">
      <w:pPr>
        <w:spacing w:before="100" w:beforeAutospacing="1" w:after="100" w:afterAutospacing="1" w:line="360" w:lineRule="auto"/>
        <w:rPr>
          <w:rFonts w:ascii="Times New Roman" w:hAnsi="Times New Roman" w:cs="Times New Roman"/>
          <w:i/>
          <w:sz w:val="24"/>
          <w:szCs w:val="24"/>
        </w:rPr>
      </w:pPr>
      <w:r w:rsidRPr="003E6F6F">
        <w:rPr>
          <w:rFonts w:ascii="Times New Roman" w:hAnsi="Times New Roman" w:cs="Times New Roman"/>
          <w:sz w:val="24"/>
          <w:szCs w:val="24"/>
        </w:rPr>
        <w:t xml:space="preserve">The development is Islamic law happened in stages. There are three developmental stages of </w:t>
      </w:r>
      <w:r w:rsidRPr="003E6F6F">
        <w:rPr>
          <w:rFonts w:ascii="Times New Roman" w:hAnsi="Times New Roman" w:cs="Times New Roman"/>
          <w:i/>
          <w:sz w:val="24"/>
          <w:szCs w:val="24"/>
        </w:rPr>
        <w:t>fiḳh</w:t>
      </w:r>
      <w:r w:rsidRPr="003E6F6F">
        <w:rPr>
          <w:rFonts w:ascii="Times New Roman" w:hAnsi="Times New Roman" w:cs="Times New Roman"/>
          <w:sz w:val="24"/>
          <w:szCs w:val="24"/>
        </w:rPr>
        <w:t xml:space="preserve"> before the emergence of schools of law or </w:t>
      </w:r>
      <w:r w:rsidRPr="003E6F6F">
        <w:rPr>
          <w:rFonts w:ascii="Times New Roman" w:hAnsi="Times New Roman" w:cs="Times New Roman"/>
          <w:i/>
          <w:iCs/>
          <w:sz w:val="24"/>
          <w:szCs w:val="24"/>
        </w:rPr>
        <w:t>mad̲h̲āhib.</w:t>
      </w:r>
      <w:r w:rsidRPr="003E6F6F">
        <w:rPr>
          <w:rFonts w:ascii="Times New Roman" w:hAnsi="Times New Roman" w:cs="Times New Roman"/>
          <w:sz w:val="24"/>
          <w:szCs w:val="24"/>
        </w:rPr>
        <w:t xml:space="preserve"> The first stage of </w:t>
      </w:r>
      <w:bookmarkStart w:id="10" w:name="_Hlk500804245"/>
      <w:r w:rsidRPr="003E6F6F">
        <w:rPr>
          <w:rFonts w:ascii="Times New Roman" w:hAnsi="Times New Roman" w:cs="Times New Roman"/>
          <w:i/>
          <w:sz w:val="24"/>
          <w:szCs w:val="24"/>
        </w:rPr>
        <w:t>fiḳh</w:t>
      </w:r>
      <w:bookmarkEnd w:id="10"/>
      <w:r w:rsidRPr="003E6F6F">
        <w:rPr>
          <w:rFonts w:ascii="Times New Roman" w:hAnsi="Times New Roman" w:cs="Times New Roman"/>
          <w:i/>
          <w:sz w:val="24"/>
          <w:szCs w:val="24"/>
        </w:rPr>
        <w:t xml:space="preserve"> </w:t>
      </w:r>
      <w:r w:rsidRPr="003E6F6F">
        <w:rPr>
          <w:rFonts w:ascii="Times New Roman" w:hAnsi="Times New Roman" w:cs="Times New Roman"/>
          <w:sz w:val="24"/>
          <w:szCs w:val="24"/>
        </w:rPr>
        <w:t>emerged as Muslim communities wrestled with foundational texts from classical sources.</w:t>
      </w:r>
      <w:r w:rsidRPr="003E6F6F">
        <w:rPr>
          <w:rStyle w:val="FootnoteReference"/>
          <w:rFonts w:ascii="Times New Roman" w:hAnsi="Times New Roman" w:cs="Times New Roman"/>
          <w:sz w:val="24"/>
          <w:szCs w:val="24"/>
        </w:rPr>
        <w:footnoteReference w:id="5"/>
      </w:r>
      <w:r w:rsidRPr="003E6F6F">
        <w:rPr>
          <w:rFonts w:ascii="Times New Roman" w:hAnsi="Times New Roman" w:cs="Times New Roman"/>
          <w:sz w:val="24"/>
          <w:szCs w:val="24"/>
        </w:rPr>
        <w:t xml:space="preserve"> Considerable correlation does exist amongst scholars that what law existed in Medina was inadequate for the rapidly expanding community since it was only a ‘rudimentary system of customary practices’ based on simple Ḳurʾānic precepts.</w:t>
      </w:r>
      <w:r w:rsidRPr="003E6F6F">
        <w:rPr>
          <w:rStyle w:val="FootnoteReference"/>
          <w:rFonts w:ascii="Times New Roman" w:hAnsi="Times New Roman" w:cs="Times New Roman"/>
          <w:sz w:val="24"/>
          <w:szCs w:val="24"/>
        </w:rPr>
        <w:footnoteReference w:id="6"/>
      </w:r>
      <w:r w:rsidRPr="003E6F6F">
        <w:rPr>
          <w:rFonts w:ascii="Times New Roman" w:hAnsi="Times New Roman" w:cs="Times New Roman"/>
          <w:sz w:val="24"/>
          <w:szCs w:val="24"/>
        </w:rPr>
        <w:t xml:space="preserve"> </w:t>
      </w:r>
      <w:r w:rsidR="005466A8" w:rsidRPr="003E6F6F">
        <w:rPr>
          <w:rFonts w:ascii="Times New Roman" w:hAnsi="Times New Roman" w:cs="Times New Roman"/>
          <w:sz w:val="24"/>
          <w:szCs w:val="24"/>
        </w:rPr>
        <w:t xml:space="preserve">For the scholar Yasin Dutton, the </w:t>
      </w:r>
      <w:r w:rsidR="00D41E20" w:rsidRPr="003E6F6F">
        <w:rPr>
          <w:rFonts w:ascii="Times New Roman" w:hAnsi="Times New Roman" w:cs="Times New Roman"/>
          <w:sz w:val="24"/>
          <w:szCs w:val="24"/>
        </w:rPr>
        <w:t>Ḳurʾān</w:t>
      </w:r>
      <w:r w:rsidR="005466A8" w:rsidRPr="003E6F6F">
        <w:rPr>
          <w:rFonts w:ascii="Times New Roman" w:hAnsi="Times New Roman" w:cs="Times New Roman"/>
          <w:sz w:val="24"/>
          <w:szCs w:val="24"/>
        </w:rPr>
        <w:t xml:space="preserve"> forms th</w:t>
      </w:r>
      <w:r w:rsidR="001308BD" w:rsidRPr="003E6F6F">
        <w:rPr>
          <w:rFonts w:ascii="Times New Roman" w:hAnsi="Times New Roman" w:cs="Times New Roman"/>
          <w:sz w:val="24"/>
          <w:szCs w:val="24"/>
        </w:rPr>
        <w:t>e</w:t>
      </w:r>
      <w:r w:rsidR="005466A8" w:rsidRPr="003E6F6F">
        <w:rPr>
          <w:rFonts w:ascii="Times New Roman" w:hAnsi="Times New Roman" w:cs="Times New Roman"/>
          <w:sz w:val="24"/>
          <w:szCs w:val="24"/>
        </w:rPr>
        <w:t xml:space="preserve"> framework for Islamic law that is fleshed out by the </w:t>
      </w:r>
      <w:r w:rsidRPr="003E6F6F">
        <w:rPr>
          <w:rFonts w:ascii="Times New Roman" w:hAnsi="Times New Roman" w:cs="Times New Roman"/>
          <w:sz w:val="24"/>
          <w:szCs w:val="24"/>
        </w:rPr>
        <w:t>hadith̲</w:t>
      </w:r>
      <w:r w:rsidR="005466A8" w:rsidRPr="003E6F6F">
        <w:rPr>
          <w:rFonts w:ascii="Times New Roman" w:hAnsi="Times New Roman" w:cs="Times New Roman"/>
          <w:sz w:val="24"/>
          <w:szCs w:val="24"/>
        </w:rPr>
        <w:t xml:space="preserve"> literature and later by various judicial concepts, such as </w:t>
      </w:r>
      <w:r w:rsidR="00D41E20" w:rsidRPr="003E6F6F">
        <w:rPr>
          <w:rFonts w:ascii="Times New Roman" w:hAnsi="Times New Roman" w:cs="Times New Roman"/>
          <w:i/>
          <w:iCs/>
          <w:noProof/>
          <w:sz w:val="24"/>
          <w:szCs w:val="24"/>
        </w:rPr>
        <w:t>id̲j̲māʿ</w:t>
      </w:r>
      <w:r w:rsidR="005466A8" w:rsidRPr="003E6F6F">
        <w:rPr>
          <w:rFonts w:ascii="Times New Roman" w:hAnsi="Times New Roman" w:cs="Times New Roman"/>
          <w:sz w:val="24"/>
          <w:szCs w:val="24"/>
        </w:rPr>
        <w:t xml:space="preserve"> and</w:t>
      </w:r>
      <w:r w:rsidR="005466A8" w:rsidRPr="003E6F6F">
        <w:rPr>
          <w:rFonts w:ascii="Times New Roman" w:hAnsi="Times New Roman" w:cs="Times New Roman"/>
          <w:i/>
          <w:sz w:val="24"/>
          <w:szCs w:val="24"/>
        </w:rPr>
        <w:t xml:space="preserve"> </w:t>
      </w:r>
      <w:r w:rsidR="00D41E20" w:rsidRPr="003E6F6F">
        <w:rPr>
          <w:rFonts w:ascii="Times New Roman" w:hAnsi="Times New Roman" w:cs="Times New Roman"/>
          <w:i/>
          <w:iCs/>
          <w:sz w:val="24"/>
          <w:szCs w:val="24"/>
        </w:rPr>
        <w:t>id̲j̲tihād</w:t>
      </w:r>
      <w:r w:rsidR="005466A8" w:rsidRPr="003E6F6F">
        <w:rPr>
          <w:rFonts w:ascii="Times New Roman" w:hAnsi="Times New Roman" w:cs="Times New Roman"/>
          <w:sz w:val="24"/>
          <w:szCs w:val="24"/>
        </w:rPr>
        <w:t xml:space="preserve"> as later generations hit contexts where no precedents exist.</w:t>
      </w:r>
      <w:r w:rsidR="005466A8" w:rsidRPr="003E6F6F">
        <w:rPr>
          <w:rStyle w:val="FootnoteReference"/>
          <w:rFonts w:ascii="Times New Roman" w:hAnsi="Times New Roman" w:cs="Times New Roman"/>
          <w:sz w:val="24"/>
          <w:szCs w:val="24"/>
        </w:rPr>
        <w:footnoteReference w:id="7"/>
      </w:r>
      <w:r w:rsidR="005466A8"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This is the second period of </w:t>
      </w:r>
      <w:r w:rsidRPr="003E6F6F">
        <w:rPr>
          <w:rFonts w:ascii="Times New Roman" w:hAnsi="Times New Roman" w:cs="Times New Roman"/>
          <w:i/>
          <w:sz w:val="24"/>
          <w:szCs w:val="24"/>
        </w:rPr>
        <w:t>fiḳh.</w:t>
      </w:r>
    </w:p>
    <w:p w:rsidR="005466A8" w:rsidRPr="003E6F6F" w:rsidRDefault="005466A8" w:rsidP="003E6F6F">
      <w:pPr>
        <w:spacing w:before="100" w:beforeAutospacing="1" w:after="100" w:afterAutospacing="1" w:line="360" w:lineRule="auto"/>
        <w:rPr>
          <w:rFonts w:ascii="Times New Roman" w:hAnsi="Times New Roman" w:cs="Times New Roman"/>
          <w:sz w:val="24"/>
          <w:szCs w:val="24"/>
        </w:rPr>
      </w:pPr>
      <w:r w:rsidRPr="003E6F6F">
        <w:rPr>
          <w:rFonts w:ascii="Times New Roman" w:hAnsi="Times New Roman" w:cs="Times New Roman"/>
          <w:sz w:val="24"/>
          <w:szCs w:val="24"/>
        </w:rPr>
        <w:t>Dutton point</w:t>
      </w:r>
      <w:r w:rsidR="003E3DD1" w:rsidRPr="003E6F6F">
        <w:rPr>
          <w:rFonts w:ascii="Times New Roman" w:hAnsi="Times New Roman" w:cs="Times New Roman"/>
          <w:sz w:val="24"/>
          <w:szCs w:val="24"/>
        </w:rPr>
        <w:t>s</w:t>
      </w:r>
      <w:r w:rsidRPr="003E6F6F">
        <w:rPr>
          <w:rFonts w:ascii="Times New Roman" w:hAnsi="Times New Roman" w:cs="Times New Roman"/>
          <w:sz w:val="24"/>
          <w:szCs w:val="24"/>
        </w:rPr>
        <w:t xml:space="preserve"> out</w:t>
      </w:r>
      <w:r w:rsidRPr="003E6F6F">
        <w:rPr>
          <w:rFonts w:ascii="Times New Roman" w:hAnsi="Times New Roman" w:cs="Times New Roman"/>
          <w:noProof/>
          <w:sz w:val="24"/>
          <w:szCs w:val="24"/>
        </w:rPr>
        <w:t>, however</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that modern scholars</w:t>
      </w:r>
      <w:r w:rsidRPr="003E6F6F">
        <w:rPr>
          <w:rFonts w:ascii="Times New Roman" w:hAnsi="Times New Roman" w:cs="Times New Roman"/>
          <w:sz w:val="24"/>
          <w:szCs w:val="24"/>
        </w:rPr>
        <w:t xml:space="preserve"> have questioned this traditional argument to the background of Islamic law. Islamicists </w:t>
      </w:r>
      <w:r w:rsidR="00435C83" w:rsidRPr="003E6F6F">
        <w:rPr>
          <w:rFonts w:ascii="Times New Roman" w:hAnsi="Times New Roman" w:cs="Times New Roman"/>
          <w:sz w:val="24"/>
          <w:szCs w:val="24"/>
        </w:rPr>
        <w:t xml:space="preserve">such as </w:t>
      </w:r>
      <w:r w:rsidRPr="003E6F6F">
        <w:rPr>
          <w:rFonts w:ascii="Times New Roman" w:hAnsi="Times New Roman" w:cs="Times New Roman"/>
          <w:sz w:val="24"/>
          <w:szCs w:val="24"/>
        </w:rPr>
        <w:t xml:space="preserve">John Wansbrough and Patricia Crone have made the point that there is little in the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 that can be transferred directly into legal precepts and that the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literature is where Islamic law begins.</w:t>
      </w:r>
      <w:r w:rsidRPr="003E6F6F">
        <w:rPr>
          <w:rStyle w:val="FootnoteReference"/>
          <w:rFonts w:ascii="Times New Roman" w:hAnsi="Times New Roman" w:cs="Times New Roman"/>
          <w:sz w:val="24"/>
          <w:szCs w:val="24"/>
        </w:rPr>
        <w:footnoteReference w:id="8"/>
      </w:r>
      <w:r w:rsidRPr="003E6F6F">
        <w:rPr>
          <w:rFonts w:ascii="Times New Roman" w:hAnsi="Times New Roman" w:cs="Times New Roman"/>
          <w:sz w:val="24"/>
          <w:szCs w:val="24"/>
        </w:rPr>
        <w:t xml:space="preserve"> </w:t>
      </w:r>
      <w:r w:rsidR="006F4DBD" w:rsidRPr="003E6F6F">
        <w:rPr>
          <w:rFonts w:ascii="Times New Roman" w:hAnsi="Times New Roman" w:cs="Times New Roman"/>
          <w:sz w:val="24"/>
          <w:szCs w:val="24"/>
        </w:rPr>
        <w:t xml:space="preserve">With </w:t>
      </w:r>
      <w:r w:rsidRPr="003E6F6F">
        <w:rPr>
          <w:rFonts w:ascii="Times New Roman" w:hAnsi="Times New Roman" w:cs="Times New Roman"/>
          <w:sz w:val="24"/>
          <w:szCs w:val="24"/>
        </w:rPr>
        <w:t xml:space="preserve">these </w:t>
      </w:r>
      <w:r w:rsidR="001308BD" w:rsidRPr="003E6F6F">
        <w:rPr>
          <w:rFonts w:ascii="Times New Roman" w:hAnsi="Times New Roman" w:cs="Times New Roman"/>
          <w:noProof/>
          <w:sz w:val="24"/>
          <w:szCs w:val="24"/>
        </w:rPr>
        <w:t>critical</w:t>
      </w:r>
      <w:r w:rsidRPr="003E6F6F">
        <w:rPr>
          <w:rFonts w:ascii="Times New Roman" w:hAnsi="Times New Roman" w:cs="Times New Roman"/>
          <w:sz w:val="24"/>
          <w:szCs w:val="24"/>
        </w:rPr>
        <w:t xml:space="preserve"> texts initial forays into Islamic law developed first within the context of the rule of the ‘rightly guided caliphs’ and then within the period of the Umayyads</w:t>
      </w:r>
      <w:r w:rsidR="00332FB8" w:rsidRPr="003E6F6F">
        <w:rPr>
          <w:rFonts w:ascii="Times New Roman" w:hAnsi="Times New Roman" w:cs="Times New Roman"/>
          <w:sz w:val="24"/>
          <w:szCs w:val="24"/>
        </w:rPr>
        <w:t xml:space="preserve"> (661-750)</w:t>
      </w:r>
      <w:r w:rsidRPr="003E6F6F">
        <w:rPr>
          <w:rFonts w:ascii="Times New Roman" w:hAnsi="Times New Roman" w:cs="Times New Roman"/>
          <w:sz w:val="24"/>
          <w:szCs w:val="24"/>
        </w:rPr>
        <w:t>; the first dynasty of Islam.</w:t>
      </w:r>
      <w:r w:rsidRPr="003E6F6F">
        <w:rPr>
          <w:rStyle w:val="FootnoteReference"/>
          <w:rFonts w:ascii="Times New Roman" w:hAnsi="Times New Roman" w:cs="Times New Roman"/>
          <w:sz w:val="24"/>
          <w:szCs w:val="24"/>
        </w:rPr>
        <w:footnoteReference w:id="9"/>
      </w:r>
      <w:r w:rsidRPr="003E6F6F">
        <w:rPr>
          <w:rFonts w:ascii="Times New Roman" w:hAnsi="Times New Roman" w:cs="Times New Roman"/>
          <w:sz w:val="24"/>
          <w:szCs w:val="24"/>
        </w:rPr>
        <w:t xml:space="preserve"> </w:t>
      </w:r>
      <w:r w:rsidR="00C03894" w:rsidRPr="003E6F6F">
        <w:rPr>
          <w:rFonts w:ascii="Times New Roman" w:hAnsi="Times New Roman" w:cs="Times New Roman"/>
          <w:sz w:val="24"/>
          <w:szCs w:val="24"/>
        </w:rPr>
        <w:t xml:space="preserve">This represents the third phase of </w:t>
      </w:r>
      <w:r w:rsidR="00C03894" w:rsidRPr="003E6F6F">
        <w:rPr>
          <w:rFonts w:ascii="Times New Roman" w:hAnsi="Times New Roman" w:cs="Times New Roman"/>
          <w:i/>
          <w:sz w:val="24"/>
          <w:szCs w:val="24"/>
        </w:rPr>
        <w:t>fiḳh.</w:t>
      </w:r>
      <w:r w:rsidR="00C03894" w:rsidRPr="003E6F6F">
        <w:rPr>
          <w:rFonts w:ascii="Times New Roman" w:hAnsi="Times New Roman" w:cs="Times New Roman"/>
          <w:sz w:val="24"/>
          <w:szCs w:val="24"/>
        </w:rPr>
        <w:t xml:space="preserve"> </w:t>
      </w:r>
      <w:r w:rsidR="003E3DD1" w:rsidRPr="003E6F6F">
        <w:rPr>
          <w:rFonts w:ascii="Times New Roman" w:hAnsi="Times New Roman" w:cs="Times New Roman"/>
          <w:sz w:val="24"/>
          <w:szCs w:val="24"/>
        </w:rPr>
        <w:t>Moreover</w:t>
      </w:r>
      <w:r w:rsidR="00435C83"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it is during the </w:t>
      </w:r>
      <w:r w:rsidR="00332FB8" w:rsidRPr="003E6F6F">
        <w:rPr>
          <w:rFonts w:ascii="Times New Roman" w:hAnsi="Times New Roman" w:cs="Times New Roman"/>
          <w:sz w:val="24"/>
          <w:szCs w:val="24"/>
        </w:rPr>
        <w:t xml:space="preserve">rule of the </w:t>
      </w:r>
      <w:r w:rsidRPr="003E6F6F">
        <w:rPr>
          <w:rFonts w:ascii="Times New Roman" w:hAnsi="Times New Roman" w:cs="Times New Roman"/>
          <w:sz w:val="24"/>
          <w:szCs w:val="24"/>
        </w:rPr>
        <w:t>Umayyad</w:t>
      </w:r>
      <w:r w:rsidR="00332FB8" w:rsidRPr="003E6F6F">
        <w:rPr>
          <w:rFonts w:ascii="Times New Roman" w:hAnsi="Times New Roman" w:cs="Times New Roman"/>
          <w:sz w:val="24"/>
          <w:szCs w:val="24"/>
        </w:rPr>
        <w:t xml:space="preserve">s </w:t>
      </w:r>
      <w:r w:rsidRPr="003E6F6F">
        <w:rPr>
          <w:rFonts w:ascii="Times New Roman" w:hAnsi="Times New Roman" w:cs="Times New Roman"/>
          <w:sz w:val="24"/>
          <w:szCs w:val="24"/>
        </w:rPr>
        <w:t>that</w:t>
      </w:r>
      <w:r w:rsidR="00332FB8" w:rsidRPr="003E6F6F">
        <w:rPr>
          <w:rFonts w:ascii="Times New Roman" w:hAnsi="Times New Roman" w:cs="Times New Roman"/>
          <w:sz w:val="24"/>
          <w:szCs w:val="24"/>
        </w:rPr>
        <w:t xml:space="preserve"> a framework emerges for the new and burgeoning Muslim, yet</w:t>
      </w:r>
      <w:r w:rsidR="001308BD" w:rsidRPr="003E6F6F">
        <w:rPr>
          <w:rFonts w:ascii="Times New Roman" w:hAnsi="Times New Roman" w:cs="Times New Roman"/>
          <w:sz w:val="24"/>
          <w:szCs w:val="24"/>
        </w:rPr>
        <w:t xml:space="preserve"> a</w:t>
      </w:r>
      <w:r w:rsidR="00332FB8" w:rsidRPr="003E6F6F">
        <w:rPr>
          <w:rFonts w:ascii="Times New Roman" w:hAnsi="Times New Roman" w:cs="Times New Roman"/>
          <w:sz w:val="24"/>
          <w:szCs w:val="24"/>
        </w:rPr>
        <w:t xml:space="preserve"> </w:t>
      </w:r>
      <w:r w:rsidR="00332FB8" w:rsidRPr="003E6F6F">
        <w:rPr>
          <w:rFonts w:ascii="Times New Roman" w:hAnsi="Times New Roman" w:cs="Times New Roman"/>
          <w:noProof/>
          <w:sz w:val="24"/>
          <w:szCs w:val="24"/>
        </w:rPr>
        <w:t>largely Arab</w:t>
      </w:r>
      <w:r w:rsidR="00C03894" w:rsidRPr="003E6F6F">
        <w:rPr>
          <w:rFonts w:ascii="Times New Roman" w:hAnsi="Times New Roman" w:cs="Times New Roman"/>
          <w:noProof/>
          <w:sz w:val="24"/>
          <w:szCs w:val="24"/>
        </w:rPr>
        <w:t>,</w:t>
      </w:r>
      <w:r w:rsidR="00332FB8" w:rsidRPr="003E6F6F">
        <w:rPr>
          <w:rFonts w:ascii="Times New Roman" w:hAnsi="Times New Roman" w:cs="Times New Roman"/>
          <w:noProof/>
          <w:sz w:val="24"/>
          <w:szCs w:val="24"/>
        </w:rPr>
        <w:t xml:space="preserve"> community</w:t>
      </w:r>
      <w:r w:rsidR="00332FB8" w:rsidRPr="003E6F6F">
        <w:rPr>
          <w:rFonts w:ascii="Times New Roman" w:hAnsi="Times New Roman" w:cs="Times New Roman"/>
          <w:sz w:val="24"/>
          <w:szCs w:val="24"/>
        </w:rPr>
        <w:t>.</w:t>
      </w:r>
      <w:r w:rsidRPr="003E6F6F">
        <w:rPr>
          <w:rFonts w:ascii="Times New Roman" w:hAnsi="Times New Roman" w:cs="Times New Roman"/>
          <w:sz w:val="24"/>
          <w:szCs w:val="24"/>
        </w:rPr>
        <w:t xml:space="preserve"> Islamic law has its antecedents</w:t>
      </w:r>
      <w:r w:rsidR="003E3DD1" w:rsidRPr="003E6F6F">
        <w:rPr>
          <w:rFonts w:ascii="Times New Roman" w:hAnsi="Times New Roman" w:cs="Times New Roman"/>
          <w:sz w:val="24"/>
          <w:szCs w:val="24"/>
        </w:rPr>
        <w:t xml:space="preserve"> here,</w:t>
      </w:r>
      <w:r w:rsidRPr="003E6F6F">
        <w:rPr>
          <w:rFonts w:ascii="Times New Roman" w:hAnsi="Times New Roman" w:cs="Times New Roman"/>
          <w:sz w:val="24"/>
          <w:szCs w:val="24"/>
        </w:rPr>
        <w:t xml:space="preserve"> as they sought to delineate various administrative practices </w:t>
      </w:r>
      <w:r w:rsidR="00332FB8" w:rsidRPr="003E6F6F">
        <w:rPr>
          <w:rFonts w:ascii="Times New Roman" w:hAnsi="Times New Roman" w:cs="Times New Roman"/>
          <w:sz w:val="24"/>
          <w:szCs w:val="24"/>
        </w:rPr>
        <w:t xml:space="preserve">which required the development of new forms of </w:t>
      </w:r>
      <w:r w:rsidR="003E3DD1" w:rsidRPr="003E6F6F">
        <w:rPr>
          <w:rFonts w:ascii="Times New Roman" w:hAnsi="Times New Roman" w:cs="Times New Roman"/>
          <w:sz w:val="24"/>
          <w:szCs w:val="24"/>
        </w:rPr>
        <w:t>jurisprudence</w:t>
      </w:r>
      <w:r w:rsidR="00332FB8" w:rsidRPr="003E6F6F">
        <w:rPr>
          <w:rFonts w:ascii="Times New Roman" w:hAnsi="Times New Roman" w:cs="Times New Roman"/>
          <w:sz w:val="24"/>
          <w:szCs w:val="24"/>
        </w:rPr>
        <w:t xml:space="preserve"> specific to</w:t>
      </w:r>
      <w:r w:rsidRPr="003E6F6F">
        <w:rPr>
          <w:rFonts w:ascii="Times New Roman" w:hAnsi="Times New Roman" w:cs="Times New Roman"/>
          <w:sz w:val="24"/>
          <w:szCs w:val="24"/>
        </w:rPr>
        <w:t xml:space="preserve"> their context.</w:t>
      </w:r>
      <w:r w:rsidR="00332FB8" w:rsidRPr="003E6F6F">
        <w:rPr>
          <w:rFonts w:ascii="Times New Roman" w:hAnsi="Times New Roman" w:cs="Times New Roman"/>
          <w:sz w:val="24"/>
          <w:szCs w:val="24"/>
        </w:rPr>
        <w:t xml:space="preserve"> </w:t>
      </w:r>
      <w:r w:rsidR="00C03894" w:rsidRPr="003E6F6F">
        <w:rPr>
          <w:rFonts w:ascii="Times New Roman" w:hAnsi="Times New Roman" w:cs="Times New Roman"/>
          <w:sz w:val="24"/>
          <w:szCs w:val="24"/>
        </w:rPr>
        <w:t xml:space="preserve">This can be seen as development from the legislation developed after the Prophets flight from Mecca to Yathrib. </w:t>
      </w:r>
      <w:r w:rsidR="00332FB8" w:rsidRPr="003E6F6F">
        <w:rPr>
          <w:rFonts w:ascii="Times New Roman" w:hAnsi="Times New Roman" w:cs="Times New Roman"/>
          <w:sz w:val="24"/>
          <w:szCs w:val="24"/>
        </w:rPr>
        <w:t>Is it here where Islamic law begins t</w:t>
      </w:r>
      <w:r w:rsidR="00C03894" w:rsidRPr="003E6F6F">
        <w:rPr>
          <w:rFonts w:ascii="Times New Roman" w:hAnsi="Times New Roman" w:cs="Times New Roman"/>
          <w:sz w:val="24"/>
          <w:szCs w:val="24"/>
        </w:rPr>
        <w:t>ruly</w:t>
      </w:r>
      <w:r w:rsidR="00332FB8" w:rsidRPr="003E6F6F">
        <w:rPr>
          <w:rFonts w:ascii="Times New Roman" w:hAnsi="Times New Roman" w:cs="Times New Roman"/>
          <w:sz w:val="24"/>
          <w:szCs w:val="24"/>
        </w:rPr>
        <w:t xml:space="preserve"> form. </w:t>
      </w:r>
      <w:r w:rsidRPr="003E6F6F">
        <w:rPr>
          <w:rFonts w:ascii="Times New Roman" w:hAnsi="Times New Roman" w:cs="Times New Roman"/>
          <w:sz w:val="24"/>
          <w:szCs w:val="24"/>
        </w:rPr>
        <w:t xml:space="preserve"> </w:t>
      </w:r>
      <w:r w:rsidR="003E3DD1" w:rsidRPr="003E6F6F">
        <w:rPr>
          <w:rFonts w:ascii="Times New Roman" w:hAnsi="Times New Roman" w:cs="Times New Roman"/>
          <w:sz w:val="24"/>
          <w:szCs w:val="24"/>
        </w:rPr>
        <w:t>Umayyad</w:t>
      </w:r>
      <w:r w:rsidR="00332FB8" w:rsidRPr="003E6F6F">
        <w:rPr>
          <w:rFonts w:ascii="Times New Roman" w:hAnsi="Times New Roman" w:cs="Times New Roman"/>
          <w:sz w:val="24"/>
          <w:szCs w:val="24"/>
        </w:rPr>
        <w:t xml:space="preserve"> rule gave way to the Abbasids who attempted to make Islamic law the only </w:t>
      </w:r>
      <w:r w:rsidR="00332FB8" w:rsidRPr="003E6F6F">
        <w:rPr>
          <w:rFonts w:ascii="Times New Roman" w:hAnsi="Times New Roman" w:cs="Times New Roman"/>
          <w:sz w:val="24"/>
          <w:szCs w:val="24"/>
        </w:rPr>
        <w:lastRenderedPageBreak/>
        <w:t>re</w:t>
      </w:r>
      <w:r w:rsidR="003E3DD1" w:rsidRPr="003E6F6F">
        <w:rPr>
          <w:rFonts w:ascii="Times New Roman" w:hAnsi="Times New Roman" w:cs="Times New Roman"/>
          <w:sz w:val="24"/>
          <w:szCs w:val="24"/>
        </w:rPr>
        <w:t>cog</w:t>
      </w:r>
      <w:r w:rsidR="00332FB8" w:rsidRPr="003E6F6F">
        <w:rPr>
          <w:rFonts w:ascii="Times New Roman" w:hAnsi="Times New Roman" w:cs="Times New Roman"/>
          <w:sz w:val="24"/>
          <w:szCs w:val="24"/>
        </w:rPr>
        <w:t>nised authority.</w:t>
      </w:r>
      <w:r w:rsidR="00332FB8" w:rsidRPr="003E6F6F">
        <w:rPr>
          <w:rStyle w:val="FootnoteReference"/>
          <w:rFonts w:ascii="Times New Roman" w:hAnsi="Times New Roman" w:cs="Times New Roman"/>
          <w:sz w:val="24"/>
          <w:szCs w:val="24"/>
        </w:rPr>
        <w:footnoteReference w:id="10"/>
      </w:r>
      <w:r w:rsidRPr="003E6F6F">
        <w:rPr>
          <w:rFonts w:ascii="Times New Roman" w:hAnsi="Times New Roman" w:cs="Times New Roman"/>
          <w:sz w:val="24"/>
          <w:szCs w:val="24"/>
        </w:rPr>
        <w:t xml:space="preserve"> </w:t>
      </w:r>
      <w:r w:rsidR="00332FB8" w:rsidRPr="003E6F6F">
        <w:rPr>
          <w:rFonts w:ascii="Times New Roman" w:hAnsi="Times New Roman" w:cs="Times New Roman"/>
          <w:sz w:val="24"/>
          <w:szCs w:val="24"/>
        </w:rPr>
        <w:t>A process which ha</w:t>
      </w:r>
      <w:r w:rsidR="003E3DD1" w:rsidRPr="003E6F6F">
        <w:rPr>
          <w:rFonts w:ascii="Times New Roman" w:hAnsi="Times New Roman" w:cs="Times New Roman"/>
          <w:sz w:val="24"/>
          <w:szCs w:val="24"/>
        </w:rPr>
        <w:t>d</w:t>
      </w:r>
      <w:r w:rsidR="00332FB8" w:rsidRPr="003E6F6F">
        <w:rPr>
          <w:rFonts w:ascii="Times New Roman" w:hAnsi="Times New Roman" w:cs="Times New Roman"/>
          <w:sz w:val="24"/>
          <w:szCs w:val="24"/>
        </w:rPr>
        <w:t xml:space="preserve"> limited success </w:t>
      </w:r>
      <w:r w:rsidR="003E3DD1" w:rsidRPr="003E6F6F">
        <w:rPr>
          <w:rFonts w:ascii="Times New Roman" w:hAnsi="Times New Roman" w:cs="Times New Roman"/>
          <w:sz w:val="24"/>
          <w:szCs w:val="24"/>
        </w:rPr>
        <w:t>and</w:t>
      </w:r>
      <w:r w:rsidR="00332FB8" w:rsidRPr="003E6F6F">
        <w:rPr>
          <w:rFonts w:ascii="Times New Roman" w:hAnsi="Times New Roman" w:cs="Times New Roman"/>
          <w:sz w:val="24"/>
          <w:szCs w:val="24"/>
        </w:rPr>
        <w:t xml:space="preserve"> was interrupted by the rapid spread of Islam. </w:t>
      </w:r>
    </w:p>
    <w:p w:rsidR="00EB70E4" w:rsidRPr="003E6F6F" w:rsidRDefault="00C03894" w:rsidP="003E6F6F">
      <w:pPr>
        <w:spacing w:before="100" w:beforeAutospacing="1" w:after="100" w:afterAutospacing="1"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The fourth period of </w:t>
      </w:r>
      <w:r w:rsidRPr="003E6F6F">
        <w:rPr>
          <w:rFonts w:ascii="Times New Roman" w:hAnsi="Times New Roman" w:cs="Times New Roman"/>
          <w:i/>
          <w:sz w:val="24"/>
          <w:szCs w:val="24"/>
        </w:rPr>
        <w:t xml:space="preserve">fiḳh now emerges, </w:t>
      </w:r>
      <w:r w:rsidRPr="003E6F6F">
        <w:rPr>
          <w:rFonts w:ascii="Times New Roman" w:hAnsi="Times New Roman" w:cs="Times New Roman"/>
          <w:sz w:val="24"/>
          <w:szCs w:val="24"/>
        </w:rPr>
        <w:t>a period that saw the development of the four schools of law.</w:t>
      </w:r>
      <w:r w:rsidRPr="003E6F6F">
        <w:rPr>
          <w:rFonts w:ascii="Times New Roman" w:hAnsi="Times New Roman" w:cs="Times New Roman"/>
          <w:i/>
          <w:sz w:val="24"/>
          <w:szCs w:val="24"/>
        </w:rPr>
        <w:t xml:space="preserve"> </w:t>
      </w:r>
    </w:p>
    <w:p w:rsidR="009B2A94" w:rsidRDefault="00D41E20" w:rsidP="009B2A94">
      <w:pPr>
        <w:spacing w:before="100" w:beforeAutospacing="1" w:after="100" w:afterAutospacing="1" w:line="360" w:lineRule="auto"/>
        <w:rPr>
          <w:rFonts w:ascii="Times New Roman" w:hAnsi="Times New Roman" w:cs="Times New Roman"/>
          <w:sz w:val="24"/>
          <w:szCs w:val="24"/>
        </w:rPr>
      </w:pPr>
      <w:r w:rsidRPr="003E6F6F">
        <w:rPr>
          <w:rFonts w:ascii="Times New Roman" w:hAnsi="Times New Roman" w:cs="Times New Roman"/>
          <w:b/>
          <w:sz w:val="24"/>
          <w:szCs w:val="24"/>
        </w:rPr>
        <w:t xml:space="preserve">Māliki </w:t>
      </w:r>
      <w:r w:rsidR="005466A8" w:rsidRPr="003E6F6F">
        <w:rPr>
          <w:rFonts w:ascii="Times New Roman" w:hAnsi="Times New Roman" w:cs="Times New Roman"/>
          <w:b/>
          <w:sz w:val="24"/>
          <w:szCs w:val="24"/>
        </w:rPr>
        <w:t>School</w:t>
      </w:r>
    </w:p>
    <w:p w:rsidR="009B2A94" w:rsidRDefault="009D3E19" w:rsidP="009B2A94">
      <w:pPr>
        <w:spacing w:before="100" w:beforeAutospacing="1" w:after="100" w:afterAutospacing="1" w:line="360" w:lineRule="auto"/>
        <w:rPr>
          <w:rFonts w:ascii="Times New Roman" w:hAnsi="Times New Roman" w:cs="Times New Roman"/>
          <w:sz w:val="24"/>
          <w:szCs w:val="24"/>
        </w:rPr>
      </w:pPr>
      <w:r w:rsidRPr="003E6F6F">
        <w:rPr>
          <w:rFonts w:ascii="Times New Roman" w:hAnsi="Times New Roman" w:cs="Times New Roman"/>
          <w:sz w:val="24"/>
          <w:szCs w:val="24"/>
          <w:lang w:eastAsia="en-GB"/>
        </w:rPr>
        <w:t xml:space="preserve">Founded by </w:t>
      </w:r>
      <w:r w:rsidR="00D41E20" w:rsidRPr="003E6F6F">
        <w:rPr>
          <w:rFonts w:ascii="Times New Roman" w:hAnsi="Times New Roman" w:cs="Times New Roman"/>
          <w:sz w:val="24"/>
          <w:szCs w:val="24"/>
          <w:lang w:eastAsia="en-GB"/>
        </w:rPr>
        <w:t xml:space="preserve">Mālik </w:t>
      </w:r>
      <w:r w:rsidRPr="003E6F6F">
        <w:rPr>
          <w:rFonts w:ascii="Times New Roman" w:hAnsi="Times New Roman" w:cs="Times New Roman"/>
          <w:sz w:val="24"/>
          <w:szCs w:val="24"/>
          <w:lang w:eastAsia="en-GB"/>
        </w:rPr>
        <w:t>Ibn Abas</w:t>
      </w:r>
      <w:r w:rsidR="00450D9B" w:rsidRPr="003E6F6F">
        <w:rPr>
          <w:rFonts w:ascii="Times New Roman" w:hAnsi="Times New Roman" w:cs="Times New Roman"/>
          <w:sz w:val="24"/>
          <w:szCs w:val="24"/>
          <w:lang w:eastAsia="en-GB"/>
        </w:rPr>
        <w:t xml:space="preserve"> (715-795) who spent his life entire life in Medina, save for performing </w:t>
      </w:r>
      <w:r w:rsidR="001308BD" w:rsidRPr="003E6F6F">
        <w:rPr>
          <w:rFonts w:ascii="Times New Roman" w:hAnsi="Times New Roman" w:cs="Times New Roman"/>
          <w:i/>
          <w:noProof/>
          <w:sz w:val="24"/>
          <w:szCs w:val="24"/>
          <w:lang w:eastAsia="en-GB"/>
        </w:rPr>
        <w:t>H</w:t>
      </w:r>
      <w:r w:rsidR="00450D9B" w:rsidRPr="003E6F6F">
        <w:rPr>
          <w:rFonts w:ascii="Times New Roman" w:hAnsi="Times New Roman" w:cs="Times New Roman"/>
          <w:i/>
          <w:noProof/>
          <w:sz w:val="24"/>
          <w:szCs w:val="24"/>
          <w:lang w:eastAsia="en-GB"/>
        </w:rPr>
        <w:t>ajj</w:t>
      </w:r>
      <w:r w:rsidR="00450D9B" w:rsidRPr="003E6F6F">
        <w:rPr>
          <w:rFonts w:ascii="Times New Roman" w:hAnsi="Times New Roman" w:cs="Times New Roman"/>
          <w:sz w:val="24"/>
          <w:szCs w:val="24"/>
          <w:lang w:eastAsia="en-GB"/>
        </w:rPr>
        <w:t>, and is based on legal practices develop there. T</w:t>
      </w:r>
      <w:r w:rsidR="005466A8" w:rsidRPr="003E6F6F">
        <w:rPr>
          <w:rFonts w:ascii="Times New Roman" w:hAnsi="Times New Roman" w:cs="Times New Roman"/>
          <w:sz w:val="24"/>
          <w:szCs w:val="24"/>
          <w:lang w:eastAsia="en-GB"/>
        </w:rPr>
        <w:t xml:space="preserve">he </w:t>
      </w:r>
      <w:r w:rsidR="00D41E20" w:rsidRPr="003E6F6F">
        <w:rPr>
          <w:rFonts w:ascii="Times New Roman" w:hAnsi="Times New Roman" w:cs="Times New Roman"/>
          <w:sz w:val="24"/>
          <w:szCs w:val="24"/>
          <w:lang w:eastAsia="en-GB"/>
        </w:rPr>
        <w:t xml:space="preserve">Māliki </w:t>
      </w:r>
      <w:r w:rsidR="005466A8" w:rsidRPr="003E6F6F">
        <w:rPr>
          <w:rFonts w:ascii="Times New Roman" w:hAnsi="Times New Roman" w:cs="Times New Roman"/>
          <w:sz w:val="24"/>
          <w:szCs w:val="24"/>
          <w:lang w:eastAsia="en-GB"/>
        </w:rPr>
        <w:t>scho</w:t>
      </w:r>
      <w:r w:rsidRPr="003E6F6F">
        <w:rPr>
          <w:rFonts w:ascii="Times New Roman" w:hAnsi="Times New Roman" w:cs="Times New Roman"/>
          <w:sz w:val="24"/>
          <w:szCs w:val="24"/>
          <w:lang w:eastAsia="en-GB"/>
        </w:rPr>
        <w:t>ol</w:t>
      </w:r>
      <w:r w:rsidR="005466A8" w:rsidRPr="003E6F6F">
        <w:rPr>
          <w:rFonts w:ascii="Times New Roman" w:hAnsi="Times New Roman" w:cs="Times New Roman"/>
          <w:sz w:val="24"/>
          <w:szCs w:val="24"/>
          <w:lang w:eastAsia="en-GB"/>
        </w:rPr>
        <w:t xml:space="preserve"> is the first</w:t>
      </w:r>
      <w:r w:rsidRPr="003E6F6F">
        <w:rPr>
          <w:rFonts w:ascii="Times New Roman" w:hAnsi="Times New Roman" w:cs="Times New Roman"/>
          <w:sz w:val="24"/>
          <w:szCs w:val="24"/>
          <w:lang w:eastAsia="en-GB"/>
        </w:rPr>
        <w:t xml:space="preserve"> </w:t>
      </w:r>
      <w:r w:rsidR="005466A8" w:rsidRPr="003E6F6F">
        <w:rPr>
          <w:rFonts w:ascii="Times New Roman" w:hAnsi="Times New Roman" w:cs="Times New Roman"/>
          <w:sz w:val="24"/>
          <w:szCs w:val="24"/>
          <w:lang w:eastAsia="en-GB"/>
        </w:rPr>
        <w:t xml:space="preserve">to emerge. It arrives autonomously whereas, as we shall examine, the other schools react not just to their context but also to the existing </w:t>
      </w:r>
      <w:bookmarkStart w:id="11" w:name="_Hlk500796375"/>
      <w:bookmarkStart w:id="12" w:name="_Hlk500796202"/>
      <w:r w:rsidR="00D41E20" w:rsidRPr="003E6F6F">
        <w:rPr>
          <w:rFonts w:ascii="Times New Roman" w:hAnsi="Times New Roman" w:cs="Times New Roman"/>
          <w:sz w:val="24"/>
          <w:szCs w:val="24"/>
          <w:lang w:eastAsia="en-GB"/>
        </w:rPr>
        <w:t>Māliki</w:t>
      </w:r>
      <w:bookmarkEnd w:id="11"/>
      <w:r w:rsidR="00D41E20" w:rsidRPr="003E6F6F">
        <w:rPr>
          <w:rFonts w:ascii="Times New Roman" w:hAnsi="Times New Roman" w:cs="Times New Roman"/>
          <w:sz w:val="24"/>
          <w:szCs w:val="24"/>
          <w:lang w:eastAsia="en-GB"/>
        </w:rPr>
        <w:t xml:space="preserve"> </w:t>
      </w:r>
      <w:bookmarkEnd w:id="12"/>
      <w:r w:rsidR="005466A8" w:rsidRPr="003E6F6F">
        <w:rPr>
          <w:rFonts w:ascii="Times New Roman" w:hAnsi="Times New Roman" w:cs="Times New Roman"/>
          <w:sz w:val="24"/>
          <w:szCs w:val="24"/>
          <w:lang w:eastAsia="en-GB"/>
        </w:rPr>
        <w:t xml:space="preserve">tradition. </w:t>
      </w:r>
      <w:r w:rsidR="00450D9B" w:rsidRPr="003E6F6F">
        <w:rPr>
          <w:rFonts w:ascii="Times New Roman" w:hAnsi="Times New Roman" w:cs="Times New Roman"/>
          <w:sz w:val="24"/>
          <w:szCs w:val="24"/>
          <w:lang w:eastAsia="en-GB"/>
        </w:rPr>
        <w:t>In the 8</w:t>
      </w:r>
      <w:r w:rsidR="00450D9B" w:rsidRPr="003E6F6F">
        <w:rPr>
          <w:rFonts w:ascii="Times New Roman" w:hAnsi="Times New Roman" w:cs="Times New Roman"/>
          <w:sz w:val="24"/>
          <w:szCs w:val="24"/>
          <w:vertAlign w:val="superscript"/>
          <w:lang w:eastAsia="en-GB"/>
        </w:rPr>
        <w:t>th</w:t>
      </w:r>
      <w:r w:rsidR="00450D9B" w:rsidRPr="003E6F6F">
        <w:rPr>
          <w:rFonts w:ascii="Times New Roman" w:hAnsi="Times New Roman" w:cs="Times New Roman"/>
          <w:sz w:val="24"/>
          <w:szCs w:val="24"/>
          <w:lang w:eastAsia="en-GB"/>
        </w:rPr>
        <w:t xml:space="preserve"> century and with an awareness of the increasingly international context of Muslim communities, recognition developed of the need to unite the various proto-Islamic legal system</w:t>
      </w:r>
      <w:r w:rsidR="006F4DBD" w:rsidRPr="003E6F6F">
        <w:rPr>
          <w:rFonts w:ascii="Times New Roman" w:hAnsi="Times New Roman" w:cs="Times New Roman"/>
          <w:sz w:val="24"/>
          <w:szCs w:val="24"/>
          <w:lang w:eastAsia="en-GB"/>
        </w:rPr>
        <w:t>s</w:t>
      </w:r>
      <w:r w:rsidR="00450D9B" w:rsidRPr="003E6F6F">
        <w:rPr>
          <w:rFonts w:ascii="Times New Roman" w:hAnsi="Times New Roman" w:cs="Times New Roman"/>
          <w:sz w:val="24"/>
          <w:szCs w:val="24"/>
          <w:lang w:eastAsia="en-GB"/>
        </w:rPr>
        <w:t xml:space="preserve"> that existed. </w:t>
      </w:r>
      <w:r w:rsidR="00D41E20" w:rsidRPr="003E6F6F">
        <w:rPr>
          <w:rFonts w:ascii="Times New Roman" w:hAnsi="Times New Roman" w:cs="Times New Roman"/>
          <w:sz w:val="24"/>
          <w:szCs w:val="24"/>
          <w:lang w:eastAsia="en-GB"/>
        </w:rPr>
        <w:t>Mālik</w:t>
      </w:r>
      <w:r w:rsidR="00450D9B" w:rsidRPr="003E6F6F">
        <w:rPr>
          <w:rFonts w:ascii="Times New Roman" w:hAnsi="Times New Roman" w:cs="Times New Roman"/>
          <w:sz w:val="24"/>
          <w:szCs w:val="24"/>
          <w:lang w:eastAsia="en-GB"/>
        </w:rPr>
        <w:t xml:space="preserve"> was chosen to head up the project since his thinking </w:t>
      </w:r>
      <w:r w:rsidR="00450D9B" w:rsidRPr="003E6F6F">
        <w:rPr>
          <w:rFonts w:ascii="Times New Roman" w:hAnsi="Times New Roman" w:cs="Times New Roman"/>
          <w:noProof/>
          <w:sz w:val="24"/>
          <w:szCs w:val="24"/>
          <w:lang w:eastAsia="en-GB"/>
        </w:rPr>
        <w:t>was founded</w:t>
      </w:r>
      <w:r w:rsidR="00450D9B" w:rsidRPr="003E6F6F">
        <w:rPr>
          <w:rFonts w:ascii="Times New Roman" w:hAnsi="Times New Roman" w:cs="Times New Roman"/>
          <w:sz w:val="24"/>
          <w:szCs w:val="24"/>
          <w:lang w:eastAsia="en-GB"/>
        </w:rPr>
        <w:t xml:space="preserve"> in the </w:t>
      </w:r>
      <w:r w:rsidR="00450D9B" w:rsidRPr="003E6F6F">
        <w:rPr>
          <w:rFonts w:ascii="Times New Roman" w:hAnsi="Times New Roman" w:cs="Times New Roman"/>
          <w:noProof/>
          <w:sz w:val="24"/>
          <w:szCs w:val="24"/>
          <w:lang w:eastAsia="en-GB"/>
        </w:rPr>
        <w:t>birthplace</w:t>
      </w:r>
      <w:r w:rsidR="00450D9B" w:rsidRPr="003E6F6F">
        <w:rPr>
          <w:rFonts w:ascii="Times New Roman" w:hAnsi="Times New Roman" w:cs="Times New Roman"/>
          <w:sz w:val="24"/>
          <w:szCs w:val="24"/>
          <w:lang w:eastAsia="en-GB"/>
        </w:rPr>
        <w:t xml:space="preserve"> of Islamic law. Furthermore, some of his thinking had already permeated outside of Arabia.</w:t>
      </w:r>
      <w:r w:rsidR="00450D9B" w:rsidRPr="003E6F6F">
        <w:rPr>
          <w:rStyle w:val="FootnoteReference"/>
          <w:rFonts w:ascii="Times New Roman" w:eastAsia="Times New Roman" w:hAnsi="Times New Roman" w:cs="Times New Roman"/>
          <w:color w:val="121212"/>
          <w:spacing w:val="8"/>
          <w:sz w:val="24"/>
          <w:szCs w:val="24"/>
          <w:lang w:eastAsia="en-GB"/>
        </w:rPr>
        <w:footnoteReference w:id="11"/>
      </w:r>
      <w:r w:rsidR="00450D9B" w:rsidRPr="003E6F6F">
        <w:rPr>
          <w:rFonts w:ascii="Times New Roman" w:hAnsi="Times New Roman" w:cs="Times New Roman"/>
          <w:sz w:val="24"/>
          <w:szCs w:val="24"/>
          <w:lang w:eastAsia="en-GB"/>
        </w:rPr>
        <w:t xml:space="preserve"> </w:t>
      </w:r>
    </w:p>
    <w:p w:rsidR="00450D9B" w:rsidRPr="003E6F6F" w:rsidRDefault="00450D9B" w:rsidP="009B2A94">
      <w:pPr>
        <w:spacing w:before="100" w:beforeAutospacing="1" w:after="100" w:afterAutospacing="1" w:line="360" w:lineRule="auto"/>
        <w:rPr>
          <w:rFonts w:ascii="Times New Roman" w:hAnsi="Times New Roman" w:cs="Times New Roman"/>
          <w:sz w:val="24"/>
          <w:szCs w:val="24"/>
        </w:rPr>
      </w:pPr>
      <w:r w:rsidRPr="003E6F6F">
        <w:rPr>
          <w:rFonts w:ascii="Times New Roman" w:hAnsi="Times New Roman" w:cs="Times New Roman"/>
          <w:sz w:val="24"/>
          <w:szCs w:val="24"/>
          <w:lang w:eastAsia="en-GB"/>
        </w:rPr>
        <w:t xml:space="preserve">Alongside </w:t>
      </w:r>
      <w:r w:rsidR="006F4DBD" w:rsidRPr="003E6F6F">
        <w:rPr>
          <w:rFonts w:ascii="Times New Roman" w:hAnsi="Times New Roman" w:cs="Times New Roman"/>
          <w:sz w:val="24"/>
          <w:szCs w:val="24"/>
          <w:lang w:eastAsia="en-GB"/>
        </w:rPr>
        <w:t xml:space="preserve">the </w:t>
      </w:r>
      <w:r w:rsidR="00D41E20" w:rsidRPr="003E6F6F">
        <w:rPr>
          <w:rFonts w:ascii="Times New Roman" w:hAnsi="Times New Roman" w:cs="Times New Roman"/>
          <w:sz w:val="24"/>
          <w:szCs w:val="24"/>
          <w:lang w:eastAsia="en-GB"/>
        </w:rPr>
        <w:t>Ḳurʾān</w:t>
      </w:r>
      <w:r w:rsidRPr="003E6F6F">
        <w:rPr>
          <w:rFonts w:ascii="Times New Roman" w:hAnsi="Times New Roman" w:cs="Times New Roman"/>
          <w:sz w:val="24"/>
          <w:szCs w:val="24"/>
          <w:lang w:eastAsia="en-GB"/>
        </w:rPr>
        <w:t xml:space="preserve">, the school is </w:t>
      </w:r>
      <w:r w:rsidR="001308BD" w:rsidRPr="003E6F6F">
        <w:rPr>
          <w:rFonts w:ascii="Times New Roman" w:hAnsi="Times New Roman" w:cs="Times New Roman"/>
          <w:noProof/>
          <w:sz w:val="24"/>
          <w:szCs w:val="24"/>
          <w:lang w:eastAsia="en-GB"/>
        </w:rPr>
        <w:t>main</w:t>
      </w:r>
      <w:r w:rsidRPr="003E6F6F">
        <w:rPr>
          <w:rFonts w:ascii="Times New Roman" w:hAnsi="Times New Roman" w:cs="Times New Roman"/>
          <w:noProof/>
          <w:sz w:val="24"/>
          <w:szCs w:val="24"/>
          <w:lang w:eastAsia="en-GB"/>
        </w:rPr>
        <w:t>ly</w:t>
      </w:r>
      <w:r w:rsidRPr="003E6F6F">
        <w:rPr>
          <w:rFonts w:ascii="Times New Roman" w:hAnsi="Times New Roman" w:cs="Times New Roman"/>
          <w:sz w:val="24"/>
          <w:szCs w:val="24"/>
          <w:lang w:eastAsia="en-GB"/>
        </w:rPr>
        <w:t xml:space="preserve"> dependent on tradition as a source of authority. </w:t>
      </w:r>
      <w:r w:rsidRPr="003E6F6F">
        <w:rPr>
          <w:rFonts w:ascii="Times New Roman" w:hAnsi="Times New Roman" w:cs="Times New Roman"/>
          <w:noProof/>
          <w:sz w:val="24"/>
          <w:szCs w:val="24"/>
          <w:lang w:eastAsia="en-GB"/>
        </w:rPr>
        <w:t>This</w:t>
      </w:r>
      <w:r w:rsidRPr="003E6F6F">
        <w:rPr>
          <w:rFonts w:ascii="Times New Roman" w:hAnsi="Times New Roman" w:cs="Times New Roman"/>
          <w:sz w:val="24"/>
          <w:szCs w:val="24"/>
          <w:lang w:eastAsia="en-GB"/>
        </w:rPr>
        <w:t xml:space="preserve"> provided a ‘fundamental textual base’ to the school’s legal theory. A textual base </w:t>
      </w:r>
      <w:r w:rsidRPr="003E6F6F">
        <w:rPr>
          <w:rFonts w:ascii="Times New Roman" w:hAnsi="Times New Roman" w:cs="Times New Roman"/>
          <w:noProof/>
          <w:sz w:val="24"/>
          <w:szCs w:val="24"/>
          <w:lang w:eastAsia="en-GB"/>
        </w:rPr>
        <w:t>driven</w:t>
      </w:r>
      <w:r w:rsidRPr="003E6F6F">
        <w:rPr>
          <w:rFonts w:ascii="Times New Roman" w:hAnsi="Times New Roman" w:cs="Times New Roman"/>
          <w:sz w:val="24"/>
          <w:szCs w:val="24"/>
          <w:lang w:eastAsia="en-GB"/>
        </w:rPr>
        <w:t xml:space="preserve"> by </w:t>
      </w:r>
      <w:r w:rsidR="00D41E20" w:rsidRPr="003E6F6F">
        <w:rPr>
          <w:rFonts w:ascii="Times New Roman" w:hAnsi="Times New Roman" w:cs="Times New Roman"/>
          <w:sz w:val="24"/>
          <w:szCs w:val="24"/>
          <w:lang w:eastAsia="en-GB"/>
        </w:rPr>
        <w:t>Māliki</w:t>
      </w:r>
      <w:r w:rsidRPr="003E6F6F">
        <w:rPr>
          <w:rFonts w:ascii="Times New Roman" w:hAnsi="Times New Roman" w:cs="Times New Roman"/>
          <w:sz w:val="24"/>
          <w:szCs w:val="24"/>
          <w:lang w:eastAsia="en-GB"/>
        </w:rPr>
        <w:t xml:space="preserve">’s famous work, </w:t>
      </w:r>
      <w:r w:rsidRPr="003E6F6F">
        <w:rPr>
          <w:rFonts w:ascii="Times New Roman" w:hAnsi="Times New Roman" w:cs="Times New Roman"/>
          <w:i/>
          <w:sz w:val="24"/>
          <w:szCs w:val="24"/>
          <w:lang w:eastAsia="en-GB"/>
        </w:rPr>
        <w:t>The Muwatta</w:t>
      </w:r>
      <w:r w:rsidRPr="003E6F6F">
        <w:rPr>
          <w:rFonts w:ascii="Times New Roman" w:hAnsi="Times New Roman" w:cs="Times New Roman"/>
          <w:sz w:val="24"/>
          <w:szCs w:val="24"/>
          <w:lang w:eastAsia="en-GB"/>
        </w:rPr>
        <w:t>.</w:t>
      </w:r>
      <w:r w:rsidRPr="003E6F6F">
        <w:rPr>
          <w:rStyle w:val="FootnoteReference"/>
          <w:rFonts w:ascii="Times New Roman" w:eastAsia="Times New Roman" w:hAnsi="Times New Roman" w:cs="Times New Roman"/>
          <w:color w:val="121212"/>
          <w:spacing w:val="8"/>
          <w:sz w:val="24"/>
          <w:szCs w:val="24"/>
          <w:lang w:eastAsia="en-GB"/>
        </w:rPr>
        <w:footnoteReference w:id="12"/>
      </w:r>
      <w:r w:rsidRPr="003E6F6F">
        <w:rPr>
          <w:rFonts w:ascii="Times New Roman" w:hAnsi="Times New Roman" w:cs="Times New Roman"/>
          <w:sz w:val="24"/>
          <w:szCs w:val="24"/>
          <w:lang w:eastAsia="en-GB"/>
        </w:rPr>
        <w:t xml:space="preserve"> Written in lay language, it represents the first collection of </w:t>
      </w:r>
      <w:r w:rsidR="00D41E20" w:rsidRPr="003E6F6F">
        <w:rPr>
          <w:rFonts w:ascii="Times New Roman" w:hAnsi="Times New Roman" w:cs="Times New Roman"/>
          <w:i/>
          <w:sz w:val="24"/>
          <w:szCs w:val="24"/>
          <w:lang w:eastAsia="en-GB"/>
        </w:rPr>
        <w:t>ḥadīt̲h̲</w:t>
      </w:r>
      <w:r w:rsidRPr="003E6F6F">
        <w:rPr>
          <w:rFonts w:ascii="Times New Roman" w:hAnsi="Times New Roman" w:cs="Times New Roman"/>
          <w:sz w:val="24"/>
          <w:szCs w:val="24"/>
          <w:lang w:eastAsia="en-GB"/>
        </w:rPr>
        <w:t xml:space="preserve"> and the first authoritative Islamic judicial text, whose influence went beyond its </w:t>
      </w:r>
      <w:r w:rsidRPr="003E6F6F">
        <w:rPr>
          <w:rFonts w:ascii="Times New Roman" w:hAnsi="Times New Roman" w:cs="Times New Roman"/>
          <w:noProof/>
          <w:sz w:val="24"/>
          <w:szCs w:val="24"/>
          <w:lang w:eastAsia="en-GB"/>
        </w:rPr>
        <w:t>own</w:t>
      </w:r>
      <w:r w:rsidRPr="003E6F6F">
        <w:rPr>
          <w:rFonts w:ascii="Times New Roman" w:hAnsi="Times New Roman" w:cs="Times New Roman"/>
          <w:sz w:val="24"/>
          <w:szCs w:val="24"/>
          <w:lang w:eastAsia="en-GB"/>
        </w:rPr>
        <w:t xml:space="preserve"> school. First, because of its accessibility.</w:t>
      </w:r>
      <w:r w:rsidRPr="003E6F6F">
        <w:rPr>
          <w:rStyle w:val="FootnoteReference"/>
          <w:rFonts w:ascii="Times New Roman" w:eastAsia="Times New Roman" w:hAnsi="Times New Roman" w:cs="Times New Roman"/>
          <w:color w:val="121212"/>
          <w:spacing w:val="8"/>
          <w:sz w:val="24"/>
          <w:szCs w:val="24"/>
          <w:lang w:eastAsia="en-GB"/>
        </w:rPr>
        <w:footnoteReference w:id="13"/>
      </w:r>
      <w:r w:rsidRPr="003E6F6F">
        <w:rPr>
          <w:rFonts w:ascii="Times New Roman" w:hAnsi="Times New Roman" w:cs="Times New Roman"/>
          <w:sz w:val="24"/>
          <w:szCs w:val="24"/>
          <w:lang w:eastAsia="en-GB"/>
        </w:rPr>
        <w:t xml:space="preserve"> </w:t>
      </w:r>
      <w:r w:rsidRPr="003E6F6F">
        <w:rPr>
          <w:rFonts w:ascii="Times New Roman" w:hAnsi="Times New Roman" w:cs="Times New Roman"/>
          <w:noProof/>
          <w:sz w:val="24"/>
          <w:szCs w:val="24"/>
          <w:lang w:eastAsia="en-GB"/>
        </w:rPr>
        <w:t xml:space="preserve">Second, because all the individuals mentioned in its pages were native Medinan’s or visiting scholars, with the bulk of </w:t>
      </w:r>
      <w:r w:rsidR="001308BD" w:rsidRPr="003E6F6F">
        <w:rPr>
          <w:rFonts w:ascii="Times New Roman" w:hAnsi="Times New Roman" w:cs="Times New Roman"/>
          <w:noProof/>
          <w:sz w:val="24"/>
          <w:szCs w:val="24"/>
          <w:lang w:eastAsia="en-GB"/>
        </w:rPr>
        <w:t>the</w:t>
      </w:r>
      <w:r w:rsidR="00537B05" w:rsidRPr="003E6F6F">
        <w:rPr>
          <w:rFonts w:ascii="Times New Roman" w:hAnsi="Times New Roman" w:cs="Times New Roman"/>
          <w:noProof/>
          <w:sz w:val="24"/>
          <w:szCs w:val="24"/>
          <w:lang w:eastAsia="en-GB"/>
        </w:rPr>
        <w:t xml:space="preserve"> </w:t>
      </w:r>
      <w:r w:rsidRPr="003E6F6F">
        <w:rPr>
          <w:rFonts w:ascii="Times New Roman" w:hAnsi="Times New Roman" w:cs="Times New Roman"/>
          <w:noProof/>
          <w:sz w:val="24"/>
          <w:szCs w:val="24"/>
          <w:lang w:eastAsia="en-GB"/>
        </w:rPr>
        <w:t>tradition</w:t>
      </w:r>
      <w:r w:rsidR="00570193" w:rsidRPr="003E6F6F">
        <w:rPr>
          <w:rFonts w:ascii="Times New Roman" w:hAnsi="Times New Roman" w:cs="Times New Roman"/>
          <w:noProof/>
          <w:sz w:val="24"/>
          <w:szCs w:val="24"/>
          <w:lang w:eastAsia="en-GB"/>
        </w:rPr>
        <w:t xml:space="preserve">s </w:t>
      </w:r>
      <w:r w:rsidRPr="003E6F6F">
        <w:rPr>
          <w:rFonts w:ascii="Times New Roman" w:hAnsi="Times New Roman" w:cs="Times New Roman"/>
          <w:noProof/>
          <w:sz w:val="24"/>
          <w:szCs w:val="24"/>
          <w:lang w:eastAsia="en-GB"/>
        </w:rPr>
        <w:t>traceable back to</w:t>
      </w:r>
      <w:r w:rsidR="00D41E20" w:rsidRPr="003E6F6F">
        <w:rPr>
          <w:rFonts w:ascii="Times New Roman" w:hAnsi="Times New Roman" w:cs="Times New Roman"/>
          <w:i/>
          <w:sz w:val="24"/>
          <w:szCs w:val="24"/>
        </w:rPr>
        <w:t xml:space="preserve"> </w:t>
      </w:r>
      <w:r w:rsidR="00D41E20" w:rsidRPr="003E6F6F">
        <w:rPr>
          <w:rFonts w:ascii="Times New Roman" w:hAnsi="Times New Roman" w:cs="Times New Roman"/>
          <w:i/>
          <w:noProof/>
          <w:sz w:val="24"/>
          <w:szCs w:val="24"/>
          <w:lang w:eastAsia="en-GB"/>
        </w:rPr>
        <w:t>ʿUmar </w:t>
      </w:r>
      <w:r w:rsidRPr="003E6F6F">
        <w:rPr>
          <w:rFonts w:ascii="Times New Roman" w:hAnsi="Times New Roman" w:cs="Times New Roman"/>
          <w:noProof/>
          <w:sz w:val="24"/>
          <w:szCs w:val="24"/>
          <w:lang w:eastAsia="en-GB"/>
        </w:rPr>
        <w:t xml:space="preserve"> .</w:t>
      </w:r>
      <w:r w:rsidRPr="003E6F6F">
        <w:rPr>
          <w:rFonts w:ascii="Times New Roman" w:hAnsi="Times New Roman" w:cs="Times New Roman"/>
          <w:sz w:val="24"/>
          <w:szCs w:val="24"/>
          <w:lang w:eastAsia="en-GB"/>
        </w:rPr>
        <w:t xml:space="preserve"> Third, although many today view this particular </w:t>
      </w:r>
      <w:r w:rsidR="00D41E20" w:rsidRPr="003E6F6F">
        <w:rPr>
          <w:rFonts w:ascii="Times New Roman" w:hAnsi="Times New Roman" w:cs="Times New Roman"/>
          <w:i/>
          <w:iCs/>
          <w:noProof/>
          <w:sz w:val="24"/>
          <w:szCs w:val="24"/>
          <w:lang w:eastAsia="en-GB"/>
        </w:rPr>
        <w:t xml:space="preserve">mad̲h̲hab </w:t>
      </w:r>
      <w:r w:rsidRPr="003E6F6F">
        <w:rPr>
          <w:rFonts w:ascii="Times New Roman" w:hAnsi="Times New Roman" w:cs="Times New Roman"/>
          <w:sz w:val="24"/>
          <w:szCs w:val="24"/>
          <w:lang w:eastAsia="en-GB"/>
        </w:rPr>
        <w:t>as conservative, it represented the moderate views of Medina at that time.</w:t>
      </w:r>
      <w:r w:rsidRPr="003E6F6F">
        <w:rPr>
          <w:rStyle w:val="FootnoteReference"/>
          <w:rFonts w:ascii="Times New Roman" w:eastAsia="Times New Roman" w:hAnsi="Times New Roman" w:cs="Times New Roman"/>
          <w:color w:val="121212"/>
          <w:spacing w:val="8"/>
          <w:sz w:val="24"/>
          <w:szCs w:val="24"/>
          <w:lang w:eastAsia="en-GB"/>
        </w:rPr>
        <w:footnoteReference w:id="14"/>
      </w:r>
      <w:r w:rsidRPr="003E6F6F">
        <w:rPr>
          <w:rFonts w:ascii="Times New Roman" w:hAnsi="Times New Roman" w:cs="Times New Roman"/>
          <w:sz w:val="24"/>
          <w:szCs w:val="24"/>
          <w:lang w:eastAsia="en-GB"/>
        </w:rPr>
        <w:t xml:space="preserve">  </w:t>
      </w:r>
    </w:p>
    <w:p w:rsidR="009B2A94" w:rsidRDefault="00450D9B" w:rsidP="009B2A94">
      <w:pPr>
        <w:pStyle w:val="NoSpacing"/>
        <w:spacing w:after="160" w:line="360" w:lineRule="auto"/>
        <w:rPr>
          <w:rFonts w:ascii="Times New Roman" w:hAnsi="Times New Roman" w:cs="Times New Roman"/>
          <w:sz w:val="24"/>
          <w:szCs w:val="24"/>
          <w:lang w:eastAsia="en-GB"/>
        </w:rPr>
      </w:pPr>
      <w:r w:rsidRPr="003E6F6F">
        <w:rPr>
          <w:rFonts w:ascii="Times New Roman" w:hAnsi="Times New Roman" w:cs="Times New Roman"/>
          <w:sz w:val="24"/>
          <w:szCs w:val="24"/>
          <w:lang w:eastAsia="en-GB"/>
        </w:rPr>
        <w:lastRenderedPageBreak/>
        <w:t xml:space="preserve">The </w:t>
      </w:r>
      <w:r w:rsidR="00D41E20" w:rsidRPr="003E6F6F">
        <w:rPr>
          <w:rFonts w:ascii="Times New Roman" w:hAnsi="Times New Roman" w:cs="Times New Roman"/>
          <w:sz w:val="24"/>
          <w:szCs w:val="24"/>
          <w:lang w:eastAsia="en-GB"/>
        </w:rPr>
        <w:t xml:space="preserve">Māliki </w:t>
      </w:r>
      <w:r w:rsidRPr="003E6F6F">
        <w:rPr>
          <w:rFonts w:ascii="Times New Roman" w:hAnsi="Times New Roman" w:cs="Times New Roman"/>
          <w:sz w:val="24"/>
          <w:szCs w:val="24"/>
          <w:lang w:eastAsia="en-GB"/>
        </w:rPr>
        <w:t xml:space="preserve">school has a </w:t>
      </w:r>
      <w:r w:rsidR="001308BD" w:rsidRPr="003E6F6F">
        <w:rPr>
          <w:rFonts w:ascii="Times New Roman" w:hAnsi="Times New Roman" w:cs="Times New Roman"/>
          <w:noProof/>
          <w:sz w:val="24"/>
          <w:szCs w:val="24"/>
          <w:lang w:eastAsia="en-GB"/>
        </w:rPr>
        <w:t>specific</w:t>
      </w:r>
      <w:r w:rsidRPr="003E6F6F">
        <w:rPr>
          <w:rFonts w:ascii="Times New Roman" w:hAnsi="Times New Roman" w:cs="Times New Roman"/>
          <w:sz w:val="24"/>
          <w:szCs w:val="24"/>
          <w:lang w:eastAsia="en-GB"/>
        </w:rPr>
        <w:t xml:space="preserve"> </w:t>
      </w:r>
      <w:r w:rsidRPr="003E6F6F">
        <w:rPr>
          <w:rFonts w:ascii="Times New Roman" w:hAnsi="Times New Roman" w:cs="Times New Roman"/>
          <w:noProof/>
          <w:sz w:val="24"/>
          <w:szCs w:val="24"/>
          <w:lang w:eastAsia="en-GB"/>
        </w:rPr>
        <w:t>view</w:t>
      </w:r>
      <w:r w:rsidRPr="003E6F6F">
        <w:rPr>
          <w:rFonts w:ascii="Times New Roman" w:hAnsi="Times New Roman" w:cs="Times New Roman"/>
          <w:sz w:val="24"/>
          <w:szCs w:val="24"/>
          <w:lang w:eastAsia="en-GB"/>
        </w:rPr>
        <w:t xml:space="preserve"> of </w:t>
      </w:r>
      <w:r w:rsidRPr="003E6F6F">
        <w:rPr>
          <w:rFonts w:ascii="Times New Roman" w:hAnsi="Times New Roman" w:cs="Times New Roman"/>
          <w:i/>
          <w:sz w:val="24"/>
          <w:szCs w:val="24"/>
          <w:lang w:eastAsia="en-GB"/>
        </w:rPr>
        <w:t>Ijma</w:t>
      </w:r>
      <w:r w:rsidRPr="003E6F6F">
        <w:rPr>
          <w:rFonts w:ascii="Times New Roman" w:hAnsi="Times New Roman" w:cs="Times New Roman"/>
          <w:sz w:val="24"/>
          <w:szCs w:val="24"/>
          <w:lang w:eastAsia="en-GB"/>
        </w:rPr>
        <w:t xml:space="preserve"> or consensus in Islamic law. </w:t>
      </w:r>
      <w:r w:rsidR="001308BD" w:rsidRPr="003E6F6F">
        <w:rPr>
          <w:rFonts w:ascii="Times New Roman" w:hAnsi="Times New Roman" w:cs="Times New Roman"/>
          <w:sz w:val="24"/>
          <w:szCs w:val="24"/>
          <w:lang w:eastAsia="en-GB"/>
        </w:rPr>
        <w:t>The</w:t>
      </w:r>
      <w:r w:rsidRPr="003E6F6F">
        <w:rPr>
          <w:rFonts w:ascii="Times New Roman" w:hAnsi="Times New Roman" w:cs="Times New Roman"/>
          <w:sz w:val="24"/>
          <w:szCs w:val="24"/>
          <w:lang w:eastAsia="en-GB"/>
        </w:rPr>
        <w:t xml:space="preserve"> role of </w:t>
      </w:r>
      <w:r w:rsidRPr="003E6F6F">
        <w:rPr>
          <w:rFonts w:ascii="Times New Roman" w:hAnsi="Times New Roman" w:cs="Times New Roman"/>
          <w:noProof/>
          <w:sz w:val="24"/>
          <w:szCs w:val="24"/>
          <w:lang w:eastAsia="en-GB"/>
        </w:rPr>
        <w:t>human agency</w:t>
      </w:r>
      <w:r w:rsidRPr="003E6F6F">
        <w:rPr>
          <w:rFonts w:ascii="Times New Roman" w:hAnsi="Times New Roman" w:cs="Times New Roman"/>
          <w:sz w:val="24"/>
          <w:szCs w:val="24"/>
          <w:lang w:eastAsia="en-GB"/>
        </w:rPr>
        <w:t xml:space="preserve"> </w:t>
      </w:r>
      <w:r w:rsidRPr="003E6F6F">
        <w:rPr>
          <w:rFonts w:ascii="Times New Roman" w:hAnsi="Times New Roman" w:cs="Times New Roman"/>
          <w:noProof/>
          <w:sz w:val="24"/>
          <w:szCs w:val="24"/>
          <w:lang w:eastAsia="en-GB"/>
        </w:rPr>
        <w:t>is emphasised</w:t>
      </w:r>
      <w:r w:rsidRPr="003E6F6F">
        <w:rPr>
          <w:rFonts w:ascii="Times New Roman" w:hAnsi="Times New Roman" w:cs="Times New Roman"/>
          <w:sz w:val="24"/>
          <w:szCs w:val="24"/>
          <w:lang w:eastAsia="en-GB"/>
        </w:rPr>
        <w:t xml:space="preserve"> since </w:t>
      </w:r>
      <w:r w:rsidRPr="003E6F6F">
        <w:rPr>
          <w:rFonts w:ascii="Times New Roman" w:hAnsi="Times New Roman" w:cs="Times New Roman"/>
          <w:noProof/>
          <w:sz w:val="24"/>
          <w:szCs w:val="24"/>
          <w:lang w:eastAsia="en-GB"/>
        </w:rPr>
        <w:t>consensus</w:t>
      </w:r>
      <w:r w:rsidRPr="003E6F6F">
        <w:rPr>
          <w:rFonts w:ascii="Times New Roman" w:hAnsi="Times New Roman" w:cs="Times New Roman"/>
          <w:sz w:val="24"/>
          <w:szCs w:val="24"/>
          <w:lang w:eastAsia="en-GB"/>
        </w:rPr>
        <w:t xml:space="preserve"> represent</w:t>
      </w:r>
      <w:r w:rsidR="001308BD" w:rsidRPr="003E6F6F">
        <w:rPr>
          <w:rFonts w:ascii="Times New Roman" w:hAnsi="Times New Roman" w:cs="Times New Roman"/>
          <w:sz w:val="24"/>
          <w:szCs w:val="24"/>
          <w:lang w:eastAsia="en-GB"/>
        </w:rPr>
        <w:t>s</w:t>
      </w:r>
      <w:r w:rsidRPr="003E6F6F">
        <w:rPr>
          <w:rFonts w:ascii="Times New Roman" w:hAnsi="Times New Roman" w:cs="Times New Roman"/>
          <w:sz w:val="24"/>
          <w:szCs w:val="24"/>
          <w:lang w:eastAsia="en-GB"/>
        </w:rPr>
        <w:t xml:space="preserve"> the </w:t>
      </w:r>
      <w:r w:rsidRPr="003E6F6F">
        <w:rPr>
          <w:rFonts w:ascii="Times New Roman" w:hAnsi="Times New Roman" w:cs="Times New Roman"/>
          <w:noProof/>
          <w:sz w:val="24"/>
          <w:szCs w:val="24"/>
          <w:lang w:eastAsia="en-GB"/>
        </w:rPr>
        <w:t>view</w:t>
      </w:r>
      <w:r w:rsidRPr="003E6F6F">
        <w:rPr>
          <w:rFonts w:ascii="Times New Roman" w:hAnsi="Times New Roman" w:cs="Times New Roman"/>
          <w:sz w:val="24"/>
          <w:szCs w:val="24"/>
          <w:lang w:eastAsia="en-GB"/>
        </w:rPr>
        <w:t xml:space="preserve"> of the entire community of Medina. </w:t>
      </w:r>
    </w:p>
    <w:p w:rsidR="005466A8" w:rsidRPr="003E6F6F" w:rsidRDefault="005466A8" w:rsidP="009B2A94">
      <w:pPr>
        <w:pStyle w:val="NoSpacing"/>
        <w:spacing w:after="160" w:line="360" w:lineRule="auto"/>
        <w:rPr>
          <w:rFonts w:ascii="Times New Roman" w:hAnsi="Times New Roman" w:cs="Times New Roman"/>
          <w:sz w:val="24"/>
          <w:szCs w:val="24"/>
          <w:lang w:eastAsia="en-GB"/>
        </w:rPr>
      </w:pPr>
      <w:r w:rsidRPr="003E6F6F">
        <w:rPr>
          <w:rFonts w:ascii="Times New Roman" w:hAnsi="Times New Roman" w:cs="Times New Roman"/>
          <w:sz w:val="24"/>
          <w:szCs w:val="24"/>
        </w:rPr>
        <w:t xml:space="preserve">An examination </w:t>
      </w:r>
      <w:r w:rsidR="00450D9B" w:rsidRPr="003E6F6F">
        <w:rPr>
          <w:rFonts w:ascii="Times New Roman" w:hAnsi="Times New Roman" w:cs="Times New Roman"/>
          <w:sz w:val="24"/>
          <w:szCs w:val="24"/>
        </w:rPr>
        <w:t xml:space="preserve">of the </w:t>
      </w:r>
      <w:r w:rsidR="00D41E20" w:rsidRPr="003E6F6F">
        <w:rPr>
          <w:rFonts w:ascii="Times New Roman" w:hAnsi="Times New Roman" w:cs="Times New Roman"/>
          <w:sz w:val="24"/>
          <w:szCs w:val="24"/>
        </w:rPr>
        <w:t xml:space="preserve">Māliki </w:t>
      </w:r>
      <w:r w:rsidR="00450D9B" w:rsidRPr="003E6F6F">
        <w:rPr>
          <w:rFonts w:ascii="Times New Roman" w:hAnsi="Times New Roman" w:cs="Times New Roman"/>
          <w:sz w:val="24"/>
          <w:szCs w:val="24"/>
        </w:rPr>
        <w:t xml:space="preserve">tradition </w:t>
      </w:r>
      <w:r w:rsidRPr="003E6F6F">
        <w:rPr>
          <w:rFonts w:ascii="Times New Roman" w:hAnsi="Times New Roman" w:cs="Times New Roman"/>
          <w:sz w:val="24"/>
          <w:szCs w:val="24"/>
        </w:rPr>
        <w:t xml:space="preserve">shows </w:t>
      </w:r>
      <w:r w:rsidR="00450D9B" w:rsidRPr="003E6F6F">
        <w:rPr>
          <w:rFonts w:ascii="Times New Roman" w:hAnsi="Times New Roman" w:cs="Times New Roman"/>
          <w:sz w:val="24"/>
          <w:szCs w:val="24"/>
        </w:rPr>
        <w:t xml:space="preserve">considerable </w:t>
      </w:r>
      <w:r w:rsidRPr="003E6F6F">
        <w:rPr>
          <w:rFonts w:ascii="Times New Roman" w:hAnsi="Times New Roman" w:cs="Times New Roman"/>
          <w:sz w:val="24"/>
          <w:szCs w:val="24"/>
        </w:rPr>
        <w:t xml:space="preserve">nuance </w:t>
      </w:r>
      <w:r w:rsidR="00450D9B" w:rsidRPr="003E6F6F">
        <w:rPr>
          <w:rFonts w:ascii="Times New Roman" w:hAnsi="Times New Roman" w:cs="Times New Roman"/>
          <w:sz w:val="24"/>
          <w:szCs w:val="24"/>
        </w:rPr>
        <w:t>in</w:t>
      </w:r>
      <w:r w:rsidRPr="003E6F6F">
        <w:rPr>
          <w:rFonts w:ascii="Times New Roman" w:hAnsi="Times New Roman" w:cs="Times New Roman"/>
          <w:sz w:val="24"/>
          <w:szCs w:val="24"/>
        </w:rPr>
        <w:t xml:space="preserve"> his approach to authority. Despite his </w:t>
      </w:r>
      <w:r w:rsidRPr="003E6F6F">
        <w:rPr>
          <w:rFonts w:ascii="Times New Roman" w:hAnsi="Times New Roman" w:cs="Times New Roman"/>
          <w:noProof/>
          <w:sz w:val="24"/>
          <w:szCs w:val="24"/>
        </w:rPr>
        <w:t>basic</w:t>
      </w:r>
      <w:r w:rsidRPr="003E6F6F">
        <w:rPr>
          <w:rFonts w:ascii="Times New Roman" w:hAnsi="Times New Roman" w:cs="Times New Roman"/>
          <w:sz w:val="24"/>
          <w:szCs w:val="24"/>
        </w:rPr>
        <w:t xml:space="preserve"> respect for the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 and its centrality he </w:t>
      </w:r>
      <w:r w:rsidR="00435C83" w:rsidRPr="003E6F6F">
        <w:rPr>
          <w:rFonts w:ascii="Times New Roman" w:hAnsi="Times New Roman" w:cs="Times New Roman"/>
          <w:sz w:val="24"/>
          <w:szCs w:val="24"/>
        </w:rPr>
        <w:t>maintains</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a clear</w:t>
      </w:r>
      <w:r w:rsidRPr="003E6F6F">
        <w:rPr>
          <w:rFonts w:ascii="Times New Roman" w:hAnsi="Times New Roman" w:cs="Times New Roman"/>
          <w:sz w:val="24"/>
          <w:szCs w:val="24"/>
        </w:rPr>
        <w:t xml:space="preserve"> conviction that not every judicial decision should derive from the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 and </w:t>
      </w:r>
      <w:r w:rsidRPr="003E6F6F">
        <w:rPr>
          <w:rFonts w:ascii="Times New Roman" w:hAnsi="Times New Roman" w:cs="Times New Roman"/>
          <w:noProof/>
          <w:sz w:val="24"/>
          <w:szCs w:val="24"/>
        </w:rPr>
        <w:t>th</w:t>
      </w:r>
      <w:r w:rsidR="00435C83" w:rsidRPr="003E6F6F">
        <w:rPr>
          <w:rFonts w:ascii="Times New Roman" w:hAnsi="Times New Roman" w:cs="Times New Roman"/>
          <w:noProof/>
          <w:sz w:val="24"/>
          <w:szCs w:val="24"/>
        </w:rPr>
        <w:t>at</w:t>
      </w:r>
      <w:r w:rsidRPr="003E6F6F">
        <w:rPr>
          <w:rFonts w:ascii="Times New Roman" w:hAnsi="Times New Roman" w:cs="Times New Roman"/>
          <w:noProof/>
          <w:sz w:val="24"/>
          <w:szCs w:val="24"/>
        </w:rPr>
        <w:t xml:space="preserve"> exception</w:t>
      </w:r>
      <w:r w:rsidR="00435C83" w:rsidRPr="003E6F6F">
        <w:rPr>
          <w:rFonts w:ascii="Times New Roman" w:hAnsi="Times New Roman" w:cs="Times New Roman"/>
          <w:noProof/>
          <w:sz w:val="24"/>
          <w:szCs w:val="24"/>
        </w:rPr>
        <w:t>s</w:t>
      </w:r>
      <w:r w:rsidRPr="003E6F6F">
        <w:rPr>
          <w:rFonts w:ascii="Times New Roman" w:hAnsi="Times New Roman" w:cs="Times New Roman"/>
          <w:sz w:val="24"/>
          <w:szCs w:val="24"/>
        </w:rPr>
        <w:t xml:space="preserve"> to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ic rules are allowed. For example, the ruling on the necessity for two witnesses can be set aside for disputes involving property, since the topic is not mentioned directly in the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 making the </w:t>
      </w:r>
      <w:r w:rsidR="00D41E20" w:rsidRPr="003E6F6F">
        <w:rPr>
          <w:rFonts w:ascii="Times New Roman" w:hAnsi="Times New Roman" w:cs="Times New Roman"/>
          <w:noProof/>
          <w:sz w:val="24"/>
          <w:szCs w:val="24"/>
        </w:rPr>
        <w:t>s</w:t>
      </w:r>
      <w:r w:rsidRPr="003E6F6F">
        <w:rPr>
          <w:rFonts w:ascii="Times New Roman" w:hAnsi="Times New Roman" w:cs="Times New Roman"/>
          <w:noProof/>
          <w:sz w:val="24"/>
          <w:szCs w:val="24"/>
        </w:rPr>
        <w:t>unna</w:t>
      </w:r>
      <w:r w:rsidRPr="003E6F6F">
        <w:rPr>
          <w:rFonts w:ascii="Times New Roman" w:hAnsi="Times New Roman" w:cs="Times New Roman"/>
          <w:sz w:val="24"/>
          <w:szCs w:val="24"/>
        </w:rPr>
        <w:t xml:space="preserve"> the establishing authority.</w:t>
      </w:r>
      <w:r w:rsidRPr="003E6F6F">
        <w:rPr>
          <w:rStyle w:val="FootnoteReference"/>
          <w:rFonts w:ascii="Times New Roman" w:hAnsi="Times New Roman" w:cs="Times New Roman"/>
          <w:sz w:val="24"/>
          <w:szCs w:val="24"/>
        </w:rPr>
        <w:footnoteReference w:id="15"/>
      </w:r>
      <w:r w:rsidRPr="003E6F6F">
        <w:rPr>
          <w:rFonts w:ascii="Times New Roman" w:hAnsi="Times New Roman" w:cs="Times New Roman"/>
          <w:sz w:val="24"/>
          <w:szCs w:val="24"/>
        </w:rPr>
        <w:t xml:space="preserve"> </w:t>
      </w:r>
    </w:p>
    <w:p w:rsidR="00450D9B" w:rsidRPr="003E6F6F" w:rsidRDefault="00450D9B"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Much less authority </w:t>
      </w:r>
      <w:r w:rsidRPr="003E6F6F">
        <w:rPr>
          <w:rFonts w:ascii="Times New Roman" w:hAnsi="Times New Roman" w:cs="Times New Roman"/>
          <w:noProof/>
          <w:sz w:val="24"/>
          <w:szCs w:val="24"/>
        </w:rPr>
        <w:t>is given</w:t>
      </w:r>
      <w:r w:rsidRPr="003E6F6F">
        <w:rPr>
          <w:rFonts w:ascii="Times New Roman" w:hAnsi="Times New Roman" w:cs="Times New Roman"/>
          <w:sz w:val="24"/>
          <w:szCs w:val="24"/>
        </w:rPr>
        <w:t xml:space="preserve"> to </w:t>
      </w:r>
      <w:r w:rsidR="00D41E20" w:rsidRPr="003E6F6F">
        <w:rPr>
          <w:rFonts w:ascii="Times New Roman" w:hAnsi="Times New Roman" w:cs="Times New Roman"/>
          <w:i/>
          <w:iCs/>
          <w:sz w:val="24"/>
          <w:szCs w:val="24"/>
        </w:rPr>
        <w:t>ḳiyās</w:t>
      </w:r>
      <w:r w:rsidRPr="003E6F6F">
        <w:rPr>
          <w:rFonts w:ascii="Times New Roman" w:hAnsi="Times New Roman" w:cs="Times New Roman"/>
          <w:i/>
          <w:sz w:val="24"/>
          <w:szCs w:val="24"/>
        </w:rPr>
        <w:t xml:space="preserve"> </w:t>
      </w:r>
      <w:r w:rsidRPr="003E6F6F">
        <w:rPr>
          <w:rFonts w:ascii="Times New Roman" w:hAnsi="Times New Roman" w:cs="Times New Roman"/>
          <w:sz w:val="24"/>
          <w:szCs w:val="24"/>
        </w:rPr>
        <w:t>(analogy</w:t>
      </w:r>
      <w:r w:rsidRPr="003E6F6F">
        <w:rPr>
          <w:rFonts w:ascii="Times New Roman" w:hAnsi="Times New Roman" w:cs="Times New Roman"/>
          <w:i/>
          <w:sz w:val="24"/>
          <w:szCs w:val="24"/>
        </w:rPr>
        <w:t>)</w:t>
      </w:r>
      <w:r w:rsidRPr="003E6F6F">
        <w:rPr>
          <w:rFonts w:ascii="Times New Roman" w:hAnsi="Times New Roman" w:cs="Times New Roman"/>
          <w:sz w:val="24"/>
          <w:szCs w:val="24"/>
        </w:rPr>
        <w:t xml:space="preserve"> and </w:t>
      </w:r>
      <w:r w:rsidR="00D41E20" w:rsidRPr="003E6F6F">
        <w:rPr>
          <w:rFonts w:ascii="Times New Roman" w:hAnsi="Times New Roman" w:cs="Times New Roman"/>
          <w:i/>
          <w:iCs/>
          <w:sz w:val="24"/>
          <w:szCs w:val="24"/>
        </w:rPr>
        <w:t>id̲j̲tihād</w:t>
      </w:r>
      <w:r w:rsidR="00D41E20" w:rsidRPr="003E6F6F">
        <w:rPr>
          <w:rFonts w:ascii="Times New Roman" w:hAnsi="Times New Roman" w:cs="Times New Roman"/>
          <w:i/>
          <w:sz w:val="24"/>
          <w:szCs w:val="24"/>
        </w:rPr>
        <w:t xml:space="preserve"> </w:t>
      </w:r>
      <w:r w:rsidRPr="003E6F6F">
        <w:rPr>
          <w:rFonts w:ascii="Times New Roman" w:hAnsi="Times New Roman" w:cs="Times New Roman"/>
          <w:sz w:val="24"/>
          <w:szCs w:val="24"/>
        </w:rPr>
        <w:t xml:space="preserve">(personal effort), concepts that will be examined in greater detail as we consider the remaining schools. There use </w:t>
      </w:r>
      <w:r w:rsidRPr="003E6F6F">
        <w:rPr>
          <w:rFonts w:ascii="Times New Roman" w:hAnsi="Times New Roman" w:cs="Times New Roman"/>
          <w:noProof/>
          <w:sz w:val="24"/>
          <w:szCs w:val="24"/>
        </w:rPr>
        <w:t>was</w:t>
      </w:r>
      <w:r w:rsidRPr="003E6F6F">
        <w:rPr>
          <w:rFonts w:ascii="Times New Roman" w:hAnsi="Times New Roman" w:cs="Times New Roman"/>
          <w:sz w:val="24"/>
          <w:szCs w:val="24"/>
        </w:rPr>
        <w:t xml:space="preserve"> extremely restrained, likely out of deference to the companions and the consensus of Medina. It has </w:t>
      </w:r>
      <w:r w:rsidRPr="003E6F6F">
        <w:rPr>
          <w:rFonts w:ascii="Times New Roman" w:hAnsi="Times New Roman" w:cs="Times New Roman"/>
          <w:noProof/>
          <w:sz w:val="24"/>
          <w:szCs w:val="24"/>
        </w:rPr>
        <w:t>been said</w:t>
      </w:r>
      <w:r w:rsidRPr="003E6F6F">
        <w:rPr>
          <w:rFonts w:ascii="Times New Roman" w:hAnsi="Times New Roman" w:cs="Times New Roman"/>
          <w:sz w:val="24"/>
          <w:szCs w:val="24"/>
        </w:rPr>
        <w:t xml:space="preserve"> that Maliki’s greatest fear was producing legal judgments based on his </w:t>
      </w:r>
      <w:r w:rsidRPr="003E6F6F">
        <w:rPr>
          <w:rFonts w:ascii="Times New Roman" w:hAnsi="Times New Roman" w:cs="Times New Roman"/>
          <w:noProof/>
          <w:sz w:val="24"/>
          <w:szCs w:val="24"/>
        </w:rPr>
        <w:t>own</w:t>
      </w:r>
      <w:r w:rsidRPr="003E6F6F">
        <w:rPr>
          <w:rFonts w:ascii="Times New Roman" w:hAnsi="Times New Roman" w:cs="Times New Roman"/>
          <w:sz w:val="24"/>
          <w:szCs w:val="24"/>
        </w:rPr>
        <w:t xml:space="preserve"> </w:t>
      </w:r>
      <w:r w:rsidRPr="003E6F6F">
        <w:rPr>
          <w:rFonts w:ascii="Times New Roman" w:hAnsi="Times New Roman" w:cs="Times New Roman"/>
          <w:i/>
          <w:sz w:val="24"/>
          <w:szCs w:val="24"/>
        </w:rPr>
        <w:t>ra‘y</w:t>
      </w:r>
      <w:r w:rsidRPr="003E6F6F">
        <w:rPr>
          <w:rFonts w:ascii="Times New Roman" w:hAnsi="Times New Roman" w:cs="Times New Roman"/>
          <w:sz w:val="24"/>
          <w:szCs w:val="24"/>
        </w:rPr>
        <w:t xml:space="preserve"> (opinion).</w:t>
      </w:r>
      <w:r w:rsidRPr="003E6F6F">
        <w:rPr>
          <w:rStyle w:val="FootnoteReference"/>
          <w:rFonts w:ascii="Times New Roman" w:hAnsi="Times New Roman" w:cs="Times New Roman"/>
          <w:sz w:val="24"/>
          <w:szCs w:val="24"/>
        </w:rPr>
        <w:footnoteReference w:id="16"/>
      </w:r>
    </w:p>
    <w:p w:rsidR="009B2A94" w:rsidRDefault="00D41E20"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t>Ḥanīfi School</w:t>
      </w:r>
    </w:p>
    <w:p w:rsidR="00537B05" w:rsidRPr="009B2A94" w:rsidRDefault="008838A5" w:rsidP="003E6F6F">
      <w:pPr>
        <w:spacing w:line="360" w:lineRule="auto"/>
        <w:rPr>
          <w:rFonts w:ascii="Times New Roman" w:hAnsi="Times New Roman" w:cs="Times New Roman"/>
          <w:b/>
          <w:sz w:val="24"/>
          <w:szCs w:val="24"/>
        </w:rPr>
      </w:pPr>
      <w:r w:rsidRPr="003E6F6F">
        <w:rPr>
          <w:rFonts w:ascii="Times New Roman" w:hAnsi="Times New Roman" w:cs="Times New Roman"/>
          <w:sz w:val="24"/>
          <w:szCs w:val="24"/>
        </w:rPr>
        <w:t>Our next school was founded in Iraq by Abū Ḥanīfa (d. 767). It drew its th</w:t>
      </w:r>
      <w:r w:rsidR="001308BD" w:rsidRPr="003E6F6F">
        <w:rPr>
          <w:rFonts w:ascii="Times New Roman" w:hAnsi="Times New Roman" w:cs="Times New Roman"/>
          <w:sz w:val="24"/>
          <w:szCs w:val="24"/>
        </w:rPr>
        <w:t>inking</w:t>
      </w:r>
      <w:r w:rsidRPr="003E6F6F">
        <w:rPr>
          <w:rFonts w:ascii="Times New Roman" w:hAnsi="Times New Roman" w:cs="Times New Roman"/>
          <w:sz w:val="24"/>
          <w:szCs w:val="24"/>
        </w:rPr>
        <w:t xml:space="preserve"> not primarily from Medinan sources but rather from ancient schools in Kūfa and Baṣra and more specifically from texts produced by </w:t>
      </w:r>
      <w:r w:rsidR="001308BD" w:rsidRPr="003E6F6F">
        <w:rPr>
          <w:rFonts w:ascii="Times New Roman" w:hAnsi="Times New Roman" w:cs="Times New Roman"/>
          <w:noProof/>
          <w:sz w:val="24"/>
          <w:szCs w:val="24"/>
        </w:rPr>
        <w:t>some</w:t>
      </w:r>
      <w:r w:rsidRPr="003E6F6F">
        <w:rPr>
          <w:rFonts w:ascii="Times New Roman" w:hAnsi="Times New Roman" w:cs="Times New Roman"/>
          <w:sz w:val="24"/>
          <w:szCs w:val="24"/>
        </w:rPr>
        <w:t xml:space="preserve"> prominent charismatic scholars including </w:t>
      </w:r>
      <w:bookmarkStart w:id="14" w:name="_Hlk500195509"/>
      <w:r w:rsidRPr="003E6F6F">
        <w:rPr>
          <w:rFonts w:ascii="Times New Roman" w:hAnsi="Times New Roman" w:cs="Times New Roman"/>
          <w:sz w:val="24"/>
          <w:szCs w:val="24"/>
        </w:rPr>
        <w:t>Abu Yūsuf and al-S̲h̲aybānī</w:t>
      </w:r>
      <w:r w:rsidR="00537B05" w:rsidRPr="003E6F6F">
        <w:rPr>
          <w:rFonts w:ascii="Times New Roman" w:hAnsi="Times New Roman" w:cs="Times New Roman"/>
          <w:sz w:val="24"/>
          <w:szCs w:val="24"/>
        </w:rPr>
        <w:t>,</w:t>
      </w:r>
      <w:r w:rsidRPr="003E6F6F">
        <w:rPr>
          <w:rFonts w:ascii="Times New Roman" w:hAnsi="Times New Roman" w:cs="Times New Roman"/>
          <w:sz w:val="24"/>
          <w:szCs w:val="24"/>
        </w:rPr>
        <w:t xml:space="preserve"> </w:t>
      </w:r>
      <w:bookmarkEnd w:id="14"/>
      <w:r w:rsidRPr="003E6F6F">
        <w:rPr>
          <w:rFonts w:ascii="Times New Roman" w:hAnsi="Times New Roman" w:cs="Times New Roman"/>
          <w:sz w:val="24"/>
          <w:szCs w:val="24"/>
        </w:rPr>
        <w:t>amongst others. The jurists did not always agree resulting in less doctrinal uniformity than that observed in other schools.</w:t>
      </w:r>
      <w:r w:rsidRPr="003E6F6F">
        <w:rPr>
          <w:rStyle w:val="FootnoteReference"/>
          <w:rFonts w:ascii="Times New Roman" w:hAnsi="Times New Roman" w:cs="Times New Roman"/>
          <w:sz w:val="24"/>
          <w:szCs w:val="24"/>
        </w:rPr>
        <w:footnoteReference w:id="17"/>
      </w:r>
      <w:r w:rsidRPr="003E6F6F">
        <w:rPr>
          <w:rFonts w:ascii="Times New Roman" w:hAnsi="Times New Roman" w:cs="Times New Roman"/>
          <w:sz w:val="24"/>
          <w:szCs w:val="24"/>
        </w:rPr>
        <w:t xml:space="preserve"> Moreover the geographic </w:t>
      </w:r>
      <w:r w:rsidR="00537B05" w:rsidRPr="003E6F6F">
        <w:rPr>
          <w:rFonts w:ascii="Times New Roman" w:hAnsi="Times New Roman" w:cs="Times New Roman"/>
          <w:sz w:val="24"/>
          <w:szCs w:val="24"/>
        </w:rPr>
        <w:t xml:space="preserve">location </w:t>
      </w:r>
      <w:r w:rsidRPr="003E6F6F">
        <w:rPr>
          <w:rFonts w:ascii="Times New Roman" w:hAnsi="Times New Roman" w:cs="Times New Roman"/>
          <w:sz w:val="24"/>
          <w:szCs w:val="24"/>
        </w:rPr>
        <w:t xml:space="preserve">clearly influenced they format of the law. This was no simple nomadic community unwilling to stray far from the </w:t>
      </w:r>
      <w:r w:rsidR="00D41E20" w:rsidRPr="003E6F6F">
        <w:rPr>
          <w:rFonts w:ascii="Times New Roman" w:hAnsi="Times New Roman" w:cs="Times New Roman"/>
          <w:iCs/>
          <w:sz w:val="24"/>
          <w:szCs w:val="24"/>
        </w:rPr>
        <w:t>Ḳurʾān</w:t>
      </w:r>
      <w:r w:rsidRPr="003E6F6F">
        <w:rPr>
          <w:rFonts w:ascii="Times New Roman" w:hAnsi="Times New Roman" w:cs="Times New Roman"/>
          <w:sz w:val="24"/>
          <w:szCs w:val="24"/>
        </w:rPr>
        <w:t xml:space="preserve"> and Sunnah. Rather it was more urban and culturally diverse, a geographically removed ‘new town’.</w:t>
      </w:r>
      <w:r w:rsidRPr="003E6F6F">
        <w:rPr>
          <w:rStyle w:val="FootnoteReference"/>
          <w:rFonts w:ascii="Times New Roman" w:hAnsi="Times New Roman" w:cs="Times New Roman"/>
          <w:sz w:val="24"/>
          <w:szCs w:val="24"/>
        </w:rPr>
        <w:footnoteReference w:id="18"/>
      </w:r>
      <w:r w:rsidRPr="003E6F6F">
        <w:rPr>
          <w:rFonts w:ascii="Times New Roman" w:hAnsi="Times New Roman" w:cs="Times New Roman"/>
          <w:sz w:val="24"/>
          <w:szCs w:val="24"/>
        </w:rPr>
        <w:t xml:space="preserve"> </w:t>
      </w:r>
      <w:r w:rsidR="00537B05" w:rsidRPr="003E6F6F">
        <w:rPr>
          <w:rFonts w:ascii="Times New Roman" w:hAnsi="Times New Roman" w:cs="Times New Roman"/>
          <w:sz w:val="24"/>
          <w:szCs w:val="24"/>
        </w:rPr>
        <w:t xml:space="preserve">It reacted to traditionalist </w:t>
      </w:r>
      <w:r w:rsidR="00D41E20" w:rsidRPr="003E6F6F">
        <w:rPr>
          <w:rFonts w:ascii="Times New Roman" w:hAnsi="Times New Roman" w:cs="Times New Roman"/>
          <w:sz w:val="24"/>
          <w:szCs w:val="24"/>
        </w:rPr>
        <w:t>Māliki</w:t>
      </w:r>
      <w:r w:rsidR="00537B05" w:rsidRPr="003E6F6F">
        <w:rPr>
          <w:rFonts w:ascii="Times New Roman" w:hAnsi="Times New Roman" w:cs="Times New Roman"/>
          <w:sz w:val="24"/>
          <w:szCs w:val="24"/>
        </w:rPr>
        <w:t xml:space="preserve"> views; dispensing with the idea that the Medinan consensus (</w:t>
      </w:r>
      <w:r w:rsidR="00D41E20" w:rsidRPr="003E6F6F">
        <w:rPr>
          <w:rFonts w:ascii="Times New Roman" w:hAnsi="Times New Roman" w:cs="Times New Roman"/>
          <w:i/>
          <w:iCs/>
          <w:sz w:val="24"/>
          <w:szCs w:val="24"/>
        </w:rPr>
        <w:t>id̲j̲māʿ</w:t>
      </w:r>
      <w:r w:rsidR="00537B05" w:rsidRPr="003E6F6F">
        <w:rPr>
          <w:rFonts w:ascii="Times New Roman" w:hAnsi="Times New Roman" w:cs="Times New Roman"/>
          <w:sz w:val="24"/>
          <w:szCs w:val="24"/>
        </w:rPr>
        <w:t>) was the only legitimate one.</w:t>
      </w:r>
      <w:r w:rsidR="00537B05" w:rsidRPr="003E6F6F">
        <w:rPr>
          <w:rStyle w:val="FootnoteReference"/>
          <w:rFonts w:ascii="Times New Roman" w:hAnsi="Times New Roman" w:cs="Times New Roman"/>
          <w:sz w:val="24"/>
          <w:szCs w:val="24"/>
        </w:rPr>
        <w:footnoteReference w:id="19"/>
      </w:r>
    </w:p>
    <w:p w:rsidR="008838A5" w:rsidRPr="003E6F6F" w:rsidRDefault="00537B05" w:rsidP="003E6F6F">
      <w:pPr>
        <w:spacing w:line="360" w:lineRule="auto"/>
        <w:rPr>
          <w:rFonts w:ascii="Times New Roman" w:hAnsi="Times New Roman" w:cs="Times New Roman"/>
          <w:i/>
          <w:iCs/>
          <w:sz w:val="24"/>
          <w:szCs w:val="24"/>
        </w:rPr>
      </w:pPr>
      <w:r w:rsidRPr="003E6F6F">
        <w:rPr>
          <w:rFonts w:ascii="Times New Roman" w:hAnsi="Times New Roman" w:cs="Times New Roman"/>
          <w:noProof/>
          <w:sz w:val="24"/>
          <w:szCs w:val="24"/>
        </w:rPr>
        <w:lastRenderedPageBreak/>
        <w:t>This</w:t>
      </w:r>
      <w:r w:rsidRPr="003E6F6F">
        <w:rPr>
          <w:rFonts w:ascii="Times New Roman" w:hAnsi="Times New Roman" w:cs="Times New Roman"/>
          <w:sz w:val="24"/>
          <w:szCs w:val="24"/>
        </w:rPr>
        <w:t xml:space="preserve"> opened new philosophical avenues for generating legal opinions. </w:t>
      </w:r>
      <w:r w:rsidR="008838A5" w:rsidRPr="003E6F6F">
        <w:rPr>
          <w:rFonts w:ascii="Times New Roman" w:hAnsi="Times New Roman" w:cs="Times New Roman"/>
          <w:sz w:val="24"/>
          <w:szCs w:val="24"/>
        </w:rPr>
        <w:t xml:space="preserve">Its founder was not only technically competent and systematic but also able to combine his legal thought with those of established traditions. He produced a body of hypothetical cases for which he responded with </w:t>
      </w:r>
      <w:r w:rsidRPr="003E6F6F">
        <w:rPr>
          <w:rFonts w:ascii="Times New Roman" w:hAnsi="Times New Roman" w:cs="Times New Roman"/>
          <w:sz w:val="24"/>
          <w:szCs w:val="24"/>
        </w:rPr>
        <w:t>parallel</w:t>
      </w:r>
      <w:r w:rsidR="008838A5" w:rsidRPr="003E6F6F">
        <w:rPr>
          <w:rFonts w:ascii="Times New Roman" w:hAnsi="Times New Roman" w:cs="Times New Roman"/>
          <w:sz w:val="24"/>
          <w:szCs w:val="24"/>
        </w:rPr>
        <w:t xml:space="preserve"> analogies (</w:t>
      </w:r>
      <w:r w:rsidR="00D41E20" w:rsidRPr="003E6F6F">
        <w:rPr>
          <w:rFonts w:ascii="Times New Roman" w:hAnsi="Times New Roman" w:cs="Times New Roman"/>
          <w:i/>
          <w:iCs/>
          <w:sz w:val="24"/>
          <w:szCs w:val="24"/>
        </w:rPr>
        <w:t>ḳiyās</w:t>
      </w:r>
      <w:r w:rsidR="008838A5" w:rsidRPr="003E6F6F">
        <w:rPr>
          <w:rFonts w:ascii="Times New Roman" w:hAnsi="Times New Roman" w:cs="Times New Roman"/>
          <w:sz w:val="24"/>
          <w:szCs w:val="24"/>
        </w:rPr>
        <w:t>), leading to his recognition as the ‘leader of analogy’.</w:t>
      </w:r>
      <w:r w:rsidR="008838A5" w:rsidRPr="003E6F6F">
        <w:rPr>
          <w:rStyle w:val="FootnoteReference"/>
          <w:rFonts w:ascii="Times New Roman" w:hAnsi="Times New Roman" w:cs="Times New Roman"/>
          <w:sz w:val="24"/>
          <w:szCs w:val="24"/>
        </w:rPr>
        <w:footnoteReference w:id="20"/>
      </w:r>
      <w:r w:rsidR="008838A5" w:rsidRPr="003E6F6F">
        <w:rPr>
          <w:rFonts w:ascii="Times New Roman" w:hAnsi="Times New Roman" w:cs="Times New Roman"/>
          <w:sz w:val="24"/>
          <w:szCs w:val="24"/>
        </w:rPr>
        <w:t xml:space="preserve"> His </w:t>
      </w:r>
      <w:r w:rsidR="008838A5" w:rsidRPr="003E6F6F">
        <w:rPr>
          <w:rFonts w:ascii="Times New Roman" w:hAnsi="Times New Roman" w:cs="Times New Roman"/>
          <w:noProof/>
          <w:sz w:val="24"/>
          <w:szCs w:val="24"/>
        </w:rPr>
        <w:t>judicial</w:t>
      </w:r>
      <w:r w:rsidR="008838A5" w:rsidRPr="003E6F6F">
        <w:rPr>
          <w:rFonts w:ascii="Times New Roman" w:hAnsi="Times New Roman" w:cs="Times New Roman"/>
          <w:sz w:val="24"/>
          <w:szCs w:val="24"/>
        </w:rPr>
        <w:t xml:space="preserve"> mechanism started with the traditional authorities of </w:t>
      </w:r>
      <w:r w:rsidR="00D41E20" w:rsidRPr="003E6F6F">
        <w:rPr>
          <w:rFonts w:ascii="Times New Roman" w:hAnsi="Times New Roman" w:cs="Times New Roman"/>
          <w:iCs/>
          <w:sz w:val="24"/>
          <w:szCs w:val="24"/>
        </w:rPr>
        <w:t>Ḳurʾān</w:t>
      </w:r>
      <w:r w:rsidR="008838A5" w:rsidRPr="003E6F6F">
        <w:rPr>
          <w:rFonts w:ascii="Times New Roman" w:hAnsi="Times New Roman" w:cs="Times New Roman"/>
          <w:sz w:val="24"/>
          <w:szCs w:val="24"/>
        </w:rPr>
        <w:t xml:space="preserve"> and Sunnah followed by selective use of the witness of the companions. It</w:t>
      </w:r>
      <w:r w:rsidRPr="003E6F6F">
        <w:rPr>
          <w:rFonts w:ascii="Times New Roman" w:hAnsi="Times New Roman" w:cs="Times New Roman"/>
          <w:sz w:val="24"/>
          <w:szCs w:val="24"/>
        </w:rPr>
        <w:t xml:space="preserve"> next sought clarification on rulings </w:t>
      </w:r>
      <w:r w:rsidR="008838A5" w:rsidRPr="003E6F6F">
        <w:rPr>
          <w:rFonts w:ascii="Times New Roman" w:hAnsi="Times New Roman" w:cs="Times New Roman"/>
          <w:sz w:val="24"/>
          <w:szCs w:val="24"/>
        </w:rPr>
        <w:t xml:space="preserve">developed </w:t>
      </w:r>
      <w:r w:rsidR="001308BD" w:rsidRPr="003E6F6F">
        <w:rPr>
          <w:rFonts w:ascii="Times New Roman" w:hAnsi="Times New Roman" w:cs="Times New Roman"/>
          <w:noProof/>
          <w:sz w:val="24"/>
          <w:szCs w:val="24"/>
        </w:rPr>
        <w:t>by</w:t>
      </w:r>
      <w:r w:rsidRPr="003E6F6F">
        <w:rPr>
          <w:rFonts w:ascii="Times New Roman" w:hAnsi="Times New Roman" w:cs="Times New Roman"/>
          <w:sz w:val="24"/>
          <w:szCs w:val="24"/>
        </w:rPr>
        <w:t xml:space="preserve"> </w:t>
      </w:r>
      <w:r w:rsidR="008838A5" w:rsidRPr="003E6F6F">
        <w:rPr>
          <w:rFonts w:ascii="Times New Roman" w:hAnsi="Times New Roman" w:cs="Times New Roman"/>
          <w:sz w:val="24"/>
          <w:szCs w:val="24"/>
        </w:rPr>
        <w:t>past and contemporary scholars. And If no opinion</w:t>
      </w:r>
      <w:r w:rsidR="001308BD" w:rsidRPr="003E6F6F">
        <w:rPr>
          <w:rFonts w:ascii="Times New Roman" w:hAnsi="Times New Roman" w:cs="Times New Roman"/>
          <w:sz w:val="24"/>
          <w:szCs w:val="24"/>
        </w:rPr>
        <w:t xml:space="preserve">s </w:t>
      </w:r>
      <w:r w:rsidR="001308BD" w:rsidRPr="003E6F6F">
        <w:rPr>
          <w:rFonts w:ascii="Times New Roman" w:hAnsi="Times New Roman" w:cs="Times New Roman"/>
          <w:noProof/>
          <w:sz w:val="24"/>
          <w:szCs w:val="24"/>
        </w:rPr>
        <w:t>were still</w:t>
      </w:r>
      <w:r w:rsidRPr="003E6F6F">
        <w:rPr>
          <w:rFonts w:ascii="Times New Roman" w:hAnsi="Times New Roman" w:cs="Times New Roman"/>
          <w:noProof/>
          <w:sz w:val="24"/>
          <w:szCs w:val="24"/>
        </w:rPr>
        <w:t xml:space="preserve"> established</w:t>
      </w:r>
      <w:r w:rsidR="008838A5" w:rsidRPr="003E6F6F">
        <w:rPr>
          <w:rFonts w:ascii="Times New Roman" w:hAnsi="Times New Roman" w:cs="Times New Roman"/>
          <w:sz w:val="24"/>
          <w:szCs w:val="24"/>
        </w:rPr>
        <w:t xml:space="preserve"> </w:t>
      </w:r>
      <w:r w:rsidRPr="003E6F6F">
        <w:rPr>
          <w:rFonts w:ascii="Times New Roman" w:hAnsi="Times New Roman" w:cs="Times New Roman"/>
          <w:sz w:val="24"/>
          <w:szCs w:val="24"/>
        </w:rPr>
        <w:t>Hanafi</w:t>
      </w:r>
      <w:r w:rsidR="008838A5" w:rsidRPr="003E6F6F">
        <w:rPr>
          <w:rFonts w:ascii="Times New Roman" w:hAnsi="Times New Roman" w:cs="Times New Roman"/>
          <w:sz w:val="24"/>
          <w:szCs w:val="24"/>
        </w:rPr>
        <w:t xml:space="preserve"> would form his own since ‘they are only men like me’.</w:t>
      </w:r>
      <w:r w:rsidR="008838A5" w:rsidRPr="003E6F6F">
        <w:rPr>
          <w:rStyle w:val="FootnoteReference"/>
          <w:rFonts w:ascii="Times New Roman" w:hAnsi="Times New Roman" w:cs="Times New Roman"/>
          <w:sz w:val="24"/>
          <w:szCs w:val="24"/>
        </w:rPr>
        <w:footnoteReference w:id="21"/>
      </w:r>
      <w:r w:rsidR="008838A5" w:rsidRPr="003E6F6F">
        <w:rPr>
          <w:rFonts w:ascii="Times New Roman" w:hAnsi="Times New Roman" w:cs="Times New Roman"/>
          <w:b/>
          <w:sz w:val="24"/>
          <w:szCs w:val="24"/>
        </w:rPr>
        <w:t xml:space="preserve">  </w:t>
      </w:r>
    </w:p>
    <w:p w:rsidR="003E6F6F" w:rsidRDefault="00537B05"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The replacement of the Ummayad dynasty by the Abbasids, moved the centre of political authority to </w:t>
      </w:r>
      <w:r w:rsidRPr="003E6F6F">
        <w:rPr>
          <w:rFonts w:ascii="Times New Roman" w:hAnsi="Times New Roman" w:cs="Times New Roman"/>
          <w:i/>
          <w:sz w:val="24"/>
          <w:szCs w:val="24"/>
        </w:rPr>
        <w:t>Kufa</w:t>
      </w:r>
      <w:r w:rsidRPr="003E6F6F">
        <w:rPr>
          <w:rFonts w:ascii="Times New Roman" w:hAnsi="Times New Roman" w:cs="Times New Roman"/>
          <w:sz w:val="24"/>
          <w:szCs w:val="24"/>
        </w:rPr>
        <w:t xml:space="preserve">, providing a geopolitical advantage to the Hanafi over the other schools. </w:t>
      </w:r>
      <w:r w:rsidR="008838A5" w:rsidRPr="003E6F6F">
        <w:rPr>
          <w:rFonts w:ascii="Times New Roman" w:hAnsi="Times New Roman" w:cs="Times New Roman"/>
          <w:sz w:val="24"/>
          <w:szCs w:val="24"/>
        </w:rPr>
        <w:t>As the chief justice for a considerable part of the reign of the Abbasid dynast</w:t>
      </w:r>
      <w:r w:rsidRPr="003E6F6F">
        <w:rPr>
          <w:rFonts w:ascii="Times New Roman" w:hAnsi="Times New Roman" w:cs="Times New Roman"/>
          <w:sz w:val="24"/>
          <w:szCs w:val="24"/>
        </w:rPr>
        <w:t>y</w:t>
      </w:r>
      <w:r w:rsidR="008838A5" w:rsidRPr="003E6F6F">
        <w:rPr>
          <w:rFonts w:ascii="Times New Roman" w:hAnsi="Times New Roman" w:cs="Times New Roman"/>
          <w:sz w:val="24"/>
          <w:szCs w:val="24"/>
        </w:rPr>
        <w:t>, Abu Yūsuf took the Hanafi school’s theoretical basis and shaped and formed it in the day to day lives of ordinary Muslims.</w:t>
      </w:r>
      <w:r w:rsidR="008838A5" w:rsidRPr="003E6F6F">
        <w:rPr>
          <w:rStyle w:val="FootnoteReference"/>
          <w:rFonts w:ascii="Times New Roman" w:hAnsi="Times New Roman" w:cs="Times New Roman"/>
          <w:sz w:val="24"/>
          <w:szCs w:val="24"/>
        </w:rPr>
        <w:footnoteReference w:id="22"/>
      </w:r>
      <w:r w:rsidR="008838A5" w:rsidRPr="003E6F6F">
        <w:rPr>
          <w:rFonts w:ascii="Times New Roman" w:hAnsi="Times New Roman" w:cs="Times New Roman"/>
          <w:sz w:val="24"/>
          <w:szCs w:val="24"/>
        </w:rPr>
        <w:t xml:space="preserve"> This interplay between human agency and scholastic form was </w:t>
      </w:r>
      <w:r w:rsidR="001308BD" w:rsidRPr="003E6F6F">
        <w:rPr>
          <w:rFonts w:ascii="Times New Roman" w:hAnsi="Times New Roman" w:cs="Times New Roman"/>
          <w:noProof/>
          <w:sz w:val="24"/>
          <w:szCs w:val="24"/>
        </w:rPr>
        <w:t>vital</w:t>
      </w:r>
      <w:r w:rsidR="008838A5" w:rsidRPr="003E6F6F">
        <w:rPr>
          <w:rFonts w:ascii="Times New Roman" w:hAnsi="Times New Roman" w:cs="Times New Roman"/>
          <w:sz w:val="24"/>
          <w:szCs w:val="24"/>
        </w:rPr>
        <w:t xml:space="preserve"> to its local development</w:t>
      </w:r>
      <w:r w:rsidR="001308BD" w:rsidRPr="003E6F6F">
        <w:rPr>
          <w:rFonts w:ascii="Times New Roman" w:hAnsi="Times New Roman" w:cs="Times New Roman"/>
          <w:sz w:val="24"/>
          <w:szCs w:val="24"/>
        </w:rPr>
        <w:t>,</w:t>
      </w:r>
      <w:r w:rsidR="008838A5" w:rsidRPr="003E6F6F">
        <w:rPr>
          <w:rFonts w:ascii="Times New Roman" w:hAnsi="Times New Roman" w:cs="Times New Roman"/>
          <w:sz w:val="24"/>
          <w:szCs w:val="24"/>
        </w:rPr>
        <w:t xml:space="preserve"> </w:t>
      </w:r>
      <w:r w:rsidR="008838A5" w:rsidRPr="003E6F6F">
        <w:rPr>
          <w:rFonts w:ascii="Times New Roman" w:hAnsi="Times New Roman" w:cs="Times New Roman"/>
          <w:noProof/>
          <w:sz w:val="24"/>
          <w:szCs w:val="24"/>
        </w:rPr>
        <w:t>and</w:t>
      </w:r>
      <w:r w:rsidR="008838A5"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it practical basis helped its </w:t>
      </w:r>
      <w:r w:rsidR="008838A5" w:rsidRPr="003E6F6F">
        <w:rPr>
          <w:rFonts w:ascii="Times New Roman" w:hAnsi="Times New Roman" w:cs="Times New Roman"/>
          <w:sz w:val="24"/>
          <w:szCs w:val="24"/>
        </w:rPr>
        <w:t xml:space="preserve">eventual uptake as it spread far beyond its Iraqi origins.  </w:t>
      </w:r>
    </w:p>
    <w:p w:rsidR="008838A5" w:rsidRPr="003E6F6F" w:rsidRDefault="00537B05"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The Hanafi school also borrowed from the development of </w:t>
      </w:r>
      <w:r w:rsidRPr="003E6F6F">
        <w:rPr>
          <w:rFonts w:ascii="Times New Roman" w:hAnsi="Times New Roman" w:cs="Times New Roman"/>
          <w:i/>
          <w:sz w:val="24"/>
          <w:szCs w:val="24"/>
        </w:rPr>
        <w:t>uṣūl al-fiqh</w:t>
      </w:r>
      <w:r w:rsidRPr="003E6F6F">
        <w:rPr>
          <w:rFonts w:ascii="Times New Roman" w:hAnsi="Times New Roman" w:cs="Times New Roman"/>
          <w:sz w:val="24"/>
          <w:szCs w:val="24"/>
        </w:rPr>
        <w:t xml:space="preserve"> (deducing the law from its sources) developed by </w:t>
      </w:r>
      <w:r w:rsidRPr="003E6F6F">
        <w:rPr>
          <w:rFonts w:ascii="Times New Roman" w:hAnsi="Times New Roman" w:cs="Times New Roman"/>
          <w:noProof/>
          <w:sz w:val="24"/>
          <w:szCs w:val="24"/>
        </w:rPr>
        <w:t>al-Shāfiʿī .</w:t>
      </w:r>
      <w:r w:rsidRPr="003E6F6F">
        <w:rPr>
          <w:rFonts w:ascii="Times New Roman" w:hAnsi="Times New Roman" w:cs="Times New Roman"/>
          <w:sz w:val="24"/>
          <w:szCs w:val="24"/>
        </w:rPr>
        <w:t xml:space="preserve"> A baseline of thought and acceptance within the ulema had </w:t>
      </w:r>
      <w:r w:rsidRPr="003E6F6F">
        <w:rPr>
          <w:rFonts w:ascii="Times New Roman" w:hAnsi="Times New Roman" w:cs="Times New Roman"/>
          <w:noProof/>
          <w:sz w:val="24"/>
          <w:szCs w:val="24"/>
        </w:rPr>
        <w:t>been established</w:t>
      </w:r>
      <w:r w:rsidRPr="003E6F6F">
        <w:rPr>
          <w:rFonts w:ascii="Times New Roman" w:hAnsi="Times New Roman" w:cs="Times New Roman"/>
          <w:sz w:val="24"/>
          <w:szCs w:val="24"/>
        </w:rPr>
        <w:t xml:space="preserve">, Hanafi added </w:t>
      </w:r>
      <w:r w:rsidRPr="003E6F6F">
        <w:rPr>
          <w:rFonts w:ascii="Times New Roman" w:hAnsi="Times New Roman" w:cs="Times New Roman"/>
          <w:i/>
          <w:sz w:val="24"/>
          <w:szCs w:val="24"/>
        </w:rPr>
        <w:t>istiḥsān</w:t>
      </w:r>
      <w:r w:rsidRPr="003E6F6F">
        <w:rPr>
          <w:rFonts w:ascii="Times New Roman" w:hAnsi="Times New Roman" w:cs="Times New Roman"/>
          <w:sz w:val="24"/>
          <w:szCs w:val="24"/>
        </w:rPr>
        <w:t xml:space="preserve"> (juristic preference) and </w:t>
      </w:r>
      <w:r w:rsidRPr="003E6F6F">
        <w:rPr>
          <w:rFonts w:ascii="Times New Roman" w:hAnsi="Times New Roman" w:cs="Times New Roman"/>
          <w:i/>
          <w:sz w:val="24"/>
          <w:szCs w:val="24"/>
        </w:rPr>
        <w:t xml:space="preserve">ʿurf </w:t>
      </w:r>
      <w:r w:rsidRPr="003E6F6F">
        <w:rPr>
          <w:rFonts w:ascii="Times New Roman" w:hAnsi="Times New Roman" w:cs="Times New Roman"/>
          <w:sz w:val="24"/>
          <w:szCs w:val="24"/>
        </w:rPr>
        <w:t xml:space="preserve">(what is known to be good). It needed these additions </w:t>
      </w:r>
      <w:r w:rsidR="001308BD" w:rsidRPr="003E6F6F">
        <w:rPr>
          <w:rFonts w:ascii="Times New Roman" w:hAnsi="Times New Roman" w:cs="Times New Roman"/>
          <w:sz w:val="24"/>
          <w:szCs w:val="24"/>
        </w:rPr>
        <w:t>to</w:t>
      </w:r>
      <w:r w:rsidRPr="003E6F6F">
        <w:rPr>
          <w:rFonts w:ascii="Times New Roman" w:hAnsi="Times New Roman" w:cs="Times New Roman"/>
          <w:sz w:val="24"/>
          <w:szCs w:val="24"/>
        </w:rPr>
        <w:t xml:space="preserve"> satisfy </w:t>
      </w:r>
      <w:r w:rsidR="007B2E27" w:rsidRPr="003E6F6F">
        <w:rPr>
          <w:rFonts w:ascii="Times New Roman" w:hAnsi="Times New Roman" w:cs="Times New Roman"/>
          <w:sz w:val="24"/>
          <w:szCs w:val="24"/>
        </w:rPr>
        <w:t>a</w:t>
      </w:r>
      <w:r w:rsidRPr="003E6F6F">
        <w:rPr>
          <w:rFonts w:ascii="Times New Roman" w:hAnsi="Times New Roman" w:cs="Times New Roman"/>
          <w:sz w:val="24"/>
          <w:szCs w:val="24"/>
        </w:rPr>
        <w:t xml:space="preserve"> </w:t>
      </w:r>
      <w:r w:rsidR="001308BD" w:rsidRPr="003E6F6F">
        <w:rPr>
          <w:rFonts w:ascii="Times New Roman" w:hAnsi="Times New Roman" w:cs="Times New Roman"/>
          <w:noProof/>
          <w:sz w:val="24"/>
          <w:szCs w:val="24"/>
        </w:rPr>
        <w:t>broa</w:t>
      </w:r>
      <w:r w:rsidRPr="003E6F6F">
        <w:rPr>
          <w:rFonts w:ascii="Times New Roman" w:hAnsi="Times New Roman" w:cs="Times New Roman"/>
          <w:noProof/>
          <w:sz w:val="24"/>
          <w:szCs w:val="24"/>
        </w:rPr>
        <w:t>der</w:t>
      </w:r>
      <w:r w:rsidRPr="003E6F6F">
        <w:rPr>
          <w:rFonts w:ascii="Times New Roman" w:hAnsi="Times New Roman" w:cs="Times New Roman"/>
          <w:sz w:val="24"/>
          <w:szCs w:val="24"/>
        </w:rPr>
        <w:t xml:space="preserve"> bas</w:t>
      </w:r>
      <w:r w:rsidR="007B2E27" w:rsidRPr="003E6F6F">
        <w:rPr>
          <w:rFonts w:ascii="Times New Roman" w:hAnsi="Times New Roman" w:cs="Times New Roman"/>
          <w:sz w:val="24"/>
          <w:szCs w:val="24"/>
        </w:rPr>
        <w:t>e</w:t>
      </w:r>
      <w:r w:rsidRPr="003E6F6F">
        <w:rPr>
          <w:rFonts w:ascii="Times New Roman" w:hAnsi="Times New Roman" w:cs="Times New Roman"/>
          <w:sz w:val="24"/>
          <w:szCs w:val="24"/>
        </w:rPr>
        <w:t xml:space="preserve"> from which </w:t>
      </w:r>
      <w:r w:rsidR="007B2E27" w:rsidRPr="003E6F6F">
        <w:rPr>
          <w:rFonts w:ascii="Times New Roman" w:hAnsi="Times New Roman" w:cs="Times New Roman"/>
          <w:sz w:val="24"/>
          <w:szCs w:val="24"/>
        </w:rPr>
        <w:t>to draw</w:t>
      </w:r>
      <w:r w:rsidRPr="003E6F6F">
        <w:rPr>
          <w:rFonts w:ascii="Times New Roman" w:hAnsi="Times New Roman" w:cs="Times New Roman"/>
          <w:sz w:val="24"/>
          <w:szCs w:val="24"/>
        </w:rPr>
        <w:t xml:space="preserve"> legal precedents.</w:t>
      </w:r>
    </w:p>
    <w:p w:rsidR="00537B05" w:rsidRPr="003E6F6F" w:rsidRDefault="00D41E20"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t>S̲h̲āfiʿSchool</w:t>
      </w:r>
    </w:p>
    <w:p w:rsidR="00D66103" w:rsidRPr="003E6F6F" w:rsidRDefault="00096F89"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This </w:t>
      </w:r>
      <w:r w:rsidRPr="003E6F6F">
        <w:rPr>
          <w:rFonts w:ascii="Times New Roman" w:hAnsi="Times New Roman" w:cs="Times New Roman"/>
          <w:noProof/>
          <w:sz w:val="24"/>
          <w:szCs w:val="24"/>
        </w:rPr>
        <w:t>legal</w:t>
      </w:r>
      <w:r w:rsidRPr="003E6F6F">
        <w:rPr>
          <w:rFonts w:ascii="Times New Roman" w:hAnsi="Times New Roman" w:cs="Times New Roman"/>
          <w:sz w:val="24"/>
          <w:szCs w:val="24"/>
        </w:rPr>
        <w:t xml:space="preserve"> school </w:t>
      </w:r>
      <w:r w:rsidR="00D66103" w:rsidRPr="003E6F6F">
        <w:rPr>
          <w:rFonts w:ascii="Times New Roman" w:hAnsi="Times New Roman" w:cs="Times New Roman"/>
          <w:sz w:val="24"/>
          <w:szCs w:val="24"/>
        </w:rPr>
        <w:t xml:space="preserve">or </w:t>
      </w:r>
      <w:r w:rsidRPr="003E6F6F">
        <w:rPr>
          <w:rFonts w:ascii="Times New Roman" w:hAnsi="Times New Roman" w:cs="Times New Roman"/>
          <w:i/>
          <w:iCs/>
          <w:sz w:val="24"/>
          <w:szCs w:val="24"/>
        </w:rPr>
        <w:t>mad̲h̲hab</w:t>
      </w:r>
      <w:r w:rsidRPr="003E6F6F">
        <w:rPr>
          <w:rFonts w:ascii="Times New Roman" w:hAnsi="Times New Roman" w:cs="Times New Roman"/>
          <w:sz w:val="24"/>
          <w:szCs w:val="24"/>
        </w:rPr>
        <w:t> was ‘founded’ by Imam al-</w:t>
      </w:r>
      <w:bookmarkStart w:id="15" w:name="_Hlk500192758"/>
      <w:r w:rsidRPr="003E6F6F">
        <w:rPr>
          <w:rFonts w:ascii="Times New Roman" w:hAnsi="Times New Roman" w:cs="Times New Roman"/>
          <w:sz w:val="24"/>
          <w:szCs w:val="24"/>
        </w:rPr>
        <w:t xml:space="preserve">S̲h̲āfiʿr </w:t>
      </w:r>
      <w:bookmarkEnd w:id="15"/>
      <w:r w:rsidRPr="003E6F6F">
        <w:rPr>
          <w:rFonts w:ascii="Times New Roman" w:hAnsi="Times New Roman" w:cs="Times New Roman"/>
          <w:sz w:val="24"/>
          <w:szCs w:val="24"/>
        </w:rPr>
        <w:t>(d. 820). He lived in both Baghdad and Egypt though the doctrines that survived and formed the backbone of its thought were developed firmly in the latter.</w:t>
      </w:r>
      <w:r w:rsidRPr="003E6F6F">
        <w:rPr>
          <w:rStyle w:val="FootnoteReference"/>
          <w:rFonts w:ascii="Times New Roman" w:hAnsi="Times New Roman" w:cs="Times New Roman"/>
          <w:sz w:val="24"/>
          <w:szCs w:val="24"/>
        </w:rPr>
        <w:footnoteReference w:id="23"/>
      </w:r>
      <w:r w:rsidRPr="003E6F6F">
        <w:rPr>
          <w:rFonts w:ascii="Times New Roman" w:hAnsi="Times New Roman" w:cs="Times New Roman"/>
          <w:sz w:val="24"/>
          <w:szCs w:val="24"/>
        </w:rPr>
        <w:t xml:space="preserve"> It is noteworth</w:t>
      </w:r>
      <w:r w:rsidR="00D66103" w:rsidRPr="003E6F6F">
        <w:rPr>
          <w:rFonts w:ascii="Times New Roman" w:hAnsi="Times New Roman" w:cs="Times New Roman"/>
          <w:sz w:val="24"/>
          <w:szCs w:val="24"/>
        </w:rPr>
        <w:t>y</w:t>
      </w:r>
      <w:r w:rsidRPr="003E6F6F">
        <w:rPr>
          <w:rFonts w:ascii="Times New Roman" w:hAnsi="Times New Roman" w:cs="Times New Roman"/>
          <w:sz w:val="24"/>
          <w:szCs w:val="24"/>
        </w:rPr>
        <w:t xml:space="preserve"> that </w:t>
      </w:r>
      <w:r w:rsidR="00D66103" w:rsidRPr="003E6F6F">
        <w:rPr>
          <w:rFonts w:ascii="Times New Roman" w:hAnsi="Times New Roman" w:cs="Times New Roman"/>
          <w:sz w:val="24"/>
          <w:szCs w:val="24"/>
        </w:rPr>
        <w:t xml:space="preserve">S̲h̲āfiʿ </w:t>
      </w:r>
      <w:r w:rsidRPr="003E6F6F">
        <w:rPr>
          <w:rFonts w:ascii="Times New Roman" w:hAnsi="Times New Roman" w:cs="Times New Roman"/>
          <w:sz w:val="24"/>
          <w:szCs w:val="24"/>
        </w:rPr>
        <w:t>had no intention of founding a school, with one of his disciples, Muzani, recalling that his master forbade anyone to follow him.</w:t>
      </w:r>
      <w:r w:rsidRPr="003E6F6F">
        <w:rPr>
          <w:rStyle w:val="FootnoteReference"/>
          <w:rFonts w:ascii="Times New Roman" w:hAnsi="Times New Roman" w:cs="Times New Roman"/>
          <w:sz w:val="24"/>
          <w:szCs w:val="24"/>
        </w:rPr>
        <w:footnoteReference w:id="24"/>
      </w:r>
      <w:r w:rsidRPr="003E6F6F">
        <w:rPr>
          <w:rFonts w:ascii="Times New Roman" w:hAnsi="Times New Roman" w:cs="Times New Roman"/>
          <w:sz w:val="24"/>
          <w:szCs w:val="24"/>
        </w:rPr>
        <w:t xml:space="preserve"> S̲h̲āfiʿī was reacting </w:t>
      </w:r>
      <w:r w:rsidR="00D66103" w:rsidRPr="003E6F6F">
        <w:rPr>
          <w:rFonts w:ascii="Times New Roman" w:hAnsi="Times New Roman" w:cs="Times New Roman"/>
          <w:sz w:val="24"/>
          <w:szCs w:val="24"/>
        </w:rPr>
        <w:t xml:space="preserve">to </w:t>
      </w:r>
      <w:r w:rsidRPr="003E6F6F">
        <w:rPr>
          <w:rFonts w:ascii="Times New Roman" w:hAnsi="Times New Roman" w:cs="Times New Roman"/>
          <w:sz w:val="24"/>
          <w:szCs w:val="24"/>
        </w:rPr>
        <w:t xml:space="preserve">the other schools and their dependency of followers and founders. He felt particular ire toward Abu Yūsuf and al-S̲h̲aybānī and their relationship </w:t>
      </w:r>
      <w:r w:rsidRPr="003E6F6F">
        <w:rPr>
          <w:rFonts w:ascii="Times New Roman" w:hAnsi="Times New Roman" w:cs="Times New Roman"/>
          <w:sz w:val="24"/>
          <w:szCs w:val="24"/>
        </w:rPr>
        <w:lastRenderedPageBreak/>
        <w:t xml:space="preserve">to Hanafi. He felt similarly to anyone that held </w:t>
      </w:r>
      <w:r w:rsidR="00D41E20" w:rsidRPr="003E6F6F">
        <w:rPr>
          <w:rFonts w:ascii="Times New Roman" w:hAnsi="Times New Roman" w:cs="Times New Roman"/>
          <w:iCs/>
          <w:sz w:val="24"/>
          <w:szCs w:val="24"/>
        </w:rPr>
        <w:t>Mālik</w:t>
      </w:r>
      <w:r w:rsidRPr="003E6F6F">
        <w:rPr>
          <w:rFonts w:ascii="Times New Roman" w:hAnsi="Times New Roman" w:cs="Times New Roman"/>
          <w:sz w:val="24"/>
          <w:szCs w:val="24"/>
        </w:rPr>
        <w:t xml:space="preserve"> as their ‘master’, rejecting the idea that consensus should be formed by following an individual. In all cases his aim was to try and drive them away from</w:t>
      </w:r>
      <w:r w:rsidR="00D66103" w:rsidRPr="003E6F6F">
        <w:rPr>
          <w:rFonts w:ascii="Times New Roman" w:hAnsi="Times New Roman" w:cs="Times New Roman"/>
          <w:sz w:val="24"/>
          <w:szCs w:val="24"/>
        </w:rPr>
        <w:t xml:space="preserve"> the ideas of</w:t>
      </w:r>
      <w:r w:rsidRPr="003E6F6F">
        <w:rPr>
          <w:rFonts w:ascii="Times New Roman" w:hAnsi="Times New Roman" w:cs="Times New Roman"/>
          <w:sz w:val="24"/>
          <w:szCs w:val="24"/>
        </w:rPr>
        <w:t xml:space="preserve"> ‘men’ and back to the sunna of the Prophet.</w:t>
      </w:r>
      <w:r w:rsidR="00D66103" w:rsidRPr="003E6F6F">
        <w:rPr>
          <w:rFonts w:ascii="Times New Roman" w:hAnsi="Times New Roman" w:cs="Times New Roman"/>
          <w:sz w:val="24"/>
          <w:szCs w:val="24"/>
        </w:rPr>
        <w:t xml:space="preserve"> </w:t>
      </w:r>
      <w:bookmarkStart w:id="16" w:name="_Hlk500804736"/>
      <w:r w:rsidR="00D66103" w:rsidRPr="003E6F6F">
        <w:rPr>
          <w:rFonts w:ascii="Times New Roman" w:hAnsi="Times New Roman" w:cs="Times New Roman"/>
          <w:sz w:val="24"/>
          <w:szCs w:val="24"/>
        </w:rPr>
        <w:t>S̲h̲āfiʿ was unwilling to compromise with the other legal school</w:t>
      </w:r>
      <w:r w:rsidR="001308BD" w:rsidRPr="003E6F6F">
        <w:rPr>
          <w:rFonts w:ascii="Times New Roman" w:hAnsi="Times New Roman" w:cs="Times New Roman"/>
          <w:sz w:val="24"/>
          <w:szCs w:val="24"/>
        </w:rPr>
        <w:t>s</w:t>
      </w:r>
      <w:r w:rsidR="00D66103" w:rsidRPr="003E6F6F">
        <w:rPr>
          <w:rFonts w:ascii="Times New Roman" w:hAnsi="Times New Roman" w:cs="Times New Roman"/>
          <w:sz w:val="24"/>
          <w:szCs w:val="24"/>
        </w:rPr>
        <w:t xml:space="preserve">, </w:t>
      </w:r>
      <w:r w:rsidR="001308BD" w:rsidRPr="003E6F6F">
        <w:rPr>
          <w:rFonts w:ascii="Times New Roman" w:hAnsi="Times New Roman" w:cs="Times New Roman"/>
          <w:sz w:val="24"/>
          <w:szCs w:val="24"/>
        </w:rPr>
        <w:t>maintaining</w:t>
      </w:r>
      <w:r w:rsidR="00D66103" w:rsidRPr="003E6F6F">
        <w:rPr>
          <w:rFonts w:ascii="Times New Roman" w:hAnsi="Times New Roman" w:cs="Times New Roman"/>
          <w:sz w:val="24"/>
          <w:szCs w:val="24"/>
        </w:rPr>
        <w:t xml:space="preserve"> his conviction that the traditions of Muhammad must be the ‘overriding authority’ </w:t>
      </w:r>
      <w:bookmarkEnd w:id="16"/>
      <w:r w:rsidR="001308BD" w:rsidRPr="003E6F6F">
        <w:rPr>
          <w:rFonts w:ascii="Times New Roman" w:hAnsi="Times New Roman" w:cs="Times New Roman"/>
          <w:sz w:val="24"/>
          <w:szCs w:val="24"/>
        </w:rPr>
        <w:t>when exercised</w:t>
      </w:r>
      <w:r w:rsidR="00D66103" w:rsidRPr="003E6F6F">
        <w:rPr>
          <w:rFonts w:ascii="Times New Roman" w:hAnsi="Times New Roman" w:cs="Times New Roman"/>
          <w:sz w:val="24"/>
          <w:szCs w:val="24"/>
        </w:rPr>
        <w:t xml:space="preserve"> alongside the ‘living traditions’ of any school.  This led to a somewhat polemical relationship with the other schools. Specifically, he rejected the use of </w:t>
      </w:r>
      <w:r w:rsidR="00D66103" w:rsidRPr="003E6F6F">
        <w:rPr>
          <w:rFonts w:ascii="Times New Roman" w:hAnsi="Times New Roman" w:cs="Times New Roman"/>
          <w:i/>
          <w:sz w:val="24"/>
          <w:szCs w:val="24"/>
        </w:rPr>
        <w:t>istisah</w:t>
      </w:r>
      <w:r w:rsidR="00D66103" w:rsidRPr="003E6F6F">
        <w:rPr>
          <w:rFonts w:ascii="Times New Roman" w:hAnsi="Times New Roman" w:cs="Times New Roman"/>
          <w:sz w:val="24"/>
          <w:szCs w:val="24"/>
        </w:rPr>
        <w:t xml:space="preserve"> and </w:t>
      </w:r>
      <w:r w:rsidR="00D66103" w:rsidRPr="003E6F6F">
        <w:rPr>
          <w:rFonts w:ascii="Times New Roman" w:hAnsi="Times New Roman" w:cs="Times New Roman"/>
          <w:i/>
          <w:sz w:val="24"/>
          <w:szCs w:val="24"/>
        </w:rPr>
        <w:t xml:space="preserve">istislah </w:t>
      </w:r>
      <w:r w:rsidR="00D66103" w:rsidRPr="003E6F6F">
        <w:rPr>
          <w:rFonts w:ascii="Times New Roman" w:hAnsi="Times New Roman" w:cs="Times New Roman"/>
          <w:sz w:val="24"/>
          <w:szCs w:val="24"/>
        </w:rPr>
        <w:t xml:space="preserve">(seeking the good), used by </w:t>
      </w:r>
      <w:r w:rsidR="00D41E20" w:rsidRPr="003E6F6F">
        <w:rPr>
          <w:rFonts w:ascii="Times New Roman" w:hAnsi="Times New Roman" w:cs="Times New Roman"/>
          <w:sz w:val="24"/>
          <w:szCs w:val="24"/>
        </w:rPr>
        <w:t xml:space="preserve">Ḥanafī </w:t>
      </w:r>
      <w:r w:rsidR="00D66103" w:rsidRPr="003E6F6F">
        <w:rPr>
          <w:rFonts w:ascii="Times New Roman" w:hAnsi="Times New Roman" w:cs="Times New Roman"/>
          <w:sz w:val="24"/>
          <w:szCs w:val="24"/>
        </w:rPr>
        <w:t xml:space="preserve">and </w:t>
      </w:r>
      <w:r w:rsidR="00D41E20" w:rsidRPr="003E6F6F">
        <w:rPr>
          <w:rFonts w:ascii="Times New Roman" w:hAnsi="Times New Roman" w:cs="Times New Roman"/>
          <w:iCs/>
          <w:sz w:val="24"/>
          <w:szCs w:val="24"/>
        </w:rPr>
        <w:t>Mālik</w:t>
      </w:r>
      <w:r w:rsidR="00D41E20" w:rsidRPr="003E6F6F">
        <w:rPr>
          <w:rFonts w:ascii="Times New Roman" w:hAnsi="Times New Roman" w:cs="Times New Roman"/>
          <w:sz w:val="24"/>
          <w:szCs w:val="24"/>
        </w:rPr>
        <w:t xml:space="preserve"> </w:t>
      </w:r>
      <w:r w:rsidR="00D66103" w:rsidRPr="003E6F6F">
        <w:rPr>
          <w:rFonts w:ascii="Times New Roman" w:hAnsi="Times New Roman" w:cs="Times New Roman"/>
          <w:sz w:val="24"/>
          <w:szCs w:val="24"/>
        </w:rPr>
        <w:t xml:space="preserve">respectively, as innovations since they were based on human reasoning. To fill the </w:t>
      </w:r>
      <w:r w:rsidR="001308BD" w:rsidRPr="003E6F6F">
        <w:rPr>
          <w:rFonts w:ascii="Times New Roman" w:hAnsi="Times New Roman" w:cs="Times New Roman"/>
          <w:sz w:val="24"/>
          <w:szCs w:val="24"/>
        </w:rPr>
        <w:t>space,</w:t>
      </w:r>
      <w:r w:rsidR="00D66103" w:rsidRPr="003E6F6F">
        <w:rPr>
          <w:rFonts w:ascii="Times New Roman" w:hAnsi="Times New Roman" w:cs="Times New Roman"/>
          <w:sz w:val="24"/>
          <w:szCs w:val="24"/>
        </w:rPr>
        <w:t xml:space="preserve"> he employed </w:t>
      </w:r>
      <w:r w:rsidR="00D66103" w:rsidRPr="003E6F6F">
        <w:rPr>
          <w:rFonts w:ascii="Times New Roman" w:hAnsi="Times New Roman" w:cs="Times New Roman"/>
          <w:i/>
          <w:sz w:val="24"/>
          <w:szCs w:val="24"/>
        </w:rPr>
        <w:t>istishab</w:t>
      </w:r>
      <w:r w:rsidR="00D66103" w:rsidRPr="003E6F6F">
        <w:rPr>
          <w:rFonts w:ascii="Times New Roman" w:hAnsi="Times New Roman" w:cs="Times New Roman"/>
          <w:sz w:val="24"/>
          <w:szCs w:val="24"/>
        </w:rPr>
        <w:t xml:space="preserve"> or linkage. The result, arguably, being a more conservative and strict legal system than the Hanafites and Malikites. However, it allowed for the development of juristic ideas that were remarkably free from ‘school bias’.</w:t>
      </w:r>
      <w:r w:rsidR="00D66103" w:rsidRPr="003E6F6F">
        <w:rPr>
          <w:rStyle w:val="FootnoteReference"/>
          <w:rFonts w:ascii="Times New Roman" w:hAnsi="Times New Roman" w:cs="Times New Roman"/>
          <w:sz w:val="24"/>
          <w:szCs w:val="24"/>
        </w:rPr>
        <w:footnoteReference w:id="25"/>
      </w:r>
    </w:p>
    <w:p w:rsidR="009B2A94" w:rsidRDefault="00D66103"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His distrust of many of the expressions of</w:t>
      </w:r>
      <w:r w:rsidR="00D41E20" w:rsidRPr="003E6F6F">
        <w:rPr>
          <w:rFonts w:ascii="Times New Roman" w:hAnsi="Times New Roman" w:cs="Times New Roman"/>
          <w:i/>
          <w:iCs/>
          <w:sz w:val="24"/>
          <w:szCs w:val="24"/>
        </w:rPr>
        <w:t xml:space="preserve"> id̲j̲tihād</w:t>
      </w:r>
      <w:r w:rsidR="00D41E20" w:rsidRPr="003E6F6F">
        <w:rPr>
          <w:rFonts w:ascii="Times New Roman" w:hAnsi="Times New Roman" w:cs="Times New Roman"/>
          <w:i/>
          <w:sz w:val="24"/>
          <w:szCs w:val="24"/>
        </w:rPr>
        <w:t xml:space="preserve"> </w:t>
      </w:r>
      <w:r w:rsidRPr="003E6F6F">
        <w:rPr>
          <w:rFonts w:ascii="Times New Roman" w:hAnsi="Times New Roman" w:cs="Times New Roman"/>
          <w:sz w:val="24"/>
          <w:szCs w:val="24"/>
        </w:rPr>
        <w:t xml:space="preserve">provided him with an additional focus on other important judicial mechanisms; </w:t>
      </w:r>
      <w:r w:rsidR="00AA0D06" w:rsidRPr="003E6F6F">
        <w:rPr>
          <w:rFonts w:ascii="Times New Roman" w:hAnsi="Times New Roman" w:cs="Times New Roman"/>
          <w:sz w:val="24"/>
          <w:szCs w:val="24"/>
        </w:rPr>
        <w:t>specifically,</w:t>
      </w:r>
      <w:r w:rsidRPr="003E6F6F">
        <w:rPr>
          <w:rFonts w:ascii="Times New Roman" w:hAnsi="Times New Roman" w:cs="Times New Roman"/>
          <w:sz w:val="24"/>
          <w:szCs w:val="24"/>
        </w:rPr>
        <w:t xml:space="preserve"> </w:t>
      </w:r>
      <w:bookmarkStart w:id="17" w:name="_Hlk500259964"/>
      <w:r w:rsidRPr="003E6F6F">
        <w:rPr>
          <w:rFonts w:ascii="Times New Roman" w:hAnsi="Times New Roman" w:cs="Times New Roman"/>
          <w:i/>
          <w:sz w:val="24"/>
          <w:szCs w:val="24"/>
        </w:rPr>
        <w:t>uṣūl al-fiḳh</w:t>
      </w:r>
      <w:bookmarkEnd w:id="17"/>
      <w:r w:rsidRPr="003E6F6F">
        <w:rPr>
          <w:rFonts w:ascii="Times New Roman" w:hAnsi="Times New Roman" w:cs="Times New Roman"/>
          <w:sz w:val="24"/>
          <w:szCs w:val="24"/>
        </w:rPr>
        <w:t>, the methodology for developing legal rules from the classical sources.</w:t>
      </w:r>
      <w:r w:rsidRPr="003E6F6F">
        <w:rPr>
          <w:rStyle w:val="FootnoteReference"/>
          <w:rFonts w:ascii="Times New Roman" w:hAnsi="Times New Roman" w:cs="Times New Roman"/>
          <w:sz w:val="24"/>
          <w:szCs w:val="24"/>
        </w:rPr>
        <w:footnoteReference w:id="26"/>
      </w:r>
      <w:r w:rsidRPr="003E6F6F">
        <w:rPr>
          <w:rFonts w:ascii="Times New Roman" w:hAnsi="Times New Roman" w:cs="Times New Roman"/>
          <w:sz w:val="24"/>
          <w:szCs w:val="24"/>
        </w:rPr>
        <w:t xml:space="preserve"> It is true that other scholars, including the Companions, had deduced legal rules </w:t>
      </w:r>
      <w:r w:rsidR="001308BD" w:rsidRPr="003E6F6F">
        <w:rPr>
          <w:rFonts w:ascii="Times New Roman" w:hAnsi="Times New Roman" w:cs="Times New Roman"/>
          <w:noProof/>
          <w:sz w:val="24"/>
          <w:szCs w:val="24"/>
        </w:rPr>
        <w:t>before</w:t>
      </w:r>
      <w:r w:rsidR="00AA0D06" w:rsidRPr="003E6F6F">
        <w:rPr>
          <w:rFonts w:ascii="Times New Roman" w:hAnsi="Times New Roman" w:cs="Times New Roman"/>
          <w:sz w:val="24"/>
          <w:szCs w:val="24"/>
        </w:rPr>
        <w:t xml:space="preserve"> Shafi,</w:t>
      </w:r>
      <w:r w:rsidRPr="003E6F6F">
        <w:rPr>
          <w:rFonts w:ascii="Times New Roman" w:hAnsi="Times New Roman" w:cs="Times New Roman"/>
          <w:sz w:val="24"/>
          <w:szCs w:val="24"/>
        </w:rPr>
        <w:t xml:space="preserve"> but it was </w:t>
      </w:r>
      <w:r w:rsidR="00AA0D06" w:rsidRPr="003E6F6F">
        <w:rPr>
          <w:rFonts w:ascii="Times New Roman" w:hAnsi="Times New Roman" w:cs="Times New Roman"/>
          <w:sz w:val="24"/>
          <w:szCs w:val="24"/>
        </w:rPr>
        <w:t>he</w:t>
      </w:r>
      <w:r w:rsidRPr="003E6F6F">
        <w:rPr>
          <w:rFonts w:ascii="Times New Roman" w:hAnsi="Times New Roman" w:cs="Times New Roman"/>
          <w:sz w:val="24"/>
          <w:szCs w:val="24"/>
        </w:rPr>
        <w:t xml:space="preserve"> who brought them together into a</w:t>
      </w:r>
      <w:r w:rsidR="00AA0D06"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coherent whole. His major work, </w:t>
      </w:r>
      <w:r w:rsidRPr="003E6F6F">
        <w:rPr>
          <w:rFonts w:ascii="Times New Roman" w:hAnsi="Times New Roman" w:cs="Times New Roman"/>
          <w:i/>
          <w:sz w:val="24"/>
          <w:szCs w:val="24"/>
        </w:rPr>
        <w:t xml:space="preserve">Risalah, </w:t>
      </w:r>
      <w:r w:rsidRPr="003E6F6F">
        <w:rPr>
          <w:rFonts w:ascii="Times New Roman" w:hAnsi="Times New Roman" w:cs="Times New Roman"/>
          <w:sz w:val="24"/>
          <w:szCs w:val="24"/>
        </w:rPr>
        <w:t>should be seen as the result of his ‘sifting process’ of these other methodologies.</w:t>
      </w:r>
      <w:r w:rsidRPr="003E6F6F">
        <w:rPr>
          <w:rStyle w:val="FootnoteReference"/>
          <w:rFonts w:ascii="Times New Roman" w:hAnsi="Times New Roman" w:cs="Times New Roman"/>
          <w:sz w:val="24"/>
          <w:szCs w:val="24"/>
        </w:rPr>
        <w:footnoteReference w:id="27"/>
      </w:r>
      <w:r w:rsidRPr="003E6F6F">
        <w:rPr>
          <w:rFonts w:ascii="Times New Roman" w:hAnsi="Times New Roman" w:cs="Times New Roman"/>
          <w:sz w:val="24"/>
          <w:szCs w:val="24"/>
        </w:rPr>
        <w:t xml:space="preserve"> Overall the method formed into a </w:t>
      </w:r>
      <w:r w:rsidR="001308BD" w:rsidRPr="003E6F6F">
        <w:rPr>
          <w:rFonts w:ascii="Times New Roman" w:hAnsi="Times New Roman" w:cs="Times New Roman"/>
          <w:sz w:val="24"/>
          <w:szCs w:val="24"/>
        </w:rPr>
        <w:t>three-pronged</w:t>
      </w:r>
      <w:r w:rsidRPr="003E6F6F">
        <w:rPr>
          <w:rFonts w:ascii="Times New Roman" w:hAnsi="Times New Roman" w:cs="Times New Roman"/>
          <w:sz w:val="24"/>
          <w:szCs w:val="24"/>
        </w:rPr>
        <w:t xml:space="preserve"> process of consulting the </w:t>
      </w:r>
      <w:r w:rsidR="00D41E20" w:rsidRPr="003E6F6F">
        <w:rPr>
          <w:rFonts w:ascii="Times New Roman" w:hAnsi="Times New Roman" w:cs="Times New Roman"/>
          <w:iCs/>
          <w:sz w:val="24"/>
          <w:szCs w:val="24"/>
        </w:rPr>
        <w:t>Ḳurʾān</w:t>
      </w:r>
      <w:r w:rsidRPr="003E6F6F">
        <w:rPr>
          <w:rFonts w:ascii="Times New Roman" w:hAnsi="Times New Roman" w:cs="Times New Roman"/>
          <w:sz w:val="24"/>
          <w:szCs w:val="24"/>
        </w:rPr>
        <w:t>, Sunna and</w:t>
      </w:r>
      <w:r w:rsidRPr="003E6F6F">
        <w:rPr>
          <w:rFonts w:ascii="Times New Roman" w:hAnsi="Times New Roman" w:cs="Times New Roman"/>
          <w:i/>
          <w:sz w:val="24"/>
          <w:szCs w:val="24"/>
        </w:rPr>
        <w:t xml:space="preserve"> </w:t>
      </w:r>
      <w:bookmarkStart w:id="18" w:name="_Hlk500800585"/>
      <w:r w:rsidR="00D41E20" w:rsidRPr="003E6F6F">
        <w:rPr>
          <w:rFonts w:ascii="Times New Roman" w:hAnsi="Times New Roman" w:cs="Times New Roman"/>
          <w:i/>
          <w:iCs/>
          <w:sz w:val="24"/>
          <w:szCs w:val="24"/>
        </w:rPr>
        <w:t>id̲j̲māʿ</w:t>
      </w:r>
      <w:bookmarkEnd w:id="18"/>
      <w:r w:rsidRPr="003E6F6F">
        <w:rPr>
          <w:rFonts w:ascii="Times New Roman" w:hAnsi="Times New Roman" w:cs="Times New Roman"/>
          <w:sz w:val="24"/>
          <w:szCs w:val="24"/>
        </w:rPr>
        <w:t xml:space="preserve">. </w:t>
      </w:r>
      <w:r w:rsidR="00D41E20" w:rsidRPr="003E6F6F">
        <w:rPr>
          <w:rFonts w:ascii="Times New Roman" w:hAnsi="Times New Roman" w:cs="Times New Roman"/>
          <w:i/>
          <w:iCs/>
          <w:sz w:val="24"/>
          <w:szCs w:val="24"/>
        </w:rPr>
        <w:t>Id̲j̲māʿ</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being restricted</w:t>
      </w:r>
      <w:r w:rsidRPr="003E6F6F">
        <w:rPr>
          <w:rFonts w:ascii="Times New Roman" w:hAnsi="Times New Roman" w:cs="Times New Roman"/>
          <w:sz w:val="24"/>
          <w:szCs w:val="24"/>
        </w:rPr>
        <w:t xml:space="preserve"> to clarification of the </w:t>
      </w:r>
      <w:r w:rsidR="00AA0D06" w:rsidRPr="003E6F6F">
        <w:rPr>
          <w:rFonts w:ascii="Times New Roman" w:hAnsi="Times New Roman" w:cs="Times New Roman"/>
          <w:sz w:val="24"/>
          <w:szCs w:val="24"/>
        </w:rPr>
        <w:t>other two</w:t>
      </w:r>
      <w:r w:rsidRPr="003E6F6F">
        <w:rPr>
          <w:rFonts w:ascii="Times New Roman" w:hAnsi="Times New Roman" w:cs="Times New Roman"/>
          <w:sz w:val="24"/>
          <w:szCs w:val="24"/>
        </w:rPr>
        <w:t>.</w:t>
      </w:r>
      <w:r w:rsidRPr="003E6F6F">
        <w:rPr>
          <w:rStyle w:val="FootnoteReference"/>
          <w:rFonts w:ascii="Times New Roman" w:hAnsi="Times New Roman" w:cs="Times New Roman"/>
          <w:sz w:val="24"/>
          <w:szCs w:val="24"/>
        </w:rPr>
        <w:footnoteReference w:id="28"/>
      </w:r>
      <w:r w:rsidRPr="003E6F6F">
        <w:rPr>
          <w:rFonts w:ascii="Times New Roman" w:hAnsi="Times New Roman" w:cs="Times New Roman"/>
          <w:sz w:val="24"/>
          <w:szCs w:val="24"/>
        </w:rPr>
        <w:t xml:space="preserve"> It represented a compromise between the Hanafi and Maliki schools.</w:t>
      </w:r>
      <w:r w:rsidRPr="003E6F6F">
        <w:rPr>
          <w:rStyle w:val="FootnoteReference"/>
          <w:rFonts w:ascii="Times New Roman" w:hAnsi="Times New Roman" w:cs="Times New Roman"/>
          <w:sz w:val="24"/>
          <w:szCs w:val="24"/>
        </w:rPr>
        <w:footnoteReference w:id="29"/>
      </w:r>
      <w:r w:rsidRPr="003E6F6F">
        <w:rPr>
          <w:rFonts w:ascii="Times New Roman" w:hAnsi="Times New Roman" w:cs="Times New Roman"/>
          <w:sz w:val="24"/>
          <w:szCs w:val="24"/>
        </w:rPr>
        <w:t xml:space="preserve"> </w:t>
      </w:r>
    </w:p>
    <w:p w:rsidR="00D66103" w:rsidRPr="003E6F6F" w:rsidRDefault="00D66103"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The</w:t>
      </w:r>
      <w:r w:rsidR="00AA0D06" w:rsidRPr="003E6F6F">
        <w:rPr>
          <w:rFonts w:ascii="Times New Roman" w:hAnsi="Times New Roman" w:cs="Times New Roman"/>
          <w:sz w:val="24"/>
          <w:szCs w:val="24"/>
        </w:rPr>
        <w:t>re</w:t>
      </w:r>
      <w:r w:rsidRPr="003E6F6F">
        <w:rPr>
          <w:rFonts w:ascii="Times New Roman" w:hAnsi="Times New Roman" w:cs="Times New Roman"/>
          <w:sz w:val="24"/>
          <w:szCs w:val="24"/>
        </w:rPr>
        <w:t xml:space="preserve"> is </w:t>
      </w:r>
      <w:r w:rsidR="001308BD" w:rsidRPr="003E6F6F">
        <w:rPr>
          <w:rFonts w:ascii="Times New Roman" w:hAnsi="Times New Roman" w:cs="Times New Roman"/>
          <w:sz w:val="24"/>
          <w:szCs w:val="24"/>
        </w:rPr>
        <w:t>a consensus</w:t>
      </w:r>
      <w:r w:rsidRPr="003E6F6F">
        <w:rPr>
          <w:rFonts w:ascii="Times New Roman" w:hAnsi="Times New Roman" w:cs="Times New Roman"/>
          <w:sz w:val="24"/>
          <w:szCs w:val="24"/>
        </w:rPr>
        <w:t xml:space="preserve"> that the door of </w:t>
      </w:r>
      <w:r w:rsidR="00D41E20" w:rsidRPr="003E6F6F">
        <w:rPr>
          <w:rFonts w:ascii="Times New Roman" w:hAnsi="Times New Roman" w:cs="Times New Roman"/>
          <w:i/>
          <w:iCs/>
          <w:sz w:val="24"/>
          <w:szCs w:val="24"/>
        </w:rPr>
        <w:t>id̲j̲tihād</w:t>
      </w:r>
      <w:r w:rsidRPr="003E6F6F">
        <w:rPr>
          <w:rFonts w:ascii="Times New Roman" w:hAnsi="Times New Roman" w:cs="Times New Roman"/>
          <w:i/>
          <w:sz w:val="24"/>
          <w:szCs w:val="24"/>
        </w:rPr>
        <w:t xml:space="preserve"> </w:t>
      </w:r>
      <w:r w:rsidRPr="003E6F6F">
        <w:rPr>
          <w:rFonts w:ascii="Times New Roman" w:hAnsi="Times New Roman" w:cs="Times New Roman"/>
          <w:sz w:val="24"/>
          <w:szCs w:val="24"/>
        </w:rPr>
        <w:t xml:space="preserve">closed around the fourth century AH. </w:t>
      </w:r>
      <w:r w:rsidRPr="003E6F6F">
        <w:rPr>
          <w:rFonts w:ascii="Times New Roman" w:hAnsi="Times New Roman" w:cs="Times New Roman"/>
          <w:noProof/>
          <w:sz w:val="24"/>
          <w:szCs w:val="24"/>
        </w:rPr>
        <w:t>After this only imitation (</w:t>
      </w:r>
      <w:r w:rsidRPr="003E6F6F">
        <w:rPr>
          <w:rFonts w:ascii="Times New Roman" w:hAnsi="Times New Roman" w:cs="Times New Roman"/>
          <w:i/>
          <w:iCs/>
          <w:noProof/>
          <w:sz w:val="24"/>
          <w:szCs w:val="24"/>
        </w:rPr>
        <w:t>taḳlīd</w:t>
      </w:r>
      <w:r w:rsidRPr="003E6F6F">
        <w:rPr>
          <w:rFonts w:ascii="Times New Roman" w:hAnsi="Times New Roman" w:cs="Times New Roman"/>
          <w:noProof/>
          <w:sz w:val="24"/>
          <w:szCs w:val="24"/>
        </w:rPr>
        <w:t>) was permitted.</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This</w:t>
      </w:r>
      <w:r w:rsidRPr="003E6F6F">
        <w:rPr>
          <w:rFonts w:ascii="Times New Roman" w:hAnsi="Times New Roman" w:cs="Times New Roman"/>
          <w:sz w:val="24"/>
          <w:szCs w:val="24"/>
        </w:rPr>
        <w:t xml:space="preserve"> gave new </w:t>
      </w:r>
      <w:r w:rsidR="001308BD" w:rsidRPr="003E6F6F">
        <w:rPr>
          <w:rFonts w:ascii="Times New Roman" w:hAnsi="Times New Roman" w:cs="Times New Roman"/>
          <w:sz w:val="24"/>
          <w:szCs w:val="24"/>
        </w:rPr>
        <w:t>prominence</w:t>
      </w:r>
      <w:r w:rsidRPr="003E6F6F">
        <w:rPr>
          <w:rFonts w:ascii="Times New Roman" w:hAnsi="Times New Roman" w:cs="Times New Roman"/>
          <w:sz w:val="24"/>
          <w:szCs w:val="24"/>
        </w:rPr>
        <w:t xml:space="preserve"> to </w:t>
      </w:r>
      <w:r w:rsidRPr="003E6F6F">
        <w:rPr>
          <w:rFonts w:ascii="Times New Roman" w:hAnsi="Times New Roman" w:cs="Times New Roman"/>
          <w:i/>
          <w:sz w:val="24"/>
          <w:szCs w:val="24"/>
        </w:rPr>
        <w:t xml:space="preserve">uṣūl al-fiḳh </w:t>
      </w:r>
      <w:r w:rsidRPr="003E6F6F">
        <w:rPr>
          <w:rFonts w:ascii="Times New Roman" w:hAnsi="Times New Roman" w:cs="Times New Roman"/>
          <w:sz w:val="24"/>
          <w:szCs w:val="24"/>
        </w:rPr>
        <w:t xml:space="preserve">as the ‘imitators’ utilised the methodology to validate their arguments. As a </w:t>
      </w:r>
      <w:r w:rsidR="00115EB6" w:rsidRPr="003E6F6F">
        <w:rPr>
          <w:rFonts w:ascii="Times New Roman" w:hAnsi="Times New Roman" w:cs="Times New Roman"/>
          <w:sz w:val="24"/>
          <w:szCs w:val="24"/>
        </w:rPr>
        <w:t>result,</w:t>
      </w:r>
      <w:r w:rsidRPr="003E6F6F">
        <w:rPr>
          <w:rFonts w:ascii="Times New Roman" w:hAnsi="Times New Roman" w:cs="Times New Roman"/>
          <w:sz w:val="24"/>
          <w:szCs w:val="24"/>
        </w:rPr>
        <w:t xml:space="preserve"> the formation of </w:t>
      </w:r>
      <w:r w:rsidRPr="003E6F6F">
        <w:rPr>
          <w:rFonts w:ascii="Times New Roman" w:hAnsi="Times New Roman" w:cs="Times New Roman"/>
          <w:i/>
          <w:sz w:val="24"/>
          <w:szCs w:val="24"/>
        </w:rPr>
        <w:t>uṣūl al-</w:t>
      </w:r>
      <w:r w:rsidRPr="003E6F6F">
        <w:rPr>
          <w:rFonts w:ascii="Times New Roman" w:hAnsi="Times New Roman" w:cs="Times New Roman"/>
          <w:sz w:val="24"/>
          <w:szCs w:val="24"/>
        </w:rPr>
        <w:t xml:space="preserve">fiḳh in </w:t>
      </w:r>
      <w:r w:rsidR="00AA0D06" w:rsidRPr="003E6F6F">
        <w:rPr>
          <w:rFonts w:ascii="Times New Roman" w:hAnsi="Times New Roman" w:cs="Times New Roman"/>
          <w:sz w:val="24"/>
          <w:szCs w:val="24"/>
        </w:rPr>
        <w:t>this</w:t>
      </w:r>
      <w:r w:rsidRPr="003E6F6F">
        <w:rPr>
          <w:rFonts w:ascii="Times New Roman" w:hAnsi="Times New Roman" w:cs="Times New Roman"/>
          <w:sz w:val="24"/>
          <w:szCs w:val="24"/>
        </w:rPr>
        <w:t xml:space="preserve"> school took on </w:t>
      </w:r>
      <w:r w:rsidRPr="003E6F6F">
        <w:rPr>
          <w:rFonts w:ascii="Times New Roman" w:hAnsi="Times New Roman" w:cs="Times New Roman"/>
          <w:noProof/>
          <w:sz w:val="24"/>
          <w:szCs w:val="24"/>
        </w:rPr>
        <w:t>near</w:t>
      </w:r>
      <w:r w:rsidR="001308BD" w:rsidRPr="003E6F6F">
        <w:rPr>
          <w:rFonts w:ascii="Times New Roman" w:hAnsi="Times New Roman" w:cs="Times New Roman"/>
          <w:noProof/>
          <w:sz w:val="24"/>
          <w:szCs w:val="24"/>
        </w:rPr>
        <w:t>-</w:t>
      </w:r>
      <w:r w:rsidRPr="003E6F6F">
        <w:rPr>
          <w:rFonts w:ascii="Times New Roman" w:hAnsi="Times New Roman" w:cs="Times New Roman"/>
          <w:noProof/>
          <w:sz w:val="24"/>
          <w:szCs w:val="24"/>
        </w:rPr>
        <w:t>universal</w:t>
      </w:r>
      <w:r w:rsidRPr="003E6F6F">
        <w:rPr>
          <w:rFonts w:ascii="Times New Roman" w:hAnsi="Times New Roman" w:cs="Times New Roman"/>
          <w:sz w:val="24"/>
          <w:szCs w:val="24"/>
        </w:rPr>
        <w:t xml:space="preserve"> acceptance.</w:t>
      </w:r>
      <w:r w:rsidRPr="003E6F6F">
        <w:rPr>
          <w:rStyle w:val="FootnoteReference"/>
          <w:rFonts w:ascii="Times New Roman" w:hAnsi="Times New Roman" w:cs="Times New Roman"/>
          <w:sz w:val="24"/>
          <w:szCs w:val="24"/>
        </w:rPr>
        <w:footnoteReference w:id="30"/>
      </w:r>
    </w:p>
    <w:p w:rsidR="00810075" w:rsidRPr="003E6F6F" w:rsidRDefault="00810075"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t>Hanbal</w:t>
      </w:r>
      <w:r w:rsidR="002C3C29" w:rsidRPr="003E6F6F">
        <w:rPr>
          <w:rFonts w:ascii="Times New Roman" w:hAnsi="Times New Roman" w:cs="Times New Roman"/>
          <w:b/>
          <w:sz w:val="24"/>
          <w:szCs w:val="24"/>
        </w:rPr>
        <w:t>i</w:t>
      </w:r>
      <w:r w:rsidR="00D41E20" w:rsidRPr="003E6F6F">
        <w:rPr>
          <w:rFonts w:ascii="Times New Roman" w:hAnsi="Times New Roman" w:cs="Times New Roman"/>
          <w:b/>
          <w:sz w:val="24"/>
          <w:szCs w:val="24"/>
        </w:rPr>
        <w:t xml:space="preserve"> School</w:t>
      </w:r>
    </w:p>
    <w:p w:rsidR="00AA0D06" w:rsidRPr="003E6F6F" w:rsidRDefault="00AA0D06" w:rsidP="003E6F6F">
      <w:pPr>
        <w:spacing w:line="360" w:lineRule="auto"/>
        <w:rPr>
          <w:rFonts w:ascii="Times New Roman" w:hAnsi="Times New Roman" w:cs="Times New Roman"/>
          <w:sz w:val="24"/>
          <w:szCs w:val="24"/>
        </w:rPr>
      </w:pPr>
      <w:bookmarkStart w:id="19" w:name="_Hlk500284745"/>
      <w:r w:rsidRPr="003E6F6F">
        <w:rPr>
          <w:rFonts w:ascii="Times New Roman" w:hAnsi="Times New Roman" w:cs="Times New Roman"/>
          <w:sz w:val="24"/>
          <w:szCs w:val="24"/>
        </w:rPr>
        <w:t xml:space="preserve">S̲h̲āfi’i’s </w:t>
      </w:r>
      <w:bookmarkEnd w:id="19"/>
      <w:r w:rsidRPr="003E6F6F">
        <w:rPr>
          <w:rFonts w:ascii="Times New Roman" w:hAnsi="Times New Roman" w:cs="Times New Roman"/>
          <w:sz w:val="24"/>
          <w:szCs w:val="24"/>
        </w:rPr>
        <w:t>method and ideas were taken up by our final school, f</w:t>
      </w:r>
      <w:r w:rsidR="00A650EC" w:rsidRPr="003E6F6F">
        <w:rPr>
          <w:rFonts w:ascii="Times New Roman" w:hAnsi="Times New Roman" w:cs="Times New Roman"/>
          <w:sz w:val="24"/>
          <w:szCs w:val="24"/>
        </w:rPr>
        <w:t>ounded by Ahmad Ib</w:t>
      </w:r>
      <w:r w:rsidRPr="003E6F6F">
        <w:rPr>
          <w:rFonts w:ascii="Times New Roman" w:hAnsi="Times New Roman" w:cs="Times New Roman"/>
          <w:sz w:val="24"/>
          <w:szCs w:val="24"/>
        </w:rPr>
        <w:t>n</w:t>
      </w:r>
      <w:r w:rsidR="00A650EC" w:rsidRPr="003E6F6F">
        <w:rPr>
          <w:rFonts w:ascii="Times New Roman" w:hAnsi="Times New Roman" w:cs="Times New Roman"/>
          <w:sz w:val="24"/>
          <w:szCs w:val="24"/>
        </w:rPr>
        <w:t xml:space="preserve"> Hanbal (</w:t>
      </w:r>
      <w:r w:rsidRPr="003E6F6F">
        <w:rPr>
          <w:rFonts w:ascii="Times New Roman" w:hAnsi="Times New Roman" w:cs="Times New Roman"/>
          <w:sz w:val="24"/>
          <w:szCs w:val="24"/>
        </w:rPr>
        <w:t>780-</w:t>
      </w:r>
      <w:r w:rsidR="00A650EC" w:rsidRPr="003E6F6F">
        <w:rPr>
          <w:rFonts w:ascii="Times New Roman" w:hAnsi="Times New Roman" w:cs="Times New Roman"/>
          <w:sz w:val="24"/>
          <w:szCs w:val="24"/>
        </w:rPr>
        <w:t xml:space="preserve">855) </w:t>
      </w:r>
      <w:r w:rsidR="00115EB6" w:rsidRPr="003E6F6F">
        <w:rPr>
          <w:rFonts w:ascii="Times New Roman" w:hAnsi="Times New Roman" w:cs="Times New Roman"/>
          <w:sz w:val="24"/>
          <w:szCs w:val="24"/>
        </w:rPr>
        <w:t>in Baghdad</w:t>
      </w:r>
      <w:r w:rsidRPr="003E6F6F">
        <w:rPr>
          <w:rFonts w:ascii="Times New Roman" w:hAnsi="Times New Roman" w:cs="Times New Roman"/>
          <w:sz w:val="24"/>
          <w:szCs w:val="24"/>
        </w:rPr>
        <w:t xml:space="preserve">. Borrowing heavily from the authority of the </w:t>
      </w:r>
      <w:r w:rsidR="00D41E20" w:rsidRPr="003E6F6F">
        <w:rPr>
          <w:rFonts w:ascii="Times New Roman" w:hAnsi="Times New Roman" w:cs="Times New Roman"/>
          <w:sz w:val="24"/>
          <w:szCs w:val="24"/>
        </w:rPr>
        <w:t>s</w:t>
      </w:r>
      <w:r w:rsidRPr="003E6F6F">
        <w:rPr>
          <w:rFonts w:ascii="Times New Roman" w:hAnsi="Times New Roman" w:cs="Times New Roman"/>
          <w:sz w:val="24"/>
          <w:szCs w:val="24"/>
        </w:rPr>
        <w:t xml:space="preserve">unna emphasised by Sahfi, Hanbali applied his rigorous skill as a theologian and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researcher to produce </w:t>
      </w:r>
      <w:r w:rsidRPr="003E6F6F">
        <w:rPr>
          <w:rFonts w:ascii="Times New Roman" w:hAnsi="Times New Roman" w:cs="Times New Roman"/>
          <w:i/>
          <w:sz w:val="24"/>
          <w:szCs w:val="24"/>
        </w:rPr>
        <w:t>al-</w:t>
      </w:r>
      <w:r w:rsidRPr="003E6F6F">
        <w:rPr>
          <w:rFonts w:ascii="Times New Roman" w:hAnsi="Times New Roman" w:cs="Times New Roman"/>
          <w:i/>
          <w:sz w:val="24"/>
          <w:szCs w:val="24"/>
        </w:rPr>
        <w:lastRenderedPageBreak/>
        <w:t>Musnad,</w:t>
      </w:r>
      <w:r w:rsidRPr="003E6F6F">
        <w:rPr>
          <w:rFonts w:ascii="Times New Roman" w:hAnsi="Times New Roman" w:cs="Times New Roman"/>
          <w:sz w:val="24"/>
          <w:szCs w:val="24"/>
        </w:rPr>
        <w:t xml:space="preserve"> a collection of some 40,000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This process of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collection meant the tradition was influenced not only by it’s routes in Baghdad, but also from much further afield as Hanbal travelled widely, meeting some of the most prominent scholar of the time.</w:t>
      </w:r>
      <w:r w:rsidRPr="003E6F6F">
        <w:rPr>
          <w:rStyle w:val="FootnoteReference"/>
          <w:rFonts w:ascii="Times New Roman" w:hAnsi="Times New Roman" w:cs="Times New Roman"/>
          <w:sz w:val="24"/>
          <w:szCs w:val="24"/>
        </w:rPr>
        <w:footnoteReference w:id="31"/>
      </w:r>
    </w:p>
    <w:p w:rsidR="00AA0D06" w:rsidRPr="003E6F6F" w:rsidRDefault="00AA0D06"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For </w:t>
      </w:r>
      <w:bookmarkStart w:id="20" w:name="_Hlk500805221"/>
      <w:r w:rsidRPr="003E6F6F">
        <w:rPr>
          <w:rFonts w:ascii="Times New Roman" w:hAnsi="Times New Roman" w:cs="Times New Roman"/>
          <w:sz w:val="24"/>
          <w:szCs w:val="24"/>
        </w:rPr>
        <w:t xml:space="preserve">Hanbal </w:t>
      </w:r>
      <w:bookmarkEnd w:id="20"/>
      <w:r w:rsidRPr="003E6F6F">
        <w:rPr>
          <w:rFonts w:ascii="Times New Roman" w:hAnsi="Times New Roman" w:cs="Times New Roman"/>
          <w:sz w:val="24"/>
          <w:szCs w:val="24"/>
        </w:rPr>
        <w:t xml:space="preserve">the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 and Sunna trump any community decision (</w:t>
      </w:r>
      <w:r w:rsidRPr="003E6F6F">
        <w:rPr>
          <w:rFonts w:ascii="Times New Roman" w:hAnsi="Times New Roman" w:cs="Times New Roman"/>
          <w:i/>
          <w:sz w:val="24"/>
          <w:szCs w:val="24"/>
        </w:rPr>
        <w:t>‘</w:t>
      </w:r>
      <w:r w:rsidRPr="003E6F6F">
        <w:rPr>
          <w:rFonts w:ascii="Times New Roman" w:hAnsi="Times New Roman" w:cs="Times New Roman"/>
          <w:i/>
          <w:noProof/>
          <w:sz w:val="24"/>
          <w:szCs w:val="24"/>
        </w:rPr>
        <w:t>amal</w:t>
      </w:r>
      <w:r w:rsidRPr="003E6F6F">
        <w:rPr>
          <w:rFonts w:ascii="Times New Roman" w:hAnsi="Times New Roman" w:cs="Times New Roman"/>
          <w:sz w:val="24"/>
          <w:szCs w:val="24"/>
        </w:rPr>
        <w:t>), Medinese thought, views of the Companions, analogy or consensus.</w:t>
      </w:r>
      <w:r w:rsidRPr="003E6F6F">
        <w:rPr>
          <w:rStyle w:val="FootnoteReference"/>
          <w:rFonts w:ascii="Times New Roman" w:hAnsi="Times New Roman" w:cs="Times New Roman"/>
          <w:sz w:val="24"/>
          <w:szCs w:val="24"/>
        </w:rPr>
        <w:footnoteReference w:id="32"/>
      </w:r>
      <w:r w:rsidRPr="003E6F6F">
        <w:rPr>
          <w:rFonts w:ascii="Times New Roman" w:hAnsi="Times New Roman" w:cs="Times New Roman"/>
          <w:sz w:val="24"/>
          <w:szCs w:val="24"/>
        </w:rPr>
        <w:t xml:space="preserve"> This restrictive approach to human agency and authority inevitably had consequences. It led to a form of juristic reasoning that </w:t>
      </w:r>
      <w:r w:rsidR="001308BD" w:rsidRPr="003E6F6F">
        <w:rPr>
          <w:rFonts w:ascii="Times New Roman" w:hAnsi="Times New Roman" w:cs="Times New Roman"/>
          <w:sz w:val="24"/>
          <w:szCs w:val="24"/>
        </w:rPr>
        <w:t>often-favoured</w:t>
      </w:r>
      <w:r w:rsidRPr="003E6F6F">
        <w:rPr>
          <w:rFonts w:ascii="Times New Roman" w:hAnsi="Times New Roman" w:cs="Times New Roman"/>
          <w:sz w:val="24"/>
          <w:szCs w:val="24"/>
        </w:rPr>
        <w:t xml:space="preserve"> week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s over </w:t>
      </w:r>
      <w:r w:rsidR="00D41E20" w:rsidRPr="003E6F6F">
        <w:rPr>
          <w:rFonts w:ascii="Times New Roman" w:hAnsi="Times New Roman" w:cs="Times New Roman"/>
          <w:i/>
          <w:iCs/>
          <w:sz w:val="24"/>
          <w:szCs w:val="24"/>
        </w:rPr>
        <w:t>id̲j̲māʿ</w:t>
      </w:r>
      <w:r w:rsidRPr="003E6F6F">
        <w:rPr>
          <w:rFonts w:ascii="Times New Roman" w:hAnsi="Times New Roman" w:cs="Times New Roman"/>
          <w:sz w:val="24"/>
          <w:szCs w:val="24"/>
        </w:rPr>
        <w:t xml:space="preserve"> (consensus). As the science of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developed</w:t>
      </w:r>
      <w:r w:rsidR="001308BD" w:rsidRPr="003E6F6F">
        <w:rPr>
          <w:rFonts w:ascii="Times New Roman" w:hAnsi="Times New Roman" w:cs="Times New Roman"/>
          <w:sz w:val="24"/>
          <w:szCs w:val="24"/>
        </w:rPr>
        <w:t>,</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this</w:t>
      </w:r>
      <w:r w:rsidRPr="003E6F6F">
        <w:rPr>
          <w:rFonts w:ascii="Times New Roman" w:hAnsi="Times New Roman" w:cs="Times New Roman"/>
          <w:sz w:val="24"/>
          <w:szCs w:val="24"/>
        </w:rPr>
        <w:t xml:space="preserve"> would become problematic when it </w:t>
      </w:r>
      <w:r w:rsidRPr="003E6F6F">
        <w:rPr>
          <w:rFonts w:ascii="Times New Roman" w:hAnsi="Times New Roman" w:cs="Times New Roman"/>
          <w:noProof/>
          <w:sz w:val="24"/>
          <w:szCs w:val="24"/>
        </w:rPr>
        <w:t>was discovered</w:t>
      </w:r>
      <w:r w:rsidRPr="003E6F6F">
        <w:rPr>
          <w:rFonts w:ascii="Times New Roman" w:hAnsi="Times New Roman" w:cs="Times New Roman"/>
          <w:sz w:val="24"/>
          <w:szCs w:val="24"/>
        </w:rPr>
        <w:t xml:space="preserve"> that certain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were not simply week but rather false.</w:t>
      </w:r>
      <w:r w:rsidRPr="003E6F6F">
        <w:rPr>
          <w:rStyle w:val="FootnoteReference"/>
          <w:rFonts w:ascii="Times New Roman" w:hAnsi="Times New Roman" w:cs="Times New Roman"/>
          <w:sz w:val="24"/>
          <w:szCs w:val="24"/>
        </w:rPr>
        <w:footnoteReference w:id="33"/>
      </w:r>
      <w:r w:rsidRPr="003E6F6F">
        <w:rPr>
          <w:rFonts w:ascii="Times New Roman" w:hAnsi="Times New Roman" w:cs="Times New Roman"/>
          <w:sz w:val="24"/>
          <w:szCs w:val="24"/>
        </w:rPr>
        <w:t xml:space="preserve"> It also meant a degree of paralysis in producing judicial decisions when opinions simply could not be reached using the approved sources.</w:t>
      </w:r>
      <w:r w:rsidRPr="003E6F6F">
        <w:rPr>
          <w:rStyle w:val="FootnoteReference"/>
          <w:rFonts w:ascii="Times New Roman" w:hAnsi="Times New Roman" w:cs="Times New Roman"/>
          <w:sz w:val="24"/>
          <w:szCs w:val="24"/>
        </w:rPr>
        <w:footnoteReference w:id="34"/>
      </w:r>
      <w:r w:rsidRPr="003E6F6F">
        <w:rPr>
          <w:rFonts w:ascii="Times New Roman" w:hAnsi="Times New Roman" w:cs="Times New Roman"/>
          <w:sz w:val="24"/>
          <w:szCs w:val="24"/>
        </w:rPr>
        <w:t xml:space="preserve"> Interestingly, </w:t>
      </w:r>
      <w:r w:rsidRPr="003E6F6F">
        <w:rPr>
          <w:rFonts w:ascii="Times New Roman" w:hAnsi="Times New Roman" w:cs="Times New Roman"/>
          <w:noProof/>
          <w:sz w:val="24"/>
          <w:szCs w:val="24"/>
        </w:rPr>
        <w:t>with regard to</w:t>
      </w:r>
      <w:r w:rsidRPr="003E6F6F">
        <w:rPr>
          <w:rFonts w:ascii="Times New Roman" w:hAnsi="Times New Roman" w:cs="Times New Roman"/>
          <w:sz w:val="24"/>
          <w:szCs w:val="24"/>
        </w:rPr>
        <w:t xml:space="preserve"> </w:t>
      </w:r>
      <w:r w:rsidRPr="003E6F6F">
        <w:rPr>
          <w:rFonts w:ascii="Times New Roman" w:hAnsi="Times New Roman" w:cs="Times New Roman"/>
          <w:i/>
          <w:sz w:val="24"/>
          <w:szCs w:val="24"/>
        </w:rPr>
        <w:t xml:space="preserve">uṣūl </w:t>
      </w:r>
      <w:r w:rsidRPr="003E6F6F">
        <w:rPr>
          <w:rFonts w:ascii="Times New Roman" w:hAnsi="Times New Roman" w:cs="Times New Roman"/>
          <w:i/>
          <w:noProof/>
          <w:sz w:val="24"/>
          <w:szCs w:val="24"/>
        </w:rPr>
        <w:t>al-</w:t>
      </w:r>
      <w:r w:rsidRPr="003E6F6F">
        <w:rPr>
          <w:rFonts w:ascii="Times New Roman" w:hAnsi="Times New Roman" w:cs="Times New Roman"/>
          <w:noProof/>
          <w:sz w:val="24"/>
          <w:szCs w:val="24"/>
        </w:rPr>
        <w:t>fiḳh</w:t>
      </w:r>
      <w:r w:rsidR="001308BD" w:rsidRPr="003E6F6F">
        <w:rPr>
          <w:rFonts w:ascii="Times New Roman" w:hAnsi="Times New Roman" w:cs="Times New Roman"/>
          <w:noProof/>
          <w:sz w:val="24"/>
          <w:szCs w:val="24"/>
        </w:rPr>
        <w:t>,</w:t>
      </w:r>
      <w:r w:rsidRPr="003E6F6F">
        <w:rPr>
          <w:rFonts w:ascii="Times New Roman" w:hAnsi="Times New Roman" w:cs="Times New Roman"/>
          <w:sz w:val="24"/>
          <w:szCs w:val="24"/>
        </w:rPr>
        <w:t xml:space="preserve"> the Hanbali approach was influenced not for S̲h̲āfi’ but rather had more in common with the </w:t>
      </w:r>
      <w:r w:rsidR="00D41E20" w:rsidRPr="003E6F6F">
        <w:rPr>
          <w:rFonts w:ascii="Times New Roman" w:hAnsi="Times New Roman" w:cs="Times New Roman"/>
          <w:iCs/>
          <w:sz w:val="24"/>
          <w:szCs w:val="24"/>
        </w:rPr>
        <w:t>Māliki</w:t>
      </w:r>
      <w:r w:rsidRPr="003E6F6F">
        <w:rPr>
          <w:rFonts w:ascii="Times New Roman" w:hAnsi="Times New Roman" w:cs="Times New Roman"/>
          <w:sz w:val="24"/>
          <w:szCs w:val="24"/>
        </w:rPr>
        <w:t>.</w:t>
      </w:r>
      <w:r w:rsidRPr="003E6F6F">
        <w:rPr>
          <w:rStyle w:val="FootnoteReference"/>
          <w:rFonts w:ascii="Times New Roman" w:hAnsi="Times New Roman" w:cs="Times New Roman"/>
          <w:sz w:val="24"/>
          <w:szCs w:val="24"/>
        </w:rPr>
        <w:footnoteReference w:id="35"/>
      </w:r>
      <w:r w:rsidRPr="003E6F6F">
        <w:rPr>
          <w:rFonts w:ascii="Times New Roman" w:hAnsi="Times New Roman" w:cs="Times New Roman"/>
          <w:sz w:val="24"/>
          <w:szCs w:val="24"/>
        </w:rPr>
        <w:t xml:space="preserve"> A good example of the interplay of the schools of law that showed that differences, no matter how profound, would not prevent the other from borrowing from other schools. </w:t>
      </w:r>
    </w:p>
    <w:p w:rsidR="00AA0D06" w:rsidRPr="003E6F6F" w:rsidRDefault="00AA0D06"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The formation and development of the school </w:t>
      </w:r>
      <w:r w:rsidRPr="003E6F6F">
        <w:rPr>
          <w:rFonts w:ascii="Times New Roman" w:hAnsi="Times New Roman" w:cs="Times New Roman"/>
          <w:noProof/>
          <w:sz w:val="24"/>
          <w:szCs w:val="24"/>
        </w:rPr>
        <w:t>was also influenced</w:t>
      </w:r>
      <w:r w:rsidRPr="003E6F6F">
        <w:rPr>
          <w:rFonts w:ascii="Times New Roman" w:hAnsi="Times New Roman" w:cs="Times New Roman"/>
          <w:sz w:val="24"/>
          <w:szCs w:val="24"/>
        </w:rPr>
        <w:t xml:space="preserve"> by theological debates that were running concurrently. Ibn Hanbal argued vehemently against </w:t>
      </w:r>
      <w:r w:rsidRPr="003E6F6F">
        <w:rPr>
          <w:rFonts w:ascii="Times New Roman" w:hAnsi="Times New Roman" w:cs="Times New Roman"/>
          <w:noProof/>
          <w:sz w:val="24"/>
          <w:szCs w:val="24"/>
        </w:rPr>
        <w:t>a d</w:t>
      </w:r>
      <w:r w:rsidR="001308BD" w:rsidRPr="003E6F6F">
        <w:rPr>
          <w:rFonts w:ascii="Times New Roman" w:hAnsi="Times New Roman" w:cs="Times New Roman"/>
          <w:noProof/>
          <w:sz w:val="24"/>
          <w:szCs w:val="24"/>
        </w:rPr>
        <w:t>iscussion</w:t>
      </w:r>
      <w:r w:rsidRPr="003E6F6F">
        <w:rPr>
          <w:rFonts w:ascii="Times New Roman" w:hAnsi="Times New Roman" w:cs="Times New Roman"/>
          <w:sz w:val="24"/>
          <w:szCs w:val="24"/>
        </w:rPr>
        <w:t xml:space="preserve"> that was beginning to emerge concerning </w:t>
      </w:r>
      <w:r w:rsidR="001308BD" w:rsidRPr="003E6F6F">
        <w:rPr>
          <w:rFonts w:ascii="Times New Roman" w:hAnsi="Times New Roman" w:cs="Times New Roman"/>
          <w:sz w:val="24"/>
          <w:szCs w:val="24"/>
        </w:rPr>
        <w:t>whether</w:t>
      </w:r>
      <w:r w:rsidRPr="003E6F6F">
        <w:rPr>
          <w:rFonts w:ascii="Times New Roman" w:hAnsi="Times New Roman" w:cs="Times New Roman"/>
          <w:sz w:val="24"/>
          <w:szCs w:val="24"/>
        </w:rPr>
        <w:t xml:space="preserve"> the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was created</w:t>
      </w:r>
      <w:r w:rsidRPr="003E6F6F">
        <w:rPr>
          <w:rFonts w:ascii="Times New Roman" w:hAnsi="Times New Roman" w:cs="Times New Roman"/>
          <w:sz w:val="24"/>
          <w:szCs w:val="24"/>
        </w:rPr>
        <w:t xml:space="preserve">; not dissimilar to the Arian controversy in the development of Christian doctrine. Hanbal’s response was unequivocal in his argument that the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 was uncreated. </w:t>
      </w:r>
      <w:r w:rsidRPr="003E6F6F">
        <w:rPr>
          <w:rFonts w:ascii="Times New Roman" w:hAnsi="Times New Roman" w:cs="Times New Roman"/>
          <w:noProof/>
          <w:sz w:val="24"/>
          <w:szCs w:val="24"/>
        </w:rPr>
        <w:t>This</w:t>
      </w:r>
      <w:r w:rsidRPr="003E6F6F">
        <w:rPr>
          <w:rFonts w:ascii="Times New Roman" w:hAnsi="Times New Roman" w:cs="Times New Roman"/>
          <w:sz w:val="24"/>
          <w:szCs w:val="24"/>
        </w:rPr>
        <w:t xml:space="preserve"> had a knock-on effect </w:t>
      </w:r>
      <w:r w:rsidR="001308BD" w:rsidRPr="003E6F6F">
        <w:rPr>
          <w:rFonts w:ascii="Times New Roman" w:hAnsi="Times New Roman" w:cs="Times New Roman"/>
          <w:noProof/>
          <w:sz w:val="24"/>
          <w:szCs w:val="24"/>
        </w:rPr>
        <w:t>on his opinion of what role</w:t>
      </w:r>
      <w:r w:rsidRPr="003E6F6F">
        <w:rPr>
          <w:rFonts w:ascii="Times New Roman" w:hAnsi="Times New Roman" w:cs="Times New Roman"/>
          <w:sz w:val="24"/>
          <w:szCs w:val="24"/>
        </w:rPr>
        <w:t xml:space="preserve"> human agency could </w:t>
      </w:r>
      <w:r w:rsidR="001308BD" w:rsidRPr="003E6F6F">
        <w:rPr>
          <w:rFonts w:ascii="Times New Roman" w:hAnsi="Times New Roman" w:cs="Times New Roman"/>
          <w:sz w:val="24"/>
          <w:szCs w:val="24"/>
        </w:rPr>
        <w:t>take</w:t>
      </w:r>
      <w:r w:rsidRPr="003E6F6F">
        <w:rPr>
          <w:rFonts w:ascii="Times New Roman" w:hAnsi="Times New Roman" w:cs="Times New Roman"/>
          <w:sz w:val="24"/>
          <w:szCs w:val="24"/>
        </w:rPr>
        <w:t xml:space="preserve"> in both theology and law. The answer restricted the formation of the school’s methodology to religious scholars with little room for community decision making and consensus.</w:t>
      </w:r>
      <w:r w:rsidRPr="003E6F6F">
        <w:rPr>
          <w:rStyle w:val="FootnoteReference"/>
          <w:rFonts w:ascii="Times New Roman" w:hAnsi="Times New Roman" w:cs="Times New Roman"/>
          <w:sz w:val="24"/>
          <w:szCs w:val="24"/>
        </w:rPr>
        <w:footnoteReference w:id="36"/>
      </w:r>
      <w:r w:rsidRPr="003E6F6F">
        <w:rPr>
          <w:rFonts w:ascii="Times New Roman" w:hAnsi="Times New Roman" w:cs="Times New Roman"/>
          <w:sz w:val="24"/>
          <w:szCs w:val="24"/>
        </w:rPr>
        <w:t xml:space="preserve"> An uncreated </w:t>
      </w:r>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 xml:space="preserve"> also favoured a more literal approach to the limited sources available on which to base decisions with Hanbali</w:t>
      </w:r>
      <w:r w:rsidR="001308BD" w:rsidRPr="003E6F6F">
        <w:rPr>
          <w:rFonts w:ascii="Times New Roman" w:hAnsi="Times New Roman" w:cs="Times New Roman"/>
          <w:sz w:val="24"/>
          <w:szCs w:val="24"/>
        </w:rPr>
        <w:t>’</w:t>
      </w:r>
      <w:r w:rsidRPr="003E6F6F">
        <w:rPr>
          <w:rFonts w:ascii="Times New Roman" w:hAnsi="Times New Roman" w:cs="Times New Roman"/>
          <w:sz w:val="24"/>
          <w:szCs w:val="24"/>
        </w:rPr>
        <w:t xml:space="preserve">s wanting to stick very close to the text. In the long </w:t>
      </w:r>
      <w:r w:rsidRPr="003E6F6F">
        <w:rPr>
          <w:rFonts w:ascii="Times New Roman" w:hAnsi="Times New Roman" w:cs="Times New Roman"/>
          <w:noProof/>
          <w:sz w:val="24"/>
          <w:szCs w:val="24"/>
        </w:rPr>
        <w:t>term</w:t>
      </w:r>
      <w:r w:rsidR="001308BD" w:rsidRPr="003E6F6F">
        <w:rPr>
          <w:rFonts w:ascii="Times New Roman" w:hAnsi="Times New Roman" w:cs="Times New Roman"/>
          <w:noProof/>
          <w:sz w:val="24"/>
          <w:szCs w:val="24"/>
        </w:rPr>
        <w:t>,</w:t>
      </w:r>
      <w:r w:rsidRPr="003E6F6F">
        <w:rPr>
          <w:rFonts w:ascii="Times New Roman" w:hAnsi="Times New Roman" w:cs="Times New Roman"/>
          <w:sz w:val="24"/>
          <w:szCs w:val="24"/>
        </w:rPr>
        <w:t xml:space="preserve"> this fuelled the idea that this school</w:t>
      </w:r>
      <w:r w:rsidR="00D41E20" w:rsidRPr="003E6F6F">
        <w:rPr>
          <w:rFonts w:ascii="Times New Roman" w:hAnsi="Times New Roman" w:cs="Times New Roman"/>
          <w:sz w:val="24"/>
          <w:szCs w:val="24"/>
        </w:rPr>
        <w:t xml:space="preserve"> is</w:t>
      </w:r>
      <w:r w:rsidRPr="003E6F6F">
        <w:rPr>
          <w:rFonts w:ascii="Times New Roman" w:hAnsi="Times New Roman" w:cs="Times New Roman"/>
          <w:sz w:val="24"/>
          <w:szCs w:val="24"/>
        </w:rPr>
        <w:t xml:space="preserve"> the most conservative of the four.  </w:t>
      </w:r>
    </w:p>
    <w:p w:rsidR="009B2A94" w:rsidRDefault="009B2A94">
      <w:pPr>
        <w:rPr>
          <w:rFonts w:ascii="Times New Roman" w:hAnsi="Times New Roman" w:cs="Times New Roman"/>
          <w:b/>
          <w:sz w:val="24"/>
          <w:szCs w:val="24"/>
        </w:rPr>
      </w:pPr>
      <w:r>
        <w:rPr>
          <w:rFonts w:ascii="Times New Roman" w:hAnsi="Times New Roman" w:cs="Times New Roman"/>
          <w:b/>
          <w:sz w:val="24"/>
          <w:szCs w:val="24"/>
        </w:rPr>
        <w:br w:type="page"/>
      </w:r>
    </w:p>
    <w:p w:rsidR="006F4DBD" w:rsidRPr="003E6F6F" w:rsidRDefault="006F4DBD"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lastRenderedPageBreak/>
        <w:t>Conclusion</w:t>
      </w:r>
    </w:p>
    <w:p w:rsidR="00AA0D06" w:rsidRDefault="007B2E27" w:rsidP="009B2A94">
      <w:pPr>
        <w:spacing w:line="360" w:lineRule="auto"/>
        <w:rPr>
          <w:rFonts w:ascii="Times New Roman" w:hAnsi="Times New Roman" w:cs="Times New Roman"/>
          <w:i/>
          <w:iCs/>
          <w:sz w:val="24"/>
          <w:szCs w:val="24"/>
        </w:rPr>
      </w:pPr>
      <w:r w:rsidRPr="003E6F6F">
        <w:rPr>
          <w:rFonts w:ascii="Times New Roman" w:hAnsi="Times New Roman" w:cs="Times New Roman"/>
          <w:sz w:val="24"/>
          <w:szCs w:val="24"/>
        </w:rPr>
        <w:t xml:space="preserve">Three phases of </w:t>
      </w:r>
      <w:r w:rsidRPr="003E6F6F">
        <w:rPr>
          <w:rFonts w:ascii="Times New Roman" w:hAnsi="Times New Roman" w:cs="Times New Roman"/>
          <w:i/>
          <w:sz w:val="24"/>
          <w:szCs w:val="24"/>
        </w:rPr>
        <w:t>fiḳh</w:t>
      </w:r>
      <w:r w:rsidRPr="003E6F6F">
        <w:rPr>
          <w:rFonts w:ascii="Times New Roman" w:hAnsi="Times New Roman" w:cs="Times New Roman"/>
          <w:sz w:val="24"/>
          <w:szCs w:val="24"/>
        </w:rPr>
        <w:t xml:space="preserve"> develop before the emergence of distinct schools. The Māliki School emerges as an autonomous legal system, making sense of what has come before it and forming a base of judicial thought which the other schools build upon or react to. The Ḥanīfi school, with is base firmly outside of Medina, dispensed with Medinan authority and developed foundational thinking on </w:t>
      </w:r>
      <w:r w:rsidRPr="003E6F6F">
        <w:rPr>
          <w:rFonts w:ascii="Times New Roman" w:hAnsi="Times New Roman" w:cs="Times New Roman"/>
          <w:i/>
          <w:iCs/>
          <w:sz w:val="24"/>
          <w:szCs w:val="24"/>
        </w:rPr>
        <w:t xml:space="preserve">ḳiyās </w:t>
      </w:r>
      <w:r w:rsidRPr="003E6F6F">
        <w:rPr>
          <w:rFonts w:ascii="Times New Roman" w:hAnsi="Times New Roman" w:cs="Times New Roman"/>
          <w:iCs/>
          <w:sz w:val="24"/>
          <w:szCs w:val="24"/>
        </w:rPr>
        <w:t xml:space="preserve">(analogy) to meet the judicial demands of its context. The S̲h̲āfiʿ school was unwilling to compromise with the other legal schools, maintaining a conviction that the traditions of Muhammad must be the ‘overriding authority’. Their rejection of specific models of independent reasoning resulted in the important development of </w:t>
      </w:r>
      <w:r w:rsidRPr="003E6F6F">
        <w:rPr>
          <w:rFonts w:ascii="Times New Roman" w:hAnsi="Times New Roman" w:cs="Times New Roman"/>
          <w:i/>
          <w:iCs/>
          <w:sz w:val="24"/>
          <w:szCs w:val="24"/>
        </w:rPr>
        <w:t>uṣūl al-fiḳh</w:t>
      </w:r>
      <w:r w:rsidRPr="003E6F6F">
        <w:rPr>
          <w:rFonts w:ascii="Times New Roman" w:hAnsi="Times New Roman" w:cs="Times New Roman"/>
          <w:iCs/>
          <w:sz w:val="24"/>
          <w:szCs w:val="24"/>
        </w:rPr>
        <w:t xml:space="preserve">, the methodology for developing legal rules from the classical sources. A methodology which became an established authority amongst the other schools. Concurrent theological debates concerning the status of the Ḳurʾān meant the </w:t>
      </w:r>
      <w:r w:rsidRPr="003E6F6F">
        <w:rPr>
          <w:rFonts w:ascii="Times New Roman" w:hAnsi="Times New Roman" w:cs="Times New Roman"/>
          <w:sz w:val="24"/>
          <w:szCs w:val="24"/>
        </w:rPr>
        <w:t>Hanbali school emphasised the sunna of the Prophet above all other sources of authority.  Each school clearly reacts to that which comes before them. The varying role of the classical sources in each, the place of consensus, the relationship and approach to human agency and the influence of geographical contexts, all playing a part in their background and development.</w:t>
      </w:r>
    </w:p>
    <w:p w:rsidR="009B2A94" w:rsidRDefault="009B2A94">
      <w:pPr>
        <w:rPr>
          <w:rFonts w:ascii="Times New Roman" w:hAnsi="Times New Roman" w:cs="Times New Roman"/>
          <w:i/>
          <w:iCs/>
          <w:sz w:val="24"/>
          <w:szCs w:val="24"/>
        </w:rPr>
      </w:pPr>
      <w:r>
        <w:rPr>
          <w:rFonts w:ascii="Times New Roman" w:hAnsi="Times New Roman" w:cs="Times New Roman"/>
          <w:i/>
          <w:iCs/>
          <w:sz w:val="24"/>
          <w:szCs w:val="24"/>
        </w:rPr>
        <w:br w:type="page"/>
      </w:r>
    </w:p>
    <w:p w:rsidR="009B2A94" w:rsidRPr="009B2A94" w:rsidRDefault="009B2A94" w:rsidP="009B2A94">
      <w:pPr>
        <w:spacing w:after="100" w:afterAutospacing="1" w:line="240" w:lineRule="auto"/>
        <w:outlineLvl w:val="1"/>
        <w:rPr>
          <w:rFonts w:ascii="Times New Roman" w:eastAsia="Times New Roman" w:hAnsi="Times New Roman" w:cs="Times New Roman"/>
          <w:color w:val="000000"/>
          <w:sz w:val="36"/>
          <w:szCs w:val="36"/>
          <w:lang w:eastAsia="en-GB"/>
        </w:rPr>
      </w:pPr>
      <w:r>
        <w:rPr>
          <w:rFonts w:ascii="Times New Roman" w:eastAsia="Times New Roman" w:hAnsi="Times New Roman" w:cs="Times New Roman"/>
          <w:color w:val="000000"/>
          <w:sz w:val="36"/>
          <w:szCs w:val="36"/>
          <w:lang w:eastAsia="en-GB"/>
        </w:rPr>
        <w:lastRenderedPageBreak/>
        <w:t>Bibliography</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Abū Zahrah, Muḥammad. </w:t>
      </w:r>
      <w:r w:rsidRPr="009B2A94">
        <w:rPr>
          <w:rFonts w:ascii="Times New Roman" w:eastAsia="Times New Roman" w:hAnsi="Times New Roman" w:cs="Times New Roman"/>
          <w:i/>
          <w:iCs/>
          <w:color w:val="000000"/>
          <w:sz w:val="24"/>
          <w:szCs w:val="24"/>
          <w:lang w:eastAsia="en-GB"/>
        </w:rPr>
        <w:t>The Four Imams</w:t>
      </w:r>
      <w:r w:rsidRPr="009B2A94">
        <w:rPr>
          <w:rFonts w:ascii="Times New Roman" w:eastAsia="Times New Roman" w:hAnsi="Times New Roman" w:cs="Times New Roman"/>
          <w:color w:val="000000"/>
          <w:sz w:val="24"/>
          <w:szCs w:val="24"/>
          <w:lang w:eastAsia="en-GB"/>
        </w:rPr>
        <w:t>. London: Dar Al-Taqwa, 2005.</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al-Aʻẓamī, Muḥammad Muṣṭafā. </w:t>
      </w:r>
      <w:r w:rsidRPr="009B2A94">
        <w:rPr>
          <w:rFonts w:ascii="Times New Roman" w:eastAsia="Times New Roman" w:hAnsi="Times New Roman" w:cs="Times New Roman"/>
          <w:i/>
          <w:iCs/>
          <w:color w:val="000000"/>
          <w:sz w:val="24"/>
          <w:szCs w:val="24"/>
          <w:lang w:eastAsia="en-GB"/>
        </w:rPr>
        <w:t>On Schacht's Origins Of Muhammadan Jurisprudence</w:t>
      </w:r>
      <w:r w:rsidRPr="009B2A94">
        <w:rPr>
          <w:rFonts w:ascii="Times New Roman" w:eastAsia="Times New Roman" w:hAnsi="Times New Roman" w:cs="Times New Roman"/>
          <w:color w:val="000000"/>
          <w:sz w:val="24"/>
          <w:szCs w:val="24"/>
          <w:lang w:eastAsia="en-GB"/>
        </w:rPr>
        <w:t>. Oxford: The Oxford Centre for Islamic Studies, 1996.</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al-Aʻẓamī, Muḥammad Muṣṭafā. </w:t>
      </w:r>
      <w:r w:rsidRPr="009B2A94">
        <w:rPr>
          <w:rFonts w:ascii="Times New Roman" w:eastAsia="Times New Roman" w:hAnsi="Times New Roman" w:cs="Times New Roman"/>
          <w:i/>
          <w:iCs/>
          <w:color w:val="000000"/>
          <w:sz w:val="24"/>
          <w:szCs w:val="24"/>
          <w:lang w:eastAsia="en-GB"/>
        </w:rPr>
        <w:t>On Schacht's Origins Of Muhammadan Jurisprudence</w:t>
      </w:r>
      <w:r w:rsidRPr="009B2A94">
        <w:rPr>
          <w:rFonts w:ascii="Times New Roman" w:eastAsia="Times New Roman" w:hAnsi="Times New Roman" w:cs="Times New Roman"/>
          <w:color w:val="000000"/>
          <w:sz w:val="24"/>
          <w:szCs w:val="24"/>
          <w:lang w:eastAsia="en-GB"/>
        </w:rPr>
        <w:t>. Oxford: The Oxford Centre for Islamic Studies, 1996.</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Bennett, Clinton. </w:t>
      </w:r>
      <w:r w:rsidRPr="009B2A94">
        <w:rPr>
          <w:rFonts w:ascii="Times New Roman" w:eastAsia="Times New Roman" w:hAnsi="Times New Roman" w:cs="Times New Roman"/>
          <w:i/>
          <w:iCs/>
          <w:color w:val="000000"/>
          <w:sz w:val="24"/>
          <w:szCs w:val="24"/>
          <w:lang w:eastAsia="en-GB"/>
        </w:rPr>
        <w:t>Muslims And Modernity</w:t>
      </w:r>
      <w:r w:rsidRPr="009B2A94">
        <w:rPr>
          <w:rFonts w:ascii="Times New Roman" w:eastAsia="Times New Roman" w:hAnsi="Times New Roman" w:cs="Times New Roman"/>
          <w:color w:val="000000"/>
          <w:sz w:val="24"/>
          <w:szCs w:val="24"/>
          <w:lang w:eastAsia="en-GB"/>
        </w:rPr>
        <w:t>. Edinburgh: T &amp; T Clark, 2005.</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Brown, Jonathan. </w:t>
      </w:r>
      <w:r w:rsidRPr="009B2A94">
        <w:rPr>
          <w:rFonts w:ascii="Times New Roman" w:eastAsia="Times New Roman" w:hAnsi="Times New Roman" w:cs="Times New Roman"/>
          <w:i/>
          <w:iCs/>
          <w:color w:val="000000"/>
          <w:sz w:val="24"/>
          <w:szCs w:val="24"/>
          <w:lang w:eastAsia="en-GB"/>
        </w:rPr>
        <w:t>Misquoting Muhammad</w:t>
      </w:r>
      <w:r w:rsidRPr="009B2A94">
        <w:rPr>
          <w:rFonts w:ascii="Times New Roman" w:eastAsia="Times New Roman" w:hAnsi="Times New Roman" w:cs="Times New Roman"/>
          <w:color w:val="000000"/>
          <w:sz w:val="24"/>
          <w:szCs w:val="24"/>
          <w:lang w:eastAsia="en-GB"/>
        </w:rPr>
        <w:t>. London: Oneworld Publications, 2014.</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Chapman, Colin. </w:t>
      </w:r>
      <w:r w:rsidRPr="009B2A94">
        <w:rPr>
          <w:rFonts w:ascii="Times New Roman" w:eastAsia="Times New Roman" w:hAnsi="Times New Roman" w:cs="Times New Roman"/>
          <w:i/>
          <w:iCs/>
          <w:color w:val="000000"/>
          <w:sz w:val="24"/>
          <w:szCs w:val="24"/>
          <w:lang w:eastAsia="en-GB"/>
        </w:rPr>
        <w:t>Cross And Crescent</w:t>
      </w:r>
      <w:r w:rsidRPr="009B2A94">
        <w:rPr>
          <w:rFonts w:ascii="Times New Roman" w:eastAsia="Times New Roman" w:hAnsi="Times New Roman" w:cs="Times New Roman"/>
          <w:color w:val="000000"/>
          <w:sz w:val="24"/>
          <w:szCs w:val="24"/>
          <w:lang w:eastAsia="en-GB"/>
        </w:rPr>
        <w:t>. Westmont: InterVarsity Press, 2012.</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Chaumont, E., “al-S̲h̲āfiʿiyya”, in: </w:t>
      </w:r>
      <w:r w:rsidRPr="009B2A94">
        <w:rPr>
          <w:rFonts w:ascii="Times New Roman" w:eastAsia="Times New Roman" w:hAnsi="Times New Roman" w:cs="Times New Roman"/>
          <w:i/>
          <w:iCs/>
          <w:color w:val="000000"/>
          <w:sz w:val="24"/>
          <w:szCs w:val="24"/>
          <w:lang w:eastAsia="en-GB"/>
        </w:rPr>
        <w:t>Encyclopaedia of Islam, Second Edition</w:t>
      </w:r>
      <w:r w:rsidRPr="009B2A94">
        <w:rPr>
          <w:rFonts w:ascii="Times New Roman" w:eastAsia="Times New Roman" w:hAnsi="Times New Roman" w:cs="Times New Roman"/>
          <w:color w:val="000000"/>
          <w:sz w:val="24"/>
          <w:szCs w:val="24"/>
          <w:lang w:eastAsia="en-GB"/>
        </w:rPr>
        <w:t>, Edited by: P. Bearman, Th. Bianquis, C.E. Bosworth, E. van Donzel, W.P. Heinrichs.</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Cook, Michael A. </w:t>
      </w:r>
      <w:r w:rsidRPr="009B2A94">
        <w:rPr>
          <w:rFonts w:ascii="Times New Roman" w:eastAsia="Times New Roman" w:hAnsi="Times New Roman" w:cs="Times New Roman"/>
          <w:i/>
          <w:iCs/>
          <w:color w:val="000000"/>
          <w:sz w:val="24"/>
          <w:szCs w:val="24"/>
          <w:lang w:eastAsia="en-GB"/>
        </w:rPr>
        <w:t>Forbidding Wrong In Islam</w:t>
      </w:r>
      <w:r w:rsidRPr="009B2A94">
        <w:rPr>
          <w:rFonts w:ascii="Times New Roman" w:eastAsia="Times New Roman" w:hAnsi="Times New Roman" w:cs="Times New Roman"/>
          <w:color w:val="000000"/>
          <w:sz w:val="24"/>
          <w:szCs w:val="24"/>
          <w:lang w:eastAsia="en-GB"/>
        </w:rPr>
        <w:t>. Cambridge [u.a.]: Cambridge Univ. Press, 2009.</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Cottart</w:t>
      </w:r>
      <w:r>
        <w:rPr>
          <w:rFonts w:ascii="Times New Roman" w:eastAsia="Times New Roman" w:hAnsi="Times New Roman" w:cs="Times New Roman"/>
          <w:color w:val="000000"/>
          <w:sz w:val="24"/>
          <w:szCs w:val="24"/>
          <w:lang w:eastAsia="en-GB"/>
        </w:rPr>
        <w:t xml:space="preserve"> N</w:t>
      </w:r>
      <w:r w:rsidRPr="009B2A94">
        <w:rPr>
          <w:rFonts w:ascii="Times New Roman" w:eastAsia="Times New Roman" w:hAnsi="Times New Roman" w:cs="Times New Roman"/>
          <w:color w:val="000000"/>
          <w:sz w:val="24"/>
          <w:szCs w:val="24"/>
          <w:lang w:eastAsia="en-GB"/>
        </w:rPr>
        <w:t>, “Mālikiyya”, in: </w:t>
      </w:r>
      <w:r w:rsidRPr="009B2A94">
        <w:rPr>
          <w:rFonts w:ascii="Times New Roman" w:eastAsia="Times New Roman" w:hAnsi="Times New Roman" w:cs="Times New Roman"/>
          <w:i/>
          <w:iCs/>
          <w:color w:val="000000"/>
          <w:sz w:val="24"/>
          <w:szCs w:val="24"/>
          <w:lang w:eastAsia="en-GB"/>
        </w:rPr>
        <w:t>Encyclopaedia of Islam, Second Edition</w:t>
      </w:r>
      <w:r w:rsidRPr="009B2A94">
        <w:rPr>
          <w:rFonts w:ascii="Times New Roman" w:eastAsia="Times New Roman" w:hAnsi="Times New Roman" w:cs="Times New Roman"/>
          <w:color w:val="000000"/>
          <w:sz w:val="24"/>
          <w:szCs w:val="24"/>
          <w:lang w:eastAsia="en-GB"/>
        </w:rPr>
        <w:t>, Edited by: P. Bearman, Th. Bianquis, C.E. Bosworth, E. van Donzel, W.P. Heinrichs. Consulted online on 02 December 2017</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Coulson, N. </w:t>
      </w:r>
      <w:r w:rsidRPr="009B2A94">
        <w:rPr>
          <w:rFonts w:ascii="Times New Roman" w:eastAsia="Times New Roman" w:hAnsi="Times New Roman" w:cs="Times New Roman"/>
          <w:i/>
          <w:iCs/>
          <w:color w:val="000000"/>
          <w:sz w:val="24"/>
          <w:szCs w:val="24"/>
          <w:lang w:eastAsia="en-GB"/>
        </w:rPr>
        <w:t>A History Of Islamic Law</w:t>
      </w:r>
      <w:r w:rsidRPr="009B2A94">
        <w:rPr>
          <w:rFonts w:ascii="Times New Roman" w:eastAsia="Times New Roman" w:hAnsi="Times New Roman" w:cs="Times New Roman"/>
          <w:color w:val="000000"/>
          <w:sz w:val="24"/>
          <w:szCs w:val="24"/>
          <w:lang w:eastAsia="en-GB"/>
        </w:rPr>
        <w:t>. London: Edinburgh University Press, 1978.</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Dien, M. Izzi. </w:t>
      </w:r>
      <w:r w:rsidRPr="009B2A94">
        <w:rPr>
          <w:rFonts w:ascii="Times New Roman" w:eastAsia="Times New Roman" w:hAnsi="Times New Roman" w:cs="Times New Roman"/>
          <w:i/>
          <w:iCs/>
          <w:color w:val="000000"/>
          <w:sz w:val="24"/>
          <w:szCs w:val="24"/>
          <w:lang w:eastAsia="en-GB"/>
        </w:rPr>
        <w:t>Islamic Law: From Historical Foundations To Contemporary Practice</w:t>
      </w:r>
      <w:r w:rsidRPr="009B2A94">
        <w:rPr>
          <w:rFonts w:ascii="Times New Roman" w:eastAsia="Times New Roman" w:hAnsi="Times New Roman" w:cs="Times New Roman"/>
          <w:color w:val="000000"/>
          <w:sz w:val="24"/>
          <w:szCs w:val="24"/>
          <w:lang w:eastAsia="en-GB"/>
        </w:rPr>
        <w:t>. Edinburgh: Edinburgh University Press, 2004.</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Doi, Abdur Rahamn I. </w:t>
      </w:r>
      <w:r w:rsidRPr="009B2A94">
        <w:rPr>
          <w:rFonts w:ascii="Times New Roman" w:eastAsia="Times New Roman" w:hAnsi="Times New Roman" w:cs="Times New Roman"/>
          <w:i/>
          <w:iCs/>
          <w:color w:val="000000"/>
          <w:sz w:val="24"/>
          <w:szCs w:val="24"/>
          <w:lang w:eastAsia="en-GB"/>
        </w:rPr>
        <w:t>Shariah The Islamic Law</w:t>
      </w:r>
      <w:r w:rsidRPr="009B2A94">
        <w:rPr>
          <w:rFonts w:ascii="Times New Roman" w:eastAsia="Times New Roman" w:hAnsi="Times New Roman" w:cs="Times New Roman"/>
          <w:color w:val="000000"/>
          <w:sz w:val="24"/>
          <w:szCs w:val="24"/>
          <w:lang w:eastAsia="en-GB"/>
        </w:rPr>
        <w:t>. London: Ta Ha, 1984.</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Dutton, Yasin. </w:t>
      </w:r>
      <w:r w:rsidRPr="009B2A94">
        <w:rPr>
          <w:rFonts w:ascii="Times New Roman" w:eastAsia="Times New Roman" w:hAnsi="Times New Roman" w:cs="Times New Roman"/>
          <w:i/>
          <w:iCs/>
          <w:color w:val="000000"/>
          <w:sz w:val="24"/>
          <w:szCs w:val="24"/>
          <w:lang w:eastAsia="en-GB"/>
        </w:rPr>
        <w:t>Origins Of Islamic Law</w:t>
      </w:r>
      <w:r w:rsidRPr="009B2A94">
        <w:rPr>
          <w:rFonts w:ascii="Times New Roman" w:eastAsia="Times New Roman" w:hAnsi="Times New Roman" w:cs="Times New Roman"/>
          <w:color w:val="000000"/>
          <w:sz w:val="24"/>
          <w:szCs w:val="24"/>
          <w:lang w:eastAsia="en-GB"/>
        </w:rPr>
        <w:t>. New Delhi: Lawman, 2000.</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Glassé, Cyril. </w:t>
      </w:r>
      <w:r w:rsidRPr="009B2A94">
        <w:rPr>
          <w:rFonts w:ascii="Times New Roman" w:eastAsia="Times New Roman" w:hAnsi="Times New Roman" w:cs="Times New Roman"/>
          <w:i/>
          <w:iCs/>
          <w:color w:val="000000"/>
          <w:sz w:val="24"/>
          <w:szCs w:val="24"/>
          <w:lang w:eastAsia="en-GB"/>
        </w:rPr>
        <w:t>The Concise Encyclopaedia Of Islam</w:t>
      </w:r>
      <w:r w:rsidRPr="009B2A94">
        <w:rPr>
          <w:rFonts w:ascii="Times New Roman" w:eastAsia="Times New Roman" w:hAnsi="Times New Roman" w:cs="Times New Roman"/>
          <w:color w:val="000000"/>
          <w:sz w:val="24"/>
          <w:szCs w:val="24"/>
          <w:lang w:eastAsia="en-GB"/>
        </w:rPr>
        <w:t>. London: Stacey International, 2008.</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Hallaq, Wael B. "Was Al-Shafii The Master Architect Of Islamic Jurisprudence?". </w:t>
      </w:r>
      <w:r w:rsidRPr="009B2A94">
        <w:rPr>
          <w:rFonts w:ascii="Times New Roman" w:eastAsia="Times New Roman" w:hAnsi="Times New Roman" w:cs="Times New Roman"/>
          <w:i/>
          <w:iCs/>
          <w:color w:val="000000"/>
          <w:sz w:val="24"/>
          <w:szCs w:val="24"/>
          <w:lang w:eastAsia="en-GB"/>
        </w:rPr>
        <w:t>International Journal Of Middle East Studies</w:t>
      </w:r>
      <w:r w:rsidRPr="009B2A94">
        <w:rPr>
          <w:rFonts w:ascii="Times New Roman" w:eastAsia="Times New Roman" w:hAnsi="Times New Roman" w:cs="Times New Roman"/>
          <w:color w:val="000000"/>
          <w:sz w:val="24"/>
          <w:szCs w:val="24"/>
          <w:lang w:eastAsia="en-GB"/>
        </w:rPr>
        <w:t> 25, no. 04 (1993): 587-605. doi:10.1017/s0020743800059274.</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Hallaq, Wael B. </w:t>
      </w:r>
      <w:r w:rsidRPr="009B2A94">
        <w:rPr>
          <w:rFonts w:ascii="Times New Roman" w:eastAsia="Times New Roman" w:hAnsi="Times New Roman" w:cs="Times New Roman"/>
          <w:i/>
          <w:iCs/>
          <w:color w:val="000000"/>
          <w:sz w:val="24"/>
          <w:szCs w:val="24"/>
          <w:lang w:eastAsia="en-GB"/>
        </w:rPr>
        <w:t>A History Of Islamic Legal Theories</w:t>
      </w:r>
      <w:r w:rsidRPr="009B2A94">
        <w:rPr>
          <w:rFonts w:ascii="Times New Roman" w:eastAsia="Times New Roman" w:hAnsi="Times New Roman" w:cs="Times New Roman"/>
          <w:color w:val="000000"/>
          <w:sz w:val="24"/>
          <w:szCs w:val="24"/>
          <w:lang w:eastAsia="en-GB"/>
        </w:rPr>
        <w:t>. Cambridge: Cambridge University Press, 2008.</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Heffening, an</w:t>
      </w:r>
      <w:r>
        <w:rPr>
          <w:rFonts w:ascii="Times New Roman" w:eastAsia="Times New Roman" w:hAnsi="Times New Roman" w:cs="Times New Roman"/>
          <w:color w:val="000000"/>
          <w:sz w:val="24"/>
          <w:szCs w:val="24"/>
          <w:lang w:eastAsia="en-GB"/>
        </w:rPr>
        <w:t>d</w:t>
      </w:r>
      <w:r w:rsidRPr="009B2A94">
        <w:rPr>
          <w:rFonts w:ascii="Times New Roman" w:eastAsia="Times New Roman" w:hAnsi="Times New Roman" w:cs="Times New Roman"/>
          <w:color w:val="000000"/>
          <w:sz w:val="24"/>
          <w:szCs w:val="24"/>
          <w:lang w:eastAsia="en-GB"/>
        </w:rPr>
        <w:t xml:space="preserve"> Schacht., “Ḥanafiyya”, in: </w:t>
      </w:r>
      <w:r w:rsidRPr="009B2A94">
        <w:rPr>
          <w:rFonts w:ascii="Times New Roman" w:eastAsia="Times New Roman" w:hAnsi="Times New Roman" w:cs="Times New Roman"/>
          <w:i/>
          <w:iCs/>
          <w:color w:val="000000"/>
          <w:sz w:val="24"/>
          <w:szCs w:val="24"/>
          <w:lang w:eastAsia="en-GB"/>
        </w:rPr>
        <w:t>Encyclopaedia of Islam, Second Edition</w:t>
      </w:r>
      <w:r w:rsidRPr="009B2A94">
        <w:rPr>
          <w:rFonts w:ascii="Times New Roman" w:eastAsia="Times New Roman" w:hAnsi="Times New Roman" w:cs="Times New Roman"/>
          <w:color w:val="000000"/>
          <w:sz w:val="24"/>
          <w:szCs w:val="24"/>
          <w:lang w:eastAsia="en-GB"/>
        </w:rPr>
        <w:t xml:space="preserve">, Edited by: P. Bearman, Th. Bianquis, C.E. Bosworth, E. van Donzel, W.P. Heinrichs. </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 Ibn Hanbal ." In </w:t>
      </w:r>
      <w:r w:rsidRPr="009B2A94">
        <w:rPr>
          <w:rFonts w:ascii="Times New Roman" w:eastAsia="Times New Roman" w:hAnsi="Times New Roman" w:cs="Times New Roman"/>
          <w:i/>
          <w:iCs/>
          <w:color w:val="000000"/>
          <w:sz w:val="24"/>
          <w:szCs w:val="24"/>
          <w:lang w:eastAsia="en-GB"/>
        </w:rPr>
        <w:t>The Islamic World: Past and Present</w:t>
      </w:r>
      <w:r w:rsidRPr="009B2A94">
        <w:rPr>
          <w:rFonts w:ascii="Times New Roman" w:eastAsia="Times New Roman" w:hAnsi="Times New Roman" w:cs="Times New Roman"/>
          <w:color w:val="000000"/>
          <w:sz w:val="24"/>
          <w:szCs w:val="24"/>
          <w:lang w:eastAsia="en-GB"/>
        </w:rPr>
        <w:t>. , edited by John L. Esposito. </w:t>
      </w:r>
      <w:r w:rsidRPr="009B2A94">
        <w:rPr>
          <w:rFonts w:ascii="Times New Roman" w:eastAsia="Times New Roman" w:hAnsi="Times New Roman" w:cs="Times New Roman"/>
          <w:i/>
          <w:iCs/>
          <w:color w:val="000000"/>
          <w:sz w:val="24"/>
          <w:szCs w:val="24"/>
          <w:lang w:eastAsia="en-GB"/>
        </w:rPr>
        <w:t>Oxford Islamic Studies Online</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Kamali, Mohammad Hashim. </w:t>
      </w:r>
      <w:r w:rsidRPr="009B2A94">
        <w:rPr>
          <w:rFonts w:ascii="Times New Roman" w:eastAsia="Times New Roman" w:hAnsi="Times New Roman" w:cs="Times New Roman"/>
          <w:i/>
          <w:iCs/>
          <w:color w:val="000000"/>
          <w:sz w:val="24"/>
          <w:szCs w:val="24"/>
          <w:lang w:eastAsia="en-GB"/>
        </w:rPr>
        <w:t>Principles Of Islamic Jurisprudence</w:t>
      </w:r>
      <w:r w:rsidRPr="009B2A94">
        <w:rPr>
          <w:rFonts w:ascii="Times New Roman" w:eastAsia="Times New Roman" w:hAnsi="Times New Roman" w:cs="Times New Roman"/>
          <w:color w:val="000000"/>
          <w:sz w:val="24"/>
          <w:szCs w:val="24"/>
          <w:lang w:eastAsia="en-GB"/>
        </w:rPr>
        <w:t>. Cambridge: The Islamic Texts Society, 2011.</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Kamali, Mohammad Hashim . "Law and Society." In </w:t>
      </w:r>
      <w:r w:rsidRPr="009B2A94">
        <w:rPr>
          <w:rFonts w:ascii="Times New Roman" w:eastAsia="Times New Roman" w:hAnsi="Times New Roman" w:cs="Times New Roman"/>
          <w:i/>
          <w:iCs/>
          <w:color w:val="000000"/>
          <w:sz w:val="24"/>
          <w:szCs w:val="24"/>
          <w:lang w:eastAsia="en-GB"/>
        </w:rPr>
        <w:t>The Oxford History of Islam</w:t>
      </w:r>
      <w:r w:rsidRPr="009B2A94">
        <w:rPr>
          <w:rFonts w:ascii="Times New Roman" w:eastAsia="Times New Roman" w:hAnsi="Times New Roman" w:cs="Times New Roman"/>
          <w:color w:val="000000"/>
          <w:sz w:val="24"/>
          <w:szCs w:val="24"/>
          <w:lang w:eastAsia="en-GB"/>
        </w:rPr>
        <w:t>. , edited by John L. Esposito. </w:t>
      </w:r>
      <w:r w:rsidRPr="009B2A94">
        <w:rPr>
          <w:rFonts w:ascii="Times New Roman" w:eastAsia="Times New Roman" w:hAnsi="Times New Roman" w:cs="Times New Roman"/>
          <w:i/>
          <w:iCs/>
          <w:color w:val="000000"/>
          <w:sz w:val="24"/>
          <w:szCs w:val="24"/>
          <w:lang w:eastAsia="en-GB"/>
        </w:rPr>
        <w:t>Oxford Islamic Studies Online</w:t>
      </w:r>
      <w:r w:rsidRPr="009B2A94">
        <w:rPr>
          <w:rFonts w:ascii="Times New Roman" w:eastAsia="Times New Roman" w:hAnsi="Times New Roman" w:cs="Times New Roman"/>
          <w:color w:val="000000"/>
          <w:sz w:val="24"/>
          <w:szCs w:val="24"/>
          <w:lang w:eastAsia="en-GB"/>
        </w:rPr>
        <w:t>,</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lastRenderedPageBreak/>
        <w:t>Maḥmūd, ʻAbd al-Raḥmān ibn Ṣāliḥ. </w:t>
      </w:r>
      <w:r w:rsidRPr="009B2A94">
        <w:rPr>
          <w:rFonts w:ascii="Times New Roman" w:eastAsia="Times New Roman" w:hAnsi="Times New Roman" w:cs="Times New Roman"/>
          <w:i/>
          <w:iCs/>
          <w:color w:val="000000"/>
          <w:sz w:val="24"/>
          <w:szCs w:val="24"/>
          <w:lang w:eastAsia="en-GB"/>
        </w:rPr>
        <w:t>Man-Made Laws Vs. Shariʻah</w:t>
      </w:r>
      <w:r w:rsidRPr="009B2A94">
        <w:rPr>
          <w:rFonts w:ascii="Times New Roman" w:eastAsia="Times New Roman" w:hAnsi="Times New Roman" w:cs="Times New Roman"/>
          <w:color w:val="000000"/>
          <w:sz w:val="24"/>
          <w:szCs w:val="24"/>
          <w:lang w:eastAsia="en-GB"/>
        </w:rPr>
        <w:t>. Riyadh: International Islamic Publishing House, 2003.</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Patrick Sookhdeo. </w:t>
      </w:r>
      <w:r w:rsidRPr="009B2A94">
        <w:rPr>
          <w:rFonts w:ascii="Times New Roman" w:eastAsia="Times New Roman" w:hAnsi="Times New Roman" w:cs="Times New Roman"/>
          <w:i/>
          <w:iCs/>
          <w:color w:val="000000"/>
          <w:sz w:val="24"/>
          <w:szCs w:val="24"/>
          <w:lang w:eastAsia="en-GB"/>
        </w:rPr>
        <w:t>Understanding Shari'a Finance</w:t>
      </w:r>
      <w:r w:rsidRPr="009B2A94">
        <w:rPr>
          <w:rFonts w:ascii="Times New Roman" w:eastAsia="Times New Roman" w:hAnsi="Times New Roman" w:cs="Times New Roman"/>
          <w:color w:val="000000"/>
          <w:sz w:val="24"/>
          <w:szCs w:val="24"/>
          <w:lang w:eastAsia="en-GB"/>
        </w:rPr>
        <w:t>. [Place of publication not identified]: Isaac Pub., 2008.</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Prothero, Stephen R. </w:t>
      </w:r>
      <w:r w:rsidRPr="009B2A94">
        <w:rPr>
          <w:rFonts w:ascii="Times New Roman" w:eastAsia="Times New Roman" w:hAnsi="Times New Roman" w:cs="Times New Roman"/>
          <w:i/>
          <w:iCs/>
          <w:color w:val="000000"/>
          <w:sz w:val="24"/>
          <w:szCs w:val="24"/>
          <w:lang w:eastAsia="en-GB"/>
        </w:rPr>
        <w:t>God Is Not One: The Eight Rival Religions That Run The World--And Why Their Differences Matter</w:t>
      </w:r>
      <w:r w:rsidRPr="009B2A94">
        <w:rPr>
          <w:rFonts w:ascii="Times New Roman" w:eastAsia="Times New Roman" w:hAnsi="Times New Roman" w:cs="Times New Roman"/>
          <w:color w:val="000000"/>
          <w:sz w:val="24"/>
          <w:szCs w:val="24"/>
          <w:lang w:eastAsia="en-GB"/>
        </w:rPr>
        <w:t>. New York: HarperCollins Publishers, 2011.</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Schacht, Joseph, Thomas Walker Arnold, and Clifford Edmund Bosworth. </w:t>
      </w:r>
      <w:r w:rsidRPr="009B2A94">
        <w:rPr>
          <w:rFonts w:ascii="Times New Roman" w:eastAsia="Times New Roman" w:hAnsi="Times New Roman" w:cs="Times New Roman"/>
          <w:i/>
          <w:iCs/>
          <w:color w:val="000000"/>
          <w:sz w:val="24"/>
          <w:szCs w:val="24"/>
          <w:lang w:eastAsia="en-GB"/>
        </w:rPr>
        <w:t>The Legacy Of Islam</w:t>
      </w:r>
      <w:r w:rsidRPr="009B2A94">
        <w:rPr>
          <w:rFonts w:ascii="Times New Roman" w:eastAsia="Times New Roman" w:hAnsi="Times New Roman" w:cs="Times New Roman"/>
          <w:color w:val="000000"/>
          <w:sz w:val="24"/>
          <w:szCs w:val="24"/>
          <w:lang w:eastAsia="en-GB"/>
        </w:rPr>
        <w:t>. Oxford: Oxford Univ. Pr, 1979.</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Schacht, Joseph. </w:t>
      </w:r>
      <w:r w:rsidRPr="009B2A94">
        <w:rPr>
          <w:rFonts w:ascii="Times New Roman" w:eastAsia="Times New Roman" w:hAnsi="Times New Roman" w:cs="Times New Roman"/>
          <w:i/>
          <w:iCs/>
          <w:color w:val="000000"/>
          <w:sz w:val="24"/>
          <w:szCs w:val="24"/>
          <w:lang w:eastAsia="en-GB"/>
        </w:rPr>
        <w:t>An Introduction To Islamic Law</w:t>
      </w:r>
      <w:r w:rsidRPr="009B2A94">
        <w:rPr>
          <w:rFonts w:ascii="Times New Roman" w:eastAsia="Times New Roman" w:hAnsi="Times New Roman" w:cs="Times New Roman"/>
          <w:color w:val="000000"/>
          <w:sz w:val="24"/>
          <w:szCs w:val="24"/>
          <w:lang w:eastAsia="en-GB"/>
        </w:rPr>
        <w:t>. Oxford: Clarendon Press, 2012.</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Schacht, Joseph. </w:t>
      </w:r>
      <w:r w:rsidRPr="009B2A94">
        <w:rPr>
          <w:rFonts w:ascii="Times New Roman" w:eastAsia="Times New Roman" w:hAnsi="Times New Roman" w:cs="Times New Roman"/>
          <w:i/>
          <w:iCs/>
          <w:color w:val="000000"/>
          <w:sz w:val="24"/>
          <w:szCs w:val="24"/>
          <w:lang w:eastAsia="en-GB"/>
        </w:rPr>
        <w:t>The Origins Of Muhammadan Jurisprudence</w:t>
      </w:r>
      <w:r w:rsidRPr="009B2A94">
        <w:rPr>
          <w:rFonts w:ascii="Times New Roman" w:eastAsia="Times New Roman" w:hAnsi="Times New Roman" w:cs="Times New Roman"/>
          <w:color w:val="000000"/>
          <w:sz w:val="24"/>
          <w:szCs w:val="24"/>
          <w:lang w:eastAsia="en-GB"/>
        </w:rPr>
        <w:t>. Oxford: Clarendon Press, 1967.</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Sookhdeo, Patrick. </w:t>
      </w:r>
      <w:r w:rsidRPr="009B2A94">
        <w:rPr>
          <w:rFonts w:ascii="Times New Roman" w:eastAsia="Times New Roman" w:hAnsi="Times New Roman" w:cs="Times New Roman"/>
          <w:i/>
          <w:iCs/>
          <w:color w:val="000000"/>
          <w:sz w:val="24"/>
          <w:szCs w:val="24"/>
          <w:lang w:eastAsia="en-GB"/>
        </w:rPr>
        <w:t>Understanding Islamic Theology</w:t>
      </w:r>
      <w:r w:rsidRPr="009B2A94">
        <w:rPr>
          <w:rFonts w:ascii="Times New Roman" w:eastAsia="Times New Roman" w:hAnsi="Times New Roman" w:cs="Times New Roman"/>
          <w:color w:val="000000"/>
          <w:sz w:val="24"/>
          <w:szCs w:val="24"/>
          <w:lang w:eastAsia="en-GB"/>
        </w:rPr>
        <w:t>. Cork: Isaac Publishing, 2013.</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Weiss, Bernard G. </w:t>
      </w:r>
      <w:r w:rsidRPr="009B2A94">
        <w:rPr>
          <w:rFonts w:ascii="Times New Roman" w:eastAsia="Times New Roman" w:hAnsi="Times New Roman" w:cs="Times New Roman"/>
          <w:i/>
          <w:iCs/>
          <w:color w:val="000000"/>
          <w:sz w:val="24"/>
          <w:szCs w:val="24"/>
          <w:lang w:eastAsia="en-GB"/>
        </w:rPr>
        <w:t>Studies In Islamic Legal Theory</w:t>
      </w:r>
      <w:r w:rsidRPr="009B2A94">
        <w:rPr>
          <w:rFonts w:ascii="Times New Roman" w:eastAsia="Times New Roman" w:hAnsi="Times New Roman" w:cs="Times New Roman"/>
          <w:color w:val="000000"/>
          <w:sz w:val="24"/>
          <w:szCs w:val="24"/>
          <w:lang w:eastAsia="en-GB"/>
        </w:rPr>
        <w:t>. Boston: Brill, 2002.</w:t>
      </w:r>
    </w:p>
    <w:p w:rsidR="009B2A94" w:rsidRPr="009B2A94" w:rsidRDefault="009B2A94" w:rsidP="009B2A94">
      <w:pPr>
        <w:spacing w:line="360" w:lineRule="auto"/>
        <w:rPr>
          <w:rFonts w:ascii="Times New Roman" w:hAnsi="Times New Roman" w:cs="Times New Roman"/>
          <w:i/>
          <w:iCs/>
          <w:sz w:val="24"/>
          <w:szCs w:val="24"/>
        </w:rPr>
      </w:pPr>
    </w:p>
    <w:sectPr w:rsidR="009B2A94" w:rsidRPr="009B2A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34E6" w:rsidRDefault="00C834E6" w:rsidP="002E42EB">
      <w:pPr>
        <w:spacing w:after="0" w:line="240" w:lineRule="auto"/>
      </w:pPr>
      <w:r>
        <w:separator/>
      </w:r>
    </w:p>
  </w:endnote>
  <w:endnote w:type="continuationSeparator" w:id="0">
    <w:p w:rsidR="00C834E6" w:rsidRDefault="00C834E6" w:rsidP="002E4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34E6" w:rsidRDefault="00C834E6" w:rsidP="002E42EB">
      <w:pPr>
        <w:spacing w:after="0" w:line="240" w:lineRule="auto"/>
      </w:pPr>
      <w:r>
        <w:separator/>
      </w:r>
    </w:p>
  </w:footnote>
  <w:footnote w:type="continuationSeparator" w:id="0">
    <w:p w:rsidR="00C834E6" w:rsidRDefault="00C834E6" w:rsidP="002E42EB">
      <w:pPr>
        <w:spacing w:after="0" w:line="240" w:lineRule="auto"/>
      </w:pPr>
      <w:r>
        <w:continuationSeparator/>
      </w:r>
    </w:p>
  </w:footnote>
  <w:footnote w:id="1">
    <w:p w:rsidR="008838A5" w:rsidRDefault="008838A5">
      <w:pPr>
        <w:pStyle w:val="FootnoteText"/>
      </w:pPr>
      <w:r>
        <w:rPr>
          <w:rStyle w:val="FootnoteReference"/>
        </w:rPr>
        <w:footnoteRef/>
      </w:r>
      <w:r>
        <w:t xml:space="preserve"> </w:t>
      </w:r>
      <w:r w:rsidRPr="00450D9B">
        <w:t>M. Izzi Dien, </w:t>
      </w:r>
      <w:r w:rsidRPr="00450D9B">
        <w:rPr>
          <w:i/>
          <w:iCs/>
        </w:rPr>
        <w:t>Islamic Law: From Historical Foundations To Contemporary Practice</w:t>
      </w:r>
      <w:r w:rsidRPr="00450D9B">
        <w:t> (Edinburgh: Edinburgh University Press, 2004)</w:t>
      </w:r>
      <w:r>
        <w:t>, 3.</w:t>
      </w:r>
    </w:p>
  </w:footnote>
  <w:footnote w:id="2">
    <w:p w:rsidR="002E42EB" w:rsidRDefault="002E42EB">
      <w:pPr>
        <w:pStyle w:val="FootnoteText"/>
      </w:pPr>
      <w:r>
        <w:rPr>
          <w:rStyle w:val="FootnoteReference"/>
        </w:rPr>
        <w:footnoteRef/>
      </w:r>
      <w:r>
        <w:t xml:space="preserve"> </w:t>
      </w:r>
      <w:r w:rsidRPr="002E42EB">
        <w:t xml:space="preserve">Joseph </w:t>
      </w:r>
      <w:bookmarkStart w:id="7" w:name="_Hlk499935672"/>
      <w:r w:rsidRPr="002E42EB">
        <w:t>Schacht, </w:t>
      </w:r>
      <w:r w:rsidRPr="002E42EB">
        <w:rPr>
          <w:i/>
          <w:iCs/>
        </w:rPr>
        <w:t xml:space="preserve">An Introduction </w:t>
      </w:r>
      <w:r>
        <w:rPr>
          <w:i/>
          <w:iCs/>
        </w:rPr>
        <w:t>t</w:t>
      </w:r>
      <w:r w:rsidRPr="002E42EB">
        <w:rPr>
          <w:i/>
          <w:iCs/>
        </w:rPr>
        <w:t>o Islamic Law</w:t>
      </w:r>
      <w:bookmarkEnd w:id="7"/>
      <w:r w:rsidRPr="002E42EB">
        <w:t> (Oxford: Clarendon Press, 2012)</w:t>
      </w:r>
      <w:r>
        <w:t>, 1.</w:t>
      </w:r>
    </w:p>
  </w:footnote>
  <w:footnote w:id="3">
    <w:p w:rsidR="002E42EB" w:rsidRDefault="002E42EB">
      <w:pPr>
        <w:pStyle w:val="FootnoteText"/>
      </w:pPr>
      <w:r>
        <w:rPr>
          <w:rStyle w:val="FootnoteReference"/>
        </w:rPr>
        <w:footnoteRef/>
      </w:r>
      <w:r>
        <w:t xml:space="preserve"> </w:t>
      </w:r>
      <w:bookmarkStart w:id="8" w:name="_Hlk499996501"/>
      <w:r w:rsidRPr="002E42EB">
        <w:t>Patrick Sookhdeo, </w:t>
      </w:r>
      <w:r w:rsidRPr="002E42EB">
        <w:rPr>
          <w:i/>
          <w:iCs/>
        </w:rPr>
        <w:t>Understanding Islamic Theology</w:t>
      </w:r>
      <w:r w:rsidRPr="002E42EB">
        <w:t> (Cork: Isaac Publishing, 2013)</w:t>
      </w:r>
      <w:r>
        <w:t>, 68.</w:t>
      </w:r>
      <w:bookmarkEnd w:id="8"/>
    </w:p>
  </w:footnote>
  <w:footnote w:id="4">
    <w:p w:rsidR="00AC0F4F" w:rsidRDefault="00AC0F4F">
      <w:pPr>
        <w:pStyle w:val="FootnoteText"/>
      </w:pPr>
      <w:r>
        <w:rPr>
          <w:rStyle w:val="FootnoteReference"/>
        </w:rPr>
        <w:footnoteRef/>
      </w:r>
      <w:r>
        <w:t xml:space="preserve"> </w:t>
      </w:r>
      <w:r w:rsidRPr="00AC0F4F">
        <w:t>http://cmje.usc.edu/religious-texts/</w:t>
      </w:r>
      <w:r w:rsidR="00C03894">
        <w:t>hadith̲</w:t>
      </w:r>
      <w:r w:rsidRPr="00AC0F4F">
        <w:t>/bukhari/092-sbt.php</w:t>
      </w:r>
    </w:p>
  </w:footnote>
  <w:footnote w:id="5">
    <w:p w:rsidR="00C03894" w:rsidRDefault="00C03894">
      <w:pPr>
        <w:pStyle w:val="FootnoteText"/>
      </w:pPr>
      <w:r>
        <w:rPr>
          <w:rStyle w:val="FootnoteReference"/>
        </w:rPr>
        <w:footnoteRef/>
      </w:r>
      <w:r>
        <w:t xml:space="preserve"> </w:t>
      </w:r>
      <w:r w:rsidRPr="00C03894">
        <w:t>Kamali, Mohammad Hashim . "Law and Society." In </w:t>
      </w:r>
      <w:r w:rsidRPr="00C03894">
        <w:rPr>
          <w:i/>
          <w:iCs/>
        </w:rPr>
        <w:t>The Oxford History of Islam</w:t>
      </w:r>
      <w:r w:rsidRPr="00C03894">
        <w:t>. , edited by John L. Esposito. </w:t>
      </w:r>
      <w:r w:rsidRPr="00C03894">
        <w:rPr>
          <w:i/>
          <w:iCs/>
        </w:rPr>
        <w:t>Oxford Islamic Studies Online</w:t>
      </w:r>
      <w:r w:rsidRPr="00C03894">
        <w:t>, http://www.oxfordislamicstudies.com/article/book/islam-9780195107999/islam-9780195107999-div1-20 (accessed 11-Dec-2017).</w:t>
      </w:r>
    </w:p>
  </w:footnote>
  <w:footnote w:id="6">
    <w:p w:rsidR="00C03894" w:rsidRDefault="00C03894" w:rsidP="00C03894">
      <w:pPr>
        <w:pStyle w:val="FootnoteText"/>
      </w:pPr>
      <w:r>
        <w:rPr>
          <w:rStyle w:val="FootnoteReference"/>
        </w:rPr>
        <w:footnoteRef/>
      </w:r>
      <w:r>
        <w:t xml:space="preserve"> </w:t>
      </w:r>
      <w:r w:rsidRPr="00435C83">
        <w:t>N Coulson, </w:t>
      </w:r>
      <w:r w:rsidRPr="00435C83">
        <w:rPr>
          <w:i/>
          <w:iCs/>
        </w:rPr>
        <w:t>A History Of Islamic Law</w:t>
      </w:r>
      <w:r w:rsidRPr="00435C83">
        <w:t> (London: Edinburgh University Press, 1978)</w:t>
      </w:r>
      <w:r>
        <w:t>, 222.</w:t>
      </w:r>
    </w:p>
  </w:footnote>
  <w:footnote w:id="7">
    <w:p w:rsidR="005466A8" w:rsidRDefault="005466A8">
      <w:pPr>
        <w:pStyle w:val="FootnoteText"/>
      </w:pPr>
      <w:r>
        <w:rPr>
          <w:rStyle w:val="FootnoteReference"/>
        </w:rPr>
        <w:footnoteRef/>
      </w:r>
      <w:r>
        <w:t xml:space="preserve"> </w:t>
      </w:r>
      <w:r w:rsidRPr="005466A8">
        <w:t>Yasin Dutton, </w:t>
      </w:r>
      <w:r w:rsidRPr="005466A8">
        <w:rPr>
          <w:i/>
          <w:iCs/>
        </w:rPr>
        <w:t>Origins Of Islamic Law</w:t>
      </w:r>
      <w:r w:rsidRPr="005466A8">
        <w:t> (New Delhi: Lawman, 2000)</w:t>
      </w:r>
      <w:r>
        <w:t>, 154</w:t>
      </w:r>
    </w:p>
  </w:footnote>
  <w:footnote w:id="8">
    <w:p w:rsidR="005466A8" w:rsidRDefault="005466A8">
      <w:pPr>
        <w:pStyle w:val="FootnoteText"/>
      </w:pPr>
      <w:r>
        <w:rPr>
          <w:rStyle w:val="FootnoteReference"/>
        </w:rPr>
        <w:footnoteRef/>
      </w:r>
      <w:r>
        <w:t xml:space="preserve"> </w:t>
      </w:r>
      <w:r w:rsidRPr="005466A8">
        <w:t>Dutton, </w:t>
      </w:r>
      <w:r w:rsidRPr="005466A8">
        <w:rPr>
          <w:i/>
          <w:iCs/>
        </w:rPr>
        <w:t>Origins Of Islamic Law</w:t>
      </w:r>
      <w:r>
        <w:rPr>
          <w:i/>
          <w:iCs/>
        </w:rPr>
        <w:t>, 159.</w:t>
      </w:r>
      <w:r w:rsidRPr="005466A8">
        <w:t> </w:t>
      </w:r>
    </w:p>
  </w:footnote>
  <w:footnote w:id="9">
    <w:p w:rsidR="005466A8" w:rsidRDefault="005466A8">
      <w:pPr>
        <w:pStyle w:val="FootnoteText"/>
      </w:pPr>
      <w:r>
        <w:rPr>
          <w:rStyle w:val="FootnoteReference"/>
        </w:rPr>
        <w:footnoteRef/>
      </w:r>
      <w:r>
        <w:t xml:space="preserve"> </w:t>
      </w:r>
      <w:r w:rsidRPr="005466A8">
        <w:t>Schacht,</w:t>
      </w:r>
      <w:r w:rsidRPr="005466A8">
        <w:rPr>
          <w:i/>
          <w:iCs/>
        </w:rPr>
        <w:t xml:space="preserve"> Introduction to Islamic Law</w:t>
      </w:r>
      <w:r>
        <w:rPr>
          <w:i/>
          <w:iCs/>
        </w:rPr>
        <w:t>, 23</w:t>
      </w:r>
    </w:p>
  </w:footnote>
  <w:footnote w:id="10">
    <w:p w:rsidR="00332FB8" w:rsidRDefault="00332FB8">
      <w:pPr>
        <w:pStyle w:val="FootnoteText"/>
      </w:pPr>
      <w:r>
        <w:rPr>
          <w:rStyle w:val="FootnoteReference"/>
        </w:rPr>
        <w:footnoteRef/>
      </w:r>
      <w:r>
        <w:t xml:space="preserve"> </w:t>
      </w:r>
      <w:r w:rsidRPr="00332FB8">
        <w:t>Joseph Schacht, Thomas Walker Arnold and Clifford Edmund Bosworth, </w:t>
      </w:r>
      <w:r w:rsidRPr="00332FB8">
        <w:rPr>
          <w:i/>
          <w:iCs/>
        </w:rPr>
        <w:t>The Legacy Of Islam</w:t>
      </w:r>
      <w:r>
        <w:rPr>
          <w:i/>
          <w:iCs/>
        </w:rPr>
        <w:t xml:space="preserve"> </w:t>
      </w:r>
      <w:r w:rsidRPr="00332FB8">
        <w:t>(Oxford: Oxford Univ. Pr, 1979)</w:t>
      </w:r>
      <w:r>
        <w:t>, 394.</w:t>
      </w:r>
    </w:p>
  </w:footnote>
  <w:footnote w:id="11">
    <w:p w:rsidR="00450D9B" w:rsidRDefault="00450D9B">
      <w:pPr>
        <w:pStyle w:val="FootnoteText"/>
      </w:pPr>
      <w:r>
        <w:rPr>
          <w:rStyle w:val="FootnoteReference"/>
        </w:rPr>
        <w:footnoteRef/>
      </w:r>
      <w:r>
        <w:t xml:space="preserve"> N </w:t>
      </w:r>
      <w:r w:rsidRPr="00450D9B">
        <w:t>Cottart, “Mālikiyya”, in: </w:t>
      </w:r>
      <w:r w:rsidRPr="00450D9B">
        <w:rPr>
          <w:i/>
          <w:iCs/>
        </w:rPr>
        <w:t>Encyclopaedia of Islam, Second Edition</w:t>
      </w:r>
      <w:r w:rsidRPr="00450D9B">
        <w:t>, Edited by: P. Bearman, Th. Bianquis, C.E. Bosworth, E. van Donzel, W.P. Heinrichs. Consulted online on 02 December 2017 &lt;http://dx.doi.org.ezproxy.uwtsd.ac.uk/10.1163/1573-3912_islam_COM_0652&gt;</w:t>
      </w:r>
    </w:p>
  </w:footnote>
  <w:footnote w:id="12">
    <w:p w:rsidR="00450D9B" w:rsidRDefault="00450D9B" w:rsidP="00450D9B">
      <w:pPr>
        <w:pStyle w:val="FootnoteText"/>
      </w:pPr>
      <w:r>
        <w:rPr>
          <w:rStyle w:val="FootnoteReference"/>
        </w:rPr>
        <w:footnoteRef/>
      </w:r>
      <w:r>
        <w:t xml:space="preserve"> </w:t>
      </w:r>
      <w:bookmarkStart w:id="13" w:name="_Hlk500113449"/>
      <w:r w:rsidRPr="00450D9B">
        <w:t>M. Izzi Dien, </w:t>
      </w:r>
      <w:r w:rsidRPr="00450D9B">
        <w:rPr>
          <w:i/>
          <w:iCs/>
        </w:rPr>
        <w:t>Islamic Law: From Historical Foundations To Contemporary Practice</w:t>
      </w:r>
      <w:r w:rsidRPr="00450D9B">
        <w:t> (Edinburgh: Edinburgh University Press, 2004)</w:t>
      </w:r>
      <w:r>
        <w:t>, 16.</w:t>
      </w:r>
      <w:bookmarkEnd w:id="13"/>
    </w:p>
  </w:footnote>
  <w:footnote w:id="13">
    <w:p w:rsidR="00450D9B" w:rsidRDefault="00450D9B" w:rsidP="00450D9B">
      <w:pPr>
        <w:pStyle w:val="FootnoteText"/>
      </w:pPr>
      <w:r>
        <w:rPr>
          <w:rStyle w:val="FootnoteReference"/>
        </w:rPr>
        <w:footnoteRef/>
      </w:r>
      <w:r>
        <w:t xml:space="preserve"> Ibid.</w:t>
      </w:r>
    </w:p>
  </w:footnote>
  <w:footnote w:id="14">
    <w:p w:rsidR="00450D9B" w:rsidRDefault="00450D9B">
      <w:pPr>
        <w:pStyle w:val="FootnoteText"/>
      </w:pPr>
      <w:r>
        <w:rPr>
          <w:rStyle w:val="FootnoteReference"/>
        </w:rPr>
        <w:footnoteRef/>
      </w:r>
      <w:r>
        <w:t xml:space="preserve"> N </w:t>
      </w:r>
      <w:r w:rsidRPr="00450D9B">
        <w:t>Cottart, “Mālikiyya”, in: </w:t>
      </w:r>
      <w:r w:rsidRPr="00450D9B">
        <w:rPr>
          <w:i/>
          <w:iCs/>
        </w:rPr>
        <w:t>Encyclopaedia of Islam, Second Edition</w:t>
      </w:r>
      <w:r w:rsidRPr="00450D9B">
        <w:t>, Edited by: P. Bearman, Th. Bianquis, C.E. Bosworth, E. van Donzel, W.P. Heinrichs. Consulted online on 02 December 2017 &lt;http://dx.doi.org.ezproxy.uwtsd.ac.uk/10.1163/1573-3912_islam_COM_0652&gt;</w:t>
      </w:r>
    </w:p>
  </w:footnote>
  <w:footnote w:id="15">
    <w:p w:rsidR="005466A8" w:rsidRDefault="005466A8">
      <w:pPr>
        <w:pStyle w:val="FootnoteText"/>
      </w:pPr>
      <w:r>
        <w:rPr>
          <w:rStyle w:val="FootnoteReference"/>
        </w:rPr>
        <w:footnoteRef/>
      </w:r>
      <w:r>
        <w:t xml:space="preserve"> </w:t>
      </w:r>
      <w:r w:rsidRPr="005466A8">
        <w:t>Dutton, </w:t>
      </w:r>
      <w:r w:rsidRPr="005466A8">
        <w:rPr>
          <w:i/>
          <w:iCs/>
        </w:rPr>
        <w:t>Origins Of Islamic Law, 1</w:t>
      </w:r>
      <w:r>
        <w:rPr>
          <w:i/>
          <w:iCs/>
        </w:rPr>
        <w:t>62</w:t>
      </w:r>
    </w:p>
  </w:footnote>
  <w:footnote w:id="16">
    <w:p w:rsidR="00450D9B" w:rsidRDefault="00450D9B">
      <w:pPr>
        <w:pStyle w:val="FootnoteText"/>
      </w:pPr>
      <w:r>
        <w:rPr>
          <w:rStyle w:val="FootnoteReference"/>
        </w:rPr>
        <w:footnoteRef/>
      </w:r>
      <w:r>
        <w:t xml:space="preserve"> </w:t>
      </w:r>
      <w:r w:rsidRPr="00450D9B">
        <w:t xml:space="preserve">Sookhdeo, </w:t>
      </w:r>
      <w:r w:rsidRPr="00450D9B">
        <w:rPr>
          <w:i/>
        </w:rPr>
        <w:t>Understanding Islamic Theology</w:t>
      </w:r>
      <w:r>
        <w:t>, 111.</w:t>
      </w:r>
    </w:p>
  </w:footnote>
  <w:footnote w:id="17">
    <w:p w:rsidR="008838A5" w:rsidRDefault="008838A5">
      <w:pPr>
        <w:pStyle w:val="FootnoteText"/>
      </w:pPr>
      <w:r>
        <w:rPr>
          <w:rStyle w:val="FootnoteReference"/>
        </w:rPr>
        <w:footnoteRef/>
      </w:r>
      <w:r>
        <w:t xml:space="preserve"> W </w:t>
      </w:r>
      <w:r w:rsidRPr="008838A5">
        <w:t xml:space="preserve">Heffening, and </w:t>
      </w:r>
      <w:r>
        <w:t xml:space="preserve">J </w:t>
      </w:r>
      <w:r w:rsidRPr="008838A5">
        <w:t>Schacht., “Ḥanafiyya”, in: </w:t>
      </w:r>
      <w:r w:rsidRPr="008838A5">
        <w:rPr>
          <w:i/>
          <w:iCs/>
        </w:rPr>
        <w:t>Encyclopaedia of Islam, Second Edition</w:t>
      </w:r>
      <w:r w:rsidRPr="008838A5">
        <w:t>, Edited by: P. Bearman, Th. Bianquis, C.E. Bosworth, E. van Donzel, W.P. Heinrichs. Consulted online on 04 December 2017 &lt;http://dx.doi.org.ezproxy.uwtsd.ac.uk/10.1163/1573-3912_islam_SIM_2703&gt;</w:t>
      </w:r>
    </w:p>
  </w:footnote>
  <w:footnote w:id="18">
    <w:p w:rsidR="008838A5" w:rsidRDefault="008838A5">
      <w:pPr>
        <w:pStyle w:val="FootnoteText"/>
      </w:pPr>
      <w:r>
        <w:rPr>
          <w:rStyle w:val="FootnoteReference"/>
        </w:rPr>
        <w:footnoteRef/>
      </w:r>
      <w:r>
        <w:t xml:space="preserve"> </w:t>
      </w:r>
      <w:r w:rsidRPr="008838A5">
        <w:t>M. Izzi Dien, </w:t>
      </w:r>
      <w:r w:rsidRPr="008838A5">
        <w:rPr>
          <w:i/>
          <w:iCs/>
        </w:rPr>
        <w:t>Islamic Law: From Historical Foundations To Contemporary Practice</w:t>
      </w:r>
      <w:r w:rsidRPr="008838A5">
        <w:t> (Edinburgh: Edinburgh University Press, 2004), 1</w:t>
      </w:r>
      <w:r>
        <w:t>1.</w:t>
      </w:r>
    </w:p>
  </w:footnote>
  <w:footnote w:id="19">
    <w:p w:rsidR="00537B05" w:rsidRDefault="00537B05">
      <w:pPr>
        <w:pStyle w:val="FootnoteText"/>
      </w:pPr>
      <w:r>
        <w:rPr>
          <w:rStyle w:val="FootnoteReference"/>
        </w:rPr>
        <w:footnoteRef/>
      </w:r>
      <w:r>
        <w:t xml:space="preserve"> </w:t>
      </w:r>
      <w:r w:rsidRPr="00537B05">
        <w:t>Kamali, Mohammad Hashim . "Law and Society." In </w:t>
      </w:r>
      <w:r w:rsidRPr="00537B05">
        <w:rPr>
          <w:i/>
          <w:iCs/>
        </w:rPr>
        <w:t>The Oxford History of Islam</w:t>
      </w:r>
      <w:r w:rsidRPr="00537B05">
        <w:t>. , edited by John L. Esposito. </w:t>
      </w:r>
      <w:r w:rsidRPr="00537B05">
        <w:rPr>
          <w:i/>
          <w:iCs/>
        </w:rPr>
        <w:t>Oxford Islamic Studies Online</w:t>
      </w:r>
      <w:r w:rsidRPr="00537B05">
        <w:t>, http://www.oxfordislamicstudies.com/article/book/islam-9780195107999/islam-9780195107999-div1-20 (accessed 04-Dec-2017).</w:t>
      </w:r>
    </w:p>
  </w:footnote>
  <w:footnote w:id="20">
    <w:p w:rsidR="008838A5" w:rsidRDefault="008838A5">
      <w:pPr>
        <w:pStyle w:val="FootnoteText"/>
      </w:pPr>
      <w:r>
        <w:rPr>
          <w:rStyle w:val="FootnoteReference"/>
        </w:rPr>
        <w:footnoteRef/>
      </w:r>
      <w:r>
        <w:t xml:space="preserve"> </w:t>
      </w:r>
      <w:r w:rsidR="00537B05" w:rsidRPr="008838A5">
        <w:t>Dien, </w:t>
      </w:r>
      <w:r w:rsidR="00537B05" w:rsidRPr="008838A5">
        <w:rPr>
          <w:i/>
          <w:iCs/>
        </w:rPr>
        <w:t>Islamic Law</w:t>
      </w:r>
      <w:r w:rsidR="00537B05">
        <w:rPr>
          <w:i/>
          <w:iCs/>
        </w:rPr>
        <w:t>,</w:t>
      </w:r>
      <w:r w:rsidR="00537B05">
        <w:t xml:space="preserve"> </w:t>
      </w:r>
      <w:r>
        <w:t xml:space="preserve">13. </w:t>
      </w:r>
    </w:p>
  </w:footnote>
  <w:footnote w:id="21">
    <w:p w:rsidR="008838A5" w:rsidRDefault="008838A5">
      <w:pPr>
        <w:pStyle w:val="FootnoteText"/>
      </w:pPr>
      <w:r>
        <w:rPr>
          <w:rStyle w:val="FootnoteReference"/>
        </w:rPr>
        <w:footnoteRef/>
      </w:r>
      <w:r>
        <w:t xml:space="preserve"> Ibid 14.</w:t>
      </w:r>
    </w:p>
  </w:footnote>
  <w:footnote w:id="22">
    <w:p w:rsidR="008838A5" w:rsidRDefault="008838A5">
      <w:pPr>
        <w:pStyle w:val="FootnoteText"/>
      </w:pPr>
      <w:r>
        <w:rPr>
          <w:rStyle w:val="FootnoteReference"/>
        </w:rPr>
        <w:footnoteRef/>
      </w:r>
      <w:r>
        <w:t xml:space="preserve"> Ibid. 15 (Dien)</w:t>
      </w:r>
    </w:p>
  </w:footnote>
  <w:footnote w:id="23">
    <w:p w:rsidR="00096F89" w:rsidRDefault="00096F89">
      <w:pPr>
        <w:pStyle w:val="FootnoteText"/>
      </w:pPr>
      <w:r>
        <w:rPr>
          <w:rStyle w:val="FootnoteReference"/>
        </w:rPr>
        <w:footnoteRef/>
      </w:r>
      <w:r>
        <w:t xml:space="preserve"> </w:t>
      </w:r>
      <w:r w:rsidRPr="00096F89">
        <w:t>Chaumont, E., “al-S̲h̲āfiʿiyya”, in: </w:t>
      </w:r>
      <w:r w:rsidRPr="00096F89">
        <w:rPr>
          <w:i/>
          <w:iCs/>
        </w:rPr>
        <w:t>Encyclopaedia of Islam, Second Edition</w:t>
      </w:r>
      <w:r w:rsidRPr="00096F89">
        <w:t>, Edited by: P. Bearman, Th. Bianquis, C.E. Bosworth, E. van Donzel, W.P. Heinrichs. Consulted online on 04 December 2017 &lt;http://dx.doi.org.ezproxy.uwtsd.ac.uk/10.1163/1573-3912_islam_COM_1021&gt;</w:t>
      </w:r>
    </w:p>
  </w:footnote>
  <w:footnote w:id="24">
    <w:p w:rsidR="00096F89" w:rsidRDefault="00096F89">
      <w:pPr>
        <w:pStyle w:val="FootnoteText"/>
      </w:pPr>
      <w:r>
        <w:rPr>
          <w:rStyle w:val="FootnoteReference"/>
        </w:rPr>
        <w:footnoteRef/>
      </w:r>
      <w:r>
        <w:t xml:space="preserve"> </w:t>
      </w:r>
      <w:r w:rsidRPr="00096F89">
        <w:t>Joseph Schacht, </w:t>
      </w:r>
      <w:r w:rsidRPr="00096F89">
        <w:rPr>
          <w:i/>
          <w:iCs/>
        </w:rPr>
        <w:t>The Origins Of Muhammadan Jurisprudence</w:t>
      </w:r>
      <w:r w:rsidRPr="00096F89">
        <w:t> (Oxford: Clarendon Press, 1967)</w:t>
      </w:r>
      <w:r>
        <w:t>, 6.</w:t>
      </w:r>
    </w:p>
  </w:footnote>
  <w:footnote w:id="25">
    <w:p w:rsidR="00D66103" w:rsidRDefault="00D66103">
      <w:pPr>
        <w:pStyle w:val="FootnoteText"/>
      </w:pPr>
      <w:r>
        <w:rPr>
          <w:rStyle w:val="FootnoteReference"/>
        </w:rPr>
        <w:footnoteRef/>
      </w:r>
      <w:r>
        <w:t xml:space="preserve"> Ibid. 10.</w:t>
      </w:r>
    </w:p>
  </w:footnote>
  <w:footnote w:id="26">
    <w:p w:rsidR="00D66103" w:rsidRDefault="00D66103">
      <w:pPr>
        <w:pStyle w:val="FootnoteText"/>
      </w:pPr>
      <w:r>
        <w:rPr>
          <w:rStyle w:val="FootnoteReference"/>
        </w:rPr>
        <w:footnoteRef/>
      </w:r>
      <w:r>
        <w:t xml:space="preserve"> </w:t>
      </w:r>
      <w:r w:rsidRPr="00D66103">
        <w:t>Wael B. Hallaq, "Was Al-Shafii The Master Architect Of Islamic Jurisprudence?", </w:t>
      </w:r>
      <w:r w:rsidRPr="00D66103">
        <w:rPr>
          <w:i/>
          <w:iCs/>
        </w:rPr>
        <w:t>International Journal Of Middle East Studies</w:t>
      </w:r>
      <w:r w:rsidRPr="00D66103">
        <w:t> 25, no. 04 (1993): 587-605, doi:10.1017/s0020743800059274</w:t>
      </w:r>
      <w:r>
        <w:t>, 592.</w:t>
      </w:r>
    </w:p>
  </w:footnote>
  <w:footnote w:id="27">
    <w:p w:rsidR="00D66103" w:rsidRDefault="00D66103">
      <w:pPr>
        <w:pStyle w:val="FootnoteText"/>
      </w:pPr>
      <w:r>
        <w:rPr>
          <w:rStyle w:val="FootnoteReference"/>
        </w:rPr>
        <w:footnoteRef/>
      </w:r>
      <w:r>
        <w:t xml:space="preserve"> </w:t>
      </w:r>
      <w:r w:rsidRPr="00D66103">
        <w:t>Kamali, </w:t>
      </w:r>
      <w:r w:rsidRPr="00D66103">
        <w:rPr>
          <w:i/>
          <w:iCs/>
        </w:rPr>
        <w:t>Principles Of Islamic Jurisprudence</w:t>
      </w:r>
      <w:r>
        <w:t>, 3-4.</w:t>
      </w:r>
    </w:p>
  </w:footnote>
  <w:footnote w:id="28">
    <w:p w:rsidR="00D66103" w:rsidRDefault="00D66103">
      <w:pPr>
        <w:pStyle w:val="FootnoteText"/>
      </w:pPr>
      <w:r>
        <w:rPr>
          <w:rStyle w:val="FootnoteReference"/>
        </w:rPr>
        <w:footnoteRef/>
      </w:r>
      <w:r>
        <w:t xml:space="preserve"> </w:t>
      </w:r>
      <w:r w:rsidRPr="00D66103">
        <w:t>Dien, </w:t>
      </w:r>
      <w:r w:rsidRPr="00D66103">
        <w:rPr>
          <w:i/>
          <w:iCs/>
        </w:rPr>
        <w:t>Islamic Law</w:t>
      </w:r>
      <w:r>
        <w:rPr>
          <w:i/>
          <w:iCs/>
        </w:rPr>
        <w:t>, 21.</w:t>
      </w:r>
      <w:r>
        <w:t xml:space="preserve"> </w:t>
      </w:r>
    </w:p>
  </w:footnote>
  <w:footnote w:id="29">
    <w:p w:rsidR="00D66103" w:rsidRDefault="00D66103">
      <w:pPr>
        <w:pStyle w:val="FootnoteText"/>
      </w:pPr>
      <w:r>
        <w:rPr>
          <w:rStyle w:val="FootnoteReference"/>
        </w:rPr>
        <w:footnoteRef/>
      </w:r>
      <w:r>
        <w:t xml:space="preserve"> </w:t>
      </w:r>
      <w:r w:rsidRPr="00D66103">
        <w:t>Colin Chapman, </w:t>
      </w:r>
      <w:r w:rsidRPr="00D66103">
        <w:rPr>
          <w:i/>
          <w:iCs/>
        </w:rPr>
        <w:t>Cross And Crescent</w:t>
      </w:r>
      <w:r w:rsidRPr="00D66103">
        <w:t> (Westmont: InterVarsity Press, 2012)</w:t>
      </w:r>
      <w:r>
        <w:t>, 109.</w:t>
      </w:r>
    </w:p>
  </w:footnote>
  <w:footnote w:id="30">
    <w:p w:rsidR="00D66103" w:rsidRDefault="00D66103">
      <w:pPr>
        <w:pStyle w:val="FootnoteText"/>
      </w:pPr>
      <w:r>
        <w:rPr>
          <w:rStyle w:val="FootnoteReference"/>
        </w:rPr>
        <w:footnoteRef/>
      </w:r>
      <w:r>
        <w:t xml:space="preserve"> Ibid, 5.</w:t>
      </w:r>
    </w:p>
  </w:footnote>
  <w:footnote w:id="31">
    <w:p w:rsidR="00AA0D06" w:rsidRDefault="00AA0D06">
      <w:pPr>
        <w:pStyle w:val="FootnoteText"/>
      </w:pPr>
      <w:r>
        <w:rPr>
          <w:rStyle w:val="FootnoteReference"/>
        </w:rPr>
        <w:footnoteRef/>
      </w:r>
      <w:r>
        <w:t xml:space="preserve"> </w:t>
      </w:r>
      <w:r w:rsidRPr="00AA0D06">
        <w:t>" Ibn Hanbal ." In </w:t>
      </w:r>
      <w:r w:rsidRPr="00AA0D06">
        <w:rPr>
          <w:i/>
          <w:iCs/>
        </w:rPr>
        <w:t>The Islamic World: Past and Present</w:t>
      </w:r>
      <w:r w:rsidRPr="00AA0D06">
        <w:t>. , edited by John L. Esposito. </w:t>
      </w:r>
      <w:r w:rsidRPr="00AA0D06">
        <w:rPr>
          <w:i/>
          <w:iCs/>
        </w:rPr>
        <w:t>Oxford Islamic Studies Online</w:t>
      </w:r>
      <w:r w:rsidRPr="00AA0D06">
        <w:t>, http://www.oxfordislamicstudies.com/article/opr/t243/e143 (accessed 05-Dec-2017).</w:t>
      </w:r>
    </w:p>
  </w:footnote>
  <w:footnote w:id="32">
    <w:p w:rsidR="00AA0D06" w:rsidRDefault="00AA0D06">
      <w:pPr>
        <w:pStyle w:val="FootnoteText"/>
      </w:pPr>
      <w:r>
        <w:rPr>
          <w:rStyle w:val="FootnoteReference"/>
        </w:rPr>
        <w:footnoteRef/>
      </w:r>
      <w:r>
        <w:t xml:space="preserve"> </w:t>
      </w:r>
      <w:r w:rsidRPr="00AA0D06">
        <w:t>M. Izzi Dien, </w:t>
      </w:r>
      <w:r w:rsidRPr="00AA0D06">
        <w:rPr>
          <w:i/>
          <w:iCs/>
        </w:rPr>
        <w:t>Islamic Law: From Historical Foundations To Contemporary Practice</w:t>
      </w:r>
      <w:r w:rsidRPr="00AA0D06">
        <w:t> (Edinburgh: Edinburgh University Press, 2004)</w:t>
      </w:r>
      <w:r>
        <w:t>, 22.</w:t>
      </w:r>
    </w:p>
  </w:footnote>
  <w:footnote w:id="33">
    <w:p w:rsidR="00AA0D06" w:rsidRDefault="00AA0D06">
      <w:pPr>
        <w:pStyle w:val="FootnoteText"/>
      </w:pPr>
      <w:r>
        <w:rPr>
          <w:rStyle w:val="FootnoteReference"/>
        </w:rPr>
        <w:footnoteRef/>
      </w:r>
      <w:r>
        <w:t xml:space="preserve"> </w:t>
      </w:r>
      <w:r w:rsidRPr="00AA0D06">
        <w:t>Jonathan Brown, </w:t>
      </w:r>
      <w:r w:rsidRPr="00AA0D06">
        <w:rPr>
          <w:i/>
          <w:iCs/>
        </w:rPr>
        <w:t>Misquoting Muhammad</w:t>
      </w:r>
      <w:r w:rsidRPr="00AA0D06">
        <w:t> (London: Oneworld Publications, 2014)</w:t>
      </w:r>
      <w:r>
        <w:t>, 32.</w:t>
      </w:r>
    </w:p>
  </w:footnote>
  <w:footnote w:id="34">
    <w:p w:rsidR="00AA0D06" w:rsidRDefault="00AA0D06">
      <w:pPr>
        <w:pStyle w:val="FootnoteText"/>
      </w:pPr>
      <w:r>
        <w:rPr>
          <w:rStyle w:val="FootnoteReference"/>
        </w:rPr>
        <w:footnoteRef/>
      </w:r>
      <w:r>
        <w:t xml:space="preserve"> Dien, 23.</w:t>
      </w:r>
    </w:p>
  </w:footnote>
  <w:footnote w:id="35">
    <w:p w:rsidR="00AA0D06" w:rsidRDefault="00AA0D06">
      <w:pPr>
        <w:pStyle w:val="FootnoteText"/>
      </w:pPr>
      <w:r>
        <w:rPr>
          <w:rStyle w:val="FootnoteReference"/>
        </w:rPr>
        <w:footnoteRef/>
      </w:r>
      <w:r>
        <w:t xml:space="preserve"> </w:t>
      </w:r>
      <w:r w:rsidRPr="00AA0D06">
        <w:t>Kamali, </w:t>
      </w:r>
      <w:r w:rsidRPr="00AA0D06">
        <w:rPr>
          <w:i/>
          <w:iCs/>
        </w:rPr>
        <w:t>Principles Of Islamic Jurisprudence</w:t>
      </w:r>
      <w:r w:rsidRPr="00AA0D06">
        <w:t xml:space="preserve">, </w:t>
      </w:r>
      <w:r>
        <w:t>5.</w:t>
      </w:r>
    </w:p>
  </w:footnote>
  <w:footnote w:id="36">
    <w:p w:rsidR="00AA0D06" w:rsidRDefault="00AA0D06">
      <w:pPr>
        <w:pStyle w:val="FootnoteText"/>
      </w:pPr>
      <w:r>
        <w:rPr>
          <w:rStyle w:val="FootnoteReference"/>
        </w:rPr>
        <w:footnoteRef/>
      </w:r>
      <w:r>
        <w:t xml:space="preserve"> </w:t>
      </w:r>
      <w:r w:rsidRPr="00AA0D06">
        <w:t>" Ibn Hanbal ." In </w:t>
      </w:r>
      <w:r w:rsidRPr="00AA0D06">
        <w:rPr>
          <w:i/>
          <w:iCs/>
        </w:rPr>
        <w:t>The Islamic World: Past and Present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bU0tTQ3BgJTM2MzYyUdpeDU4uLM/DyQAkPTWgCPaun/LQAAAA=="/>
  </w:docVars>
  <w:rsids>
    <w:rsidRoot w:val="00DD61C0"/>
    <w:rsid w:val="00096F89"/>
    <w:rsid w:val="00115EB6"/>
    <w:rsid w:val="001162D9"/>
    <w:rsid w:val="001308BD"/>
    <w:rsid w:val="001D1B27"/>
    <w:rsid w:val="002A32F1"/>
    <w:rsid w:val="002C3C29"/>
    <w:rsid w:val="002C72C9"/>
    <w:rsid w:val="002E42EB"/>
    <w:rsid w:val="00332FB8"/>
    <w:rsid w:val="00334F0B"/>
    <w:rsid w:val="003E3DD1"/>
    <w:rsid w:val="003E6F6F"/>
    <w:rsid w:val="00435C83"/>
    <w:rsid w:val="00450D9B"/>
    <w:rsid w:val="004A5C29"/>
    <w:rsid w:val="004C351D"/>
    <w:rsid w:val="004F2B00"/>
    <w:rsid w:val="00537B05"/>
    <w:rsid w:val="005466A8"/>
    <w:rsid w:val="00570193"/>
    <w:rsid w:val="00587721"/>
    <w:rsid w:val="005D07CD"/>
    <w:rsid w:val="005F6E60"/>
    <w:rsid w:val="006A39BA"/>
    <w:rsid w:val="006A7870"/>
    <w:rsid w:val="006E6D3E"/>
    <w:rsid w:val="006F4DBD"/>
    <w:rsid w:val="00715DC6"/>
    <w:rsid w:val="00717249"/>
    <w:rsid w:val="00781C41"/>
    <w:rsid w:val="007B2E27"/>
    <w:rsid w:val="00810075"/>
    <w:rsid w:val="00824392"/>
    <w:rsid w:val="008838A5"/>
    <w:rsid w:val="008C586E"/>
    <w:rsid w:val="009447CF"/>
    <w:rsid w:val="00950CEE"/>
    <w:rsid w:val="009B2A94"/>
    <w:rsid w:val="009C13CE"/>
    <w:rsid w:val="009D3E19"/>
    <w:rsid w:val="00A650EC"/>
    <w:rsid w:val="00AA0D06"/>
    <w:rsid w:val="00AC0F4F"/>
    <w:rsid w:val="00AD36B9"/>
    <w:rsid w:val="00BE7706"/>
    <w:rsid w:val="00C03894"/>
    <w:rsid w:val="00C24384"/>
    <w:rsid w:val="00C834E6"/>
    <w:rsid w:val="00CB663E"/>
    <w:rsid w:val="00D41E20"/>
    <w:rsid w:val="00D66103"/>
    <w:rsid w:val="00DA0798"/>
    <w:rsid w:val="00DA6160"/>
    <w:rsid w:val="00DB41DF"/>
    <w:rsid w:val="00DD4A50"/>
    <w:rsid w:val="00DD61C0"/>
    <w:rsid w:val="00E8433A"/>
    <w:rsid w:val="00EB70E4"/>
    <w:rsid w:val="00FB38BE"/>
    <w:rsid w:val="00FF4430"/>
    <w:rsid w:val="00FF4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8E3D8A-1483-40F4-965F-E6E57175B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2E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1B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E42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42EB"/>
    <w:rPr>
      <w:sz w:val="20"/>
      <w:szCs w:val="20"/>
    </w:rPr>
  </w:style>
  <w:style w:type="character" w:styleId="FootnoteReference">
    <w:name w:val="footnote reference"/>
    <w:basedOn w:val="DefaultParagraphFont"/>
    <w:uiPriority w:val="99"/>
    <w:semiHidden/>
    <w:unhideWhenUsed/>
    <w:rsid w:val="002E42EB"/>
    <w:rPr>
      <w:vertAlign w:val="superscript"/>
    </w:rPr>
  </w:style>
  <w:style w:type="character" w:styleId="Strong">
    <w:name w:val="Strong"/>
    <w:basedOn w:val="DefaultParagraphFont"/>
    <w:uiPriority w:val="22"/>
    <w:qFormat/>
    <w:rsid w:val="00587721"/>
    <w:rPr>
      <w:b/>
      <w:bCs/>
    </w:rPr>
  </w:style>
  <w:style w:type="character" w:styleId="Emphasis">
    <w:name w:val="Emphasis"/>
    <w:basedOn w:val="DefaultParagraphFont"/>
    <w:uiPriority w:val="20"/>
    <w:qFormat/>
    <w:rsid w:val="00587721"/>
    <w:rPr>
      <w:i/>
      <w:iCs/>
    </w:rPr>
  </w:style>
  <w:style w:type="character" w:styleId="Hyperlink">
    <w:name w:val="Hyperlink"/>
    <w:basedOn w:val="DefaultParagraphFont"/>
    <w:uiPriority w:val="99"/>
    <w:unhideWhenUsed/>
    <w:rsid w:val="00450D9B"/>
    <w:rPr>
      <w:color w:val="0563C1" w:themeColor="hyperlink"/>
      <w:u w:val="single"/>
    </w:rPr>
  </w:style>
  <w:style w:type="character" w:styleId="UnresolvedMention">
    <w:name w:val="Unresolved Mention"/>
    <w:basedOn w:val="DefaultParagraphFont"/>
    <w:uiPriority w:val="99"/>
    <w:semiHidden/>
    <w:unhideWhenUsed/>
    <w:rsid w:val="00450D9B"/>
    <w:rPr>
      <w:color w:val="808080"/>
      <w:shd w:val="clear" w:color="auto" w:fill="E6E6E6"/>
    </w:rPr>
  </w:style>
  <w:style w:type="character" w:customStyle="1" w:styleId="textline">
    <w:name w:val="text_line"/>
    <w:basedOn w:val="DefaultParagraphFont"/>
    <w:rsid w:val="00450D9B"/>
  </w:style>
  <w:style w:type="paragraph" w:styleId="BalloonText">
    <w:name w:val="Balloon Text"/>
    <w:basedOn w:val="Normal"/>
    <w:link w:val="BalloonTextChar"/>
    <w:uiPriority w:val="99"/>
    <w:semiHidden/>
    <w:unhideWhenUsed/>
    <w:rsid w:val="00537B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7B05"/>
    <w:rPr>
      <w:rFonts w:ascii="Segoe UI" w:hAnsi="Segoe UI" w:cs="Segoe UI"/>
      <w:sz w:val="18"/>
      <w:szCs w:val="18"/>
    </w:rPr>
  </w:style>
  <w:style w:type="character" w:styleId="FollowedHyperlink">
    <w:name w:val="FollowedHyperlink"/>
    <w:basedOn w:val="DefaultParagraphFont"/>
    <w:uiPriority w:val="99"/>
    <w:semiHidden/>
    <w:unhideWhenUsed/>
    <w:rsid w:val="00D66103"/>
    <w:rPr>
      <w:color w:val="954F72" w:themeColor="followedHyperlink"/>
      <w:u w:val="single"/>
    </w:rPr>
  </w:style>
  <w:style w:type="character" w:customStyle="1" w:styleId="validlink">
    <w:name w:val="valid_link"/>
    <w:basedOn w:val="DefaultParagraphFont"/>
    <w:rsid w:val="00D66103"/>
  </w:style>
  <w:style w:type="paragraph" w:styleId="NoSpacing">
    <w:name w:val="No Spacing"/>
    <w:uiPriority w:val="1"/>
    <w:qFormat/>
    <w:rsid w:val="001308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0211">
      <w:bodyDiv w:val="1"/>
      <w:marLeft w:val="0"/>
      <w:marRight w:val="0"/>
      <w:marTop w:val="0"/>
      <w:marBottom w:val="0"/>
      <w:divBdr>
        <w:top w:val="none" w:sz="0" w:space="0" w:color="auto"/>
        <w:left w:val="none" w:sz="0" w:space="0" w:color="auto"/>
        <w:bottom w:val="none" w:sz="0" w:space="0" w:color="auto"/>
        <w:right w:val="none" w:sz="0" w:space="0" w:color="auto"/>
      </w:divBdr>
      <w:divsChild>
        <w:div w:id="331564764">
          <w:marLeft w:val="0"/>
          <w:marRight w:val="9906"/>
          <w:marTop w:val="0"/>
          <w:marBottom w:val="0"/>
          <w:divBdr>
            <w:top w:val="none" w:sz="0" w:space="0" w:color="auto"/>
            <w:left w:val="none" w:sz="0" w:space="0" w:color="auto"/>
            <w:bottom w:val="none" w:sz="0" w:space="0" w:color="auto"/>
            <w:right w:val="none" w:sz="0" w:space="0" w:color="auto"/>
          </w:divBdr>
        </w:div>
      </w:divsChild>
    </w:div>
    <w:div w:id="36706165">
      <w:bodyDiv w:val="1"/>
      <w:marLeft w:val="0"/>
      <w:marRight w:val="0"/>
      <w:marTop w:val="0"/>
      <w:marBottom w:val="0"/>
      <w:divBdr>
        <w:top w:val="none" w:sz="0" w:space="0" w:color="auto"/>
        <w:left w:val="none" w:sz="0" w:space="0" w:color="auto"/>
        <w:bottom w:val="none" w:sz="0" w:space="0" w:color="auto"/>
        <w:right w:val="none" w:sz="0" w:space="0" w:color="auto"/>
      </w:divBdr>
    </w:div>
    <w:div w:id="143205944">
      <w:bodyDiv w:val="1"/>
      <w:marLeft w:val="0"/>
      <w:marRight w:val="0"/>
      <w:marTop w:val="0"/>
      <w:marBottom w:val="0"/>
      <w:divBdr>
        <w:top w:val="none" w:sz="0" w:space="0" w:color="auto"/>
        <w:left w:val="none" w:sz="0" w:space="0" w:color="auto"/>
        <w:bottom w:val="none" w:sz="0" w:space="0" w:color="auto"/>
        <w:right w:val="none" w:sz="0" w:space="0" w:color="auto"/>
      </w:divBdr>
    </w:div>
    <w:div w:id="907422515">
      <w:bodyDiv w:val="1"/>
      <w:marLeft w:val="0"/>
      <w:marRight w:val="0"/>
      <w:marTop w:val="0"/>
      <w:marBottom w:val="0"/>
      <w:divBdr>
        <w:top w:val="none" w:sz="0" w:space="0" w:color="auto"/>
        <w:left w:val="none" w:sz="0" w:space="0" w:color="auto"/>
        <w:bottom w:val="none" w:sz="0" w:space="0" w:color="auto"/>
        <w:right w:val="none" w:sz="0" w:space="0" w:color="auto"/>
      </w:divBdr>
      <w:divsChild>
        <w:div w:id="809858771">
          <w:marLeft w:val="0"/>
          <w:marRight w:val="0"/>
          <w:marTop w:val="0"/>
          <w:marBottom w:val="0"/>
          <w:divBdr>
            <w:top w:val="none" w:sz="0" w:space="0" w:color="auto"/>
            <w:left w:val="none" w:sz="0" w:space="0" w:color="auto"/>
            <w:bottom w:val="none" w:sz="0" w:space="0" w:color="auto"/>
            <w:right w:val="none" w:sz="0" w:space="0" w:color="auto"/>
          </w:divBdr>
        </w:div>
        <w:div w:id="1488866290">
          <w:marLeft w:val="0"/>
          <w:marRight w:val="0"/>
          <w:marTop w:val="0"/>
          <w:marBottom w:val="0"/>
          <w:divBdr>
            <w:top w:val="none" w:sz="0" w:space="0" w:color="auto"/>
            <w:left w:val="none" w:sz="0" w:space="0" w:color="auto"/>
            <w:bottom w:val="none" w:sz="0" w:space="0" w:color="auto"/>
            <w:right w:val="none" w:sz="0" w:space="0" w:color="auto"/>
          </w:divBdr>
        </w:div>
      </w:divsChild>
    </w:div>
    <w:div w:id="1176312900">
      <w:bodyDiv w:val="1"/>
      <w:marLeft w:val="0"/>
      <w:marRight w:val="0"/>
      <w:marTop w:val="0"/>
      <w:marBottom w:val="0"/>
      <w:divBdr>
        <w:top w:val="none" w:sz="0" w:space="0" w:color="auto"/>
        <w:left w:val="none" w:sz="0" w:space="0" w:color="auto"/>
        <w:bottom w:val="none" w:sz="0" w:space="0" w:color="auto"/>
        <w:right w:val="none" w:sz="0" w:space="0" w:color="auto"/>
      </w:divBdr>
    </w:div>
    <w:div w:id="1245842031">
      <w:bodyDiv w:val="1"/>
      <w:marLeft w:val="0"/>
      <w:marRight w:val="0"/>
      <w:marTop w:val="0"/>
      <w:marBottom w:val="0"/>
      <w:divBdr>
        <w:top w:val="none" w:sz="0" w:space="0" w:color="auto"/>
        <w:left w:val="none" w:sz="0" w:space="0" w:color="auto"/>
        <w:bottom w:val="none" w:sz="0" w:space="0" w:color="auto"/>
        <w:right w:val="none" w:sz="0" w:space="0" w:color="auto"/>
      </w:divBdr>
    </w:div>
    <w:div w:id="1541823671">
      <w:bodyDiv w:val="1"/>
      <w:marLeft w:val="0"/>
      <w:marRight w:val="0"/>
      <w:marTop w:val="0"/>
      <w:marBottom w:val="0"/>
      <w:divBdr>
        <w:top w:val="none" w:sz="0" w:space="0" w:color="auto"/>
        <w:left w:val="none" w:sz="0" w:space="0" w:color="auto"/>
        <w:bottom w:val="none" w:sz="0" w:space="0" w:color="auto"/>
        <w:right w:val="none" w:sz="0" w:space="0" w:color="auto"/>
      </w:divBdr>
      <w:divsChild>
        <w:div w:id="12954780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3C6B5-1068-4322-8A46-1F6D764A6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3021</Words>
  <Characters>17224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Johnson</cp:lastModifiedBy>
  <cp:revision>4</cp:revision>
  <cp:lastPrinted>2017-12-12T00:58:00Z</cp:lastPrinted>
  <dcterms:created xsi:type="dcterms:W3CDTF">2017-12-12T01:55:00Z</dcterms:created>
  <dcterms:modified xsi:type="dcterms:W3CDTF">2017-12-12T12:35:00Z</dcterms:modified>
</cp:coreProperties>
</file>