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AD9DA" w14:textId="2183EF2D" w:rsidR="00F87955" w:rsidRDefault="008015C3">
      <w:pPr>
        <w:rPr>
          <w:rFonts w:ascii="Arial" w:hAnsi="Arial" w:cs="Arial"/>
        </w:rPr>
      </w:pPr>
      <w:r>
        <w:rPr>
          <w:rFonts w:ascii="Arial" w:hAnsi="Arial" w:cs="Arial"/>
        </w:rPr>
        <w:t xml:space="preserve">This essay will explore the concepts of interpreting and understanding burial evidence by looking at the Ridgeway Hill mass burial site. To do this, this essay will look at the remains uncovered in the mass grave, and understand the techniques behind the identification of such, looking at how archaeologists decipher age, sex and cause of death, to gather an understanding of mass burial sites. </w:t>
      </w:r>
      <w:r w:rsidR="002117A4">
        <w:rPr>
          <w:rFonts w:ascii="Arial" w:hAnsi="Arial" w:cs="Arial"/>
        </w:rPr>
        <w:t>This essay will explore the information that mass burials can provide archaeologists and historians about events that transpired during a period of our history</w:t>
      </w:r>
      <w:r w:rsidR="00453EA2">
        <w:rPr>
          <w:rFonts w:ascii="Arial" w:hAnsi="Arial" w:cs="Arial"/>
        </w:rPr>
        <w:t xml:space="preserve">, specifically what </w:t>
      </w:r>
      <w:r w:rsidR="003A5E57">
        <w:rPr>
          <w:rFonts w:ascii="Arial" w:hAnsi="Arial" w:cs="Arial"/>
        </w:rPr>
        <w:t xml:space="preserve">information </w:t>
      </w:r>
      <w:r w:rsidR="00453EA2">
        <w:rPr>
          <w:rFonts w:ascii="Arial" w:hAnsi="Arial" w:cs="Arial"/>
        </w:rPr>
        <w:t xml:space="preserve">the </w:t>
      </w:r>
      <w:r w:rsidR="003A5E57">
        <w:rPr>
          <w:rFonts w:ascii="Arial" w:hAnsi="Arial" w:cs="Arial"/>
        </w:rPr>
        <w:t xml:space="preserve">excavation of the Ridgeway Hill site can provide.  </w:t>
      </w:r>
    </w:p>
    <w:p w14:paraId="2205123D" w14:textId="31268725" w:rsidR="00F87955" w:rsidRDefault="00924E5F">
      <w:pPr>
        <w:rPr>
          <w:rFonts w:ascii="Arial" w:hAnsi="Arial" w:cs="Arial"/>
        </w:rPr>
      </w:pPr>
      <w:r>
        <w:rPr>
          <w:rFonts w:ascii="Arial" w:hAnsi="Arial" w:cs="Arial"/>
        </w:rPr>
        <w:t>The Ridgeway Hill site in Weymouth, Dorset was uncovered in 2009, during the construction of the Weymouth Relief Road, it is estimated that between 47 and 52 bodies were uncovered at this site</w:t>
      </w:r>
      <w:r w:rsidR="00721ACA">
        <w:rPr>
          <w:rFonts w:ascii="Arial" w:hAnsi="Arial" w:cs="Arial"/>
        </w:rPr>
        <w:t>, originating from the 10</w:t>
      </w:r>
      <w:r w:rsidR="00721ACA" w:rsidRPr="00721ACA">
        <w:rPr>
          <w:rFonts w:ascii="Arial" w:hAnsi="Arial" w:cs="Arial"/>
          <w:vertAlign w:val="superscript"/>
        </w:rPr>
        <w:t>th</w:t>
      </w:r>
      <w:r w:rsidR="00721ACA">
        <w:rPr>
          <w:rFonts w:ascii="Arial" w:hAnsi="Arial" w:cs="Arial"/>
        </w:rPr>
        <w:t xml:space="preserve"> or 11</w:t>
      </w:r>
      <w:r w:rsidR="00721ACA" w:rsidRPr="00721ACA">
        <w:rPr>
          <w:rFonts w:ascii="Arial" w:hAnsi="Arial" w:cs="Arial"/>
          <w:vertAlign w:val="superscript"/>
        </w:rPr>
        <w:t>th</w:t>
      </w:r>
      <w:r w:rsidR="00721ACA">
        <w:rPr>
          <w:rFonts w:ascii="Arial" w:hAnsi="Arial" w:cs="Arial"/>
        </w:rPr>
        <w:t xml:space="preserve"> century</w:t>
      </w:r>
      <w:r>
        <w:rPr>
          <w:rFonts w:ascii="Arial" w:hAnsi="Arial" w:cs="Arial"/>
        </w:rPr>
        <w:t xml:space="preserve"> </w:t>
      </w:r>
      <w:r w:rsidR="00EE320F">
        <w:rPr>
          <w:rFonts w:ascii="Arial" w:hAnsi="Arial" w:cs="Arial"/>
        </w:rPr>
        <w:t>(Oxford Archaeology, 2014).</w:t>
      </w:r>
      <w:r w:rsidR="003D5EF3">
        <w:rPr>
          <w:rFonts w:ascii="Arial" w:hAnsi="Arial" w:cs="Arial"/>
        </w:rPr>
        <w:t xml:space="preserve"> This site was of particular interest to archaeologists due to the nature of the burial, all the skeletal remains found had been beheaded, with their skulls buried separately from their bodies</w:t>
      </w:r>
      <w:r w:rsidR="0022524F">
        <w:rPr>
          <w:rFonts w:ascii="Arial" w:hAnsi="Arial" w:cs="Arial"/>
        </w:rPr>
        <w:t xml:space="preserve">, indicative of an execution style burial </w:t>
      </w:r>
      <w:r w:rsidR="00872DD1">
        <w:rPr>
          <w:rFonts w:ascii="Arial" w:hAnsi="Arial" w:cs="Arial"/>
        </w:rPr>
        <w:t xml:space="preserve">(Loe, </w:t>
      </w:r>
      <w:r w:rsidR="00872DD1">
        <w:rPr>
          <w:rFonts w:ascii="Arial" w:hAnsi="Arial" w:cs="Arial"/>
          <w:i/>
          <w:iCs/>
        </w:rPr>
        <w:t>et al</w:t>
      </w:r>
      <w:r w:rsidR="00872DD1">
        <w:rPr>
          <w:rFonts w:ascii="Arial" w:hAnsi="Arial" w:cs="Arial"/>
        </w:rPr>
        <w:t xml:space="preserve">, 2014). </w:t>
      </w:r>
      <w:r w:rsidR="000D1B91">
        <w:rPr>
          <w:rFonts w:ascii="Arial" w:hAnsi="Arial" w:cs="Arial"/>
        </w:rPr>
        <w:t>It was determined that the bodies were males, mostly between the ages of 18 and 25, but the oldest set of remains found were that of a male over 50</w:t>
      </w:r>
      <w:r w:rsidR="00DF2954">
        <w:rPr>
          <w:rFonts w:ascii="Arial" w:hAnsi="Arial" w:cs="Arial"/>
        </w:rPr>
        <w:t>, the youngest in his early or mid-teens (Oxford Archaeology, 2014)</w:t>
      </w:r>
      <w:r w:rsidR="000D1B91">
        <w:rPr>
          <w:rFonts w:ascii="Arial" w:hAnsi="Arial" w:cs="Arial"/>
        </w:rPr>
        <w:t xml:space="preserve">. </w:t>
      </w:r>
      <w:r w:rsidR="007A77C6">
        <w:rPr>
          <w:rFonts w:ascii="Arial" w:hAnsi="Arial" w:cs="Arial"/>
        </w:rPr>
        <w:t>For this essay the focus will be on the complete skeletal remains labelled</w:t>
      </w:r>
      <w:r w:rsidR="00473FB9">
        <w:rPr>
          <w:rFonts w:ascii="Arial" w:hAnsi="Arial" w:cs="Arial"/>
        </w:rPr>
        <w:t xml:space="preserve"> 3789</w:t>
      </w:r>
      <w:r w:rsidR="007A77C6">
        <w:rPr>
          <w:rFonts w:ascii="Arial" w:hAnsi="Arial" w:cs="Arial"/>
        </w:rPr>
        <w:t xml:space="preserve"> </w:t>
      </w:r>
      <w:r w:rsidR="00BB2B9F">
        <w:rPr>
          <w:rFonts w:ascii="Arial" w:hAnsi="Arial" w:cs="Arial"/>
        </w:rPr>
        <w:t xml:space="preserve">in Loe </w:t>
      </w:r>
      <w:r w:rsidR="00835B35">
        <w:rPr>
          <w:rFonts w:ascii="Arial" w:hAnsi="Arial" w:cs="Arial"/>
          <w:i/>
          <w:iCs/>
        </w:rPr>
        <w:t xml:space="preserve">et al </w:t>
      </w:r>
      <w:r w:rsidR="00BB2B9F">
        <w:rPr>
          <w:rFonts w:ascii="Arial" w:hAnsi="Arial" w:cs="Arial"/>
        </w:rPr>
        <w:t xml:space="preserve">(2014) </w:t>
      </w:r>
      <w:r w:rsidR="002D2F29">
        <w:rPr>
          <w:rFonts w:ascii="Arial" w:hAnsi="Arial" w:cs="Arial"/>
        </w:rPr>
        <w:t xml:space="preserve">to use as a comparison with age, sex and </w:t>
      </w:r>
      <w:r w:rsidR="00DB4264">
        <w:rPr>
          <w:rFonts w:ascii="Arial" w:hAnsi="Arial" w:cs="Arial"/>
        </w:rPr>
        <w:t>markers investigated throughout</w:t>
      </w:r>
      <w:r w:rsidR="00595C40">
        <w:rPr>
          <w:rFonts w:ascii="Arial" w:hAnsi="Arial" w:cs="Arial"/>
        </w:rPr>
        <w:t>.</w:t>
      </w:r>
    </w:p>
    <w:p w14:paraId="77B11266" w14:textId="77777777" w:rsidR="009F2E8A" w:rsidRDefault="00DF2954">
      <w:pPr>
        <w:rPr>
          <w:rFonts w:ascii="Arial" w:hAnsi="Arial" w:cs="Arial"/>
        </w:rPr>
      </w:pPr>
      <w:r>
        <w:rPr>
          <w:rFonts w:ascii="Arial" w:hAnsi="Arial" w:cs="Arial"/>
        </w:rPr>
        <w:t>Determining the age of a person at time of death can be done by a number of different methods</w:t>
      </w:r>
      <w:r w:rsidR="00A61250">
        <w:rPr>
          <w:rFonts w:ascii="Arial" w:hAnsi="Arial" w:cs="Arial"/>
        </w:rPr>
        <w:t xml:space="preserve">, </w:t>
      </w:r>
      <w:r w:rsidR="000966A9">
        <w:rPr>
          <w:rFonts w:ascii="Arial" w:hAnsi="Arial" w:cs="Arial"/>
        </w:rPr>
        <w:t xml:space="preserve">but due to the lack of identifiable skull present as it was detached from the body, skeletal remains 3789’s age was </w:t>
      </w:r>
      <w:r w:rsidR="003E2056">
        <w:rPr>
          <w:rFonts w:ascii="Arial" w:hAnsi="Arial" w:cs="Arial"/>
        </w:rPr>
        <w:t>determined using epiphyseal fusion</w:t>
      </w:r>
      <w:r w:rsidR="00835B35">
        <w:rPr>
          <w:rFonts w:ascii="Arial" w:hAnsi="Arial" w:cs="Arial"/>
        </w:rPr>
        <w:t xml:space="preserve"> (Loe, </w:t>
      </w:r>
      <w:r w:rsidR="00835B35">
        <w:rPr>
          <w:rFonts w:ascii="Arial" w:hAnsi="Arial" w:cs="Arial"/>
          <w:i/>
          <w:iCs/>
        </w:rPr>
        <w:t xml:space="preserve">et al, </w:t>
      </w:r>
      <w:r w:rsidR="00835B35">
        <w:rPr>
          <w:rFonts w:ascii="Arial" w:hAnsi="Arial" w:cs="Arial"/>
        </w:rPr>
        <w:t xml:space="preserve">2014). Epiphyseal fusion </w:t>
      </w:r>
      <w:r w:rsidR="00DA6CB6">
        <w:rPr>
          <w:rFonts w:ascii="Arial" w:hAnsi="Arial" w:cs="Arial"/>
        </w:rPr>
        <w:t xml:space="preserve">is when the plate that aids in the growth of bones fuses to become just a thin line across the bone, this usually occurs during </w:t>
      </w:r>
      <w:r w:rsidR="00982B3A">
        <w:rPr>
          <w:rFonts w:ascii="Arial" w:hAnsi="Arial" w:cs="Arial"/>
        </w:rPr>
        <w:t>the late teens</w:t>
      </w:r>
      <w:r w:rsidR="00AC5938">
        <w:rPr>
          <w:rFonts w:ascii="Arial" w:hAnsi="Arial" w:cs="Arial"/>
        </w:rPr>
        <w:t xml:space="preserve">/early adulthood </w:t>
      </w:r>
      <w:r w:rsidR="00982B3A">
        <w:rPr>
          <w:rFonts w:ascii="Arial" w:hAnsi="Arial" w:cs="Arial"/>
        </w:rPr>
        <w:t>(</w:t>
      </w:r>
      <w:r w:rsidR="003726AD">
        <w:rPr>
          <w:rFonts w:ascii="Arial" w:hAnsi="Arial" w:cs="Arial"/>
        </w:rPr>
        <w:t xml:space="preserve">Crowder and Austin, </w:t>
      </w:r>
      <w:r w:rsidR="00214827">
        <w:rPr>
          <w:rFonts w:ascii="Arial" w:hAnsi="Arial" w:cs="Arial"/>
        </w:rPr>
        <w:t>2005).</w:t>
      </w:r>
      <w:r w:rsidR="007E3630">
        <w:rPr>
          <w:rFonts w:ascii="Arial" w:hAnsi="Arial" w:cs="Arial"/>
        </w:rPr>
        <w:t xml:space="preserve"> </w:t>
      </w:r>
      <w:r w:rsidR="00F36575">
        <w:rPr>
          <w:rFonts w:ascii="Arial" w:hAnsi="Arial" w:cs="Arial"/>
        </w:rPr>
        <w:t xml:space="preserve">Using this method, it was determined that skeletal remains 3789 were that of a young adolescent, </w:t>
      </w:r>
      <w:r w:rsidR="000F4FB5">
        <w:rPr>
          <w:rFonts w:ascii="Arial" w:hAnsi="Arial" w:cs="Arial"/>
        </w:rPr>
        <w:t xml:space="preserve">the age range estimated at around 14-16 years old (Loe, </w:t>
      </w:r>
      <w:r w:rsidR="000F4FB5">
        <w:rPr>
          <w:rFonts w:ascii="Arial" w:hAnsi="Arial" w:cs="Arial"/>
          <w:i/>
          <w:iCs/>
        </w:rPr>
        <w:t xml:space="preserve">et al, </w:t>
      </w:r>
      <w:r w:rsidR="000F4FB5">
        <w:rPr>
          <w:rFonts w:ascii="Arial" w:hAnsi="Arial" w:cs="Arial"/>
        </w:rPr>
        <w:t>201</w:t>
      </w:r>
      <w:r w:rsidR="00F229D5">
        <w:rPr>
          <w:rFonts w:ascii="Arial" w:hAnsi="Arial" w:cs="Arial"/>
        </w:rPr>
        <w:t xml:space="preserve">4). </w:t>
      </w:r>
    </w:p>
    <w:p w14:paraId="13683685" w14:textId="0B3202CC" w:rsidR="00924E5F" w:rsidRPr="004D476C" w:rsidRDefault="00EF4530">
      <w:pPr>
        <w:rPr>
          <w:rFonts w:ascii="Arial" w:hAnsi="Arial" w:cs="Arial"/>
        </w:rPr>
      </w:pPr>
      <w:r>
        <w:rPr>
          <w:rFonts w:ascii="Arial" w:hAnsi="Arial" w:cs="Arial"/>
        </w:rPr>
        <w:t>Sex identification in skeletal remains is determined using</w:t>
      </w:r>
      <w:r w:rsidR="000858AF">
        <w:rPr>
          <w:rFonts w:ascii="Arial" w:hAnsi="Arial" w:cs="Arial"/>
        </w:rPr>
        <w:t xml:space="preserve"> sexually dimorphic features such as</w:t>
      </w:r>
      <w:r>
        <w:rPr>
          <w:rFonts w:ascii="Arial" w:hAnsi="Arial" w:cs="Arial"/>
        </w:rPr>
        <w:t xml:space="preserve"> </w:t>
      </w:r>
      <w:r w:rsidR="007C2AEE">
        <w:rPr>
          <w:rFonts w:ascii="Arial" w:hAnsi="Arial" w:cs="Arial"/>
        </w:rPr>
        <w:t>the pelvis, the</w:t>
      </w:r>
      <w:r w:rsidR="00CC6AE0">
        <w:rPr>
          <w:rFonts w:ascii="Arial" w:hAnsi="Arial" w:cs="Arial"/>
        </w:rPr>
        <w:t xml:space="preserve"> femoral head and the humeral head (Loe, </w:t>
      </w:r>
      <w:r w:rsidR="00CC6AE0">
        <w:rPr>
          <w:rFonts w:ascii="Arial" w:hAnsi="Arial" w:cs="Arial"/>
          <w:i/>
          <w:iCs/>
        </w:rPr>
        <w:t xml:space="preserve">et al, </w:t>
      </w:r>
      <w:r w:rsidR="00CC6AE0">
        <w:rPr>
          <w:rFonts w:ascii="Arial" w:hAnsi="Arial" w:cs="Arial"/>
        </w:rPr>
        <w:t xml:space="preserve">2014). </w:t>
      </w:r>
      <w:r w:rsidR="00C249D5">
        <w:rPr>
          <w:rFonts w:ascii="Arial" w:hAnsi="Arial" w:cs="Arial"/>
        </w:rPr>
        <w:t xml:space="preserve">The </w:t>
      </w:r>
      <w:proofErr w:type="spellStart"/>
      <w:r w:rsidR="00C249D5">
        <w:rPr>
          <w:rFonts w:ascii="Arial" w:hAnsi="Arial" w:cs="Arial"/>
        </w:rPr>
        <w:t>Phenice</w:t>
      </w:r>
      <w:proofErr w:type="spellEnd"/>
      <w:r w:rsidR="00C249D5">
        <w:rPr>
          <w:rFonts w:ascii="Arial" w:hAnsi="Arial" w:cs="Arial"/>
        </w:rPr>
        <w:t xml:space="preserve"> method of determining sex using the pelvis uses three main attributes</w:t>
      </w:r>
      <w:r w:rsidR="00B8529E">
        <w:rPr>
          <w:rFonts w:ascii="Arial" w:hAnsi="Arial" w:cs="Arial"/>
        </w:rPr>
        <w:t xml:space="preserve">, the ventral arc, the </w:t>
      </w:r>
      <w:proofErr w:type="spellStart"/>
      <w:r w:rsidR="009B263A">
        <w:rPr>
          <w:rFonts w:ascii="Arial" w:hAnsi="Arial" w:cs="Arial"/>
        </w:rPr>
        <w:t>subpubic</w:t>
      </w:r>
      <w:proofErr w:type="spellEnd"/>
      <w:r w:rsidR="009B263A">
        <w:rPr>
          <w:rFonts w:ascii="Arial" w:hAnsi="Arial" w:cs="Arial"/>
        </w:rPr>
        <w:t xml:space="preserve"> concavity and the </w:t>
      </w:r>
      <w:r w:rsidR="00C52EFB">
        <w:rPr>
          <w:rFonts w:ascii="Arial" w:hAnsi="Arial" w:cs="Arial"/>
        </w:rPr>
        <w:t xml:space="preserve">medial aspect of the </w:t>
      </w:r>
      <w:proofErr w:type="spellStart"/>
      <w:r w:rsidR="00C83FDF">
        <w:rPr>
          <w:rFonts w:ascii="Arial" w:hAnsi="Arial" w:cs="Arial"/>
        </w:rPr>
        <w:t>ischiopubic</w:t>
      </w:r>
      <w:proofErr w:type="spellEnd"/>
      <w:r w:rsidR="00C83FDF">
        <w:rPr>
          <w:rFonts w:ascii="Arial" w:hAnsi="Arial" w:cs="Arial"/>
        </w:rPr>
        <w:t xml:space="preserve"> ramus</w:t>
      </w:r>
      <w:r w:rsidR="00B21E14">
        <w:rPr>
          <w:rFonts w:ascii="Arial" w:hAnsi="Arial" w:cs="Arial"/>
        </w:rPr>
        <w:t xml:space="preserve"> (</w:t>
      </w:r>
      <w:proofErr w:type="spellStart"/>
      <w:r w:rsidR="00B21E14">
        <w:rPr>
          <w:rFonts w:ascii="Arial" w:hAnsi="Arial" w:cs="Arial"/>
        </w:rPr>
        <w:t>Phenice</w:t>
      </w:r>
      <w:proofErr w:type="spellEnd"/>
      <w:r w:rsidR="00B21E14">
        <w:rPr>
          <w:rFonts w:ascii="Arial" w:hAnsi="Arial" w:cs="Arial"/>
        </w:rPr>
        <w:t xml:space="preserve">, 1969). </w:t>
      </w:r>
      <w:r w:rsidR="00CA44C8">
        <w:rPr>
          <w:rFonts w:ascii="Arial" w:hAnsi="Arial" w:cs="Arial"/>
        </w:rPr>
        <w:t>The ventral arc is only present in females,</w:t>
      </w:r>
      <w:r w:rsidR="007777CA">
        <w:rPr>
          <w:rFonts w:ascii="Arial" w:hAnsi="Arial" w:cs="Arial"/>
        </w:rPr>
        <w:t xml:space="preserve"> and is identified as </w:t>
      </w:r>
      <w:r w:rsidR="00231537">
        <w:rPr>
          <w:rFonts w:ascii="Arial" w:hAnsi="Arial" w:cs="Arial"/>
        </w:rPr>
        <w:t xml:space="preserve">a “slightly raised ridge of </w:t>
      </w:r>
      <w:r w:rsidR="00BB3561">
        <w:rPr>
          <w:rFonts w:ascii="Arial" w:hAnsi="Arial" w:cs="Arial"/>
        </w:rPr>
        <w:t xml:space="preserve">bone that sweeps </w:t>
      </w:r>
      <w:r w:rsidR="00CE7877">
        <w:rPr>
          <w:rFonts w:ascii="Arial" w:hAnsi="Arial" w:cs="Arial"/>
        </w:rPr>
        <w:t xml:space="preserve">inferiorly </w:t>
      </w:r>
      <w:r w:rsidR="00BB3561">
        <w:rPr>
          <w:rFonts w:ascii="Arial" w:hAnsi="Arial" w:cs="Arial"/>
        </w:rPr>
        <w:t xml:space="preserve">and </w:t>
      </w:r>
      <w:r w:rsidR="00CE7877">
        <w:rPr>
          <w:rFonts w:ascii="Arial" w:hAnsi="Arial" w:cs="Arial"/>
        </w:rPr>
        <w:t xml:space="preserve">laterally </w:t>
      </w:r>
      <w:r w:rsidR="00FE7B4D">
        <w:rPr>
          <w:rFonts w:ascii="Arial" w:hAnsi="Arial" w:cs="Arial"/>
        </w:rPr>
        <w:t>across the central surface of the pubis” (</w:t>
      </w:r>
      <w:r w:rsidR="003228B2">
        <w:rPr>
          <w:rFonts w:ascii="Arial" w:hAnsi="Arial" w:cs="Arial"/>
        </w:rPr>
        <w:t xml:space="preserve">Anderson, </w:t>
      </w:r>
      <w:r w:rsidR="00163F00">
        <w:rPr>
          <w:rFonts w:ascii="Arial" w:hAnsi="Arial" w:cs="Arial"/>
        </w:rPr>
        <w:t>1990).</w:t>
      </w:r>
      <w:r w:rsidR="00347826">
        <w:rPr>
          <w:rFonts w:ascii="Arial" w:hAnsi="Arial" w:cs="Arial"/>
        </w:rPr>
        <w:t xml:space="preserve"> </w:t>
      </w:r>
      <w:r w:rsidR="00297436">
        <w:rPr>
          <w:rFonts w:ascii="Arial" w:hAnsi="Arial" w:cs="Arial"/>
        </w:rPr>
        <w:t xml:space="preserve">The features present on skeletal remain 3789 allowed </w:t>
      </w:r>
      <w:r w:rsidR="00AF33A5">
        <w:rPr>
          <w:rFonts w:ascii="Arial" w:hAnsi="Arial" w:cs="Arial"/>
        </w:rPr>
        <w:t xml:space="preserve">researchers to determine </w:t>
      </w:r>
      <w:r w:rsidR="0083604F">
        <w:rPr>
          <w:rFonts w:ascii="Arial" w:hAnsi="Arial" w:cs="Arial"/>
        </w:rPr>
        <w:t xml:space="preserve">the remains are those of a male (Loe, </w:t>
      </w:r>
      <w:r w:rsidR="0083604F">
        <w:rPr>
          <w:rFonts w:ascii="Arial" w:hAnsi="Arial" w:cs="Arial"/>
          <w:i/>
          <w:iCs/>
        </w:rPr>
        <w:t xml:space="preserve">et al, </w:t>
      </w:r>
      <w:r w:rsidR="0083604F">
        <w:rPr>
          <w:rFonts w:ascii="Arial" w:hAnsi="Arial" w:cs="Arial"/>
        </w:rPr>
        <w:t xml:space="preserve">2014). </w:t>
      </w:r>
    </w:p>
    <w:p w14:paraId="386B489E" w14:textId="29A2DBF8" w:rsidR="00924E5F" w:rsidRDefault="00E8621D">
      <w:pPr>
        <w:rPr>
          <w:rFonts w:ascii="Arial" w:hAnsi="Arial" w:cs="Arial"/>
        </w:rPr>
      </w:pPr>
      <w:r>
        <w:rPr>
          <w:rFonts w:ascii="Arial" w:hAnsi="Arial" w:cs="Arial"/>
        </w:rPr>
        <w:t xml:space="preserve">Once age and sex have been identified, archaeologists </w:t>
      </w:r>
      <w:r w:rsidR="003C3D16">
        <w:rPr>
          <w:rFonts w:ascii="Arial" w:hAnsi="Arial" w:cs="Arial"/>
        </w:rPr>
        <w:t xml:space="preserve">then had to determine cause of death, to understand the </w:t>
      </w:r>
      <w:r w:rsidR="00B608B1">
        <w:rPr>
          <w:rFonts w:ascii="Arial" w:hAnsi="Arial" w:cs="Arial"/>
        </w:rPr>
        <w:t xml:space="preserve">context of this mass grave site. </w:t>
      </w:r>
      <w:r w:rsidR="00815086">
        <w:rPr>
          <w:rFonts w:ascii="Arial" w:hAnsi="Arial" w:cs="Arial"/>
        </w:rPr>
        <w:t xml:space="preserve">To do this, each set of remains was catalogued, each injury </w:t>
      </w:r>
      <w:r w:rsidR="001E5227">
        <w:rPr>
          <w:rFonts w:ascii="Arial" w:hAnsi="Arial" w:cs="Arial"/>
        </w:rPr>
        <w:t xml:space="preserve">examined to determine whether it was </w:t>
      </w:r>
      <w:r w:rsidR="0080268A">
        <w:rPr>
          <w:rFonts w:ascii="Arial" w:hAnsi="Arial" w:cs="Arial"/>
        </w:rPr>
        <w:t xml:space="preserve">a </w:t>
      </w:r>
      <w:proofErr w:type="spellStart"/>
      <w:r w:rsidR="0080268A">
        <w:rPr>
          <w:rFonts w:ascii="Arial" w:hAnsi="Arial" w:cs="Arial"/>
        </w:rPr>
        <w:t>perimortem</w:t>
      </w:r>
      <w:proofErr w:type="spellEnd"/>
      <w:r w:rsidR="0080268A">
        <w:rPr>
          <w:rFonts w:ascii="Arial" w:hAnsi="Arial" w:cs="Arial"/>
        </w:rPr>
        <w:t xml:space="preserve"> or postmortem injury</w:t>
      </w:r>
      <w:r w:rsidR="00C16A4C">
        <w:rPr>
          <w:rFonts w:ascii="Arial" w:hAnsi="Arial" w:cs="Arial"/>
        </w:rPr>
        <w:t xml:space="preserve">. </w:t>
      </w:r>
      <w:r w:rsidR="00A50839">
        <w:rPr>
          <w:rFonts w:ascii="Arial" w:hAnsi="Arial" w:cs="Arial"/>
        </w:rPr>
        <w:t>In the case of skeletal remains 3789,</w:t>
      </w:r>
      <w:r w:rsidR="007132FA">
        <w:rPr>
          <w:rFonts w:ascii="Arial" w:hAnsi="Arial" w:cs="Arial"/>
        </w:rPr>
        <w:t xml:space="preserve"> the remains showed evidence of six </w:t>
      </w:r>
      <w:proofErr w:type="spellStart"/>
      <w:r w:rsidR="007132FA">
        <w:rPr>
          <w:rFonts w:ascii="Arial" w:hAnsi="Arial" w:cs="Arial"/>
        </w:rPr>
        <w:t>perimortem</w:t>
      </w:r>
      <w:proofErr w:type="spellEnd"/>
      <w:r w:rsidR="007132FA">
        <w:rPr>
          <w:rFonts w:ascii="Arial" w:hAnsi="Arial" w:cs="Arial"/>
        </w:rPr>
        <w:t xml:space="preserve"> wounds</w:t>
      </w:r>
      <w:r w:rsidR="00DE1748">
        <w:rPr>
          <w:rFonts w:ascii="Arial" w:hAnsi="Arial" w:cs="Arial"/>
        </w:rPr>
        <w:t xml:space="preserve">. </w:t>
      </w:r>
      <w:proofErr w:type="spellStart"/>
      <w:r w:rsidR="00DE1748">
        <w:rPr>
          <w:rFonts w:ascii="Arial" w:hAnsi="Arial" w:cs="Arial"/>
        </w:rPr>
        <w:t>Peri</w:t>
      </w:r>
      <w:r w:rsidR="0019056A">
        <w:rPr>
          <w:rFonts w:ascii="Arial" w:hAnsi="Arial" w:cs="Arial"/>
        </w:rPr>
        <w:t>mortem</w:t>
      </w:r>
      <w:proofErr w:type="spellEnd"/>
      <w:r w:rsidR="0019056A">
        <w:rPr>
          <w:rFonts w:ascii="Arial" w:hAnsi="Arial" w:cs="Arial"/>
        </w:rPr>
        <w:t xml:space="preserve"> wounds are described as wounds inflicted at or near time of death, showing little to no </w:t>
      </w:r>
      <w:r w:rsidR="00DF3608">
        <w:rPr>
          <w:rFonts w:ascii="Arial" w:hAnsi="Arial" w:cs="Arial"/>
        </w:rPr>
        <w:t>evidence of healing (Smith</w:t>
      </w:r>
      <w:r w:rsidR="00011B71">
        <w:rPr>
          <w:rFonts w:ascii="Arial" w:hAnsi="Arial" w:cs="Arial"/>
        </w:rPr>
        <w:t>, 20</w:t>
      </w:r>
      <w:r w:rsidR="00FA4C0E">
        <w:rPr>
          <w:rFonts w:ascii="Arial" w:hAnsi="Arial" w:cs="Arial"/>
        </w:rPr>
        <w:t>10).</w:t>
      </w:r>
      <w:r w:rsidR="007C21F4">
        <w:rPr>
          <w:rFonts w:ascii="Arial" w:hAnsi="Arial" w:cs="Arial"/>
        </w:rPr>
        <w:t xml:space="preserve"> The six </w:t>
      </w:r>
      <w:proofErr w:type="spellStart"/>
      <w:r w:rsidR="007C21F4">
        <w:rPr>
          <w:rFonts w:ascii="Arial" w:hAnsi="Arial" w:cs="Arial"/>
        </w:rPr>
        <w:t>perimortem</w:t>
      </w:r>
      <w:proofErr w:type="spellEnd"/>
      <w:r w:rsidR="007C21F4">
        <w:rPr>
          <w:rFonts w:ascii="Arial" w:hAnsi="Arial" w:cs="Arial"/>
        </w:rPr>
        <w:t xml:space="preserve"> wounds </w:t>
      </w:r>
      <w:r w:rsidR="00C05B56">
        <w:rPr>
          <w:rFonts w:ascii="Arial" w:hAnsi="Arial" w:cs="Arial"/>
        </w:rPr>
        <w:t xml:space="preserve">noted on </w:t>
      </w:r>
      <w:r w:rsidR="00B153C6">
        <w:rPr>
          <w:rFonts w:ascii="Arial" w:hAnsi="Arial" w:cs="Arial"/>
        </w:rPr>
        <w:t xml:space="preserve">3789 were described as </w:t>
      </w:r>
      <w:r w:rsidR="000F6828">
        <w:rPr>
          <w:rFonts w:ascii="Arial" w:hAnsi="Arial" w:cs="Arial"/>
        </w:rPr>
        <w:t>6 sharp force wounds, one of which was inflicted to the left clavicle, the further 5 on the right</w:t>
      </w:r>
      <w:r w:rsidR="005C07FF">
        <w:rPr>
          <w:rFonts w:ascii="Arial" w:hAnsi="Arial" w:cs="Arial"/>
        </w:rPr>
        <w:t xml:space="preserve"> </w:t>
      </w:r>
      <w:r w:rsidR="00A54A60">
        <w:rPr>
          <w:rFonts w:ascii="Arial" w:hAnsi="Arial" w:cs="Arial"/>
        </w:rPr>
        <w:t xml:space="preserve">clavicle, it was determined that these wounds were possible continuations of wounds inflicted during the beheading of </w:t>
      </w:r>
      <w:r w:rsidR="00B77530">
        <w:rPr>
          <w:rFonts w:ascii="Arial" w:hAnsi="Arial" w:cs="Arial"/>
        </w:rPr>
        <w:t>the remains</w:t>
      </w:r>
      <w:r w:rsidR="000C2F70">
        <w:rPr>
          <w:rFonts w:ascii="Arial" w:hAnsi="Arial" w:cs="Arial"/>
        </w:rPr>
        <w:t xml:space="preserve"> (Loe, </w:t>
      </w:r>
      <w:r w:rsidR="000C2F70">
        <w:rPr>
          <w:rFonts w:ascii="Arial" w:hAnsi="Arial" w:cs="Arial"/>
          <w:i/>
          <w:iCs/>
        </w:rPr>
        <w:t>et al,</w:t>
      </w:r>
      <w:r w:rsidR="000C2F70">
        <w:rPr>
          <w:rFonts w:ascii="Arial" w:hAnsi="Arial" w:cs="Arial"/>
        </w:rPr>
        <w:t xml:space="preserve"> 2014</w:t>
      </w:r>
      <w:r w:rsidR="00401157">
        <w:rPr>
          <w:rFonts w:ascii="Arial" w:hAnsi="Arial" w:cs="Arial"/>
        </w:rPr>
        <w:t xml:space="preserve">, p </w:t>
      </w:r>
      <w:r w:rsidR="004D476C">
        <w:rPr>
          <w:rFonts w:ascii="Arial" w:hAnsi="Arial" w:cs="Arial"/>
        </w:rPr>
        <w:t>224</w:t>
      </w:r>
      <w:r w:rsidR="000C2F70">
        <w:rPr>
          <w:rFonts w:ascii="Arial" w:hAnsi="Arial" w:cs="Arial"/>
        </w:rPr>
        <w:t>)</w:t>
      </w:r>
      <w:r w:rsidR="00AD5919">
        <w:rPr>
          <w:rFonts w:ascii="Arial" w:hAnsi="Arial" w:cs="Arial"/>
        </w:rPr>
        <w:t>. It is thus theorised that th</w:t>
      </w:r>
      <w:r w:rsidR="009B62DB">
        <w:rPr>
          <w:rFonts w:ascii="Arial" w:hAnsi="Arial" w:cs="Arial"/>
        </w:rPr>
        <w:t>e</w:t>
      </w:r>
      <w:r w:rsidR="00AD5919">
        <w:rPr>
          <w:rFonts w:ascii="Arial" w:hAnsi="Arial" w:cs="Arial"/>
        </w:rPr>
        <w:t xml:space="preserve"> wounds inflicted meant that </w:t>
      </w:r>
      <w:r w:rsidR="006A6541">
        <w:rPr>
          <w:rFonts w:ascii="Arial" w:hAnsi="Arial" w:cs="Arial"/>
        </w:rPr>
        <w:t xml:space="preserve">the cause of death was </w:t>
      </w:r>
      <w:r w:rsidR="00221B8A">
        <w:rPr>
          <w:rFonts w:ascii="Arial" w:hAnsi="Arial" w:cs="Arial"/>
        </w:rPr>
        <w:t>decapitation for most of the individuals</w:t>
      </w:r>
      <w:r w:rsidR="006A6541">
        <w:rPr>
          <w:rFonts w:ascii="Arial" w:hAnsi="Arial" w:cs="Arial"/>
        </w:rPr>
        <w:t xml:space="preserve">, </w:t>
      </w:r>
      <w:r w:rsidR="0014672C">
        <w:rPr>
          <w:rFonts w:ascii="Arial" w:hAnsi="Arial" w:cs="Arial"/>
        </w:rPr>
        <w:t xml:space="preserve">other skeletal remains observed some defence wounds, </w:t>
      </w:r>
      <w:r w:rsidR="00E313D5">
        <w:rPr>
          <w:rFonts w:ascii="Arial" w:hAnsi="Arial" w:cs="Arial"/>
        </w:rPr>
        <w:t xml:space="preserve">but it is theorised that the individuals in the mass grave were captured close to the time of death, and were soon after executed and thrown in the grave together (Loe, </w:t>
      </w:r>
      <w:r w:rsidR="00E313D5">
        <w:rPr>
          <w:rFonts w:ascii="Arial" w:hAnsi="Arial" w:cs="Arial"/>
          <w:i/>
          <w:iCs/>
        </w:rPr>
        <w:t xml:space="preserve">et al, </w:t>
      </w:r>
      <w:r w:rsidR="00E313D5">
        <w:rPr>
          <w:rFonts w:ascii="Arial" w:hAnsi="Arial" w:cs="Arial"/>
        </w:rPr>
        <w:t>2014</w:t>
      </w:r>
      <w:r w:rsidR="00034313">
        <w:rPr>
          <w:rFonts w:ascii="Arial" w:hAnsi="Arial" w:cs="Arial"/>
        </w:rPr>
        <w:t>, p</w:t>
      </w:r>
      <w:r w:rsidR="004D476C">
        <w:rPr>
          <w:rFonts w:ascii="Arial" w:hAnsi="Arial" w:cs="Arial"/>
        </w:rPr>
        <w:t xml:space="preserve"> </w:t>
      </w:r>
      <w:r w:rsidR="00401157">
        <w:rPr>
          <w:rFonts w:ascii="Arial" w:hAnsi="Arial" w:cs="Arial"/>
        </w:rPr>
        <w:t>227</w:t>
      </w:r>
      <w:r w:rsidR="00E313D5">
        <w:rPr>
          <w:rFonts w:ascii="Arial" w:hAnsi="Arial" w:cs="Arial"/>
        </w:rPr>
        <w:t xml:space="preserve">). </w:t>
      </w:r>
    </w:p>
    <w:p w14:paraId="1645E60E" w14:textId="459E3F44" w:rsidR="00C53A92" w:rsidRDefault="00C53A92">
      <w:pPr>
        <w:rPr>
          <w:rFonts w:ascii="Arial" w:hAnsi="Arial" w:cs="Arial"/>
          <w:b/>
          <w:bCs/>
          <w:u w:val="single"/>
        </w:rPr>
      </w:pPr>
    </w:p>
    <w:p w14:paraId="3CCEFE6F" w14:textId="69B1359A" w:rsidR="00924E5F" w:rsidRPr="00B22155" w:rsidRDefault="006E22A9">
      <w:pPr>
        <w:rPr>
          <w:rFonts w:ascii="Arial" w:hAnsi="Arial" w:cs="Arial"/>
        </w:rPr>
      </w:pPr>
      <w:r>
        <w:rPr>
          <w:rFonts w:ascii="Arial" w:hAnsi="Arial" w:cs="Arial"/>
        </w:rPr>
        <w:t xml:space="preserve">The lack of other belongings such as weapons and clothing helped </w:t>
      </w:r>
      <w:r w:rsidR="00361F2E">
        <w:rPr>
          <w:rFonts w:ascii="Arial" w:hAnsi="Arial" w:cs="Arial"/>
        </w:rPr>
        <w:t xml:space="preserve">archaeologists to interpret time of death. </w:t>
      </w:r>
      <w:r w:rsidR="00832CE1">
        <w:rPr>
          <w:rFonts w:ascii="Arial" w:hAnsi="Arial" w:cs="Arial"/>
        </w:rPr>
        <w:t xml:space="preserve">None of the remains included clothing, weapons or jewellery, which was unusual. </w:t>
      </w:r>
      <w:r w:rsidR="00183402">
        <w:rPr>
          <w:rFonts w:ascii="Arial" w:hAnsi="Arial" w:cs="Arial"/>
        </w:rPr>
        <w:t xml:space="preserve">The lack of clothing suggests that these skeletal remains were prisoners prior to death, and had been stripped of their belongings prior to </w:t>
      </w:r>
      <w:r w:rsidR="006741CC">
        <w:rPr>
          <w:rFonts w:ascii="Arial" w:hAnsi="Arial" w:cs="Arial"/>
        </w:rPr>
        <w:t xml:space="preserve">execution (Loe, </w:t>
      </w:r>
      <w:r w:rsidR="006741CC">
        <w:rPr>
          <w:rFonts w:ascii="Arial" w:hAnsi="Arial" w:cs="Arial"/>
          <w:i/>
          <w:iCs/>
        </w:rPr>
        <w:t xml:space="preserve">et al, </w:t>
      </w:r>
      <w:r w:rsidR="006741CC">
        <w:rPr>
          <w:rFonts w:ascii="Arial" w:hAnsi="Arial" w:cs="Arial"/>
        </w:rPr>
        <w:t xml:space="preserve">2014, p </w:t>
      </w:r>
      <w:r w:rsidR="008055DA">
        <w:rPr>
          <w:rFonts w:ascii="Arial" w:hAnsi="Arial" w:cs="Arial"/>
        </w:rPr>
        <w:t>226</w:t>
      </w:r>
      <w:r w:rsidR="006741CC">
        <w:rPr>
          <w:rFonts w:ascii="Arial" w:hAnsi="Arial" w:cs="Arial"/>
        </w:rPr>
        <w:t xml:space="preserve">). </w:t>
      </w:r>
      <w:r w:rsidR="00B1661B">
        <w:rPr>
          <w:rFonts w:ascii="Arial" w:hAnsi="Arial" w:cs="Arial"/>
        </w:rPr>
        <w:t>The soil analysis provide</w:t>
      </w:r>
      <w:r w:rsidR="00AF6F6A">
        <w:rPr>
          <w:rFonts w:ascii="Arial" w:hAnsi="Arial" w:cs="Arial"/>
        </w:rPr>
        <w:t xml:space="preserve"> indications that perhaps the </w:t>
      </w:r>
      <w:r w:rsidR="00481E64">
        <w:rPr>
          <w:rFonts w:ascii="Arial" w:hAnsi="Arial" w:cs="Arial"/>
        </w:rPr>
        <w:t xml:space="preserve">captured had eaten rich meats </w:t>
      </w:r>
      <w:r w:rsidR="00A74A1F">
        <w:rPr>
          <w:rFonts w:ascii="Arial" w:hAnsi="Arial" w:cs="Arial"/>
        </w:rPr>
        <w:t xml:space="preserve">approximately 48 hours prior to their deaths, indicating that they had been captured and executed soon after, and not held captive (Loe, </w:t>
      </w:r>
      <w:r w:rsidR="00A74A1F">
        <w:rPr>
          <w:rFonts w:ascii="Arial" w:hAnsi="Arial" w:cs="Arial"/>
          <w:i/>
          <w:iCs/>
        </w:rPr>
        <w:t xml:space="preserve">et al, </w:t>
      </w:r>
      <w:r w:rsidR="00A74A1F">
        <w:rPr>
          <w:rFonts w:ascii="Arial" w:hAnsi="Arial" w:cs="Arial"/>
        </w:rPr>
        <w:t xml:space="preserve">2014, p </w:t>
      </w:r>
      <w:r w:rsidR="007941B3">
        <w:rPr>
          <w:rFonts w:ascii="Arial" w:hAnsi="Arial" w:cs="Arial"/>
        </w:rPr>
        <w:t xml:space="preserve">226). </w:t>
      </w:r>
    </w:p>
    <w:p w14:paraId="02D16D90" w14:textId="6FD28AA7" w:rsidR="00924E5F" w:rsidRPr="004D0645" w:rsidRDefault="004D0645">
      <w:pPr>
        <w:rPr>
          <w:rFonts w:ascii="Arial" w:hAnsi="Arial" w:cs="Arial"/>
        </w:rPr>
      </w:pPr>
      <w:r>
        <w:rPr>
          <w:rFonts w:ascii="Arial" w:hAnsi="Arial" w:cs="Arial"/>
        </w:rPr>
        <w:t xml:space="preserve">From the information gathered above, </w:t>
      </w:r>
      <w:r w:rsidR="00F41B78">
        <w:rPr>
          <w:rFonts w:ascii="Arial" w:hAnsi="Arial" w:cs="Arial"/>
        </w:rPr>
        <w:t xml:space="preserve">it can be seen that </w:t>
      </w:r>
      <w:r w:rsidR="000A7EFF">
        <w:rPr>
          <w:rFonts w:ascii="Arial" w:hAnsi="Arial" w:cs="Arial"/>
        </w:rPr>
        <w:t xml:space="preserve">archaeologists were able to decipher </w:t>
      </w:r>
      <w:r w:rsidR="00D81E4C">
        <w:rPr>
          <w:rFonts w:ascii="Arial" w:hAnsi="Arial" w:cs="Arial"/>
        </w:rPr>
        <w:t>from</w:t>
      </w:r>
      <w:r w:rsidR="000A7EFF">
        <w:rPr>
          <w:rFonts w:ascii="Arial" w:hAnsi="Arial" w:cs="Arial"/>
        </w:rPr>
        <w:t xml:space="preserve"> the mass grave site situated on Ridgeway Hill in Dorset that </w:t>
      </w:r>
      <w:r w:rsidR="009173E7">
        <w:rPr>
          <w:rFonts w:ascii="Arial" w:hAnsi="Arial" w:cs="Arial"/>
        </w:rPr>
        <w:t xml:space="preserve">a number of men had been executed during </w:t>
      </w:r>
      <w:r w:rsidR="00EA4763">
        <w:rPr>
          <w:rFonts w:ascii="Arial" w:hAnsi="Arial" w:cs="Arial"/>
        </w:rPr>
        <w:t>the 10</w:t>
      </w:r>
      <w:r w:rsidR="00EA4763" w:rsidRPr="00EA4763">
        <w:rPr>
          <w:rFonts w:ascii="Arial" w:hAnsi="Arial" w:cs="Arial"/>
          <w:vertAlign w:val="superscript"/>
        </w:rPr>
        <w:t>th</w:t>
      </w:r>
      <w:r w:rsidR="00EA4763">
        <w:rPr>
          <w:rFonts w:ascii="Arial" w:hAnsi="Arial" w:cs="Arial"/>
        </w:rPr>
        <w:t>-11</w:t>
      </w:r>
      <w:r w:rsidR="00EA4763" w:rsidRPr="00EA4763">
        <w:rPr>
          <w:rFonts w:ascii="Arial" w:hAnsi="Arial" w:cs="Arial"/>
          <w:vertAlign w:val="superscript"/>
        </w:rPr>
        <w:t>th</w:t>
      </w:r>
      <w:r w:rsidR="00EA4763">
        <w:rPr>
          <w:rFonts w:ascii="Arial" w:hAnsi="Arial" w:cs="Arial"/>
        </w:rPr>
        <w:t xml:space="preserve"> century. </w:t>
      </w:r>
      <w:r w:rsidR="006A5004">
        <w:rPr>
          <w:rFonts w:ascii="Arial" w:hAnsi="Arial" w:cs="Arial"/>
        </w:rPr>
        <w:t>The site was able to provide archaeologists with a scene of the capture</w:t>
      </w:r>
      <w:r w:rsidR="00EB607D">
        <w:rPr>
          <w:rFonts w:ascii="Arial" w:hAnsi="Arial" w:cs="Arial"/>
        </w:rPr>
        <w:t xml:space="preserve"> and killing of some 50 men, that included the stripping of belongings and violent murder</w:t>
      </w:r>
      <w:r w:rsidR="003E0896">
        <w:rPr>
          <w:rFonts w:ascii="Arial" w:hAnsi="Arial" w:cs="Arial"/>
        </w:rPr>
        <w:t xml:space="preserve">, some taking numerous blows to complete the execution, as seen by the number of blows </w:t>
      </w:r>
      <w:r w:rsidR="00B22155">
        <w:rPr>
          <w:rFonts w:ascii="Arial" w:hAnsi="Arial" w:cs="Arial"/>
        </w:rPr>
        <w:t xml:space="preserve">presented on skeletal remains 3789 and others. </w:t>
      </w:r>
      <w:r w:rsidR="00A15865">
        <w:rPr>
          <w:rFonts w:ascii="Arial" w:hAnsi="Arial" w:cs="Arial"/>
        </w:rPr>
        <w:t xml:space="preserve">While the information currently gathered is able to answer a number of questions surrounding the burial, there are also many questions left unanswered, such as the </w:t>
      </w:r>
      <w:r w:rsidR="00F471A5">
        <w:rPr>
          <w:rFonts w:ascii="Arial" w:hAnsi="Arial" w:cs="Arial"/>
        </w:rPr>
        <w:t>events that led to the event of the executions</w:t>
      </w:r>
      <w:r w:rsidR="00E6464E">
        <w:rPr>
          <w:rFonts w:ascii="Arial" w:hAnsi="Arial" w:cs="Arial"/>
        </w:rPr>
        <w:t xml:space="preserve">. The Ridgeway Hill site is able to paint a picture of the violence that </w:t>
      </w:r>
      <w:r w:rsidR="00DE26DF">
        <w:rPr>
          <w:rFonts w:ascii="Arial" w:hAnsi="Arial" w:cs="Arial"/>
        </w:rPr>
        <w:t>had</w:t>
      </w:r>
      <w:r w:rsidR="00E6464E">
        <w:rPr>
          <w:rFonts w:ascii="Arial" w:hAnsi="Arial" w:cs="Arial"/>
        </w:rPr>
        <w:t xml:space="preserve"> </w:t>
      </w:r>
      <w:r w:rsidR="00DE26DF">
        <w:rPr>
          <w:rFonts w:ascii="Arial" w:hAnsi="Arial" w:cs="Arial"/>
        </w:rPr>
        <w:t>occurred</w:t>
      </w:r>
      <w:r w:rsidR="00E6464E">
        <w:rPr>
          <w:rFonts w:ascii="Arial" w:hAnsi="Arial" w:cs="Arial"/>
        </w:rPr>
        <w:t xml:space="preserve"> during the </w:t>
      </w:r>
      <w:r w:rsidR="00DE26DF">
        <w:rPr>
          <w:rFonts w:ascii="Arial" w:hAnsi="Arial" w:cs="Arial"/>
        </w:rPr>
        <w:t>10</w:t>
      </w:r>
      <w:r w:rsidR="00DE26DF" w:rsidRPr="00DE26DF">
        <w:rPr>
          <w:rFonts w:ascii="Arial" w:hAnsi="Arial" w:cs="Arial"/>
          <w:vertAlign w:val="superscript"/>
        </w:rPr>
        <w:t>th</w:t>
      </w:r>
      <w:r w:rsidR="00DE26DF">
        <w:rPr>
          <w:rFonts w:ascii="Arial" w:hAnsi="Arial" w:cs="Arial"/>
        </w:rPr>
        <w:t xml:space="preserve"> and 11</w:t>
      </w:r>
      <w:r w:rsidR="00DE26DF" w:rsidRPr="00DE26DF">
        <w:rPr>
          <w:rFonts w:ascii="Arial" w:hAnsi="Arial" w:cs="Arial"/>
          <w:vertAlign w:val="superscript"/>
        </w:rPr>
        <w:t>th</w:t>
      </w:r>
      <w:r w:rsidR="00DE26DF">
        <w:rPr>
          <w:rFonts w:ascii="Arial" w:hAnsi="Arial" w:cs="Arial"/>
        </w:rPr>
        <w:t xml:space="preserve"> century, and able to provide some insight</w:t>
      </w:r>
      <w:r w:rsidR="004C3523">
        <w:rPr>
          <w:rFonts w:ascii="Arial" w:hAnsi="Arial" w:cs="Arial"/>
        </w:rPr>
        <w:t xml:space="preserve"> </w:t>
      </w:r>
      <w:r w:rsidR="00153ABD">
        <w:rPr>
          <w:rFonts w:ascii="Arial" w:hAnsi="Arial" w:cs="Arial"/>
        </w:rPr>
        <w:t xml:space="preserve">on executions in that period. </w:t>
      </w:r>
    </w:p>
    <w:p w14:paraId="016DBA46" w14:textId="77777777" w:rsidR="00C25A97" w:rsidRDefault="00C25A97">
      <w:pPr>
        <w:rPr>
          <w:rFonts w:ascii="Arial" w:hAnsi="Arial" w:cs="Arial"/>
          <w:b/>
          <w:bCs/>
          <w:u w:val="single"/>
        </w:rPr>
      </w:pPr>
    </w:p>
    <w:p w14:paraId="4CFE1B64" w14:textId="77777777" w:rsidR="00C25A97" w:rsidRDefault="00C25A97">
      <w:pPr>
        <w:rPr>
          <w:rFonts w:ascii="Arial" w:hAnsi="Arial" w:cs="Arial"/>
          <w:b/>
          <w:bCs/>
          <w:u w:val="single"/>
        </w:rPr>
      </w:pPr>
    </w:p>
    <w:p w14:paraId="4996E696" w14:textId="77777777" w:rsidR="00C25A97" w:rsidRDefault="00C25A97">
      <w:pPr>
        <w:rPr>
          <w:rFonts w:ascii="Arial" w:hAnsi="Arial" w:cs="Arial"/>
          <w:b/>
          <w:bCs/>
          <w:u w:val="single"/>
        </w:rPr>
      </w:pPr>
    </w:p>
    <w:p w14:paraId="7C6542EE" w14:textId="77777777" w:rsidR="00C25A97" w:rsidRDefault="00C25A97">
      <w:pPr>
        <w:rPr>
          <w:rFonts w:ascii="Arial" w:hAnsi="Arial" w:cs="Arial"/>
          <w:b/>
          <w:bCs/>
          <w:u w:val="single"/>
        </w:rPr>
      </w:pPr>
    </w:p>
    <w:p w14:paraId="5FBB25F8" w14:textId="7B1E274B" w:rsidR="00C25A97" w:rsidRDefault="00C25A97">
      <w:pPr>
        <w:rPr>
          <w:rFonts w:ascii="Arial" w:hAnsi="Arial" w:cs="Arial"/>
          <w:b/>
          <w:bCs/>
          <w:u w:val="single"/>
        </w:rPr>
      </w:pPr>
    </w:p>
    <w:p w14:paraId="4ED6678C" w14:textId="124F5714" w:rsidR="00153ABD" w:rsidRDefault="00153ABD">
      <w:pPr>
        <w:rPr>
          <w:rFonts w:ascii="Arial" w:hAnsi="Arial" w:cs="Arial"/>
          <w:b/>
          <w:bCs/>
          <w:u w:val="single"/>
        </w:rPr>
      </w:pPr>
    </w:p>
    <w:p w14:paraId="08CC5F5A" w14:textId="2372C54E" w:rsidR="00153ABD" w:rsidRDefault="00153ABD">
      <w:pPr>
        <w:rPr>
          <w:rFonts w:ascii="Arial" w:hAnsi="Arial" w:cs="Arial"/>
          <w:b/>
          <w:bCs/>
          <w:u w:val="single"/>
        </w:rPr>
      </w:pPr>
    </w:p>
    <w:p w14:paraId="0508115D" w14:textId="218ECFF7" w:rsidR="00153ABD" w:rsidRDefault="00153ABD">
      <w:pPr>
        <w:rPr>
          <w:rFonts w:ascii="Arial" w:hAnsi="Arial" w:cs="Arial"/>
          <w:b/>
          <w:bCs/>
          <w:u w:val="single"/>
        </w:rPr>
      </w:pPr>
    </w:p>
    <w:p w14:paraId="7ECCEC87" w14:textId="169AE0EB" w:rsidR="00153ABD" w:rsidRDefault="00153ABD">
      <w:pPr>
        <w:rPr>
          <w:rFonts w:ascii="Arial" w:hAnsi="Arial" w:cs="Arial"/>
          <w:b/>
          <w:bCs/>
          <w:u w:val="single"/>
        </w:rPr>
      </w:pPr>
    </w:p>
    <w:p w14:paraId="4EB3642C" w14:textId="5316CCCA" w:rsidR="00153ABD" w:rsidRDefault="00153ABD">
      <w:pPr>
        <w:rPr>
          <w:rFonts w:ascii="Arial" w:hAnsi="Arial" w:cs="Arial"/>
          <w:b/>
          <w:bCs/>
          <w:u w:val="single"/>
        </w:rPr>
      </w:pPr>
    </w:p>
    <w:p w14:paraId="2CBB554C" w14:textId="29C41E60" w:rsidR="00153ABD" w:rsidRDefault="00153ABD">
      <w:pPr>
        <w:rPr>
          <w:rFonts w:ascii="Arial" w:hAnsi="Arial" w:cs="Arial"/>
          <w:b/>
          <w:bCs/>
          <w:u w:val="single"/>
        </w:rPr>
      </w:pPr>
    </w:p>
    <w:p w14:paraId="63CE1394" w14:textId="73D1F246" w:rsidR="00153ABD" w:rsidRDefault="00153ABD">
      <w:pPr>
        <w:rPr>
          <w:rFonts w:ascii="Arial" w:hAnsi="Arial" w:cs="Arial"/>
          <w:b/>
          <w:bCs/>
          <w:u w:val="single"/>
        </w:rPr>
      </w:pPr>
    </w:p>
    <w:p w14:paraId="58485BA4" w14:textId="6AF0984A" w:rsidR="00153ABD" w:rsidRDefault="00153ABD">
      <w:pPr>
        <w:rPr>
          <w:rFonts w:ascii="Arial" w:hAnsi="Arial" w:cs="Arial"/>
          <w:b/>
          <w:bCs/>
          <w:u w:val="single"/>
        </w:rPr>
      </w:pPr>
    </w:p>
    <w:p w14:paraId="2B0F366F" w14:textId="01A81B5E" w:rsidR="00153ABD" w:rsidRDefault="00153ABD">
      <w:pPr>
        <w:rPr>
          <w:rFonts w:ascii="Arial" w:hAnsi="Arial" w:cs="Arial"/>
          <w:b/>
          <w:bCs/>
          <w:u w:val="single"/>
        </w:rPr>
      </w:pPr>
    </w:p>
    <w:p w14:paraId="292E8CDD" w14:textId="79DEB819" w:rsidR="00153ABD" w:rsidRDefault="00153ABD">
      <w:pPr>
        <w:rPr>
          <w:rFonts w:ascii="Arial" w:hAnsi="Arial" w:cs="Arial"/>
          <w:b/>
          <w:bCs/>
          <w:u w:val="single"/>
        </w:rPr>
      </w:pPr>
    </w:p>
    <w:p w14:paraId="70499D2A" w14:textId="531F4313" w:rsidR="00153ABD" w:rsidRDefault="00153ABD">
      <w:pPr>
        <w:rPr>
          <w:rFonts w:ascii="Arial" w:hAnsi="Arial" w:cs="Arial"/>
          <w:b/>
          <w:bCs/>
          <w:u w:val="single"/>
        </w:rPr>
      </w:pPr>
    </w:p>
    <w:p w14:paraId="715D229D" w14:textId="1D05E4C3" w:rsidR="00153ABD" w:rsidRDefault="00153ABD">
      <w:pPr>
        <w:rPr>
          <w:rFonts w:ascii="Arial" w:hAnsi="Arial" w:cs="Arial"/>
          <w:b/>
          <w:bCs/>
          <w:u w:val="single"/>
        </w:rPr>
      </w:pPr>
    </w:p>
    <w:p w14:paraId="0625CCE8" w14:textId="77777777" w:rsidR="00153ABD" w:rsidRDefault="00153ABD">
      <w:pPr>
        <w:rPr>
          <w:rFonts w:ascii="Arial" w:hAnsi="Arial" w:cs="Arial"/>
          <w:b/>
          <w:bCs/>
          <w:u w:val="single"/>
        </w:rPr>
      </w:pPr>
    </w:p>
    <w:p w14:paraId="5B2B02AC" w14:textId="77777777" w:rsidR="00C25A97" w:rsidRDefault="00C25A97">
      <w:pPr>
        <w:rPr>
          <w:rFonts w:ascii="Arial" w:hAnsi="Arial" w:cs="Arial"/>
          <w:b/>
          <w:bCs/>
          <w:u w:val="single"/>
        </w:rPr>
      </w:pPr>
    </w:p>
    <w:p w14:paraId="531A247A" w14:textId="29AC89B1" w:rsidR="00924E5F" w:rsidRPr="00924E5F" w:rsidRDefault="00924E5F">
      <w:pPr>
        <w:rPr>
          <w:rFonts w:ascii="Arial" w:hAnsi="Arial" w:cs="Arial"/>
          <w:b/>
          <w:bCs/>
          <w:u w:val="single"/>
        </w:rPr>
      </w:pPr>
      <w:r>
        <w:rPr>
          <w:rFonts w:ascii="Arial" w:hAnsi="Arial" w:cs="Arial"/>
          <w:b/>
          <w:bCs/>
          <w:u w:val="single"/>
        </w:rPr>
        <w:lastRenderedPageBreak/>
        <w:t>REFERENCES</w:t>
      </w:r>
    </w:p>
    <w:p w14:paraId="1696E857" w14:textId="6140983F" w:rsidR="00163F00" w:rsidRPr="00827637" w:rsidRDefault="00163F00">
      <w:pPr>
        <w:rPr>
          <w:rFonts w:ascii="Arial" w:hAnsi="Arial" w:cs="Arial"/>
        </w:rPr>
      </w:pPr>
      <w:r>
        <w:rPr>
          <w:rFonts w:ascii="Arial" w:hAnsi="Arial" w:cs="Arial"/>
        </w:rPr>
        <w:t xml:space="preserve">Anderson, </w:t>
      </w:r>
      <w:r w:rsidR="00AB74AA">
        <w:rPr>
          <w:rFonts w:ascii="Arial" w:hAnsi="Arial" w:cs="Arial"/>
        </w:rPr>
        <w:t>B. E. (1990). “Ventral Arc of the Os Pubis: Anatomical</w:t>
      </w:r>
      <w:r w:rsidR="00BB532A">
        <w:rPr>
          <w:rFonts w:ascii="Arial" w:hAnsi="Arial" w:cs="Arial"/>
        </w:rPr>
        <w:t xml:space="preserve"> and Developmental Considerations”: </w:t>
      </w:r>
      <w:r w:rsidR="00AB74AA">
        <w:rPr>
          <w:rFonts w:ascii="Arial" w:hAnsi="Arial" w:cs="Arial"/>
        </w:rPr>
        <w:t xml:space="preserve"> </w:t>
      </w:r>
      <w:r w:rsidR="0074467D">
        <w:rPr>
          <w:rFonts w:ascii="Arial" w:hAnsi="Arial" w:cs="Arial"/>
          <w:i/>
          <w:iCs/>
        </w:rPr>
        <w:t xml:space="preserve">American Journal of Physical Anthropology. </w:t>
      </w:r>
      <w:r w:rsidR="00827637">
        <w:rPr>
          <w:rFonts w:ascii="Arial" w:hAnsi="Arial" w:cs="Arial"/>
          <w:b/>
          <w:bCs/>
        </w:rPr>
        <w:t xml:space="preserve">83: </w:t>
      </w:r>
      <w:r w:rsidR="00827637">
        <w:rPr>
          <w:rFonts w:ascii="Arial" w:hAnsi="Arial" w:cs="Arial"/>
        </w:rPr>
        <w:t xml:space="preserve">(4): </w:t>
      </w:r>
      <w:r w:rsidR="00923089">
        <w:rPr>
          <w:rFonts w:ascii="Arial" w:hAnsi="Arial" w:cs="Arial"/>
        </w:rPr>
        <w:t xml:space="preserve">449-458. Available at: </w:t>
      </w:r>
      <w:hyperlink r:id="rId6" w:history="1">
        <w:r w:rsidR="00EB4C73" w:rsidRPr="003A079B">
          <w:rPr>
            <w:rStyle w:val="Hyperlink"/>
            <w:rFonts w:ascii="Arial" w:hAnsi="Arial" w:cs="Arial"/>
          </w:rPr>
          <w:t>https://pubmed.ncbi.nlm.nih.gov/2275482/</w:t>
        </w:r>
      </w:hyperlink>
      <w:r w:rsidR="00EB4C73">
        <w:rPr>
          <w:rFonts w:ascii="Arial" w:hAnsi="Arial" w:cs="Arial"/>
        </w:rPr>
        <w:t>. (Accessed: 15/10/2022).</w:t>
      </w:r>
    </w:p>
    <w:p w14:paraId="3C323E1D" w14:textId="18E060B0" w:rsidR="00214827" w:rsidRPr="00D477A9" w:rsidRDefault="00214827">
      <w:pPr>
        <w:rPr>
          <w:rFonts w:ascii="Arial" w:hAnsi="Arial" w:cs="Arial"/>
          <w:b/>
          <w:bCs/>
          <w:i/>
          <w:iCs/>
        </w:rPr>
      </w:pPr>
      <w:r>
        <w:rPr>
          <w:rFonts w:ascii="Arial" w:hAnsi="Arial" w:cs="Arial"/>
        </w:rPr>
        <w:t xml:space="preserve">Crowder, C., and Austin, D. (2005). </w:t>
      </w:r>
      <w:r w:rsidR="006B352D">
        <w:rPr>
          <w:rFonts w:ascii="Arial" w:hAnsi="Arial" w:cs="Arial"/>
        </w:rPr>
        <w:t xml:space="preserve">“Age Ranges </w:t>
      </w:r>
      <w:r w:rsidR="00793438">
        <w:rPr>
          <w:rFonts w:ascii="Arial" w:hAnsi="Arial" w:cs="Arial"/>
        </w:rPr>
        <w:t xml:space="preserve">of Epiphyseal Fusion </w:t>
      </w:r>
      <w:r w:rsidR="00591DCF">
        <w:rPr>
          <w:rFonts w:ascii="Arial" w:hAnsi="Arial" w:cs="Arial"/>
        </w:rPr>
        <w:t>in the Distal Tibia and Fibula</w:t>
      </w:r>
      <w:r w:rsidR="008A5A96">
        <w:rPr>
          <w:rFonts w:ascii="Arial" w:hAnsi="Arial" w:cs="Arial"/>
        </w:rPr>
        <w:t xml:space="preserve"> of Contemporary Males and Females”</w:t>
      </w:r>
      <w:r w:rsidR="00BB532A">
        <w:rPr>
          <w:rFonts w:ascii="Arial" w:hAnsi="Arial" w:cs="Arial"/>
        </w:rPr>
        <w:t>:</w:t>
      </w:r>
      <w:r w:rsidR="00F7085A">
        <w:rPr>
          <w:rFonts w:ascii="Arial" w:hAnsi="Arial" w:cs="Arial"/>
        </w:rPr>
        <w:t xml:space="preserve"> </w:t>
      </w:r>
      <w:r w:rsidR="00F7085A">
        <w:rPr>
          <w:rFonts w:ascii="Arial" w:hAnsi="Arial" w:cs="Arial"/>
          <w:i/>
          <w:iCs/>
        </w:rPr>
        <w:t xml:space="preserve">Journal of Forensic Sciences. </w:t>
      </w:r>
      <w:r w:rsidR="00F7085A">
        <w:rPr>
          <w:rFonts w:ascii="Arial" w:hAnsi="Arial" w:cs="Arial"/>
          <w:b/>
          <w:bCs/>
        </w:rPr>
        <w:t xml:space="preserve">50. </w:t>
      </w:r>
      <w:r w:rsidR="00F2578A">
        <w:rPr>
          <w:rFonts w:ascii="Arial" w:hAnsi="Arial" w:cs="Arial"/>
        </w:rPr>
        <w:t xml:space="preserve">(5): 1001-1007. </w:t>
      </w:r>
      <w:r w:rsidR="009E7DD8">
        <w:rPr>
          <w:rFonts w:ascii="Arial" w:hAnsi="Arial" w:cs="Arial"/>
        </w:rPr>
        <w:t xml:space="preserve">Available at: </w:t>
      </w:r>
      <w:hyperlink r:id="rId7" w:history="1">
        <w:r w:rsidR="00D477A9" w:rsidRPr="003A079B">
          <w:rPr>
            <w:rStyle w:val="Hyperlink"/>
            <w:rFonts w:ascii="Arial" w:hAnsi="Arial" w:cs="Arial"/>
          </w:rPr>
          <w:t>https://www.astm.org/jfs2004542.html</w:t>
        </w:r>
      </w:hyperlink>
      <w:r w:rsidR="00D477A9">
        <w:rPr>
          <w:rFonts w:ascii="Arial" w:hAnsi="Arial" w:cs="Arial"/>
        </w:rPr>
        <w:t xml:space="preserve">. (Accessed: 14/10/2022). </w:t>
      </w:r>
    </w:p>
    <w:p w14:paraId="5CF383F3" w14:textId="7F88BFC7" w:rsidR="00872DD1" w:rsidRPr="008537B3" w:rsidRDefault="00872DD1">
      <w:pPr>
        <w:rPr>
          <w:rFonts w:ascii="Arial" w:hAnsi="Arial" w:cs="Arial"/>
        </w:rPr>
      </w:pPr>
      <w:r>
        <w:rPr>
          <w:rFonts w:ascii="Arial" w:hAnsi="Arial" w:cs="Arial"/>
        </w:rPr>
        <w:t>Loe, L.</w:t>
      </w:r>
      <w:r w:rsidR="008537B3">
        <w:rPr>
          <w:rFonts w:ascii="Arial" w:hAnsi="Arial" w:cs="Arial"/>
        </w:rPr>
        <w:t>,</w:t>
      </w:r>
      <w:r>
        <w:rPr>
          <w:rFonts w:ascii="Arial" w:hAnsi="Arial" w:cs="Arial"/>
        </w:rPr>
        <w:t xml:space="preserve"> Boyle</w:t>
      </w:r>
      <w:r w:rsidR="008537B3">
        <w:rPr>
          <w:rFonts w:ascii="Arial" w:hAnsi="Arial" w:cs="Arial"/>
        </w:rPr>
        <w:t xml:space="preserve">, A., Webb, H., and Score, D. (2014). </w:t>
      </w:r>
      <w:r w:rsidR="008537B3">
        <w:rPr>
          <w:rFonts w:ascii="Arial" w:hAnsi="Arial" w:cs="Arial"/>
          <w:i/>
          <w:iCs/>
        </w:rPr>
        <w:t xml:space="preserve">‘Given to the Ground: A Viking Age Mass Grave on Ridgeway Hill, Weymouth’. </w:t>
      </w:r>
      <w:r w:rsidR="008537B3">
        <w:rPr>
          <w:rFonts w:ascii="Arial" w:hAnsi="Arial" w:cs="Arial"/>
        </w:rPr>
        <w:t xml:space="preserve">Oxford: </w:t>
      </w:r>
      <w:proofErr w:type="spellStart"/>
      <w:r w:rsidR="008537B3">
        <w:rPr>
          <w:rFonts w:ascii="Arial" w:hAnsi="Arial" w:cs="Arial"/>
        </w:rPr>
        <w:t>Berforts</w:t>
      </w:r>
      <w:proofErr w:type="spellEnd"/>
      <w:r w:rsidR="008537B3">
        <w:rPr>
          <w:rFonts w:ascii="Arial" w:hAnsi="Arial" w:cs="Arial"/>
        </w:rPr>
        <w:t xml:space="preserve"> Information Press.</w:t>
      </w:r>
    </w:p>
    <w:p w14:paraId="5D32A32C" w14:textId="1298D00C" w:rsidR="002117A4" w:rsidRDefault="00EE320F">
      <w:pPr>
        <w:rPr>
          <w:rFonts w:ascii="Arial" w:hAnsi="Arial" w:cs="Arial"/>
        </w:rPr>
      </w:pPr>
      <w:r>
        <w:rPr>
          <w:rFonts w:ascii="Arial" w:hAnsi="Arial" w:cs="Arial"/>
        </w:rPr>
        <w:t xml:space="preserve">Oxford Archaeology. (2014). </w:t>
      </w:r>
      <w:r w:rsidRPr="00EE320F">
        <w:rPr>
          <w:rFonts w:ascii="Arial" w:hAnsi="Arial" w:cs="Arial"/>
          <w:i/>
          <w:iCs/>
        </w:rPr>
        <w:t>'Given to the Ground': A Viking Age Mass Grave on Ridgeway Hill, Weymouth</w:t>
      </w:r>
      <w:r>
        <w:rPr>
          <w:rFonts w:ascii="Arial" w:hAnsi="Arial" w:cs="Arial"/>
          <w:i/>
          <w:iCs/>
        </w:rPr>
        <w:t xml:space="preserve">. </w:t>
      </w:r>
      <w:r>
        <w:rPr>
          <w:rFonts w:ascii="Arial" w:hAnsi="Arial" w:cs="Arial"/>
        </w:rPr>
        <w:t xml:space="preserve">Available at: </w:t>
      </w:r>
      <w:hyperlink r:id="rId8" w:history="1">
        <w:r w:rsidRPr="00746B8C">
          <w:rPr>
            <w:rStyle w:val="Hyperlink"/>
            <w:rFonts w:ascii="Arial" w:hAnsi="Arial" w:cs="Arial"/>
          </w:rPr>
          <w:t>https://oxfordarchaeology.com/articles/287-given-to-the-ground-a-viking-age-mass-grave-on-ridgeway-hill-weymouth</w:t>
        </w:r>
      </w:hyperlink>
      <w:r>
        <w:rPr>
          <w:rFonts w:ascii="Arial" w:hAnsi="Arial" w:cs="Arial"/>
        </w:rPr>
        <w:t xml:space="preserve">. (Accessed: 13/10/2022). </w:t>
      </w:r>
    </w:p>
    <w:p w14:paraId="00E7B639" w14:textId="77777777" w:rsidR="00FA4C0E" w:rsidRDefault="003605C5">
      <w:pPr>
        <w:rPr>
          <w:rFonts w:ascii="Arial" w:hAnsi="Arial" w:cs="Arial"/>
        </w:rPr>
      </w:pPr>
      <w:proofErr w:type="spellStart"/>
      <w:r>
        <w:rPr>
          <w:rFonts w:ascii="Arial" w:hAnsi="Arial" w:cs="Arial"/>
        </w:rPr>
        <w:t>Phenice</w:t>
      </w:r>
      <w:proofErr w:type="spellEnd"/>
      <w:r>
        <w:rPr>
          <w:rFonts w:ascii="Arial" w:hAnsi="Arial" w:cs="Arial"/>
        </w:rPr>
        <w:t xml:space="preserve">, T. W. (1969). </w:t>
      </w:r>
      <w:r w:rsidR="00B80520">
        <w:rPr>
          <w:rFonts w:ascii="Arial" w:hAnsi="Arial" w:cs="Arial"/>
        </w:rPr>
        <w:t>“A Newly Developed Visual Method of Sexing the Os Pubis”</w:t>
      </w:r>
      <w:r w:rsidR="00B25166">
        <w:rPr>
          <w:rFonts w:ascii="Arial" w:hAnsi="Arial" w:cs="Arial"/>
        </w:rPr>
        <w:t xml:space="preserve"> </w:t>
      </w:r>
      <w:r w:rsidR="00B25166">
        <w:rPr>
          <w:rFonts w:ascii="Arial" w:hAnsi="Arial" w:cs="Arial"/>
          <w:i/>
          <w:iCs/>
        </w:rPr>
        <w:t>A</w:t>
      </w:r>
      <w:r w:rsidR="00F35D40">
        <w:rPr>
          <w:rFonts w:ascii="Arial" w:hAnsi="Arial" w:cs="Arial"/>
          <w:i/>
          <w:iCs/>
        </w:rPr>
        <w:t>merican Journal of Physical Anthropology</w:t>
      </w:r>
      <w:r w:rsidR="00353E5A">
        <w:rPr>
          <w:rFonts w:ascii="Arial" w:hAnsi="Arial" w:cs="Arial"/>
          <w:i/>
          <w:iCs/>
        </w:rPr>
        <w:t xml:space="preserve">. </w:t>
      </w:r>
      <w:r w:rsidR="00353E5A">
        <w:rPr>
          <w:rFonts w:ascii="Arial" w:hAnsi="Arial" w:cs="Arial"/>
          <w:b/>
          <w:bCs/>
        </w:rPr>
        <w:t>30</w:t>
      </w:r>
      <w:r w:rsidR="00406DB5">
        <w:rPr>
          <w:rFonts w:ascii="Arial" w:hAnsi="Arial" w:cs="Arial"/>
          <w:b/>
          <w:bCs/>
        </w:rPr>
        <w:t xml:space="preserve">: </w:t>
      </w:r>
      <w:r w:rsidR="00406DB5">
        <w:rPr>
          <w:rFonts w:ascii="Arial" w:hAnsi="Arial" w:cs="Arial"/>
        </w:rPr>
        <w:t>279-3</w:t>
      </w:r>
      <w:r w:rsidR="00124847">
        <w:rPr>
          <w:rFonts w:ascii="Arial" w:hAnsi="Arial" w:cs="Arial"/>
        </w:rPr>
        <w:t xml:space="preserve">02. Available at: </w:t>
      </w:r>
      <w:hyperlink r:id="rId9" w:history="1">
        <w:r w:rsidR="005369B3" w:rsidRPr="003A079B">
          <w:rPr>
            <w:rStyle w:val="Hyperlink"/>
            <w:rFonts w:ascii="Arial" w:hAnsi="Arial" w:cs="Arial"/>
          </w:rPr>
          <w:t>https://onlinelibrary-wiley-com.ezproxy.uwtsd.ac.uk/doi/abs/10.1002/ajpa.1330300214</w:t>
        </w:r>
      </w:hyperlink>
      <w:r w:rsidR="005369B3">
        <w:rPr>
          <w:rFonts w:ascii="Arial" w:hAnsi="Arial" w:cs="Arial"/>
        </w:rPr>
        <w:t>. (Accessed: 14/10/2022).</w:t>
      </w:r>
    </w:p>
    <w:p w14:paraId="0B721B9A" w14:textId="1E4C11AD" w:rsidR="003605C5" w:rsidRPr="00F955AE" w:rsidRDefault="00FA4C0E">
      <w:pPr>
        <w:rPr>
          <w:rFonts w:ascii="Arial" w:hAnsi="Arial" w:cs="Arial"/>
        </w:rPr>
      </w:pPr>
      <w:r>
        <w:rPr>
          <w:rFonts w:ascii="Arial" w:hAnsi="Arial" w:cs="Arial"/>
        </w:rPr>
        <w:t xml:space="preserve">Smith, A, C. (2010). </w:t>
      </w:r>
      <w:r w:rsidR="00FA19BA">
        <w:rPr>
          <w:rFonts w:ascii="Arial" w:hAnsi="Arial" w:cs="Arial"/>
          <w:i/>
          <w:iCs/>
        </w:rPr>
        <w:t xml:space="preserve">Distinguishing Between Antemortem, </w:t>
      </w:r>
      <w:proofErr w:type="spellStart"/>
      <w:r w:rsidR="00F955AE">
        <w:rPr>
          <w:rFonts w:ascii="Arial" w:hAnsi="Arial" w:cs="Arial"/>
          <w:i/>
          <w:iCs/>
        </w:rPr>
        <w:t>Perimortem</w:t>
      </w:r>
      <w:proofErr w:type="spellEnd"/>
      <w:r w:rsidR="00F955AE">
        <w:rPr>
          <w:rFonts w:ascii="Arial" w:hAnsi="Arial" w:cs="Arial"/>
          <w:i/>
          <w:iCs/>
        </w:rPr>
        <w:t xml:space="preserve">, and Postmortem Trauma. </w:t>
      </w:r>
      <w:r w:rsidR="00F955AE">
        <w:rPr>
          <w:rFonts w:ascii="Arial" w:hAnsi="Arial" w:cs="Arial"/>
        </w:rPr>
        <w:t xml:space="preserve">Available at: </w:t>
      </w:r>
      <w:hyperlink r:id="rId10" w:history="1">
        <w:r w:rsidR="007E5DF5" w:rsidRPr="003A079B">
          <w:rPr>
            <w:rStyle w:val="Hyperlink"/>
            <w:rFonts w:ascii="Arial" w:hAnsi="Arial" w:cs="Arial"/>
          </w:rPr>
          <w:t>https://www.academia.edu/2364375/Distinguishing_Between_Antemortem_Perimortem_and_Postmortem_Trauma</w:t>
        </w:r>
      </w:hyperlink>
      <w:r w:rsidR="007E5DF5">
        <w:rPr>
          <w:rFonts w:ascii="Arial" w:hAnsi="Arial" w:cs="Arial"/>
        </w:rPr>
        <w:t xml:space="preserve">. (Accessed:16/10/2022). </w:t>
      </w:r>
    </w:p>
    <w:sectPr w:rsidR="003605C5" w:rsidRPr="00F955A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8D9AB" w14:textId="77777777" w:rsidR="008015C3" w:rsidRDefault="008015C3" w:rsidP="008015C3">
      <w:pPr>
        <w:spacing w:after="0" w:line="240" w:lineRule="auto"/>
      </w:pPr>
      <w:r>
        <w:separator/>
      </w:r>
    </w:p>
  </w:endnote>
  <w:endnote w:type="continuationSeparator" w:id="0">
    <w:p w14:paraId="0D171375" w14:textId="77777777" w:rsidR="008015C3" w:rsidRDefault="008015C3" w:rsidP="00801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CF3B5" w14:textId="77777777" w:rsidR="008015C3" w:rsidRDefault="008015C3" w:rsidP="008015C3">
      <w:pPr>
        <w:spacing w:after="0" w:line="240" w:lineRule="auto"/>
      </w:pPr>
      <w:r>
        <w:separator/>
      </w:r>
    </w:p>
  </w:footnote>
  <w:footnote w:type="continuationSeparator" w:id="0">
    <w:p w14:paraId="59659AEB" w14:textId="77777777" w:rsidR="008015C3" w:rsidRDefault="008015C3" w:rsidP="008015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1EF2F" w14:textId="586E9312" w:rsidR="008015C3" w:rsidRPr="008015C3" w:rsidRDefault="008015C3">
    <w:pPr>
      <w:pStyle w:val="Header"/>
      <w:rPr>
        <w:rFonts w:ascii="Arial" w:hAnsi="Arial" w:cs="Arial"/>
      </w:rPr>
    </w:pPr>
    <w:r>
      <w:rPr>
        <w:rFonts w:ascii="Arial" w:hAnsi="Arial" w:cs="Arial"/>
      </w:rPr>
      <w:t>HPHP4018</w:t>
    </w:r>
    <w:r>
      <w:rPr>
        <w:rFonts w:ascii="Arial" w:hAnsi="Arial" w:cs="Arial"/>
      </w:rPr>
      <w:tab/>
    </w:r>
    <w:r>
      <w:rPr>
        <w:rFonts w:ascii="Arial" w:hAnsi="Arial" w:cs="Arial"/>
      </w:rPr>
      <w:tab/>
      <w:t>Charlotte Robinson - 2208820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5C3"/>
    <w:rsid w:val="00011B71"/>
    <w:rsid w:val="00034313"/>
    <w:rsid w:val="000858AF"/>
    <w:rsid w:val="000966A9"/>
    <w:rsid w:val="000A7EFF"/>
    <w:rsid w:val="000C2F70"/>
    <w:rsid w:val="000D1B91"/>
    <w:rsid w:val="000F4FB5"/>
    <w:rsid w:val="000F6828"/>
    <w:rsid w:val="00124847"/>
    <w:rsid w:val="0014672C"/>
    <w:rsid w:val="00153ABD"/>
    <w:rsid w:val="00163F00"/>
    <w:rsid w:val="00183402"/>
    <w:rsid w:val="0019056A"/>
    <w:rsid w:val="001E5227"/>
    <w:rsid w:val="002117A4"/>
    <w:rsid w:val="00214827"/>
    <w:rsid w:val="00221B8A"/>
    <w:rsid w:val="0022524F"/>
    <w:rsid w:val="00231537"/>
    <w:rsid w:val="00254FEB"/>
    <w:rsid w:val="00273159"/>
    <w:rsid w:val="00297436"/>
    <w:rsid w:val="002A7E38"/>
    <w:rsid w:val="002D2F29"/>
    <w:rsid w:val="002E2CBE"/>
    <w:rsid w:val="003228B2"/>
    <w:rsid w:val="00347826"/>
    <w:rsid w:val="00353E5A"/>
    <w:rsid w:val="003605C5"/>
    <w:rsid w:val="00361F2E"/>
    <w:rsid w:val="003726AD"/>
    <w:rsid w:val="003A5E57"/>
    <w:rsid w:val="003C3D16"/>
    <w:rsid w:val="003D5EF3"/>
    <w:rsid w:val="003E0896"/>
    <w:rsid w:val="003E2056"/>
    <w:rsid w:val="00401157"/>
    <w:rsid w:val="00406DB5"/>
    <w:rsid w:val="00453EA2"/>
    <w:rsid w:val="00473FB9"/>
    <w:rsid w:val="00481E64"/>
    <w:rsid w:val="004B0AE3"/>
    <w:rsid w:val="004C3523"/>
    <w:rsid w:val="004D0645"/>
    <w:rsid w:val="004D476C"/>
    <w:rsid w:val="005369B3"/>
    <w:rsid w:val="00591DCF"/>
    <w:rsid w:val="00595C40"/>
    <w:rsid w:val="005A134B"/>
    <w:rsid w:val="005C07FF"/>
    <w:rsid w:val="006741CC"/>
    <w:rsid w:val="006A5004"/>
    <w:rsid w:val="006A6541"/>
    <w:rsid w:val="006B352D"/>
    <w:rsid w:val="006E22A9"/>
    <w:rsid w:val="007132FA"/>
    <w:rsid w:val="00721ACA"/>
    <w:rsid w:val="0074467D"/>
    <w:rsid w:val="007777CA"/>
    <w:rsid w:val="00790526"/>
    <w:rsid w:val="00793438"/>
    <w:rsid w:val="007941B3"/>
    <w:rsid w:val="007A77C6"/>
    <w:rsid w:val="007C21F4"/>
    <w:rsid w:val="007C2AEE"/>
    <w:rsid w:val="007E3630"/>
    <w:rsid w:val="007E5DF5"/>
    <w:rsid w:val="008015C3"/>
    <w:rsid w:val="0080268A"/>
    <w:rsid w:val="008055DA"/>
    <w:rsid w:val="00815086"/>
    <w:rsid w:val="00815EA6"/>
    <w:rsid w:val="008171BD"/>
    <w:rsid w:val="00827637"/>
    <w:rsid w:val="00832CE1"/>
    <w:rsid w:val="00835B35"/>
    <w:rsid w:val="0083604F"/>
    <w:rsid w:val="00846D49"/>
    <w:rsid w:val="008537B3"/>
    <w:rsid w:val="00872DD1"/>
    <w:rsid w:val="008A5A96"/>
    <w:rsid w:val="008B162B"/>
    <w:rsid w:val="009173E7"/>
    <w:rsid w:val="00923089"/>
    <w:rsid w:val="00924E5F"/>
    <w:rsid w:val="00982B3A"/>
    <w:rsid w:val="009B263A"/>
    <w:rsid w:val="009B62DB"/>
    <w:rsid w:val="009E7DD8"/>
    <w:rsid w:val="009F2E8A"/>
    <w:rsid w:val="00A15865"/>
    <w:rsid w:val="00A50839"/>
    <w:rsid w:val="00A54A60"/>
    <w:rsid w:val="00A61250"/>
    <w:rsid w:val="00A65C3F"/>
    <w:rsid w:val="00A74A1F"/>
    <w:rsid w:val="00AA1F81"/>
    <w:rsid w:val="00AA4B89"/>
    <w:rsid w:val="00AB74AA"/>
    <w:rsid w:val="00AC5938"/>
    <w:rsid w:val="00AD5919"/>
    <w:rsid w:val="00AD6674"/>
    <w:rsid w:val="00AF33A5"/>
    <w:rsid w:val="00AF6F6A"/>
    <w:rsid w:val="00B153C6"/>
    <w:rsid w:val="00B1661B"/>
    <w:rsid w:val="00B21E14"/>
    <w:rsid w:val="00B22155"/>
    <w:rsid w:val="00B25166"/>
    <w:rsid w:val="00B608B1"/>
    <w:rsid w:val="00B77530"/>
    <w:rsid w:val="00B80520"/>
    <w:rsid w:val="00B8529E"/>
    <w:rsid w:val="00BB2B9F"/>
    <w:rsid w:val="00BB3561"/>
    <w:rsid w:val="00BB532A"/>
    <w:rsid w:val="00BF09F6"/>
    <w:rsid w:val="00C05B56"/>
    <w:rsid w:val="00C16A4C"/>
    <w:rsid w:val="00C249D5"/>
    <w:rsid w:val="00C25A97"/>
    <w:rsid w:val="00C43FD5"/>
    <w:rsid w:val="00C52EFB"/>
    <w:rsid w:val="00C53A92"/>
    <w:rsid w:val="00C83FDF"/>
    <w:rsid w:val="00CA44C8"/>
    <w:rsid w:val="00CC6AE0"/>
    <w:rsid w:val="00CE7877"/>
    <w:rsid w:val="00D24261"/>
    <w:rsid w:val="00D33B43"/>
    <w:rsid w:val="00D477A9"/>
    <w:rsid w:val="00D81E4C"/>
    <w:rsid w:val="00DA6CB6"/>
    <w:rsid w:val="00DB4264"/>
    <w:rsid w:val="00DE10D8"/>
    <w:rsid w:val="00DE1748"/>
    <w:rsid w:val="00DE26DF"/>
    <w:rsid w:val="00DF2954"/>
    <w:rsid w:val="00DF3608"/>
    <w:rsid w:val="00E313D5"/>
    <w:rsid w:val="00E6464E"/>
    <w:rsid w:val="00E8621D"/>
    <w:rsid w:val="00EA4763"/>
    <w:rsid w:val="00EB4C73"/>
    <w:rsid w:val="00EB607D"/>
    <w:rsid w:val="00EE320F"/>
    <w:rsid w:val="00EF4530"/>
    <w:rsid w:val="00F207DF"/>
    <w:rsid w:val="00F229D5"/>
    <w:rsid w:val="00F2578A"/>
    <w:rsid w:val="00F35D40"/>
    <w:rsid w:val="00F36575"/>
    <w:rsid w:val="00F40637"/>
    <w:rsid w:val="00F41B78"/>
    <w:rsid w:val="00F471A5"/>
    <w:rsid w:val="00F674D2"/>
    <w:rsid w:val="00F7085A"/>
    <w:rsid w:val="00F87955"/>
    <w:rsid w:val="00F955AE"/>
    <w:rsid w:val="00FA19BA"/>
    <w:rsid w:val="00FA4C0E"/>
    <w:rsid w:val="00FE7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53ED2"/>
  <w15:chartTrackingRefBased/>
  <w15:docId w15:val="{7940CCEB-1F99-4D84-AA5C-D40BDDE04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1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5C3"/>
  </w:style>
  <w:style w:type="paragraph" w:styleId="Footer">
    <w:name w:val="footer"/>
    <w:basedOn w:val="Normal"/>
    <w:link w:val="FooterChar"/>
    <w:uiPriority w:val="99"/>
    <w:unhideWhenUsed/>
    <w:rsid w:val="00801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5C3"/>
  </w:style>
  <w:style w:type="character" w:styleId="Hyperlink">
    <w:name w:val="Hyperlink"/>
    <w:basedOn w:val="DefaultParagraphFont"/>
    <w:uiPriority w:val="99"/>
    <w:unhideWhenUsed/>
    <w:rsid w:val="00EE320F"/>
    <w:rPr>
      <w:color w:val="0563C1" w:themeColor="hyperlink"/>
      <w:u w:val="single"/>
    </w:rPr>
  </w:style>
  <w:style w:type="character" w:styleId="UnresolvedMention">
    <w:name w:val="Unresolved Mention"/>
    <w:basedOn w:val="DefaultParagraphFont"/>
    <w:uiPriority w:val="99"/>
    <w:semiHidden/>
    <w:unhideWhenUsed/>
    <w:rsid w:val="00EE32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xfordarchaeology.com/articles/287-given-to-the-ground-a-viking-age-mass-grave-on-ridgeway-hill-weymouth"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stm.org/jfs2004542.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med.ncbi.nlm.nih.gov/2275482/"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academia.edu/2364375/Distinguishing_Between_Antemortem_Perimortem_and_Postmortem_Trauma" TargetMode="External"/><Relationship Id="rId4" Type="http://schemas.openxmlformats.org/officeDocument/2006/relationships/footnotes" Target="footnotes.xml"/><Relationship Id="rId9" Type="http://schemas.openxmlformats.org/officeDocument/2006/relationships/hyperlink" Target="https://onlinelibrary-wiley-com.ezproxy.uwtsd.ac.uk/doi/abs/10.1002/ajpa.1330300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1114</Words>
  <Characters>6353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Robinson</dc:creator>
  <cp:keywords/>
  <dc:description/>
  <cp:lastModifiedBy>Charlotte Robinson (2208820)</cp:lastModifiedBy>
  <cp:revision>2</cp:revision>
  <dcterms:created xsi:type="dcterms:W3CDTF">2022-10-16T18:42:00Z</dcterms:created>
  <dcterms:modified xsi:type="dcterms:W3CDTF">2022-10-16T18:42:00Z</dcterms:modified>
</cp:coreProperties>
</file>