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sz w:val="52"/>
          <w:szCs w:val="72"/>
          <w:lang w:val="en-US" w:eastAsia="zh-CN"/>
        </w:rPr>
      </w:pPr>
    </w:p>
    <w:p>
      <w:pPr>
        <w:jc w:val="both"/>
        <w:rPr>
          <w:rFonts w:hint="eastAsia"/>
          <w:sz w:val="52"/>
          <w:szCs w:val="72"/>
          <w:lang w:val="en-US" w:eastAsia="zh-CN"/>
        </w:rPr>
      </w:pPr>
    </w:p>
    <w:p>
      <w:pPr>
        <w:jc w:val="center"/>
        <w:rPr>
          <w:rFonts w:hint="eastAsia"/>
          <w:sz w:val="52"/>
          <w:szCs w:val="72"/>
          <w:lang w:val="en-US" w:eastAsia="zh-CN"/>
        </w:rPr>
      </w:pPr>
      <w:r>
        <w:rPr>
          <w:rFonts w:hint="eastAsia"/>
          <w:sz w:val="52"/>
          <w:szCs w:val="72"/>
          <w:lang w:val="en-US" w:eastAsia="zh-CN"/>
        </w:rPr>
        <w:t>Influence of cultural differences on Jordan-British business communication</w:t>
      </w:r>
    </w:p>
    <w:p>
      <w:pPr>
        <w:jc w:val="center"/>
        <w:rPr>
          <w:rFonts w:hint="eastAsia"/>
          <w:sz w:val="40"/>
          <w:szCs w:val="48"/>
          <w:lang w:val="en-US" w:eastAsia="zh-CN"/>
        </w:rPr>
      </w:pPr>
      <w:r>
        <w:rPr>
          <w:rFonts w:hint="eastAsia"/>
          <w:sz w:val="40"/>
          <w:szCs w:val="48"/>
          <w:lang w:val="en-US" w:eastAsia="zh-CN"/>
        </w:rPr>
        <w:t>International business communication</w:t>
      </w:r>
    </w:p>
    <w:p>
      <w:pPr>
        <w:jc w:val="center"/>
        <w:rPr>
          <w:rFonts w:hint="eastAsia"/>
          <w:sz w:val="40"/>
          <w:szCs w:val="48"/>
          <w:lang w:val="en-US" w:eastAsia="zh-CN"/>
        </w:rPr>
      </w:pPr>
      <w:r>
        <w:rPr>
          <w:sz w:val="40"/>
        </w:rPr>
        <mc:AlternateContent>
          <mc:Choice Requires="wps">
            <w:drawing>
              <wp:anchor distT="0" distB="0" distL="114300" distR="114300" simplePos="0" relativeHeight="251659264" behindDoc="0" locked="0" layoutInCell="1" allowOverlap="1">
                <wp:simplePos x="0" y="0"/>
                <wp:positionH relativeFrom="column">
                  <wp:posOffset>1718945</wp:posOffset>
                </wp:positionH>
                <wp:positionV relativeFrom="paragraph">
                  <wp:posOffset>292735</wp:posOffset>
                </wp:positionV>
                <wp:extent cx="2301240" cy="0"/>
                <wp:effectExtent l="0" t="0" r="0" b="0"/>
                <wp:wrapNone/>
                <wp:docPr id="4" name="直接连接符 4"/>
                <wp:cNvGraphicFramePr/>
                <a:graphic xmlns:a="http://schemas.openxmlformats.org/drawingml/2006/main">
                  <a:graphicData uri="http://schemas.microsoft.com/office/word/2010/wordprocessingShape">
                    <wps:wsp>
                      <wps:cNvCnPr/>
                      <wps:spPr>
                        <a:xfrm>
                          <a:off x="2861945" y="3980815"/>
                          <a:ext cx="23012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35.35pt;margin-top:23.05pt;height:0pt;width:181.2pt;z-index:251659264;mso-width-relative:page;mso-height-relative:page;" filled="f" stroked="t" coordsize="21600,21600" o:gfxdata="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mP7fC2AAAAAkBAAAPAAAA&#10;AAAAAAEAIAAAACIAAABkcnMvZG93bnJldi54bWxQSwECFAAUAAAACACHTuJAxhwTx9wBAABvAwAA&#10;DgAAAAAAAAABACAAAAAnAQAAZHJzL2Uyb0RvYy54bWxQSwUGAAAAAAYABgBZAQAAdQUAAAAA&#10;">
                <v:fill on="f" focussize="0,0"/>
                <v:stroke weight="0.5pt" color="#5B9BD5 [3204]" miterlimit="8" joinstyle="miter"/>
                <v:imagedata o:title=""/>
                <o:lock v:ext="edit" aspectratio="f"/>
              </v:line>
            </w:pict>
          </mc:Fallback>
        </mc:AlternateContent>
      </w:r>
      <w:r>
        <w:rPr>
          <w:sz w:val="40"/>
        </w:rPr>
        <mc:AlternateContent>
          <mc:Choice Requires="wps">
            <w:drawing>
              <wp:anchor distT="0" distB="0" distL="114300" distR="114300" simplePos="0" relativeHeight="251658240" behindDoc="0" locked="0" layoutInCell="1" allowOverlap="1">
                <wp:simplePos x="0" y="0"/>
                <wp:positionH relativeFrom="column">
                  <wp:posOffset>514985</wp:posOffset>
                </wp:positionH>
                <wp:positionV relativeFrom="paragraph">
                  <wp:posOffset>33655</wp:posOffset>
                </wp:positionV>
                <wp:extent cx="4511040" cy="0"/>
                <wp:effectExtent l="0" t="0" r="0" b="0"/>
                <wp:wrapNone/>
                <wp:docPr id="3" name="直接连接符 3"/>
                <wp:cNvGraphicFramePr/>
                <a:graphic xmlns:a="http://schemas.openxmlformats.org/drawingml/2006/main">
                  <a:graphicData uri="http://schemas.microsoft.com/office/word/2010/wordprocessingShape">
                    <wps:wsp>
                      <wps:cNvCnPr/>
                      <wps:spPr>
                        <a:xfrm>
                          <a:off x="1657985" y="3721735"/>
                          <a:ext cx="45110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0.55pt;margin-top:2.65pt;height:0pt;width:355.2pt;z-index:251658240;mso-width-relative:page;mso-height-relative:page;" filled="f" stroked="t" coordsize="21600,21600" o:gfxdata="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Dj+7l1AAAAAYBAAAPAAAAAAAA&#10;AAEAIAAAACIAAABkcnMvZG93bnJldi54bWxQSwECFAAUAAAACACHTuJA9Jytvd0BAABvAwAADgAA&#10;AAAAAAABACAAAAAjAQAAZHJzL2Uyb0RvYy54bWxQSwUGAAAAAAYABgBZAQAAcgUAAAAA&#10;">
                <v:fill on="f" focussize="0,0"/>
                <v:stroke weight="0.5pt" color="#5B9BD5 [3204]" miterlimit="8" joinstyle="miter"/>
                <v:imagedata o:title=""/>
                <o:lock v:ext="edit" aspectratio="f"/>
              </v:line>
            </w:pict>
          </mc:Fallback>
        </mc:AlternateContent>
      </w:r>
    </w:p>
    <w:p>
      <w:pPr>
        <w:pStyle w:val="2"/>
        <w:rPr>
          <w:rFonts w:hint="eastAsia"/>
          <w:lang w:val="en-US" w:eastAsia="zh-CN"/>
        </w:rPr>
      </w:pPr>
    </w:p>
    <w:p>
      <w:pPr>
        <w:pStyle w:val="2"/>
        <w:rPr>
          <w:rFonts w:hint="eastAsia"/>
          <w:lang w:val="en-US" w:eastAsia="zh-CN"/>
        </w:rPr>
      </w:pPr>
    </w:p>
    <w:p>
      <w:pPr>
        <w:ind w:firstLine="5880" w:firstLineChars="2800"/>
        <w:rPr>
          <w:rFonts w:hint="eastAsia"/>
          <w:lang w:val="en-US" w:eastAsia="zh-CN"/>
        </w:rPr>
      </w:pPr>
    </w:p>
    <w:p>
      <w:pPr>
        <w:jc w:val="center"/>
        <w:rPr>
          <w:rFonts w:hint="eastAsia"/>
          <w:lang w:val="en-US" w:eastAsia="zh-CN"/>
        </w:rPr>
      </w:pPr>
      <w:r>
        <w:rPr>
          <w:rFonts w:hint="eastAsia"/>
          <w:lang w:val="en-US" w:eastAsia="zh-CN"/>
        </w:rPr>
        <w:t>Jingwei You</w:t>
      </w:r>
    </w:p>
    <w:p>
      <w:pPr>
        <w:jc w:val="center"/>
        <w:rPr>
          <w:rFonts w:hint="eastAsia"/>
          <w:lang w:val="en-US" w:eastAsia="zh-CN"/>
        </w:rPr>
      </w:pPr>
      <w:r>
        <w:rPr>
          <w:rFonts w:hint="eastAsia"/>
          <w:lang w:val="en-US" w:eastAsia="zh-CN"/>
        </w:rPr>
        <w:t>2702297</w:t>
      </w:r>
    </w:p>
    <w:p>
      <w:pPr>
        <w:jc w:val="center"/>
        <w:rPr>
          <w:rFonts w:hint="eastAsia"/>
          <w:lang w:val="en-US" w:eastAsia="zh-CN"/>
        </w:rPr>
      </w:pPr>
      <w:r>
        <w:rPr>
          <w:rFonts w:hint="eastAsia"/>
          <w:lang w:val="en-US" w:eastAsia="zh-CN"/>
        </w:rPr>
        <w:t>19/1/2018</w:t>
      </w: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sdt>
      <w:sdtPr>
        <w:rPr>
          <w:rFonts w:ascii="SimSun" w:hAnsi="SimSun" w:eastAsia="SimSun"/>
          <w:sz w:val="21"/>
        </w:rPr>
        <w:id w:val="147472929"/>
        <w:docPartObj>
          <w:docPartGallery w:val="Table of Contents"/>
          <w:docPartUnique/>
        </w:docPartObj>
      </w:sdtPr>
      <w:sdtEndPr>
        <w:rPr>
          <w:sz w:val="20"/>
          <w:szCs w:val="20"/>
        </w:rPr>
      </w:sdtEndPr>
      <w:sdtContent>
        <w:p>
          <w:pPr>
            <w:jc w:val="center"/>
          </w:pPr>
          <w:r>
            <w:rPr>
              <w:rFonts w:hint="default" w:ascii="SimSun" w:hAnsi="SimSun" w:eastAsia="SimSun"/>
              <w:sz w:val="21"/>
            </w:rPr>
            <w:t>contents</w:t>
          </w:r>
        </w:p>
        <w:p>
          <w:pPr>
            <w:pStyle w:val="9"/>
            <w:tabs>
              <w:tab w:val="right" w:leader="dot" w:pos="8306"/>
            </w:tabs>
          </w:pPr>
          <w:r>
            <w:fldChar w:fldCharType="begin"/>
          </w:r>
          <w:r>
            <w:instrText xml:space="preserve"> HYPERLINK \l _Toc21677 </w:instrText>
          </w:r>
          <w:r>
            <w:fldChar w:fldCharType="separate"/>
          </w:r>
          <w:sdt>
            <w:sdtPr>
              <w:rPr>
                <w:rFonts w:hint="eastAsia" w:ascii="SimSun" w:hAnsi="SimSun" w:eastAsia="SimSun" w:cs="SimSun"/>
                <w:b/>
                <w:kern w:val="44"/>
                <w:sz w:val="48"/>
                <w:szCs w:val="48"/>
                <w:lang w:val="en-US" w:eastAsia="zh-CN" w:bidi="ar"/>
              </w:rPr>
              <w:id w:val="147472929"/>
              <w:placeholder>
                <w:docPart w:val="{e081ee89-129e-4378-8aee-30818c02f9aa}"/>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Executive summary</w:t>
              </w:r>
            </w:sdtContent>
          </w:sdt>
          <w:r>
            <w:tab/>
          </w:r>
          <w:r>
            <w:t>3</w:t>
          </w:r>
          <w:r>
            <w:fldChar w:fldCharType="end"/>
          </w:r>
        </w:p>
        <w:p>
          <w:pPr>
            <w:pStyle w:val="9"/>
            <w:tabs>
              <w:tab w:val="right" w:leader="dot" w:pos="8306"/>
            </w:tabs>
          </w:pPr>
          <w:r>
            <w:fldChar w:fldCharType="begin"/>
          </w:r>
          <w:r>
            <w:instrText xml:space="preserve"> HYPERLINK \l _Toc2879 </w:instrText>
          </w:r>
          <w:r>
            <w:fldChar w:fldCharType="separate"/>
          </w:r>
          <w:sdt>
            <w:sdtPr>
              <w:rPr>
                <w:rFonts w:hint="eastAsia" w:ascii="SimSun" w:hAnsi="SimSun" w:eastAsia="SimSun" w:cs="SimSun"/>
                <w:b/>
                <w:kern w:val="44"/>
                <w:sz w:val="48"/>
                <w:szCs w:val="48"/>
                <w:lang w:val="en-US" w:eastAsia="zh-CN" w:bidi="ar"/>
              </w:rPr>
              <w:id w:val="147472929"/>
              <w:placeholder>
                <w:docPart w:val="{1abaf638-2112-4010-8c95-fb944b1db6b3}"/>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1.0 introduction</w:t>
              </w:r>
            </w:sdtContent>
          </w:sdt>
          <w:r>
            <w:tab/>
          </w:r>
          <w:r>
            <w:t>3</w:t>
          </w:r>
          <w:r>
            <w:fldChar w:fldCharType="end"/>
          </w:r>
        </w:p>
        <w:p>
          <w:pPr>
            <w:pStyle w:val="10"/>
            <w:tabs>
              <w:tab w:val="right" w:leader="dot" w:pos="8306"/>
            </w:tabs>
          </w:pPr>
          <w:r>
            <w:fldChar w:fldCharType="begin"/>
          </w:r>
          <w:r>
            <w:instrText xml:space="preserve"> HYPERLINK \l _Toc3658 </w:instrText>
          </w:r>
          <w:r>
            <w:fldChar w:fldCharType="separate"/>
          </w:r>
          <w:sdt>
            <w:sdtPr>
              <w:rPr>
                <w:rFonts w:hint="eastAsia" w:ascii="SimSun" w:hAnsi="SimSun" w:eastAsia="SimSun" w:cs="SimSun"/>
                <w:b/>
                <w:kern w:val="44"/>
                <w:sz w:val="48"/>
                <w:szCs w:val="48"/>
                <w:lang w:val="en-US" w:eastAsia="zh-CN" w:bidi="ar"/>
              </w:rPr>
              <w:id w:val="147472929"/>
              <w:placeholder>
                <w:docPart w:val="{a9ec8080-4888-4f1c-8bcf-e236992452dc}"/>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1.1 report remit</w:t>
              </w:r>
            </w:sdtContent>
          </w:sdt>
          <w:r>
            <w:tab/>
          </w:r>
          <w:r>
            <w:t>3</w:t>
          </w:r>
          <w:r>
            <w:fldChar w:fldCharType="end"/>
          </w:r>
        </w:p>
        <w:p>
          <w:pPr>
            <w:pStyle w:val="10"/>
            <w:tabs>
              <w:tab w:val="right" w:leader="dot" w:pos="8306"/>
            </w:tabs>
          </w:pPr>
          <w:r>
            <w:fldChar w:fldCharType="begin"/>
          </w:r>
          <w:r>
            <w:instrText xml:space="preserve"> HYPERLINK \l _Toc2959 </w:instrText>
          </w:r>
          <w:r>
            <w:fldChar w:fldCharType="separate"/>
          </w:r>
          <w:sdt>
            <w:sdtPr>
              <w:rPr>
                <w:rFonts w:hint="eastAsia" w:ascii="SimSun" w:hAnsi="SimSun" w:eastAsia="SimSun" w:cs="SimSun"/>
                <w:b/>
                <w:kern w:val="44"/>
                <w:sz w:val="48"/>
                <w:szCs w:val="48"/>
                <w:lang w:val="en-US" w:eastAsia="zh-CN" w:bidi="ar"/>
              </w:rPr>
              <w:id w:val="147472929"/>
              <w:placeholder>
                <w:docPart w:val="{317497fe-a598-43d0-b661-1e96cfcfce89}"/>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1.2 background of Jordan</w:t>
              </w:r>
            </w:sdtContent>
          </w:sdt>
          <w:r>
            <w:tab/>
          </w:r>
          <w:r>
            <w:t>3</w:t>
          </w:r>
          <w:r>
            <w:fldChar w:fldCharType="end"/>
          </w:r>
        </w:p>
        <w:p>
          <w:pPr>
            <w:pStyle w:val="10"/>
            <w:tabs>
              <w:tab w:val="right" w:leader="dot" w:pos="8306"/>
            </w:tabs>
          </w:pPr>
          <w:r>
            <w:fldChar w:fldCharType="begin"/>
          </w:r>
          <w:r>
            <w:instrText xml:space="preserve"> HYPERLINK \l _Toc19649 </w:instrText>
          </w:r>
          <w:r>
            <w:fldChar w:fldCharType="separate"/>
          </w:r>
          <w:sdt>
            <w:sdtPr>
              <w:rPr>
                <w:rFonts w:hint="eastAsia" w:ascii="SimSun" w:hAnsi="SimSun" w:eastAsia="SimSun" w:cs="SimSun"/>
                <w:b/>
                <w:kern w:val="44"/>
                <w:sz w:val="48"/>
                <w:szCs w:val="48"/>
                <w:lang w:val="en-US" w:eastAsia="zh-CN" w:bidi="ar"/>
              </w:rPr>
              <w:id w:val="147472929"/>
              <w:placeholder>
                <w:docPart w:val="{473d282f-b0a0-4ef5-9877-db6263b5563a}"/>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1.3 Theoretical review</w:t>
              </w:r>
            </w:sdtContent>
          </w:sdt>
          <w:r>
            <w:tab/>
          </w:r>
          <w:r>
            <w:t>3</w:t>
          </w:r>
          <w:r>
            <w:fldChar w:fldCharType="end"/>
          </w:r>
        </w:p>
        <w:p>
          <w:pPr>
            <w:pStyle w:val="11"/>
            <w:tabs>
              <w:tab w:val="right" w:leader="dot" w:pos="8306"/>
            </w:tabs>
          </w:pPr>
          <w:r>
            <w:fldChar w:fldCharType="begin"/>
          </w:r>
          <w:r>
            <w:instrText xml:space="preserve"> HYPERLINK \l _Toc14746 </w:instrText>
          </w:r>
          <w:r>
            <w:fldChar w:fldCharType="separate"/>
          </w:r>
          <w:sdt>
            <w:sdtPr>
              <w:rPr>
                <w:rFonts w:hint="eastAsia" w:ascii="SimSun" w:hAnsi="SimSun" w:eastAsia="SimSun" w:cs="SimSun"/>
                <w:b/>
                <w:kern w:val="44"/>
                <w:sz w:val="48"/>
                <w:szCs w:val="48"/>
                <w:lang w:val="en-US" w:eastAsia="zh-CN" w:bidi="ar"/>
              </w:rPr>
              <w:id w:val="147472929"/>
              <w:placeholder>
                <w:docPart w:val="{4dd52bf4-f572-4ebd-8057-c93f44f5df86}"/>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1.3.1 High and low context culture</w:t>
              </w:r>
            </w:sdtContent>
          </w:sdt>
          <w:r>
            <w:tab/>
          </w:r>
          <w:r>
            <w:t>3</w:t>
          </w:r>
          <w:r>
            <w:fldChar w:fldCharType="end"/>
          </w:r>
        </w:p>
        <w:p>
          <w:pPr>
            <w:pStyle w:val="11"/>
            <w:tabs>
              <w:tab w:val="right" w:leader="dot" w:pos="8306"/>
            </w:tabs>
          </w:pPr>
          <w:r>
            <w:fldChar w:fldCharType="begin"/>
          </w:r>
          <w:r>
            <w:instrText xml:space="preserve"> HYPERLINK \l _Toc3951 </w:instrText>
          </w:r>
          <w:r>
            <w:fldChar w:fldCharType="separate"/>
          </w:r>
          <w:sdt>
            <w:sdtPr>
              <w:rPr>
                <w:rFonts w:hint="eastAsia" w:ascii="SimSun" w:hAnsi="SimSun" w:eastAsia="SimSun" w:cs="SimSun"/>
                <w:b/>
                <w:kern w:val="44"/>
                <w:sz w:val="48"/>
                <w:szCs w:val="48"/>
                <w:lang w:val="en-US" w:eastAsia="zh-CN" w:bidi="ar"/>
              </w:rPr>
              <w:id w:val="147472929"/>
              <w:placeholder>
                <w:docPart w:val="{96c1c394-9906-4b05-bdfa-be3bd95799a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1.3.2 National culture</w:t>
              </w:r>
            </w:sdtContent>
          </w:sdt>
          <w:r>
            <w:tab/>
          </w:r>
          <w:r>
            <w:t>4</w:t>
          </w:r>
          <w:r>
            <w:fldChar w:fldCharType="end"/>
          </w:r>
        </w:p>
        <w:p>
          <w:pPr>
            <w:pStyle w:val="9"/>
            <w:tabs>
              <w:tab w:val="right" w:leader="dot" w:pos="8306"/>
            </w:tabs>
          </w:pPr>
          <w:r>
            <w:fldChar w:fldCharType="begin"/>
          </w:r>
          <w:r>
            <w:instrText xml:space="preserve"> HYPERLINK \l _Toc28605 </w:instrText>
          </w:r>
          <w:r>
            <w:fldChar w:fldCharType="separate"/>
          </w:r>
          <w:sdt>
            <w:sdtPr>
              <w:rPr>
                <w:rFonts w:hint="eastAsia" w:ascii="SimSun" w:hAnsi="SimSun" w:eastAsia="SimSun" w:cs="SimSun"/>
                <w:b/>
                <w:kern w:val="44"/>
                <w:sz w:val="48"/>
                <w:szCs w:val="48"/>
                <w:lang w:val="en-US" w:eastAsia="zh-CN" w:bidi="ar"/>
              </w:rPr>
              <w:id w:val="147472929"/>
              <w:placeholder>
                <w:docPart w:val="{3e00aef9-5931-4edb-b43f-86c322fdae24}"/>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2.0 main body</w:t>
              </w:r>
            </w:sdtContent>
          </w:sdt>
          <w:r>
            <w:tab/>
          </w:r>
          <w:r>
            <w:t>5</w:t>
          </w:r>
          <w:r>
            <w:fldChar w:fldCharType="end"/>
          </w:r>
        </w:p>
        <w:p>
          <w:pPr>
            <w:pStyle w:val="10"/>
            <w:tabs>
              <w:tab w:val="right" w:leader="dot" w:pos="8306"/>
            </w:tabs>
          </w:pPr>
          <w:r>
            <w:fldChar w:fldCharType="begin"/>
          </w:r>
          <w:r>
            <w:instrText xml:space="preserve"> HYPERLINK \l _Toc17565 </w:instrText>
          </w:r>
          <w:r>
            <w:fldChar w:fldCharType="separate"/>
          </w:r>
          <w:sdt>
            <w:sdtPr>
              <w:rPr>
                <w:rFonts w:hint="eastAsia" w:ascii="SimSun" w:hAnsi="SimSun" w:eastAsia="SimSun" w:cs="SimSun"/>
                <w:b/>
                <w:kern w:val="44"/>
                <w:sz w:val="48"/>
                <w:szCs w:val="48"/>
                <w:lang w:val="en-US" w:eastAsia="zh-CN" w:bidi="ar"/>
              </w:rPr>
              <w:id w:val="147472929"/>
              <w:placeholder>
                <w:docPart w:val="{4c4a202d-3c78-46d6-9e2e-3914791e37d7}"/>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2.1 Comparison between Jordanian and British Cultures</w:t>
              </w:r>
            </w:sdtContent>
          </w:sdt>
          <w:r>
            <w:tab/>
          </w:r>
          <w:r>
            <w:t>5</w:t>
          </w:r>
          <w:r>
            <w:fldChar w:fldCharType="end"/>
          </w:r>
        </w:p>
        <w:p>
          <w:pPr>
            <w:pStyle w:val="11"/>
            <w:tabs>
              <w:tab w:val="right" w:leader="dot" w:pos="8306"/>
            </w:tabs>
          </w:pPr>
          <w:r>
            <w:fldChar w:fldCharType="begin"/>
          </w:r>
          <w:r>
            <w:instrText xml:space="preserve"> HYPERLINK \l _Toc21268 </w:instrText>
          </w:r>
          <w:r>
            <w:fldChar w:fldCharType="separate"/>
          </w:r>
          <w:sdt>
            <w:sdtPr>
              <w:rPr>
                <w:rFonts w:hint="eastAsia" w:ascii="SimSun" w:hAnsi="SimSun" w:eastAsia="SimSun" w:cs="SimSun"/>
                <w:b/>
                <w:kern w:val="44"/>
                <w:sz w:val="48"/>
                <w:szCs w:val="48"/>
                <w:lang w:val="en-US" w:eastAsia="zh-CN" w:bidi="ar"/>
              </w:rPr>
              <w:id w:val="147472929"/>
              <w:placeholder>
                <w:docPart w:val="{6e67f3f2-9161-4507-b75f-2c67edbe0e4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2.1.1 Power distance</w:t>
              </w:r>
            </w:sdtContent>
          </w:sdt>
          <w:r>
            <w:tab/>
          </w:r>
          <w:r>
            <w:t>5</w:t>
          </w:r>
          <w:r>
            <w:fldChar w:fldCharType="end"/>
          </w:r>
        </w:p>
        <w:p>
          <w:pPr>
            <w:pStyle w:val="11"/>
            <w:tabs>
              <w:tab w:val="right" w:leader="dot" w:pos="8306"/>
            </w:tabs>
          </w:pPr>
          <w:r>
            <w:fldChar w:fldCharType="begin"/>
          </w:r>
          <w:r>
            <w:instrText xml:space="preserve"> HYPERLINK \l _Toc29983 </w:instrText>
          </w:r>
          <w:r>
            <w:fldChar w:fldCharType="separate"/>
          </w:r>
          <w:sdt>
            <w:sdtPr>
              <w:rPr>
                <w:rFonts w:hint="eastAsia" w:ascii="SimSun" w:hAnsi="SimSun" w:eastAsia="SimSun" w:cs="SimSun"/>
                <w:b/>
                <w:kern w:val="44"/>
                <w:sz w:val="48"/>
                <w:szCs w:val="48"/>
                <w:lang w:val="en-US" w:eastAsia="zh-CN" w:bidi="ar"/>
              </w:rPr>
              <w:id w:val="147472929"/>
              <w:placeholder>
                <w:docPart w:val="{e55640f6-62e5-495f-9cc4-f01f3829cdae}"/>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2.1.2 Individualism</w:t>
              </w:r>
            </w:sdtContent>
          </w:sdt>
          <w:r>
            <w:tab/>
          </w:r>
          <w:r>
            <w:t>6</w:t>
          </w:r>
          <w:r>
            <w:fldChar w:fldCharType="end"/>
          </w:r>
        </w:p>
        <w:p>
          <w:pPr>
            <w:pStyle w:val="11"/>
            <w:tabs>
              <w:tab w:val="right" w:leader="dot" w:pos="8306"/>
            </w:tabs>
          </w:pPr>
          <w:r>
            <w:fldChar w:fldCharType="begin"/>
          </w:r>
          <w:r>
            <w:instrText xml:space="preserve"> HYPERLINK \l _Toc2205 </w:instrText>
          </w:r>
          <w:r>
            <w:fldChar w:fldCharType="separate"/>
          </w:r>
          <w:sdt>
            <w:sdtPr>
              <w:rPr>
                <w:rFonts w:hint="eastAsia" w:ascii="SimSun" w:hAnsi="SimSun" w:eastAsia="SimSun" w:cs="SimSun"/>
                <w:b/>
                <w:kern w:val="44"/>
                <w:sz w:val="48"/>
                <w:szCs w:val="48"/>
                <w:lang w:val="en-US" w:eastAsia="zh-CN" w:bidi="ar"/>
              </w:rPr>
              <w:id w:val="147472929"/>
              <w:placeholder>
                <w:docPart w:val="{7229a6e2-33eb-4bdb-a72f-9aa569413f75}"/>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2.1.3 Masculinity</w:t>
              </w:r>
            </w:sdtContent>
          </w:sdt>
          <w:r>
            <w:tab/>
          </w:r>
          <w:r>
            <w:t>6</w:t>
          </w:r>
          <w:r>
            <w:fldChar w:fldCharType="end"/>
          </w:r>
        </w:p>
        <w:p>
          <w:pPr>
            <w:pStyle w:val="11"/>
            <w:tabs>
              <w:tab w:val="right" w:leader="dot" w:pos="8306"/>
            </w:tabs>
          </w:pPr>
          <w:r>
            <w:fldChar w:fldCharType="begin"/>
          </w:r>
          <w:r>
            <w:instrText xml:space="preserve"> HYPERLINK \l _Toc31600 </w:instrText>
          </w:r>
          <w:r>
            <w:fldChar w:fldCharType="separate"/>
          </w:r>
          <w:sdt>
            <w:sdtPr>
              <w:rPr>
                <w:rFonts w:hint="eastAsia" w:ascii="SimSun" w:hAnsi="SimSun" w:eastAsia="SimSun" w:cs="SimSun"/>
                <w:b/>
                <w:kern w:val="44"/>
                <w:sz w:val="48"/>
                <w:szCs w:val="48"/>
                <w:lang w:val="en-US" w:eastAsia="zh-CN" w:bidi="ar"/>
              </w:rPr>
              <w:id w:val="147472929"/>
              <w:placeholder>
                <w:docPart w:val="{e6ea43ed-2c89-498f-ac12-7be326f65447}"/>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2.1.4</w:t>
              </w:r>
              <w:r>
                <w:rPr>
                  <w:rFonts w:hint="default" w:ascii="SimSun" w:hAnsi="SimSun" w:eastAsia="SimSun" w:cs="SimSun"/>
                </w:rPr>
                <w:t>UNCERTAINTY AVOIDANCE</w:t>
              </w:r>
            </w:sdtContent>
          </w:sdt>
          <w:r>
            <w:tab/>
          </w:r>
          <w:r>
            <w:t>7</w:t>
          </w:r>
          <w:r>
            <w:fldChar w:fldCharType="end"/>
          </w:r>
        </w:p>
        <w:p>
          <w:pPr>
            <w:pStyle w:val="11"/>
            <w:tabs>
              <w:tab w:val="right" w:leader="dot" w:pos="8306"/>
            </w:tabs>
          </w:pPr>
          <w:r>
            <w:fldChar w:fldCharType="begin"/>
          </w:r>
          <w:r>
            <w:instrText xml:space="preserve"> HYPERLINK \l _Toc3200 </w:instrText>
          </w:r>
          <w:r>
            <w:fldChar w:fldCharType="separate"/>
          </w:r>
          <w:sdt>
            <w:sdtPr>
              <w:rPr>
                <w:rFonts w:hint="eastAsia" w:ascii="SimSun" w:hAnsi="SimSun" w:eastAsia="SimSun" w:cs="SimSun"/>
                <w:b/>
                <w:kern w:val="44"/>
                <w:sz w:val="48"/>
                <w:szCs w:val="48"/>
                <w:lang w:val="en-US" w:eastAsia="zh-CN" w:bidi="ar"/>
              </w:rPr>
              <w:id w:val="147472929"/>
              <w:placeholder>
                <w:docPart w:val="{1b325802-c83c-4e62-84a2-d0a3f68941fa}"/>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2.1.5</w:t>
              </w:r>
              <w:r>
                <w:rPr>
                  <w:rFonts w:hint="default" w:ascii="SimSun" w:hAnsi="SimSun" w:eastAsia="SimSun" w:cs="SimSun"/>
                </w:rPr>
                <w:t>LONG TERM ORIENTATION</w:t>
              </w:r>
            </w:sdtContent>
          </w:sdt>
          <w:r>
            <w:tab/>
          </w:r>
          <w:r>
            <w:t>7</w:t>
          </w:r>
          <w:r>
            <w:fldChar w:fldCharType="end"/>
          </w:r>
        </w:p>
        <w:p>
          <w:pPr>
            <w:pStyle w:val="11"/>
            <w:tabs>
              <w:tab w:val="right" w:leader="dot" w:pos="8306"/>
            </w:tabs>
          </w:pPr>
          <w:r>
            <w:fldChar w:fldCharType="begin"/>
          </w:r>
          <w:r>
            <w:instrText xml:space="preserve"> HYPERLINK \l _Toc2155 </w:instrText>
          </w:r>
          <w:r>
            <w:fldChar w:fldCharType="separate"/>
          </w:r>
          <w:sdt>
            <w:sdtPr>
              <w:rPr>
                <w:rFonts w:hint="eastAsia" w:ascii="SimSun" w:hAnsi="SimSun" w:eastAsia="SimSun" w:cs="SimSun"/>
                <w:b/>
                <w:kern w:val="44"/>
                <w:sz w:val="48"/>
                <w:szCs w:val="48"/>
                <w:lang w:val="en-US" w:eastAsia="zh-CN" w:bidi="ar"/>
              </w:rPr>
              <w:id w:val="147472929"/>
              <w:placeholder>
                <w:docPart w:val="{ebf513f9-ba3d-423d-b223-963d44e059f6}"/>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 xml:space="preserve">2.1.6 </w:t>
              </w:r>
              <w:r>
                <w:rPr>
                  <w:rFonts w:hint="default" w:ascii="SimSun" w:hAnsi="SimSun" w:eastAsia="SimSun" w:cs="SimSun"/>
                </w:rPr>
                <w:t>INDULGENCE</w:t>
              </w:r>
            </w:sdtContent>
          </w:sdt>
          <w:r>
            <w:tab/>
          </w:r>
          <w:r>
            <w:t>8</w:t>
          </w:r>
          <w:r>
            <w:fldChar w:fldCharType="end"/>
          </w:r>
        </w:p>
        <w:p>
          <w:pPr>
            <w:pStyle w:val="10"/>
            <w:tabs>
              <w:tab w:val="right" w:leader="dot" w:pos="8306"/>
            </w:tabs>
          </w:pPr>
          <w:r>
            <w:fldChar w:fldCharType="begin"/>
          </w:r>
          <w:r>
            <w:instrText xml:space="preserve"> HYPERLINK \l _Toc1097 </w:instrText>
          </w:r>
          <w:r>
            <w:fldChar w:fldCharType="separate"/>
          </w:r>
          <w:sdt>
            <w:sdtPr>
              <w:rPr>
                <w:rFonts w:hint="eastAsia" w:ascii="SimSun" w:hAnsi="SimSun" w:eastAsia="SimSun" w:cs="SimSun"/>
                <w:b/>
                <w:kern w:val="44"/>
                <w:sz w:val="48"/>
                <w:szCs w:val="48"/>
                <w:lang w:val="en-US" w:eastAsia="zh-CN" w:bidi="ar"/>
              </w:rPr>
              <w:id w:val="147472929"/>
              <w:placeholder>
                <w:docPart w:val="{20aabd5c-c8d1-4e9c-9733-41158859971a}"/>
              </w:placeholder>
            </w:sdtPr>
            <w:sdtEndPr>
              <w:rPr>
                <w:rFonts w:hint="eastAsia" w:ascii="SimSun" w:hAnsi="SimSun" w:eastAsia="SimSun" w:cs="SimSun"/>
                <w:b/>
                <w:kern w:val="44"/>
                <w:sz w:val="48"/>
                <w:szCs w:val="48"/>
                <w:lang w:val="en-US" w:eastAsia="zh-CN" w:bidi="ar"/>
              </w:rPr>
            </w:sdtEndPr>
            <w:sdtContent>
              <w:r>
                <w:rPr>
                  <w:rFonts w:hint="eastAsia" w:ascii="Arial" w:hAnsi="Arial" w:eastAsia="SimHei" w:cstheme="minorBidi"/>
                </w:rPr>
                <w:t>2.2 Other factors that should be paid attention to in business communication</w:t>
              </w:r>
            </w:sdtContent>
          </w:sdt>
          <w:r>
            <w:tab/>
          </w:r>
          <w:r>
            <w:t>8</w:t>
          </w:r>
          <w:r>
            <w:fldChar w:fldCharType="end"/>
          </w:r>
        </w:p>
        <w:p>
          <w:pPr>
            <w:pStyle w:val="11"/>
            <w:tabs>
              <w:tab w:val="right" w:leader="dot" w:pos="8306"/>
            </w:tabs>
          </w:pPr>
          <w:r>
            <w:fldChar w:fldCharType="begin"/>
          </w:r>
          <w:r>
            <w:instrText xml:space="preserve"> HYPERLINK \l _Toc2813 </w:instrText>
          </w:r>
          <w:r>
            <w:fldChar w:fldCharType="separate"/>
          </w:r>
          <w:sdt>
            <w:sdtPr>
              <w:rPr>
                <w:rFonts w:hint="eastAsia" w:ascii="SimSun" w:hAnsi="SimSun" w:eastAsia="SimSun" w:cs="SimSun"/>
                <w:b/>
                <w:kern w:val="44"/>
                <w:sz w:val="48"/>
                <w:szCs w:val="48"/>
                <w:lang w:val="en-US" w:eastAsia="zh-CN" w:bidi="ar"/>
              </w:rPr>
              <w:id w:val="147472929"/>
              <w:placeholder>
                <w:docPart w:val="{cd9c04f3-5470-41fc-a07c-d19f5482dc1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2.2.1 Religion</w:t>
              </w:r>
            </w:sdtContent>
          </w:sdt>
          <w:r>
            <w:tab/>
          </w:r>
          <w:r>
            <w:t>8</w:t>
          </w:r>
          <w:r>
            <w:fldChar w:fldCharType="end"/>
          </w:r>
        </w:p>
        <w:p>
          <w:pPr>
            <w:pStyle w:val="11"/>
            <w:tabs>
              <w:tab w:val="right" w:leader="dot" w:pos="8306"/>
            </w:tabs>
          </w:pPr>
          <w:r>
            <w:fldChar w:fldCharType="begin"/>
          </w:r>
          <w:r>
            <w:instrText xml:space="preserve"> HYPERLINK \l _Toc27750 </w:instrText>
          </w:r>
          <w:r>
            <w:fldChar w:fldCharType="separate"/>
          </w:r>
          <w:sdt>
            <w:sdtPr>
              <w:rPr>
                <w:rFonts w:hint="eastAsia" w:ascii="SimSun" w:hAnsi="SimSun" w:eastAsia="SimSun" w:cs="SimSun"/>
                <w:b/>
                <w:kern w:val="44"/>
                <w:sz w:val="48"/>
                <w:szCs w:val="48"/>
                <w:lang w:val="en-US" w:eastAsia="zh-CN" w:bidi="ar"/>
              </w:rPr>
              <w:id w:val="147472929"/>
              <w:placeholder>
                <w:docPart w:val="{54e17c2b-33a1-4d8f-b287-60ae31e75e01}"/>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2.2.2 Social etiquette</w:t>
              </w:r>
            </w:sdtContent>
          </w:sdt>
          <w:r>
            <w:tab/>
          </w:r>
          <w:r>
            <w:t>9</w:t>
          </w:r>
          <w:r>
            <w:fldChar w:fldCharType="end"/>
          </w:r>
        </w:p>
        <w:p>
          <w:pPr>
            <w:pStyle w:val="9"/>
            <w:tabs>
              <w:tab w:val="right" w:leader="dot" w:pos="8306"/>
            </w:tabs>
          </w:pPr>
          <w:r>
            <w:fldChar w:fldCharType="begin"/>
          </w:r>
          <w:r>
            <w:instrText xml:space="preserve"> HYPERLINK \l _Toc31308 </w:instrText>
          </w:r>
          <w:r>
            <w:fldChar w:fldCharType="separate"/>
          </w:r>
          <w:sdt>
            <w:sdtPr>
              <w:rPr>
                <w:rFonts w:hint="eastAsia" w:ascii="SimSun" w:hAnsi="SimSun" w:eastAsia="SimSun" w:cs="SimSun"/>
                <w:b/>
                <w:kern w:val="44"/>
                <w:sz w:val="48"/>
                <w:szCs w:val="48"/>
                <w:lang w:val="en-US" w:eastAsia="zh-CN" w:bidi="ar"/>
              </w:rPr>
              <w:id w:val="147472929"/>
              <w:placeholder>
                <w:docPart w:val="{0ec99d7c-abbe-469a-858b-bd2522016a08}"/>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3.0 Conclusion</w:t>
              </w:r>
            </w:sdtContent>
          </w:sdt>
          <w:r>
            <w:tab/>
          </w:r>
          <w:r>
            <w:t>10</w:t>
          </w:r>
          <w:r>
            <w:fldChar w:fldCharType="end"/>
          </w:r>
        </w:p>
        <w:p>
          <w:pPr>
            <w:pStyle w:val="9"/>
            <w:tabs>
              <w:tab w:val="right" w:leader="dot" w:pos="8306"/>
            </w:tabs>
          </w:pPr>
          <w:r>
            <w:fldChar w:fldCharType="begin"/>
          </w:r>
          <w:r>
            <w:instrText xml:space="preserve"> HYPERLINK \l _Toc16936 </w:instrText>
          </w:r>
          <w:r>
            <w:fldChar w:fldCharType="separate"/>
          </w:r>
          <w:sdt>
            <w:sdtPr>
              <w:rPr>
                <w:rFonts w:hint="eastAsia" w:ascii="SimSun" w:hAnsi="SimSun" w:eastAsia="SimSun" w:cs="SimSun"/>
                <w:b/>
                <w:kern w:val="44"/>
                <w:sz w:val="48"/>
                <w:szCs w:val="48"/>
                <w:lang w:val="en-US" w:eastAsia="zh-CN" w:bidi="ar"/>
              </w:rPr>
              <w:id w:val="147472929"/>
              <w:placeholder>
                <w:docPart w:val="{bdd845e9-a6ef-4854-a6ef-b676792597da}"/>
              </w:placeholder>
            </w:sdtPr>
            <w:sdtEndPr>
              <w:rPr>
                <w:rFonts w:hint="eastAsia" w:ascii="SimSun" w:hAnsi="SimSun" w:eastAsia="SimSun" w:cs="SimSun"/>
                <w:b/>
                <w:kern w:val="44"/>
                <w:sz w:val="48"/>
                <w:szCs w:val="48"/>
                <w:lang w:val="en-US" w:eastAsia="zh-CN" w:bidi="ar"/>
              </w:rPr>
            </w:sdtEndPr>
            <w:sdtContent>
              <w:r>
                <w:rPr>
                  <w:rFonts w:hint="eastAsia" w:ascii="SimSun" w:hAnsi="SimSun" w:eastAsia="SimSun" w:cs="SimSun"/>
                </w:rPr>
                <w:t>Reference</w:t>
              </w:r>
            </w:sdtContent>
          </w:sdt>
          <w:r>
            <w:tab/>
          </w:r>
          <w:r>
            <w:t>10</w:t>
          </w:r>
          <w:r>
            <w:fldChar w:fldCharType="end"/>
          </w:r>
        </w:p>
      </w:sdtContent>
    </w:sdt>
    <w:p>
      <w:pPr>
        <w:pStyle w:val="2"/>
        <w:rPr>
          <w:rFonts w:hint="eastAsia"/>
          <w:lang w:val="en-US" w:eastAsia="zh-CN"/>
        </w:rPr>
      </w:pPr>
    </w:p>
    <w:p>
      <w:pPr>
        <w:pStyle w:val="2"/>
        <w:rPr>
          <w:rFonts w:hint="eastAsia"/>
          <w:lang w:val="en-US" w:eastAsia="zh-CN"/>
        </w:rPr>
      </w:pPr>
      <w:bookmarkStart w:id="0" w:name="_Toc21677"/>
      <w:r>
        <w:rPr>
          <w:rFonts w:hint="eastAsia"/>
          <w:lang w:val="en-US" w:eastAsia="zh-CN"/>
        </w:rPr>
        <w:t>Executive summary</w:t>
      </w:r>
      <w:bookmarkEnd w:id="0"/>
    </w:p>
    <w:p>
      <w:pPr>
        <w:rPr>
          <w:rFonts w:hint="eastAsia"/>
          <w:lang w:val="en-US" w:eastAsia="zh-CN"/>
        </w:rPr>
      </w:pPr>
      <w:r>
        <w:rPr>
          <w:rFonts w:hint="eastAsia"/>
          <w:lang w:val="en-US" w:eastAsia="zh-CN"/>
        </w:rPr>
        <w:t>With the rapid development of the global economy, cross - cultural and cross - cultural business exchanges are more frequent. Cultural differences between different countries bring obstacles to each other's communication. So it is very important to pay attention to these cultural differences and to respect them in business communication.</w:t>
      </w:r>
    </w:p>
    <w:p>
      <w:pPr>
        <w:rPr>
          <w:rFonts w:hint="eastAsia"/>
          <w:lang w:val="en-US" w:eastAsia="zh-CN"/>
        </w:rPr>
      </w:pPr>
      <w:r>
        <w:rPr>
          <w:rFonts w:hint="eastAsia"/>
          <w:lang w:val="en-US" w:eastAsia="zh-CN"/>
        </w:rPr>
        <w:t xml:space="preserve">This paper mainly analyzes the cultural differences between Britain and Jordan and analyzes the possible effects of these differences. The cultural differences between the two countries are analyzed mainly through the theory of high and low context and the theory of </w:t>
      </w:r>
      <w:r>
        <w:rPr>
          <w:rFonts w:hint="default"/>
        </w:rPr>
        <w:t>Hofstede</w:t>
      </w:r>
      <w:r>
        <w:rPr>
          <w:rFonts w:hint="eastAsia"/>
          <w:lang w:val="en-US" w:eastAsia="zh-CN"/>
        </w:rPr>
        <w:t xml:space="preserve"> multi-dimensional cultural analysis, and the results are presented to the readers.</w:t>
      </w:r>
    </w:p>
    <w:p>
      <w:pPr>
        <w:pStyle w:val="2"/>
        <w:rPr>
          <w:rFonts w:hint="eastAsia"/>
          <w:lang w:val="en-US" w:eastAsia="zh-CN"/>
        </w:rPr>
      </w:pPr>
      <w:bookmarkStart w:id="1" w:name="_Toc2879"/>
      <w:r>
        <w:rPr>
          <w:rFonts w:hint="eastAsia"/>
          <w:lang w:val="en-US" w:eastAsia="zh-CN"/>
        </w:rPr>
        <w:t>1.0 introduction</w:t>
      </w:r>
      <w:bookmarkEnd w:id="1"/>
    </w:p>
    <w:p>
      <w:pPr>
        <w:pStyle w:val="3"/>
        <w:rPr>
          <w:rFonts w:hint="eastAsia"/>
          <w:lang w:val="en-US" w:eastAsia="zh-CN"/>
        </w:rPr>
      </w:pPr>
      <w:bookmarkStart w:id="2" w:name="_Toc3658"/>
      <w:r>
        <w:rPr>
          <w:rFonts w:hint="eastAsia"/>
          <w:lang w:val="en-US" w:eastAsia="zh-CN"/>
        </w:rPr>
        <w:t>1.1 report remit</w:t>
      </w:r>
      <w:bookmarkEnd w:id="2"/>
    </w:p>
    <w:p>
      <w:pPr>
        <w:rPr>
          <w:rFonts w:hint="eastAsia"/>
          <w:lang w:val="en-US" w:eastAsia="zh-CN"/>
        </w:rPr>
      </w:pPr>
      <w:r>
        <w:rPr>
          <w:rFonts w:hint="eastAsia"/>
          <w:lang w:val="en-US" w:eastAsia="zh-CN"/>
        </w:rPr>
        <w:t>The main objectives of this report are:</w:t>
      </w:r>
    </w:p>
    <w:p>
      <w:pPr>
        <w:rPr>
          <w:rFonts w:hint="eastAsia"/>
          <w:lang w:val="en-US" w:eastAsia="zh-CN"/>
        </w:rPr>
      </w:pPr>
      <w:r>
        <w:rPr>
          <w:rFonts w:hint="eastAsia"/>
          <w:lang w:val="en-US" w:eastAsia="zh-CN"/>
        </w:rPr>
        <w:t>A detailed comparison of the cultural differences between Britain and Jordan.</w:t>
      </w:r>
    </w:p>
    <w:p>
      <w:pPr>
        <w:rPr>
          <w:rFonts w:hint="eastAsia"/>
          <w:lang w:val="en-US" w:eastAsia="zh-CN"/>
        </w:rPr>
      </w:pPr>
      <w:r>
        <w:rPr>
          <w:rFonts w:hint="eastAsia"/>
          <w:lang w:val="en-US" w:eastAsia="zh-CN"/>
        </w:rPr>
        <w:t>Analyze the factors that British businesses need to pay attention to in their business communication with Jordan.</w:t>
      </w:r>
    </w:p>
    <w:p>
      <w:pPr>
        <w:pStyle w:val="3"/>
        <w:rPr>
          <w:rFonts w:hint="eastAsia"/>
          <w:lang w:val="en-US" w:eastAsia="zh-CN"/>
        </w:rPr>
      </w:pPr>
      <w:bookmarkStart w:id="3" w:name="_Toc2959"/>
      <w:r>
        <w:rPr>
          <w:rFonts w:hint="eastAsia"/>
          <w:lang w:val="en-US" w:eastAsia="zh-CN"/>
        </w:rPr>
        <w:t>1.2 background of Jordan</w:t>
      </w:r>
      <w:bookmarkEnd w:id="3"/>
    </w:p>
    <w:p>
      <w:pPr>
        <w:rPr>
          <w:rFonts w:hint="default"/>
          <w:lang w:val="en-US" w:eastAsia="zh-CN"/>
        </w:rPr>
      </w:pPr>
      <w:r>
        <w:rPr>
          <w:rFonts w:hint="eastAsia"/>
          <w:lang w:val="en-US" w:eastAsia="zh-CN"/>
        </w:rPr>
        <w:t>Jordan is a young state that occupies an ancient land, one that bears the traces of many civilizations. Separated from ancient Palestine by the</w:t>
      </w:r>
      <w:r>
        <w:rPr>
          <w:rFonts w:hint="default"/>
          <w:lang w:val="en-US" w:eastAsia="zh-CN"/>
        </w:rPr>
        <w:t> </w:t>
      </w:r>
      <w:r>
        <w:rPr>
          <w:rFonts w:hint="default"/>
          <w:lang w:val="en-US" w:eastAsia="zh-CN"/>
        </w:rPr>
        <w:fldChar w:fldCharType="begin"/>
      </w:r>
      <w:r>
        <w:rPr>
          <w:rFonts w:hint="default"/>
          <w:lang w:val="en-US" w:eastAsia="zh-CN"/>
        </w:rPr>
        <w:instrText xml:space="preserve"> HYPERLINK "https://www.britannica.com/place/Jordan-River" </w:instrText>
      </w:r>
      <w:r>
        <w:rPr>
          <w:rFonts w:hint="default"/>
          <w:lang w:val="en-US" w:eastAsia="zh-CN"/>
        </w:rPr>
        <w:fldChar w:fldCharType="separate"/>
      </w:r>
      <w:r>
        <w:rPr>
          <w:rFonts w:hint="default"/>
          <w:lang w:val="en-US" w:eastAsia="zh-CN"/>
        </w:rPr>
        <w:t>Jordan River</w:t>
      </w:r>
      <w:r>
        <w:rPr>
          <w:rFonts w:hint="default"/>
          <w:lang w:val="en-US" w:eastAsia="zh-CN"/>
        </w:rPr>
        <w:fldChar w:fldCharType="end"/>
      </w:r>
      <w:r>
        <w:rPr>
          <w:rFonts w:hint="default"/>
          <w:lang w:val="en-US" w:eastAsia="zh-CN"/>
        </w:rPr>
        <w:t>, the region played a prominent role in biblical history. The ancient biblical kingdoms of Moab, </w:t>
      </w:r>
      <w:r>
        <w:rPr>
          <w:rFonts w:hint="default"/>
          <w:lang w:val="en-US" w:eastAsia="zh-CN"/>
        </w:rPr>
        <w:fldChar w:fldCharType="begin"/>
      </w:r>
      <w:r>
        <w:rPr>
          <w:rFonts w:hint="default"/>
          <w:lang w:val="en-US" w:eastAsia="zh-CN"/>
        </w:rPr>
        <w:instrText xml:space="preserve"> HYPERLINK "https://www.britannica.com/place/Gilead-ancient-region-Palestine" </w:instrText>
      </w:r>
      <w:r>
        <w:rPr>
          <w:rFonts w:hint="default"/>
          <w:lang w:val="en-US" w:eastAsia="zh-CN"/>
        </w:rPr>
        <w:fldChar w:fldCharType="separate"/>
      </w:r>
      <w:r>
        <w:rPr>
          <w:rFonts w:hint="default"/>
          <w:lang w:val="en-US" w:eastAsia="zh-CN"/>
        </w:rPr>
        <w:t>Gilead</w:t>
      </w:r>
      <w:r>
        <w:rPr>
          <w:rFonts w:hint="default"/>
          <w:lang w:val="en-US" w:eastAsia="zh-CN"/>
        </w:rPr>
        <w:fldChar w:fldCharType="end"/>
      </w:r>
      <w:r>
        <w:rPr>
          <w:rFonts w:hint="default"/>
          <w:lang w:val="en-US" w:eastAsia="zh-CN"/>
        </w:rPr>
        <w:t>, and </w:t>
      </w:r>
      <w:r>
        <w:rPr>
          <w:rFonts w:hint="default"/>
          <w:lang w:val="en-US" w:eastAsia="zh-CN"/>
        </w:rPr>
        <w:fldChar w:fldCharType="begin"/>
      </w:r>
      <w:r>
        <w:rPr>
          <w:rFonts w:hint="default"/>
          <w:lang w:val="en-US" w:eastAsia="zh-CN"/>
        </w:rPr>
        <w:instrText xml:space="preserve"> HYPERLINK "https://www.britannica.com/place/Edom" </w:instrText>
      </w:r>
      <w:r>
        <w:rPr>
          <w:rFonts w:hint="default"/>
          <w:lang w:val="en-US" w:eastAsia="zh-CN"/>
        </w:rPr>
        <w:fldChar w:fldCharType="separate"/>
      </w:r>
      <w:r>
        <w:rPr>
          <w:rFonts w:hint="default"/>
          <w:lang w:val="en-US" w:eastAsia="zh-CN"/>
        </w:rPr>
        <w:t>Edom</w:t>
      </w:r>
      <w:r>
        <w:rPr>
          <w:rFonts w:hint="default"/>
          <w:lang w:val="en-US" w:eastAsia="zh-CN"/>
        </w:rPr>
        <w:fldChar w:fldCharType="end"/>
      </w:r>
      <w:r>
        <w:rPr>
          <w:rFonts w:hint="default"/>
          <w:lang w:val="en-US" w:eastAsia="zh-CN"/>
        </w:rPr>
        <w:t> lie within its borders, as does the famed red stone city of </w:t>
      </w:r>
      <w:r>
        <w:rPr>
          <w:rFonts w:hint="default"/>
          <w:lang w:val="en-US" w:eastAsia="zh-CN"/>
        </w:rPr>
        <w:fldChar w:fldCharType="begin"/>
      </w:r>
      <w:r>
        <w:rPr>
          <w:rFonts w:hint="default"/>
          <w:lang w:val="en-US" w:eastAsia="zh-CN"/>
        </w:rPr>
        <w:instrText xml:space="preserve"> HYPERLINK "https://www.britannica.com/place/Petra-ancient-city-Jordan" </w:instrText>
      </w:r>
      <w:r>
        <w:rPr>
          <w:rFonts w:hint="default"/>
          <w:lang w:val="en-US" w:eastAsia="zh-CN"/>
        </w:rPr>
        <w:fldChar w:fldCharType="separate"/>
      </w:r>
      <w:r>
        <w:rPr>
          <w:rFonts w:hint="default"/>
          <w:lang w:val="en-US" w:eastAsia="zh-CN"/>
        </w:rPr>
        <w:t>Petra</w:t>
      </w:r>
      <w:r>
        <w:rPr>
          <w:rFonts w:hint="default"/>
          <w:lang w:val="en-US" w:eastAsia="zh-CN"/>
        </w:rPr>
        <w:fldChar w:fldCharType="end"/>
      </w:r>
      <w:r>
        <w:rPr>
          <w:rFonts w:hint="default"/>
          <w:lang w:val="en-US" w:eastAsia="zh-CN"/>
        </w:rPr>
        <w:t>, the capital of the Nabatean kingdom and of the Roman province of Arabia Petraea. British traveler Gertrude Bell said of Petra, “It is like a fairy tale city, all pink and wonderful.” Part of the </w:t>
      </w:r>
      <w:r>
        <w:rPr>
          <w:rFonts w:hint="default"/>
          <w:lang w:val="en-US" w:eastAsia="zh-CN"/>
        </w:rPr>
        <w:fldChar w:fldCharType="begin"/>
      </w:r>
      <w:r>
        <w:rPr>
          <w:rFonts w:hint="default"/>
          <w:lang w:val="en-US" w:eastAsia="zh-CN"/>
        </w:rPr>
        <w:instrText xml:space="preserve"> HYPERLINK "https://www.britannica.com/place/Ottoman-Empire" </w:instrText>
      </w:r>
      <w:r>
        <w:rPr>
          <w:rFonts w:hint="default"/>
          <w:lang w:val="en-US" w:eastAsia="zh-CN"/>
        </w:rPr>
        <w:fldChar w:fldCharType="separate"/>
      </w:r>
      <w:r>
        <w:rPr>
          <w:rFonts w:hint="default"/>
          <w:lang w:val="en-US" w:eastAsia="zh-CN"/>
        </w:rPr>
        <w:t>Ottoman Empire</w:t>
      </w:r>
      <w:r>
        <w:rPr>
          <w:rFonts w:hint="default"/>
          <w:lang w:val="en-US" w:eastAsia="zh-CN"/>
        </w:rPr>
        <w:fldChar w:fldCharType="end"/>
      </w:r>
      <w:r>
        <w:rPr>
          <w:rFonts w:hint="default"/>
          <w:lang w:val="en-US" w:eastAsia="zh-CN"/>
        </w:rPr>
        <w:t> until 1918 and later a mandate of the United Kingdom, Jordan has been an independent kingdom since 1946. It is among the most politically liberal countries of the Arab world, and, although it shares in the troubles affecting the region, its rulers have expressed a commitment to maintaining peace and stability.</w:t>
      </w:r>
    </w:p>
    <w:p>
      <w:pPr>
        <w:rPr>
          <w:rFonts w:hint="eastAsia" w:ascii="Georgia" w:hAnsi="Georgia" w:eastAsia="Georgia" w:cs="Georgia"/>
          <w:b w:val="0"/>
          <w:i w:val="0"/>
          <w:caps w:val="0"/>
          <w:color w:val="282828"/>
          <w:spacing w:val="0"/>
          <w:sz w:val="20"/>
          <w:szCs w:val="20"/>
          <w:shd w:val="clear" w:fill="FFFFFF"/>
          <w:lang w:val="en-US" w:eastAsia="zh-CN"/>
        </w:rPr>
      </w:pPr>
      <w:r>
        <w:rPr>
          <w:rFonts w:hint="default" w:ascii="Georgia" w:hAnsi="Georgia" w:eastAsia="Georgia" w:cs="Georgia"/>
          <w:b w:val="0"/>
          <w:i w:val="0"/>
          <w:caps w:val="0"/>
          <w:color w:val="282828"/>
          <w:spacing w:val="0"/>
          <w:sz w:val="20"/>
          <w:szCs w:val="20"/>
          <w:shd w:val="clear" w:fill="FFFFFF"/>
        </w:rPr>
        <w:t>The Hashemite Kingdom of Jordan is a stable oasis in the Middle East, and its government often plays the role of mediator between neighboring countries and factions.  Jordan came into being in the 20th century as part of the French and British division of the Arabian Peninsula; Jordan became a British Mandate under the UN's approval until 1946, when it became independent.</w:t>
      </w:r>
      <w:r>
        <w:rPr>
          <w:rFonts w:hint="default" w:ascii="Georgia" w:hAnsi="Georgia" w:eastAsia="Georgia" w:cs="Georgia"/>
          <w:b w:val="0"/>
          <w:i w:val="0"/>
          <w:caps w:val="0"/>
          <w:color w:val="282828"/>
          <w:spacing w:val="0"/>
          <w:sz w:val="20"/>
          <w:szCs w:val="20"/>
          <w:shd w:val="clear" w:fill="FFFFFF"/>
        </w:rPr>
        <w:t> (ThoughtCo, 2018)</w:t>
      </w:r>
    </w:p>
    <w:p>
      <w:pPr>
        <w:pStyle w:val="3"/>
        <w:rPr>
          <w:rFonts w:hint="eastAsia"/>
          <w:lang w:val="en-US" w:eastAsia="zh-CN"/>
        </w:rPr>
      </w:pPr>
      <w:bookmarkStart w:id="4" w:name="_Toc19649"/>
      <w:r>
        <w:rPr>
          <w:rFonts w:hint="eastAsia"/>
          <w:lang w:val="en-US" w:eastAsia="zh-CN"/>
        </w:rPr>
        <w:t>1.3 Theoretical review</w:t>
      </w:r>
      <w:bookmarkEnd w:id="4"/>
    </w:p>
    <w:p>
      <w:pPr>
        <w:pStyle w:val="4"/>
        <w:rPr>
          <w:rFonts w:hint="eastAsia"/>
          <w:lang w:val="en-US" w:eastAsia="zh-CN"/>
        </w:rPr>
      </w:pPr>
      <w:bookmarkStart w:id="5" w:name="_Toc14746"/>
      <w:r>
        <w:rPr>
          <w:rFonts w:hint="eastAsia"/>
          <w:lang w:val="en-US" w:eastAsia="zh-CN"/>
        </w:rPr>
        <w:t>1.3.1 High and low context culture</w:t>
      </w:r>
      <w:bookmarkEnd w:id="5"/>
    </w:p>
    <w:p>
      <w:pPr>
        <w:rPr>
          <w:rFonts w:hint="default"/>
          <w:lang w:val="en-US" w:eastAsia="zh-CN"/>
        </w:rPr>
      </w:pPr>
      <w:r>
        <w:rPr>
          <w:rFonts w:hint="default"/>
          <w:lang w:val="en-US" w:eastAsia="zh-CN"/>
        </w:rPr>
        <w:t>The concepts of high context and low context refer to how people communicate in different cultures.  Differences can be derived from the extent to which meaning is transmitted through actual words used or implied by the context.</w:t>
      </w:r>
    </w:p>
    <w:p>
      <w:pPr>
        <w:rPr>
          <w:rFonts w:hint="default"/>
          <w:lang w:val="en-US" w:eastAsia="zh-CN"/>
        </w:rPr>
      </w:pPr>
      <w:r>
        <w:rPr>
          <w:rFonts w:hint="default"/>
          <w:lang w:val="en-US" w:eastAsia="zh-CN"/>
        </w:rPr>
        <w:t>High context implies that a lot of unspoken information is implicitly transferred during communication.  People in a high context culture such as Saudi Arabia tend to place a larger importance on long-term relationships and loyalty and have fewer rules and structure implemented.</w:t>
      </w:r>
    </w:p>
    <w:p>
      <w:pPr>
        <w:rPr>
          <w:rFonts w:hint="default"/>
          <w:lang w:val="en-US" w:eastAsia="zh-CN"/>
        </w:rPr>
      </w:pPr>
      <w:r>
        <w:rPr>
          <w:rFonts w:hint="default"/>
          <w:lang w:val="en-US" w:eastAsia="zh-CN"/>
        </w:rPr>
        <w:t>Low context implies that a lot of information is exchanged explicitly through the message itself and rarely is anything implicit or hidden.  People in low context cultures such as the UK tend to have short-term relationships, follow rules and standards closely and are generally very task-oriented.(ThoughtCo, 2018)</w:t>
      </w:r>
    </w:p>
    <w:p>
      <w:pPr>
        <w:rPr>
          <w:rFonts w:hint="default"/>
          <w:lang w:val="en-US" w:eastAsia="zh-CN"/>
        </w:rPr>
      </w:pPr>
    </w:p>
    <w:p>
      <w:pPr>
        <w:pStyle w:val="4"/>
        <w:rPr>
          <w:rFonts w:hint="default"/>
          <w:lang w:val="en-US" w:eastAsia="zh-CN"/>
        </w:rPr>
      </w:pPr>
      <w:bookmarkStart w:id="6" w:name="_Toc3951"/>
      <w:r>
        <w:rPr>
          <w:rFonts w:hint="eastAsia"/>
          <w:lang w:val="en-US" w:eastAsia="zh-CN"/>
        </w:rPr>
        <w:t>1.3.2 National culture</w:t>
      </w:r>
      <w:bookmarkEnd w:id="6"/>
    </w:p>
    <w:p>
      <w:r>
        <w:rPr>
          <w:rFonts w:hint="default"/>
        </w:rPr>
        <w:t>Professor Geert Hofstede conducted one of the most comprehensive studies of how values in the workplace are influenced by culture. He defines culture as “the collective programming of the mind distinguishing the members of one group or category of people from others”.</w:t>
      </w:r>
    </w:p>
    <w:p>
      <w:pPr>
        <w:rPr>
          <w:rFonts w:hint="default"/>
        </w:rPr>
      </w:pPr>
      <w:r>
        <w:rPr>
          <w:rFonts w:hint="default"/>
        </w:rPr>
        <w:t>The six dimensions of national culture are based on extensive research done by Professor Geert Hofstede, Gert Jan Hofstede, Michael Minkov and their research teams.</w:t>
      </w:r>
    </w:p>
    <w:p>
      <w:pPr>
        <w:rPr>
          <w:rFonts w:hint="default"/>
        </w:rPr>
      </w:pPr>
      <w:r>
        <w:rPr>
          <w:rFonts w:hint="default"/>
        </w:rPr>
        <w:t>The application of this research is used worldwide in both academic and professional management settings.The model consists of the following dimensions:</w:t>
      </w:r>
    </w:p>
    <w:p>
      <w:pPr>
        <w:rPr>
          <w:rFonts w:hint="default"/>
        </w:rPr>
      </w:pPr>
      <w:r>
        <w:rPr>
          <w:rFonts w:hint="default"/>
        </w:rPr>
        <w:t>POWER DISTANCE</w:t>
      </w:r>
    </w:p>
    <w:p>
      <w:pPr>
        <w:rPr>
          <w:rFonts w:hint="default"/>
        </w:rPr>
      </w:pPr>
      <w:r>
        <w:rPr>
          <w:rFonts w:hint="default"/>
        </w:rPr>
        <w:t>INDIVIDUALISM</w:t>
      </w:r>
    </w:p>
    <w:p>
      <w:pPr>
        <w:rPr>
          <w:rFonts w:hint="default"/>
        </w:rPr>
      </w:pPr>
      <w:r>
        <w:rPr>
          <w:rFonts w:hint="default"/>
        </w:rPr>
        <w:t>MASCULINITY</w:t>
      </w:r>
    </w:p>
    <w:p>
      <w:pPr>
        <w:rPr>
          <w:rFonts w:hint="default"/>
        </w:rPr>
      </w:pPr>
      <w:r>
        <w:rPr>
          <w:rFonts w:hint="default"/>
        </w:rPr>
        <w:t>UNCERTAINTY AVOIDANCE</w:t>
      </w:r>
    </w:p>
    <w:p>
      <w:pPr>
        <w:rPr>
          <w:rFonts w:hint="default"/>
        </w:rPr>
      </w:pPr>
      <w:r>
        <w:rPr>
          <w:rFonts w:hint="default"/>
        </w:rPr>
        <w:t>LONG TERM ORIENTATION</w:t>
      </w:r>
    </w:p>
    <w:p>
      <w:pPr>
        <w:rPr>
          <w:rFonts w:hint="default"/>
        </w:rPr>
      </w:pPr>
      <w:r>
        <w:rPr>
          <w:rFonts w:hint="default"/>
        </w:rPr>
        <w:t>INDULGENCE</w:t>
      </w:r>
    </w:p>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bookmarkStart w:id="7" w:name="_Toc28605"/>
      <w:r>
        <w:rPr>
          <w:rFonts w:hint="eastAsia"/>
          <w:lang w:val="en-US" w:eastAsia="zh-CN"/>
        </w:rPr>
        <w:t>2.0 main body</w:t>
      </w:r>
      <w:bookmarkEnd w:id="7"/>
    </w:p>
    <w:p>
      <w:pPr>
        <w:pStyle w:val="3"/>
        <w:rPr>
          <w:rFonts w:hint="eastAsia"/>
          <w:lang w:val="en-US" w:eastAsia="zh-CN"/>
        </w:rPr>
      </w:pPr>
      <w:bookmarkStart w:id="8" w:name="_Toc17565"/>
      <w:r>
        <w:rPr>
          <w:rFonts w:hint="eastAsia"/>
          <w:lang w:val="en-US" w:eastAsia="zh-CN"/>
        </w:rPr>
        <w:t>2.1 Comparison between Jordanian and British Cultures</w:t>
      </w:r>
      <w:bookmarkEnd w:id="8"/>
    </w:p>
    <w:p>
      <w:r>
        <w:drawing>
          <wp:inline distT="0" distB="0" distL="114300" distR="114300">
            <wp:extent cx="4625975" cy="2613660"/>
            <wp:effectExtent l="0" t="0" r="6985"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4625975" cy="2613660"/>
                    </a:xfrm>
                    <a:prstGeom prst="rect">
                      <a:avLst/>
                    </a:prstGeom>
                    <a:noFill/>
                    <a:ln w="9525">
                      <a:noFill/>
                    </a:ln>
                  </pic:spPr>
                </pic:pic>
              </a:graphicData>
            </a:graphic>
          </wp:inline>
        </w:drawing>
      </w:r>
    </w:p>
    <w:p>
      <w:pPr>
        <w:ind w:firstLine="2730" w:firstLineChars="1300"/>
      </w:pPr>
      <w:r>
        <w:t>(</w:t>
      </w:r>
      <w:r>
        <w:rPr>
          <w:rFonts w:hint="default"/>
        </w:rPr>
        <w:t>https://www.hofstede</w:t>
      </w:r>
      <w:r>
        <w:t>)</w:t>
      </w:r>
    </w:p>
    <w:p>
      <w:pPr>
        <w:pStyle w:val="4"/>
        <w:rPr>
          <w:rFonts w:hint="eastAsia"/>
          <w:lang w:val="en-US" w:eastAsia="zh-CN"/>
        </w:rPr>
      </w:pPr>
      <w:bookmarkStart w:id="9" w:name="_Toc21268"/>
      <w:r>
        <w:rPr>
          <w:rFonts w:hint="eastAsia"/>
          <w:lang w:val="en-US" w:eastAsia="zh-CN"/>
        </w:rPr>
        <w:t>2.1.1 Power distance</w:t>
      </w:r>
      <w:bookmarkEnd w:id="9"/>
    </w:p>
    <w:p>
      <w:pPr>
        <w:rPr>
          <w:rFonts w:hint="eastAsia"/>
          <w:lang w:val="en-US" w:eastAsia="zh-CN"/>
        </w:rPr>
      </w:pPr>
      <w:r>
        <w:rPr>
          <w:rFonts w:hint="eastAsia"/>
          <w:lang w:val="en-US" w:eastAsia="zh-CN"/>
        </w:rPr>
        <w:t>Power distance is defined as the expectation of different individuals in the society and the degree of unequal acceptance of rights. The country with high grade is strict, and the direct classification of different individuals is very obvious. The people also accept the unequal rights of the rights. The low level of state power is less equal, and the relationship between the top and the bottom staff is closer.</w:t>
      </w:r>
    </w:p>
    <w:p>
      <w:pPr>
        <w:rPr>
          <w:rFonts w:hint="eastAsia"/>
          <w:lang w:val="en-US" w:eastAsia="zh-CN"/>
        </w:rPr>
      </w:pPr>
      <w:r>
        <w:rPr>
          <w:rFonts w:hint="eastAsia"/>
          <w:lang w:val="en-US" w:eastAsia="zh-CN"/>
        </w:rPr>
        <w:t>Jordan has a score of 70, which represents a hierarchical society in Jordan. Each person's rank and position are fixed and clear. Most of the company's decisions are determined by the top leaders of the company alone.</w:t>
      </w:r>
      <w:r>
        <w:rPr>
          <w:rFonts w:ascii="Open Sans" w:hAnsi="Open Sans" w:eastAsia="Open Sans" w:cs="Open Sans"/>
          <w:b/>
          <w:i w:val="0"/>
          <w:caps w:val="0"/>
          <w:color w:val="666666"/>
          <w:spacing w:val="0"/>
          <w:sz w:val="15"/>
          <w:szCs w:val="15"/>
          <w:shd w:val="clear" w:fill="FFFFFF"/>
        </w:rPr>
        <w:t> </w:t>
      </w:r>
    </w:p>
    <w:p>
      <w:pPr>
        <w:rPr>
          <w:rFonts w:hint="default"/>
          <w:lang w:val="en-US" w:eastAsia="zh-CN"/>
        </w:rPr>
      </w:pPr>
      <w:r>
        <w:rPr>
          <w:rFonts w:hint="eastAsia"/>
          <w:lang w:val="en-US" w:eastAsia="zh-CN"/>
        </w:rPr>
        <w:t>The PDI score in the UK is 35 points, and for the British people the inequality between people and people should be minimized. A sense of fairness has driven people to believe that people should treat others in an equal way.</w:t>
      </w:r>
      <w:r>
        <w:rPr>
          <w:rFonts w:ascii="Open Sans" w:hAnsi="Open Sans" w:eastAsia="Open Sans" w:cs="Open Sans"/>
          <w:b/>
          <w:i w:val="0"/>
          <w:caps w:val="0"/>
          <w:color w:val="666666"/>
          <w:spacing w:val="0"/>
          <w:sz w:val="15"/>
          <w:szCs w:val="15"/>
          <w:shd w:val="clear" w:fill="FFFFFF"/>
        </w:rPr>
        <w:t> </w:t>
      </w:r>
      <w:r>
        <w:rPr>
          <w:rFonts w:hint="default"/>
          <w:lang w:val="en-US" w:eastAsia="zh-CN"/>
        </w:rPr>
        <w:t>(Hofstede Insights, 2018)</w:t>
      </w:r>
    </w:p>
    <w:p>
      <w:pPr>
        <w:rPr>
          <w:rFonts w:hint="default" w:ascii="Open Sans" w:hAnsi="Open Sans" w:eastAsia="Open Sans" w:cs="Open Sans"/>
          <w:b w:val="0"/>
          <w:i w:val="0"/>
          <w:caps w:val="0"/>
          <w:color w:val="666666"/>
          <w:spacing w:val="0"/>
          <w:sz w:val="15"/>
          <w:szCs w:val="15"/>
          <w:shd w:val="clear" w:fill="FFFFFF"/>
        </w:rPr>
      </w:pPr>
    </w:p>
    <w:p>
      <w:pPr>
        <w:rPr>
          <w:rFonts w:hint="default"/>
          <w:lang w:val="en-US" w:eastAsia="zh-CN"/>
        </w:rPr>
      </w:pPr>
      <w:r>
        <w:rPr>
          <w:rFonts w:hint="default"/>
          <w:lang w:val="en-US" w:eastAsia="zh-CN"/>
        </w:rPr>
        <w:t>In the international business communication, the direct distinction between the British employees is not obvious. The obvious example is that in the UK, employees can often joke with their bosses and call their names directly. In Jordan, the boundaries between the upper and lower levels is very obvious, when in the face of the general staff of senior managers need to maintain respect and call them with honorifics. In the process of communicating with Jordanian employees, British employees need to pay attention to their level and take appropriate attitudes so as to avoid contradictions.</w:t>
      </w:r>
      <w:r>
        <w:rPr>
          <w:rFonts w:hint="eastAsia"/>
          <w:lang w:val="en-US" w:eastAsia="zh-CN"/>
        </w:rPr>
        <w:t>(Alkailani 2012)</w:t>
      </w:r>
    </w:p>
    <w:p>
      <w:pPr>
        <w:rPr>
          <w:rFonts w:hint="default" w:ascii="Open Sans" w:hAnsi="Open Sans" w:eastAsia="Open Sans" w:cs="Open Sans"/>
          <w:b w:val="0"/>
          <w:i w:val="0"/>
          <w:caps w:val="0"/>
          <w:color w:val="666666"/>
          <w:spacing w:val="0"/>
          <w:sz w:val="15"/>
          <w:szCs w:val="15"/>
          <w:shd w:val="clear" w:fill="FFFFFF"/>
        </w:rPr>
      </w:pPr>
    </w:p>
    <w:p>
      <w:pPr>
        <w:pStyle w:val="4"/>
        <w:rPr>
          <w:rFonts w:hint="eastAsia"/>
          <w:lang w:val="en-US" w:eastAsia="zh-CN"/>
        </w:rPr>
      </w:pPr>
      <w:bookmarkStart w:id="10" w:name="_Toc29983"/>
      <w:r>
        <w:rPr>
          <w:rFonts w:hint="eastAsia"/>
          <w:lang w:val="en-US" w:eastAsia="zh-CN"/>
        </w:rPr>
        <w:t>2.1.2 Individualism</w:t>
      </w:r>
      <w:bookmarkEnd w:id="10"/>
    </w:p>
    <w:p>
      <w:pPr>
        <w:rPr>
          <w:rFonts w:hint="eastAsia"/>
          <w:lang w:val="en-US" w:eastAsia="zh-CN"/>
        </w:rPr>
      </w:pPr>
      <w:r>
        <w:rPr>
          <w:rFonts w:hint="eastAsia"/>
          <w:lang w:val="en-US" w:eastAsia="zh-CN"/>
        </w:rPr>
        <w:t>This factor refers to the degree of close relationship and the degree of interdependence among the people of the society. In countries with high grades, people prefer collectivism, and people are linked together through different groups to become a close community of interests. People in low scoring countries have greater need for independence. They are deeply related to their immediate family members. Other times, they prefer to keep themselves different from others.</w:t>
      </w:r>
    </w:p>
    <w:p>
      <w:pPr>
        <w:rPr>
          <w:rFonts w:hint="eastAsia"/>
          <w:lang w:val="en-US" w:eastAsia="zh-CN"/>
        </w:rPr>
      </w:pPr>
    </w:p>
    <w:p>
      <w:pPr>
        <w:rPr>
          <w:rFonts w:hint="eastAsia"/>
          <w:lang w:val="en-US" w:eastAsia="zh-CN"/>
        </w:rPr>
      </w:pPr>
      <w:r>
        <w:rPr>
          <w:rFonts w:hint="eastAsia"/>
          <w:lang w:val="en-US" w:eastAsia="zh-CN"/>
        </w:rPr>
        <w:t>Jordan's independence score is 30 points, which means it is a collectivist society. The Jordanian people attach great importance to a close and long-term commitment to a member group, that is, the family, the big family, or the long-term relationship. The loyalty of the collectivist culture is crucial, covering most other social rules and regulations. Society has developed strong interpersonal relationships, and everyone has to take responsibility for their team members. In the collectivist society, any person's behavior affects people close to him and is mainly in recruitment and promotion in the enterprise.</w:t>
      </w:r>
    </w:p>
    <w:p>
      <w:pPr>
        <w:rPr>
          <w:rFonts w:hint="eastAsia"/>
          <w:lang w:val="en-US" w:eastAsia="zh-CN"/>
        </w:rPr>
      </w:pPr>
      <w:r>
        <w:rPr>
          <w:rFonts w:hint="eastAsia"/>
          <w:lang w:val="en-US" w:eastAsia="zh-CN"/>
        </w:rPr>
        <w:t>The UK with 89 points is a very high score. Children in Britain have been taught to think independently and to find their unique life goals and how they are uniquely contributing to society. The road to happiness is achieved through the individual. So the independence of the British people is very strong.</w:t>
      </w:r>
    </w:p>
    <w:p>
      <w:pPr>
        <w:rPr>
          <w:rFonts w:hint="eastAsia"/>
          <w:lang w:val="en-US" w:eastAsia="zh-CN"/>
        </w:rPr>
      </w:pPr>
    </w:p>
    <w:p>
      <w:pPr>
        <w:rPr>
          <w:rFonts w:hint="eastAsia"/>
          <w:lang w:val="en-US" w:eastAsia="zh-CN"/>
        </w:rPr>
      </w:pPr>
      <w:r>
        <w:rPr>
          <w:rFonts w:hint="eastAsia"/>
          <w:lang w:val="en-US" w:eastAsia="zh-CN"/>
        </w:rPr>
        <w:t>In business communication, the approval of the Jordanian company's head of the cooperation project usually represents the endorsement of all Jordanian employees involved in the project. In Britain, everyone has his own opinion. This has brought some challenges to the communication between the two sides, and it is necessary to pay attention to this factor.</w:t>
      </w:r>
    </w:p>
    <w:p>
      <w:pPr>
        <w:rPr>
          <w:rFonts w:hint="eastAsia"/>
          <w:lang w:val="en-US" w:eastAsia="zh-CN"/>
        </w:rPr>
      </w:pPr>
    </w:p>
    <w:p>
      <w:pPr>
        <w:pStyle w:val="4"/>
        <w:rPr>
          <w:rFonts w:hint="eastAsia"/>
          <w:lang w:val="en-US" w:eastAsia="zh-CN"/>
        </w:rPr>
      </w:pPr>
      <w:bookmarkStart w:id="11" w:name="_Toc2205"/>
      <w:r>
        <w:rPr>
          <w:rFonts w:hint="eastAsia"/>
          <w:lang w:val="en-US" w:eastAsia="zh-CN"/>
        </w:rPr>
        <w:t>2.1.3 Masculinity</w:t>
      </w:r>
      <w:bookmarkEnd w:id="11"/>
    </w:p>
    <w:p>
      <w:pPr>
        <w:rPr>
          <w:rFonts w:hint="eastAsia"/>
          <w:lang w:val="en-US" w:eastAsia="zh-CN"/>
        </w:rPr>
      </w:pPr>
      <w:r>
        <w:rPr>
          <w:rFonts w:hint="eastAsia"/>
          <w:lang w:val="en-US" w:eastAsia="zh-CN"/>
        </w:rPr>
        <w:t>The high score in this factor indicates that the country's society will be driven by competition, achievement and success, and their definition of success is the winner.</w:t>
      </w:r>
    </w:p>
    <w:p>
      <w:pPr>
        <w:rPr>
          <w:rFonts w:hint="eastAsia"/>
          <w:lang w:val="en-US" w:eastAsia="zh-CN"/>
        </w:rPr>
      </w:pPr>
      <w:r>
        <w:rPr>
          <w:rFonts w:hint="eastAsia"/>
          <w:lang w:val="en-US" w:eastAsia="zh-CN"/>
        </w:rPr>
        <w:t>The social values of countries with low scores are not more than those around them, and it is not admirable to stand out from the crowd. People in this country care more about the quality of life.</w:t>
      </w:r>
    </w:p>
    <w:p>
      <w:pPr>
        <w:rPr>
          <w:rFonts w:hint="eastAsia"/>
          <w:lang w:val="en-US" w:eastAsia="zh-CN"/>
        </w:rPr>
      </w:pPr>
      <w:r>
        <w:rPr>
          <w:rFonts w:hint="eastAsia"/>
          <w:lang w:val="en-US" w:eastAsia="zh-CN"/>
        </w:rPr>
        <w:t>Jordan's score is 45 points, and it is clear that the Jordanian people do not care about how prominent a person is in the group, and they are more concerned with a collective achievement.</w:t>
      </w:r>
    </w:p>
    <w:p>
      <w:pPr>
        <w:rPr>
          <w:rFonts w:hint="eastAsia"/>
          <w:lang w:val="en-US" w:eastAsia="zh-CN"/>
        </w:rPr>
      </w:pPr>
      <w:r>
        <w:rPr>
          <w:rFonts w:hint="eastAsia"/>
          <w:lang w:val="en-US" w:eastAsia="zh-CN"/>
        </w:rPr>
        <w:t>And the British score of 66 points is a proof of the British pursuit of personal achievement. A person with outstanding ability is more popular with British companies.</w:t>
      </w:r>
    </w:p>
    <w:p>
      <w:pPr>
        <w:rPr>
          <w:rFonts w:hint="eastAsia"/>
          <w:lang w:val="en-US" w:eastAsia="zh-CN"/>
        </w:rPr>
      </w:pPr>
    </w:p>
    <w:p>
      <w:pPr>
        <w:rPr>
          <w:rFonts w:hint="eastAsia"/>
          <w:lang w:val="en-US" w:eastAsia="zh-CN"/>
        </w:rPr>
      </w:pPr>
      <w:r>
        <w:rPr>
          <w:rFonts w:hint="eastAsia"/>
          <w:lang w:val="en-US" w:eastAsia="zh-CN"/>
        </w:rPr>
        <w:t>In business, British companies are more inclined to appoint the most competent employees as project leaders, while Jordanian people consider their employees' work time in the company, their contribution to the collective and loyalty.</w:t>
      </w:r>
    </w:p>
    <w:p>
      <w:pPr>
        <w:rPr>
          <w:rFonts w:hint="eastAsia"/>
          <w:lang w:val="en-US" w:eastAsia="zh-CN"/>
        </w:rPr>
      </w:pPr>
    </w:p>
    <w:p>
      <w:pPr>
        <w:pStyle w:val="4"/>
        <w:rPr>
          <w:rFonts w:hint="default"/>
          <w:lang w:val="en-US" w:eastAsia="zh-CN"/>
        </w:rPr>
      </w:pPr>
      <w:bookmarkStart w:id="12" w:name="_Toc31600"/>
      <w:r>
        <w:rPr>
          <w:rFonts w:hint="eastAsia"/>
          <w:lang w:val="en-US" w:eastAsia="zh-CN"/>
        </w:rPr>
        <w:t>2.1.4</w:t>
      </w:r>
      <w:r>
        <w:rPr>
          <w:rFonts w:hint="default"/>
          <w:lang w:val="en-US" w:eastAsia="zh-CN"/>
        </w:rPr>
        <w:t>UNCERTAINTY AVOIDANCE</w:t>
      </w:r>
      <w:bookmarkEnd w:id="12"/>
    </w:p>
    <w:p>
      <w:pPr>
        <w:rPr>
          <w:rFonts w:hint="default"/>
          <w:lang w:val="en-US" w:eastAsia="zh-CN"/>
        </w:rPr>
      </w:pPr>
      <w:r>
        <w:rPr>
          <w:rFonts w:hint="default"/>
          <w:lang w:val="en-US" w:eastAsia="zh-CN"/>
        </w:rPr>
        <w:t>The rating of uncertainty evasion represents the ability of a country to deal with unknown events in the future. Different cultures have learned to deal with this anxiety in different ways. Members of culture feel the threat of vague or unknown situation, and create beliefs and systems that try to avoid these phenomena, which is reflected in the fraction of uncertainty avoidance.</w:t>
      </w:r>
    </w:p>
    <w:p>
      <w:pPr>
        <w:rPr>
          <w:rFonts w:hint="default"/>
          <w:lang w:val="en-US" w:eastAsia="zh-CN"/>
        </w:rPr>
      </w:pPr>
      <w:r>
        <w:rPr>
          <w:rFonts w:hint="default"/>
          <w:lang w:val="en-US" w:eastAsia="zh-CN"/>
        </w:rPr>
        <w:t>The British have a score of only 35 points, which means that the British have a very inclusive view of the uncertain events. In business, the long term plan of British companies is very vague. They don't have a clear plan for dealing with different events, but when they happen, they will solve it flexibly.</w:t>
      </w:r>
    </w:p>
    <w:p>
      <w:pPr>
        <w:rPr>
          <w:rFonts w:hint="default"/>
          <w:lang w:val="en-US" w:eastAsia="zh-CN"/>
        </w:rPr>
      </w:pPr>
      <w:r>
        <w:rPr>
          <w:rFonts w:hint="default"/>
          <w:lang w:val="en-US" w:eastAsia="zh-CN"/>
        </w:rPr>
        <w:t>The Jordanian people got a high score of 65 points. They can't tolerate uncertain events. For these events, they often set up a detail that covers as many pre plans as possible to respond to possible different situations.</w:t>
      </w:r>
    </w:p>
    <w:p>
      <w:pPr>
        <w:rPr>
          <w:rFonts w:hint="default"/>
          <w:lang w:val="en-US" w:eastAsia="zh-CN"/>
        </w:rPr>
      </w:pPr>
    </w:p>
    <w:p>
      <w:pPr>
        <w:rPr>
          <w:rFonts w:hint="default"/>
          <w:lang w:val="en-US" w:eastAsia="zh-CN"/>
        </w:rPr>
      </w:pPr>
      <w:r>
        <w:rPr>
          <w:rFonts w:hint="default"/>
          <w:lang w:val="en-US" w:eastAsia="zh-CN"/>
        </w:rPr>
        <w:t>For the business exchanges between British companies and Jordanian companies, the neglect of the long - term plan by the British is easily upset by the Jordanian company. The Jordanian company will think that the UK does not pay enough attention to the cooperation, or that British companies do not have enough professional level to make a long-term plan. British companies think they should focus on solving the problems that have already emerged, rather than getting entangled in what may happen in the future.</w:t>
      </w:r>
    </w:p>
    <w:p>
      <w:pPr>
        <w:rPr>
          <w:rFonts w:hint="eastAsia"/>
          <w:lang w:val="en-US" w:eastAsia="zh-CN"/>
        </w:rPr>
      </w:pPr>
    </w:p>
    <w:p>
      <w:pPr>
        <w:pStyle w:val="4"/>
        <w:rPr>
          <w:rFonts w:hint="default"/>
          <w:lang w:val="en-US" w:eastAsia="zh-CN"/>
        </w:rPr>
      </w:pPr>
      <w:bookmarkStart w:id="13" w:name="_Toc3200"/>
      <w:r>
        <w:rPr>
          <w:rFonts w:hint="eastAsia"/>
          <w:lang w:val="en-US" w:eastAsia="zh-CN"/>
        </w:rPr>
        <w:t>2.1.5</w:t>
      </w:r>
      <w:r>
        <w:rPr>
          <w:rFonts w:hint="default"/>
          <w:lang w:val="en-US" w:eastAsia="zh-CN"/>
        </w:rPr>
        <w:t>LONG TERM ORIENTATION</w:t>
      </w:r>
      <w:bookmarkEnd w:id="13"/>
    </w:p>
    <w:p>
      <w:pPr>
        <w:rPr>
          <w:rFonts w:hint="default"/>
          <w:lang w:val="en-US" w:eastAsia="zh-CN"/>
        </w:rPr>
      </w:pPr>
      <w:r>
        <w:rPr>
          <w:rFonts w:hint="default"/>
          <w:lang w:val="en-US" w:eastAsia="zh-CN"/>
        </w:rPr>
        <w:t>The score of this factor describes the attitudes of different countries in the face of future development and the preservation of past traditions. In this respect, people with low scores would prefer to maintain a long history of tradition and norms and be skeptical about social changes. On the other hand, people with higher cultural qualities take a more pragmatic attitude: to encourage the frugality and efforts of modern education to prepare for the future.</w:t>
      </w:r>
    </w:p>
    <w:p>
      <w:pPr>
        <w:rPr>
          <w:rFonts w:hint="default"/>
          <w:lang w:val="en-US" w:eastAsia="zh-CN"/>
        </w:rPr>
      </w:pPr>
      <w:r>
        <w:rPr>
          <w:rFonts w:hint="default"/>
          <w:lang w:val="en-US" w:eastAsia="zh-CN"/>
        </w:rPr>
        <w:t>The British score is 51 points, which means that the British are often rocking between maintaining a tradition and encouraging changes.</w:t>
      </w:r>
    </w:p>
    <w:p>
      <w:pPr>
        <w:rPr>
          <w:rFonts w:hint="default"/>
          <w:lang w:val="en-US" w:eastAsia="zh-CN"/>
        </w:rPr>
      </w:pPr>
      <w:r>
        <w:rPr>
          <w:rFonts w:hint="default"/>
          <w:lang w:val="en-US" w:eastAsia="zh-CN"/>
        </w:rPr>
        <w:t>Jordan has a score of only 16 points, which is a very low data, which shows that the Jordanian people attach great importance to and comply with their traditions. They have a complete and old way of coping with everything and never change them easily. In business, they comply with the traditions of the planning and the operation of the company.</w:t>
      </w:r>
    </w:p>
    <w:p>
      <w:pPr>
        <w:rPr>
          <w:rFonts w:hint="default"/>
          <w:lang w:val="en-US" w:eastAsia="zh-CN"/>
        </w:rPr>
      </w:pPr>
    </w:p>
    <w:p>
      <w:pPr>
        <w:rPr>
          <w:rFonts w:hint="default"/>
          <w:lang w:val="en-US" w:eastAsia="zh-CN"/>
        </w:rPr>
      </w:pPr>
      <w:r>
        <w:rPr>
          <w:rFonts w:hint="default"/>
          <w:lang w:val="en-US" w:eastAsia="zh-CN"/>
        </w:rPr>
        <w:t>So in international business exchanges, British companies need to know more about Jordanian traditions, especially about business. When everything is in accordance with the rules, their cooperation and communication will be very pleasant. If the British company's demands are different from the Jordanian tradition, the resistance that follows is visible.</w:t>
      </w:r>
    </w:p>
    <w:p>
      <w:pPr>
        <w:rPr>
          <w:rFonts w:hint="eastAsia"/>
          <w:lang w:val="en-US" w:eastAsia="zh-CN"/>
        </w:rPr>
      </w:pPr>
    </w:p>
    <w:p>
      <w:pPr>
        <w:pStyle w:val="4"/>
        <w:rPr>
          <w:rFonts w:hint="default"/>
          <w:lang w:val="en-US" w:eastAsia="zh-CN"/>
        </w:rPr>
      </w:pPr>
      <w:bookmarkStart w:id="14" w:name="_Toc2155"/>
      <w:r>
        <w:rPr>
          <w:rFonts w:hint="eastAsia"/>
          <w:lang w:val="en-US" w:eastAsia="zh-CN"/>
        </w:rPr>
        <w:t xml:space="preserve">2.1.6 </w:t>
      </w:r>
      <w:r>
        <w:rPr>
          <w:rFonts w:hint="default"/>
          <w:lang w:val="en-US" w:eastAsia="zh-CN"/>
        </w:rPr>
        <w:t>INDULGENCE</w:t>
      </w:r>
      <w:bookmarkEnd w:id="14"/>
    </w:p>
    <w:p>
      <w:pPr>
        <w:rPr>
          <w:rFonts w:hint="eastAsia"/>
          <w:lang w:val="en-US" w:eastAsia="zh-CN"/>
        </w:rPr>
      </w:pPr>
      <w:r>
        <w:rPr>
          <w:rFonts w:hint="eastAsia"/>
          <w:lang w:val="en-US" w:eastAsia="zh-CN"/>
        </w:rPr>
        <w:t>The score of this factor represents the degree of control of people's desire and impulsiveness. A relatively high score indicates that people in this country are more indulgent in their desire and impulse, while people in low scoring countries are more self controlled. The norms of social behavior are also more detailed and rigorous.</w:t>
      </w:r>
    </w:p>
    <w:p>
      <w:pPr>
        <w:rPr>
          <w:rFonts w:hint="eastAsia"/>
          <w:lang w:val="en-US" w:eastAsia="zh-CN"/>
        </w:rPr>
      </w:pPr>
      <w:r>
        <w:rPr>
          <w:rFonts w:hint="eastAsia"/>
          <w:lang w:val="en-US" w:eastAsia="zh-CN"/>
        </w:rPr>
        <w:t>Jordan's score of 41 points proves that the Jordanian people have more control over their desires and impulses. They have more compliance with the requirements of social morality and restrained their pleasure and impulsiveness.</w:t>
      </w:r>
    </w:p>
    <w:p>
      <w:pPr>
        <w:rPr>
          <w:rFonts w:hint="eastAsia"/>
          <w:lang w:val="en-US" w:eastAsia="zh-CN"/>
        </w:rPr>
      </w:pPr>
      <w:r>
        <w:rPr>
          <w:rFonts w:hint="eastAsia"/>
          <w:lang w:val="en-US" w:eastAsia="zh-CN"/>
        </w:rPr>
        <w:t>69 points show that British culture is a kind of culture that is categorized as indulgence. English people like to satisfy their impulsiveness and desire to enjoy life. They have a positive attitude and a tendency to be optimistic. In addition, they attach great importance to leisure time and tend to be impulsive for consumption.</w:t>
      </w:r>
    </w:p>
    <w:p>
      <w:pPr>
        <w:rPr>
          <w:rFonts w:hint="eastAsia"/>
          <w:lang w:val="en-US" w:eastAsia="zh-CN"/>
        </w:rPr>
      </w:pPr>
    </w:p>
    <w:p>
      <w:pPr>
        <w:rPr>
          <w:rFonts w:hint="eastAsia"/>
          <w:lang w:val="en-US" w:eastAsia="zh-CN"/>
        </w:rPr>
      </w:pPr>
      <w:r>
        <w:rPr>
          <w:rFonts w:hint="eastAsia"/>
          <w:lang w:val="en-US" w:eastAsia="zh-CN"/>
        </w:rPr>
        <w:t>In business communication, British employees refuse to be disturbed in leisure time, and they are only working at work hours. However, the Jordanian people's distinction between work and leisure time is not as strict as that of the British. If necessary, they can sacrifice their rest time to discuss a work related problem. The resulting differences deserve the attention of both sides.</w:t>
      </w:r>
    </w:p>
    <w:p>
      <w:pPr>
        <w:rPr>
          <w:rFonts w:hint="eastAsia"/>
          <w:lang w:val="en-US" w:eastAsia="zh-CN"/>
        </w:rPr>
      </w:pPr>
    </w:p>
    <w:p>
      <w:pPr>
        <w:rPr>
          <w:rFonts w:hint="eastAsia"/>
          <w:lang w:val="en-US" w:eastAsia="zh-CN"/>
        </w:rPr>
      </w:pPr>
    </w:p>
    <w:p>
      <w:pPr>
        <w:pStyle w:val="3"/>
        <w:rPr>
          <w:rFonts w:hint="eastAsia"/>
          <w:lang w:val="en-US" w:eastAsia="zh-CN"/>
        </w:rPr>
      </w:pPr>
      <w:bookmarkStart w:id="15" w:name="_Toc1097"/>
      <w:r>
        <w:rPr>
          <w:rFonts w:hint="eastAsia"/>
          <w:lang w:val="en-US" w:eastAsia="zh-CN"/>
        </w:rPr>
        <w:t>2.2 Other factors that should be paid attention to in business communication</w:t>
      </w:r>
      <w:bookmarkEnd w:id="15"/>
    </w:p>
    <w:p>
      <w:pPr>
        <w:pStyle w:val="4"/>
        <w:rPr>
          <w:rFonts w:hint="eastAsia"/>
          <w:lang w:val="en-US" w:eastAsia="zh-CN"/>
        </w:rPr>
      </w:pPr>
      <w:bookmarkStart w:id="16" w:name="_Toc2813"/>
      <w:r>
        <w:rPr>
          <w:rFonts w:hint="eastAsia"/>
          <w:lang w:val="en-US" w:eastAsia="zh-CN"/>
        </w:rPr>
        <w:t>2.2.1 Religion</w:t>
      </w:r>
      <w:bookmarkEnd w:id="16"/>
    </w:p>
    <w:p>
      <w:pPr>
        <w:rPr>
          <w:rFonts w:hint="eastAsia"/>
          <w:lang w:val="en-US" w:eastAsia="zh-CN"/>
        </w:rPr>
      </w:pPr>
      <w:r>
        <w:rPr>
          <w:rFonts w:hint="eastAsia"/>
          <w:lang w:val="en-US" w:eastAsia="zh-CN"/>
        </w:rPr>
        <w:t>Jordan is a country with multiple beliefs. Jordan recognized the multiple ethnic groups and religions it possessed, and the right to culture for all the citizens. This spirit of tolerance and appreciation is one of the core reasons for Jordan to have a stable and peaceful cultural atmosphere of prosperity and development. 92% of the Jordanian are Sunni Muslims, and about 6% of the population are Christian. Most Christians are Greek Orthodox Church, but there is also a Greek Catholic Church, a small Catholic community in Rome, Syria, Eastern Orthodox, Coptic Orthodox, Armenian orthodox, and Protestant denominations. In addition there is a small amount of Jordan and Shia Muslim population to send ruiz. (Visitjordan.cn, 2018)</w:t>
      </w:r>
    </w:p>
    <w:p>
      <w:pPr>
        <w:rPr>
          <w:rFonts w:hint="eastAsia"/>
          <w:lang w:val="en-US" w:eastAsia="zh-CN"/>
        </w:rPr>
      </w:pPr>
      <w:r>
        <w:rPr>
          <w:rFonts w:hint="eastAsia"/>
          <w:lang w:val="en-US" w:eastAsia="zh-CN"/>
        </w:rPr>
        <w:t>The religious beliefs of the United Kingdom are also very diverse, but the common point of the two countries is that the religion in Britain is mainly Catholic and Christian. The Jordanian people are mostly Muslim.(Gilley, S. 1994.)</w:t>
      </w:r>
    </w:p>
    <w:p>
      <w:pPr>
        <w:rPr>
          <w:rFonts w:hint="eastAsia"/>
          <w:lang w:val="en-US" w:eastAsia="zh-CN"/>
        </w:rPr>
      </w:pPr>
      <w:r>
        <w:rPr>
          <w:rFonts w:hint="eastAsia"/>
          <w:lang w:val="en-US" w:eastAsia="zh-CN"/>
        </w:rPr>
        <w:t>Different religious beliefs can cause communication barriers between British employees and Jordanian employees. For example:In Ramadan, Arabia countries generally adjust their commuting hours. Most of the time in the UAE is from 8 a.m. to 2 p.m., and Saudi Arabia stipulates to start work at 10 o'clock in the morning. The work efficiency of the government agencies is low, and the activities of the businessmen are also reduced accordingly. Business activities in Arabia countries are usually carried out at night. Business stores usually open at 6 and 7 o'clock p. m. until late at night at 2 and 3 o'clock. Some restaurant restaurants do not close until 4 in the morning. The sales of food during the month of Ramadan were particularly large. Food, clothing and household appliances have become the largest and most popular goods in demand. In particular, about a week before the festival of Ramadan, the sales of all kinds of festivals on the market increased greatly, and it was the peak selling season.(</w:t>
      </w:r>
      <w:r>
        <w:rPr>
          <w:rFonts w:hint="default"/>
        </w:rPr>
        <w:t>Fetzer 2005.</w:t>
      </w:r>
      <w:r>
        <w:rPr>
          <w:rFonts w:hint="eastAsia"/>
          <w:lang w:val="en-US" w:eastAsia="zh-CN"/>
        </w:rPr>
        <w:t>)</w:t>
      </w:r>
    </w:p>
    <w:p>
      <w:pPr>
        <w:rPr>
          <w:rFonts w:hint="eastAsia"/>
          <w:lang w:val="en-US" w:eastAsia="zh-CN"/>
        </w:rPr>
      </w:pPr>
      <w:r>
        <w:rPr>
          <w:rFonts w:hint="eastAsia"/>
          <w:lang w:val="en-US" w:eastAsia="zh-CN"/>
        </w:rPr>
        <w:t>Because of its unique religious beliefs, business activities in Jordan are very different from that in Britain. In the time of religious activities, the work efficiency of Jordanian companies is much lower than that in normal conditions, and British companies need to adjust the work plan accordingly. Once British companies plan important activities or plans in the month of Ramadan, it is likely that it will not be completed in time. This undoubtedly increases the risk of both sides.</w:t>
      </w:r>
    </w:p>
    <w:p>
      <w:pPr>
        <w:pStyle w:val="4"/>
        <w:rPr>
          <w:rFonts w:hint="eastAsia"/>
          <w:lang w:val="en-US" w:eastAsia="zh-CN"/>
        </w:rPr>
      </w:pPr>
      <w:bookmarkStart w:id="17" w:name="_Toc27750"/>
      <w:r>
        <w:rPr>
          <w:rFonts w:hint="eastAsia"/>
          <w:lang w:val="en-US" w:eastAsia="zh-CN"/>
        </w:rPr>
        <w:t>2.2.2 Social etiquette</w:t>
      </w:r>
      <w:bookmarkEnd w:id="17"/>
    </w:p>
    <w:p>
      <w:pPr>
        <w:rPr>
          <w:rFonts w:hint="eastAsia"/>
          <w:lang w:val="en-US" w:eastAsia="zh-CN"/>
        </w:rPr>
      </w:pPr>
      <w:r>
        <w:rPr>
          <w:rFonts w:hint="eastAsia"/>
          <w:lang w:val="en-US" w:eastAsia="zh-CN"/>
        </w:rPr>
        <w:t>The Jordanian people are very enthusiastic and talkative. At the banquet, I like to eat and talk, and finally get used to a coffee. They don't have a good idea of time. You are always late for a date, and think it's a courtesy. The status of Jordanian women is low and may not appear in public. The Jordanian people pay attention to health.</w:t>
      </w:r>
    </w:p>
    <w:p>
      <w:pPr>
        <w:rPr>
          <w:rFonts w:hint="eastAsia"/>
          <w:lang w:val="en-US" w:eastAsia="zh-CN"/>
        </w:rPr>
      </w:pPr>
      <w:r>
        <w:rPr>
          <w:rFonts w:hint="eastAsia"/>
          <w:lang w:val="en-US" w:eastAsia="zh-CN"/>
        </w:rPr>
        <w:t>When the Jordanian people meet with guests in social situations, they usually shake hands and say hello to each other. When seeing friends and relatives, they are also used to give a hug and kiss (while hugging, kissing each other cheek to show respect). But this kind of etiquette is only suitable for men.</w:t>
      </w:r>
    </w:p>
    <w:p>
      <w:pPr>
        <w:rPr>
          <w:rFonts w:hint="eastAsia"/>
          <w:lang w:val="en-US" w:eastAsia="zh-CN"/>
        </w:rPr>
      </w:pPr>
      <w:r>
        <w:rPr>
          <w:rFonts w:hint="eastAsia"/>
          <w:lang w:val="en-US" w:eastAsia="zh-CN"/>
        </w:rPr>
        <w:t>In business, it is a taboo to seek success. The Jordanian people do not want to talk to people they don't know. If you want to talk about business cooperation with the Jordanian people, we need to establish a good private relationship with them first. Or take part in group business talks with many people.(Guide.culturecrossing.net, 2018)</w:t>
      </w:r>
    </w:p>
    <w:p>
      <w:pPr>
        <w:rPr>
          <w:rFonts w:hint="eastAsia"/>
          <w:lang w:val="en-US" w:eastAsia="zh-CN"/>
        </w:rPr>
      </w:pPr>
      <w:r>
        <w:rPr>
          <w:rFonts w:hint="eastAsia"/>
          <w:lang w:val="en-US" w:eastAsia="zh-CN"/>
        </w:rPr>
        <w:t>It is important to note that Jordan is a typical high context country, while Britain is a low context country. (Hasan, H 1999.) the communication between countries in different contexts is always full of difficulties.There is always more meaning in the language of the Jordanian people. They are used to express their true ideas with eyes, micro expressions and small body language. And their communication has a lot of customary habits.(Www2.pacific.edu, 2018) For example, it is not possible to seek help from the Jordanian people, for if they refuse, it is impolite in the culture of Jordan. This will make it difficult for the Jordanian people. So it is also impolite to seek help in itself in Jordan.(</w:t>
      </w:r>
      <w:r>
        <w:rPr>
          <w:rFonts w:hint="default"/>
        </w:rPr>
        <w:t>Rababah, M.A. 2012.</w:t>
      </w:r>
      <w:r>
        <w:rPr>
          <w:rFonts w:hint="eastAsia"/>
          <w:lang w:val="en-US" w:eastAsia="zh-CN"/>
        </w:rPr>
        <w:t>) This is very important point in communication with Jordanian.</w:t>
      </w:r>
    </w:p>
    <w:p>
      <w:pPr>
        <w:rPr>
          <w:rFonts w:hint="eastAsia"/>
          <w:lang w:val="en-US" w:eastAsia="zh-CN"/>
        </w:rPr>
      </w:pPr>
    </w:p>
    <w:p>
      <w:pPr>
        <w:pStyle w:val="2"/>
        <w:rPr>
          <w:rFonts w:hint="eastAsia"/>
          <w:lang w:val="en-US" w:eastAsia="zh-CN"/>
        </w:rPr>
      </w:pPr>
      <w:bookmarkStart w:id="18" w:name="_Toc31308"/>
    </w:p>
    <w:p>
      <w:pPr>
        <w:pStyle w:val="2"/>
        <w:rPr>
          <w:rFonts w:hint="eastAsia"/>
          <w:lang w:val="en-US" w:eastAsia="zh-CN"/>
        </w:rPr>
      </w:pPr>
    </w:p>
    <w:p>
      <w:pPr>
        <w:pStyle w:val="2"/>
        <w:rPr>
          <w:rFonts w:hint="eastAsia"/>
          <w:lang w:val="en-US" w:eastAsia="zh-CN"/>
        </w:rPr>
      </w:pPr>
      <w:r>
        <w:rPr>
          <w:rFonts w:hint="eastAsia"/>
          <w:lang w:val="en-US" w:eastAsia="zh-CN"/>
        </w:rPr>
        <w:t>3.0 Conclusion</w:t>
      </w:r>
      <w:bookmarkEnd w:id="18"/>
    </w:p>
    <w:p>
      <w:pPr>
        <w:rPr>
          <w:rFonts w:hint="eastAsia"/>
          <w:lang w:val="en-US" w:eastAsia="zh-CN"/>
        </w:rPr>
      </w:pPr>
      <w:r>
        <w:rPr>
          <w:rFonts w:hint="eastAsia"/>
          <w:lang w:val="en-US" w:eastAsia="zh-CN"/>
        </w:rPr>
        <w:t>On the whole, the culture of Jordan is very different from that of English. Even at many key points, they are contrary to each other. So there are a lot of problems that need to be paid attention to in the British and Jordanian transnational business exchanges. And respect for each other's culture is the best communication skill.</w:t>
      </w:r>
    </w:p>
    <w:p>
      <w:pPr>
        <w:pStyle w:val="2"/>
        <w:rPr>
          <w:rFonts w:hint="eastAsia"/>
          <w:lang w:val="en-US" w:eastAsia="zh-CN"/>
        </w:rPr>
      </w:pPr>
      <w:bookmarkStart w:id="19" w:name="_Toc16936"/>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bookmarkStart w:id="20" w:name="_GoBack"/>
      <w:bookmarkEnd w:id="20"/>
      <w:r>
        <w:rPr>
          <w:rFonts w:hint="eastAsia"/>
          <w:lang w:val="en-US" w:eastAsia="zh-CN"/>
        </w:rPr>
        <w:t>Reference</w:t>
      </w:r>
      <w:bookmarkEnd w:id="19"/>
    </w:p>
    <w:p>
      <w:pPr>
        <w:rPr>
          <w:rFonts w:hint="eastAsia"/>
          <w:lang w:val="en-US" w:eastAsia="zh-CN"/>
        </w:rPr>
      </w:pPr>
      <w:r>
        <w:rPr>
          <w:rFonts w:hint="eastAsia"/>
          <w:lang w:val="en-US" w:eastAsia="zh-CN"/>
        </w:rPr>
        <w:t>Alkailani, M., Azzam, I.A. and Athamneh, A.B., 2012. Replicating Hofstede in Jordan: ungeneralized, reevaluating the Jordanian culture.</w:t>
      </w:r>
      <w:r>
        <w:rPr>
          <w:rFonts w:hint="default"/>
          <w:lang w:val="en-US" w:eastAsia="zh-CN"/>
        </w:rPr>
        <w:t> International Business Research, 5(4), p.71.</w:t>
      </w:r>
    </w:p>
    <w:p>
      <w:pPr>
        <w:rPr>
          <w:rFonts w:hint="eastAsia"/>
          <w:lang w:val="en-US" w:eastAsia="zh-CN"/>
        </w:rPr>
      </w:pPr>
    </w:p>
    <w:p>
      <w:pPr>
        <w:rPr>
          <w:rFonts w:hint="default"/>
        </w:rPr>
      </w:pPr>
      <w:r>
        <w:rPr>
          <w:rFonts w:hint="default"/>
        </w:rPr>
        <w:t>ThoughtCo. (2018). The Country of Jordan - Facts and History. [online] Available at: https://www.thoughtco.com/jordan-facts-and-history-195055 .</w:t>
      </w:r>
    </w:p>
    <w:p/>
    <w:p>
      <w:pPr>
        <w:rPr>
          <w:rFonts w:hint="default"/>
        </w:rPr>
      </w:pPr>
      <w:r>
        <w:t>ThoughtCo. (2018).</w:t>
      </w:r>
      <w:r>
        <w:rPr>
          <w:rFonts w:hint="default"/>
        </w:rPr>
        <w:t> The Country of Jordan - Facts and History. [online] Available at: https://www.thoughtco.com/jordan-facts-and-history-195055 .</w:t>
      </w:r>
    </w:p>
    <w:p>
      <w:pPr>
        <w:rPr>
          <w:rFonts w:hint="default"/>
        </w:rPr>
      </w:pPr>
    </w:p>
    <w:p>
      <w:pPr>
        <w:rPr>
          <w:rFonts w:hint="default"/>
        </w:rPr>
      </w:pPr>
      <w:r>
        <w:rPr>
          <w:rFonts w:hint="default"/>
        </w:rPr>
        <w:t>Hofstede Insights. (2018). Compare countries - Hofstede Insights. [online] Available at: https://www.hofstede-insights.com/product/compare-countries.</w:t>
      </w:r>
    </w:p>
    <w:p>
      <w:pPr>
        <w:rPr>
          <w:rFonts w:hint="default"/>
        </w:rPr>
      </w:pPr>
    </w:p>
    <w:p>
      <w:pPr>
        <w:rPr>
          <w:rFonts w:hint="default"/>
        </w:rPr>
      </w:pPr>
      <w:r>
        <w:rPr>
          <w:rFonts w:hint="default"/>
        </w:rPr>
        <w:t>Fetzer, J.S. and Soper, J.C., 2005. Muslims and the state in Britain, France, and Germany. Cambridge University Press.</w:t>
      </w:r>
    </w:p>
    <w:p>
      <w:pPr>
        <w:rPr>
          <w:rFonts w:hint="default" w:ascii="Arial" w:hAnsi="Arial" w:eastAsia="SimSun" w:cs="Arial"/>
          <w:b w:val="0"/>
          <w:i w:val="0"/>
          <w:caps w:val="0"/>
          <w:color w:val="222222"/>
          <w:spacing w:val="0"/>
          <w:sz w:val="15"/>
          <w:szCs w:val="15"/>
          <w:shd w:val="clear" w:fill="FFFFFF"/>
        </w:rPr>
      </w:pPr>
    </w:p>
    <w:p>
      <w:pPr>
        <w:rPr>
          <w:rFonts w:hint="eastAsia"/>
          <w:lang w:val="en-US" w:eastAsia="zh-CN"/>
        </w:rPr>
      </w:pPr>
      <w:r>
        <w:rPr>
          <w:rFonts w:hint="eastAsia"/>
          <w:lang w:val="en-US" w:eastAsia="zh-CN"/>
        </w:rPr>
        <w:t>visitjordan.cn. (2018). [online], available at: http: / / visitjordan.cn / religion.html .</w:t>
      </w:r>
    </w:p>
    <w:p>
      <w:pPr>
        <w:rPr>
          <w:rFonts w:hint="eastAsia"/>
          <w:lang w:val="en-US" w:eastAsia="zh-CN"/>
        </w:rPr>
      </w:pPr>
    </w:p>
    <w:p>
      <w:pPr>
        <w:rPr>
          <w:rFonts w:hint="default"/>
          <w:lang w:val="en-US" w:eastAsia="zh-CN"/>
        </w:rPr>
      </w:pPr>
      <w:r>
        <w:rPr>
          <w:rFonts w:hint="eastAsia"/>
          <w:lang w:val="en-US" w:eastAsia="zh-CN"/>
        </w:rPr>
        <w:t>Gilley, S. and Sheils, W.J. eds., 1994.</w:t>
      </w:r>
      <w:r>
        <w:rPr>
          <w:rFonts w:hint="default"/>
          <w:lang w:val="en-US" w:eastAsia="zh-CN"/>
        </w:rPr>
        <w:t> A history of religion in Britain: practice and belief from pre-Roman times to the present. Blackwell.</w:t>
      </w:r>
    </w:p>
    <w:p>
      <w:pPr>
        <w:rPr>
          <w:rFonts w:hint="eastAsia"/>
          <w:lang w:val="en-US" w:eastAsia="zh-CN"/>
        </w:rPr>
      </w:pPr>
    </w:p>
    <w:p>
      <w:pPr>
        <w:rPr>
          <w:rFonts w:hint="eastAsia"/>
          <w:lang w:val="en-US" w:eastAsia="zh-CN"/>
        </w:rPr>
      </w:pPr>
      <w:r>
        <w:rPr>
          <w:rFonts w:hint="eastAsia"/>
          <w:lang w:val="en-US" w:eastAsia="zh-CN"/>
        </w:rPr>
        <w:t xml:space="preserve">Guide.culturecrossing.net. (2018). Jordan - Culture, Customs &amp; Etiquette. [online] Available at: http://guide.culturecrossing.net/basics_business_student.php?id=105 </w:t>
      </w:r>
    </w:p>
    <w:p>
      <w:pPr>
        <w:rPr>
          <w:rFonts w:hint="eastAsia"/>
          <w:lang w:val="en-US" w:eastAsia="zh-CN"/>
        </w:rPr>
      </w:pPr>
    </w:p>
    <w:p>
      <w:pPr>
        <w:rPr>
          <w:rFonts w:hint="default"/>
          <w:lang w:val="en-US" w:eastAsia="zh-CN"/>
        </w:rPr>
      </w:pPr>
      <w:r>
        <w:rPr>
          <w:rFonts w:hint="eastAsia"/>
          <w:lang w:val="en-US" w:eastAsia="zh-CN"/>
        </w:rPr>
        <w:t>Hasan, H. and Ditsa, G., 1999. The impact of culture on the adoption of IT: An interpretive study.</w:t>
      </w:r>
      <w:r>
        <w:rPr>
          <w:rFonts w:hint="default"/>
          <w:lang w:val="en-US" w:eastAsia="zh-CN"/>
        </w:rPr>
        <w:t> Journal of Global Information Management (JGIM), 7(1), pp.5-15.</w:t>
      </w:r>
    </w:p>
    <w:p>
      <w:pPr>
        <w:rPr>
          <w:rFonts w:hint="default"/>
          <w:lang w:val="en-US" w:eastAsia="zh-CN"/>
        </w:rPr>
      </w:pPr>
    </w:p>
    <w:p>
      <w:pPr>
        <w:rPr>
          <w:rFonts w:hint="default"/>
        </w:rPr>
      </w:pPr>
      <w:r>
        <w:rPr>
          <w:rFonts w:hint="default"/>
        </w:rPr>
        <w:t>Rababah, M.A. and Malkawi, N.A.A., 2012. The linguistic etiquette of greeting and leave-taking in Jordanian Arabic.European Scientific Journal, ESJ, 8(18).</w:t>
      </w:r>
    </w:p>
    <w:p>
      <w:pPr>
        <w:rPr>
          <w:rFonts w:hint="default"/>
        </w:rPr>
      </w:pPr>
    </w:p>
    <w:p>
      <w:pPr>
        <w:rPr>
          <w:rFonts w:hint="eastAsia"/>
          <w:lang w:val="en-US" w:eastAsia="zh-CN"/>
        </w:rPr>
      </w:pPr>
      <w:r>
        <w:rPr>
          <w:rFonts w:hint="eastAsia"/>
          <w:lang w:val="en-US" w:eastAsia="zh-CN"/>
        </w:rPr>
        <w:t>Www2.pacific.edu. (2018).</w:t>
      </w:r>
      <w:r>
        <w:rPr>
          <w:rFonts w:hint="default"/>
          <w:lang w:val="en-US" w:eastAsia="zh-CN"/>
        </w:rPr>
        <w:t> 1.4.6 - Context of Cultures: High and Low. [online] Available at: http://www2.pacific.edu/sis/culture/pub/context_cultures_high_and_lo.htm [Accessed 19 Jan. 2018].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nexa_light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ontserrat">
    <w:altName w:val="Segoe Print"/>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Open Sans">
    <w:altName w:val="Segoe Print"/>
    <w:panose1 w:val="00000000000000000000"/>
    <w:charset w:val="00"/>
    <w:family w:val="auto"/>
    <w:pitch w:val="default"/>
    <w:sig w:usb0="00000000" w:usb1="00000000" w:usb2="00000000" w:usb3="00000000" w:csb0="00000000" w:csb1="00000000"/>
  </w:font>
  <w:font w:name="din-2014">
    <w:altName w:val="Segoe Print"/>
    <w:panose1 w:val="00000000000000000000"/>
    <w:charset w:val="00"/>
    <w:family w:val="auto"/>
    <w:pitch w:val="default"/>
    <w:sig w:usb0="00000000" w:usb1="00000000" w:usb2="00000000" w:usb3="00000000" w:csb0="00000000" w:csb1="00000000"/>
  </w:font>
  <w:font w:name="Quicksand">
    <w:altName w:val="Segoe Print"/>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8125A"/>
    <w:rsid w:val="6968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SimHei"/>
      <w:b/>
      <w:sz w:val="32"/>
    </w:rPr>
  </w:style>
  <w:style w:type="paragraph" w:styleId="4">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6">
    <w:name w:val="Default Paragraph Font"/>
    <w:semiHidden/>
    <w:qFormat/>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 w:type="paragraph" w:customStyle="1" w:styleId="9">
    <w:name w:val="WPSOffice手动目录 1"/>
    <w:uiPriority w:val="0"/>
    <w:pPr>
      <w:ind w:leftChars="0"/>
    </w:pPr>
    <w:rPr>
      <w:sz w:val="20"/>
      <w:szCs w:val="20"/>
    </w:rPr>
  </w:style>
  <w:style w:type="paragraph" w:customStyle="1" w:styleId="10">
    <w:name w:val="WPSOffice手动目录 2"/>
    <w:uiPriority w:val="0"/>
    <w:pPr>
      <w:ind w:leftChars="200"/>
    </w:pPr>
    <w:rPr>
      <w:sz w:val="20"/>
      <w:szCs w:val="20"/>
    </w:rPr>
  </w:style>
  <w:style w:type="paragraph" w:customStyle="1" w:styleId="11">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081ee89-129e-4378-8aee-30818c02f9aa}"/>
        <w:style w:val=""/>
        <w:category>
          <w:name w:val="常规"/>
          <w:gallery w:val="placeholder"/>
        </w:category>
        <w:types>
          <w:type w:val="bbPlcHdr"/>
        </w:types>
        <w:behaviors>
          <w:behavior w:val="content"/>
        </w:behaviors>
        <w:description w:val=""/>
        <w:guid w:val="{e081ee89-129e-4378-8aee-30818c02f9aa}"/>
      </w:docPartPr>
      <w:docPartBody>
        <w:p>
          <w:r>
            <w:rPr>
              <w:color w:val="808080"/>
            </w:rPr>
            <w:t>单击此处输入文字。</w:t>
          </w:r>
        </w:p>
      </w:docPartBody>
    </w:docPart>
    <w:docPart>
      <w:docPartPr>
        <w:name w:val="{1abaf638-2112-4010-8c95-fb944b1db6b3}"/>
        <w:style w:val=""/>
        <w:category>
          <w:name w:val="常规"/>
          <w:gallery w:val="placeholder"/>
        </w:category>
        <w:types>
          <w:type w:val="bbPlcHdr"/>
        </w:types>
        <w:behaviors>
          <w:behavior w:val="content"/>
        </w:behaviors>
        <w:description w:val=""/>
        <w:guid w:val="{1abaf638-2112-4010-8c95-fb944b1db6b3}"/>
      </w:docPartPr>
      <w:docPartBody>
        <w:p>
          <w:r>
            <w:rPr>
              <w:color w:val="808080"/>
            </w:rPr>
            <w:t>单击此处输入文字。</w:t>
          </w:r>
        </w:p>
      </w:docPartBody>
    </w:docPart>
    <w:docPart>
      <w:docPartPr>
        <w:name w:val="{a9ec8080-4888-4f1c-8bcf-e236992452dc}"/>
        <w:style w:val=""/>
        <w:category>
          <w:name w:val="常规"/>
          <w:gallery w:val="placeholder"/>
        </w:category>
        <w:types>
          <w:type w:val="bbPlcHdr"/>
        </w:types>
        <w:behaviors>
          <w:behavior w:val="content"/>
        </w:behaviors>
        <w:description w:val=""/>
        <w:guid w:val="{a9ec8080-4888-4f1c-8bcf-e236992452dc}"/>
      </w:docPartPr>
      <w:docPartBody>
        <w:p>
          <w:r>
            <w:rPr>
              <w:color w:val="808080"/>
            </w:rPr>
            <w:t>单击此处输入文字。</w:t>
          </w:r>
        </w:p>
      </w:docPartBody>
    </w:docPart>
    <w:docPart>
      <w:docPartPr>
        <w:name w:val="{317497fe-a598-43d0-b661-1e96cfcfce89}"/>
        <w:style w:val=""/>
        <w:category>
          <w:name w:val="常规"/>
          <w:gallery w:val="placeholder"/>
        </w:category>
        <w:types>
          <w:type w:val="bbPlcHdr"/>
        </w:types>
        <w:behaviors>
          <w:behavior w:val="content"/>
        </w:behaviors>
        <w:description w:val=""/>
        <w:guid w:val="{317497fe-a598-43d0-b661-1e96cfcfce89}"/>
      </w:docPartPr>
      <w:docPartBody>
        <w:p>
          <w:r>
            <w:rPr>
              <w:color w:val="808080"/>
            </w:rPr>
            <w:t>单击此处输入文字。</w:t>
          </w:r>
        </w:p>
      </w:docPartBody>
    </w:docPart>
    <w:docPart>
      <w:docPartPr>
        <w:name w:val="{473d282f-b0a0-4ef5-9877-db6263b5563a}"/>
        <w:style w:val=""/>
        <w:category>
          <w:name w:val="常规"/>
          <w:gallery w:val="placeholder"/>
        </w:category>
        <w:types>
          <w:type w:val="bbPlcHdr"/>
        </w:types>
        <w:behaviors>
          <w:behavior w:val="content"/>
        </w:behaviors>
        <w:description w:val=""/>
        <w:guid w:val="{473d282f-b0a0-4ef5-9877-db6263b5563a}"/>
      </w:docPartPr>
      <w:docPartBody>
        <w:p>
          <w:r>
            <w:rPr>
              <w:color w:val="808080"/>
            </w:rPr>
            <w:t>单击此处输入文字。</w:t>
          </w:r>
        </w:p>
      </w:docPartBody>
    </w:docPart>
    <w:docPart>
      <w:docPartPr>
        <w:name w:val="{4dd52bf4-f572-4ebd-8057-c93f44f5df86}"/>
        <w:style w:val=""/>
        <w:category>
          <w:name w:val="常规"/>
          <w:gallery w:val="placeholder"/>
        </w:category>
        <w:types>
          <w:type w:val="bbPlcHdr"/>
        </w:types>
        <w:behaviors>
          <w:behavior w:val="content"/>
        </w:behaviors>
        <w:description w:val=""/>
        <w:guid w:val="{4dd52bf4-f572-4ebd-8057-c93f44f5df86}"/>
      </w:docPartPr>
      <w:docPartBody>
        <w:p>
          <w:r>
            <w:rPr>
              <w:color w:val="808080"/>
            </w:rPr>
            <w:t>单击此处输入文字。</w:t>
          </w:r>
        </w:p>
      </w:docPartBody>
    </w:docPart>
    <w:docPart>
      <w:docPartPr>
        <w:name w:val="{96c1c394-9906-4b05-bdfa-be3bd95799a8}"/>
        <w:style w:val=""/>
        <w:category>
          <w:name w:val="常规"/>
          <w:gallery w:val="placeholder"/>
        </w:category>
        <w:types>
          <w:type w:val="bbPlcHdr"/>
        </w:types>
        <w:behaviors>
          <w:behavior w:val="content"/>
        </w:behaviors>
        <w:description w:val=""/>
        <w:guid w:val="{96c1c394-9906-4b05-bdfa-be3bd95799a8}"/>
      </w:docPartPr>
      <w:docPartBody>
        <w:p>
          <w:r>
            <w:rPr>
              <w:color w:val="808080"/>
            </w:rPr>
            <w:t>单击此处输入文字。</w:t>
          </w:r>
        </w:p>
      </w:docPartBody>
    </w:docPart>
    <w:docPart>
      <w:docPartPr>
        <w:name w:val="{3e00aef9-5931-4edb-b43f-86c322fdae24}"/>
        <w:style w:val=""/>
        <w:category>
          <w:name w:val="常规"/>
          <w:gallery w:val="placeholder"/>
        </w:category>
        <w:types>
          <w:type w:val="bbPlcHdr"/>
        </w:types>
        <w:behaviors>
          <w:behavior w:val="content"/>
        </w:behaviors>
        <w:description w:val=""/>
        <w:guid w:val="{3e00aef9-5931-4edb-b43f-86c322fdae24}"/>
      </w:docPartPr>
      <w:docPartBody>
        <w:p>
          <w:r>
            <w:rPr>
              <w:color w:val="808080"/>
            </w:rPr>
            <w:t>单击此处输入文字。</w:t>
          </w:r>
        </w:p>
      </w:docPartBody>
    </w:docPart>
    <w:docPart>
      <w:docPartPr>
        <w:name w:val="{4c4a202d-3c78-46d6-9e2e-3914791e37d7}"/>
        <w:style w:val=""/>
        <w:category>
          <w:name w:val="常规"/>
          <w:gallery w:val="placeholder"/>
        </w:category>
        <w:types>
          <w:type w:val="bbPlcHdr"/>
        </w:types>
        <w:behaviors>
          <w:behavior w:val="content"/>
        </w:behaviors>
        <w:description w:val=""/>
        <w:guid w:val="{4c4a202d-3c78-46d6-9e2e-3914791e37d7}"/>
      </w:docPartPr>
      <w:docPartBody>
        <w:p>
          <w:r>
            <w:rPr>
              <w:color w:val="808080"/>
            </w:rPr>
            <w:t>单击此处输入文字。</w:t>
          </w:r>
        </w:p>
      </w:docPartBody>
    </w:docPart>
    <w:docPart>
      <w:docPartPr>
        <w:name w:val="{6e67f3f2-9161-4507-b75f-2c67edbe0e48}"/>
        <w:style w:val=""/>
        <w:category>
          <w:name w:val="常规"/>
          <w:gallery w:val="placeholder"/>
        </w:category>
        <w:types>
          <w:type w:val="bbPlcHdr"/>
        </w:types>
        <w:behaviors>
          <w:behavior w:val="content"/>
        </w:behaviors>
        <w:description w:val=""/>
        <w:guid w:val="{6e67f3f2-9161-4507-b75f-2c67edbe0e48}"/>
      </w:docPartPr>
      <w:docPartBody>
        <w:p>
          <w:r>
            <w:rPr>
              <w:color w:val="808080"/>
            </w:rPr>
            <w:t>单击此处输入文字。</w:t>
          </w:r>
        </w:p>
      </w:docPartBody>
    </w:docPart>
    <w:docPart>
      <w:docPartPr>
        <w:name w:val="{e55640f6-62e5-495f-9cc4-f01f3829cdae}"/>
        <w:style w:val=""/>
        <w:category>
          <w:name w:val="常规"/>
          <w:gallery w:val="placeholder"/>
        </w:category>
        <w:types>
          <w:type w:val="bbPlcHdr"/>
        </w:types>
        <w:behaviors>
          <w:behavior w:val="content"/>
        </w:behaviors>
        <w:description w:val=""/>
        <w:guid w:val="{e55640f6-62e5-495f-9cc4-f01f3829cdae}"/>
      </w:docPartPr>
      <w:docPartBody>
        <w:p>
          <w:r>
            <w:rPr>
              <w:color w:val="808080"/>
            </w:rPr>
            <w:t>单击此处输入文字。</w:t>
          </w:r>
        </w:p>
      </w:docPartBody>
    </w:docPart>
    <w:docPart>
      <w:docPartPr>
        <w:name w:val="{7229a6e2-33eb-4bdb-a72f-9aa569413f75}"/>
        <w:style w:val=""/>
        <w:category>
          <w:name w:val="常规"/>
          <w:gallery w:val="placeholder"/>
        </w:category>
        <w:types>
          <w:type w:val="bbPlcHdr"/>
        </w:types>
        <w:behaviors>
          <w:behavior w:val="content"/>
        </w:behaviors>
        <w:description w:val=""/>
        <w:guid w:val="{7229a6e2-33eb-4bdb-a72f-9aa569413f75}"/>
      </w:docPartPr>
      <w:docPartBody>
        <w:p>
          <w:r>
            <w:rPr>
              <w:color w:val="808080"/>
            </w:rPr>
            <w:t>单击此处输入文字。</w:t>
          </w:r>
        </w:p>
      </w:docPartBody>
    </w:docPart>
    <w:docPart>
      <w:docPartPr>
        <w:name w:val="{e6ea43ed-2c89-498f-ac12-7be326f65447}"/>
        <w:style w:val=""/>
        <w:category>
          <w:name w:val="常规"/>
          <w:gallery w:val="placeholder"/>
        </w:category>
        <w:types>
          <w:type w:val="bbPlcHdr"/>
        </w:types>
        <w:behaviors>
          <w:behavior w:val="content"/>
        </w:behaviors>
        <w:description w:val=""/>
        <w:guid w:val="{e6ea43ed-2c89-498f-ac12-7be326f65447}"/>
      </w:docPartPr>
      <w:docPartBody>
        <w:p>
          <w:r>
            <w:rPr>
              <w:color w:val="808080"/>
            </w:rPr>
            <w:t>单击此处输入文字。</w:t>
          </w:r>
        </w:p>
      </w:docPartBody>
    </w:docPart>
    <w:docPart>
      <w:docPartPr>
        <w:name w:val="{1b325802-c83c-4e62-84a2-d0a3f68941fa}"/>
        <w:style w:val=""/>
        <w:category>
          <w:name w:val="常规"/>
          <w:gallery w:val="placeholder"/>
        </w:category>
        <w:types>
          <w:type w:val="bbPlcHdr"/>
        </w:types>
        <w:behaviors>
          <w:behavior w:val="content"/>
        </w:behaviors>
        <w:description w:val=""/>
        <w:guid w:val="{1b325802-c83c-4e62-84a2-d0a3f68941fa}"/>
      </w:docPartPr>
      <w:docPartBody>
        <w:p>
          <w:r>
            <w:rPr>
              <w:color w:val="808080"/>
            </w:rPr>
            <w:t>单击此处输入文字。</w:t>
          </w:r>
        </w:p>
      </w:docPartBody>
    </w:docPart>
    <w:docPart>
      <w:docPartPr>
        <w:name w:val="{ebf513f9-ba3d-423d-b223-963d44e059f6}"/>
        <w:style w:val=""/>
        <w:category>
          <w:name w:val="常规"/>
          <w:gallery w:val="placeholder"/>
        </w:category>
        <w:types>
          <w:type w:val="bbPlcHdr"/>
        </w:types>
        <w:behaviors>
          <w:behavior w:val="content"/>
        </w:behaviors>
        <w:description w:val=""/>
        <w:guid w:val="{ebf513f9-ba3d-423d-b223-963d44e059f6}"/>
      </w:docPartPr>
      <w:docPartBody>
        <w:p>
          <w:r>
            <w:rPr>
              <w:color w:val="808080"/>
            </w:rPr>
            <w:t>单击此处输入文字。</w:t>
          </w:r>
        </w:p>
      </w:docPartBody>
    </w:docPart>
    <w:docPart>
      <w:docPartPr>
        <w:name w:val="{20aabd5c-c8d1-4e9c-9733-41158859971a}"/>
        <w:style w:val=""/>
        <w:category>
          <w:name w:val="常规"/>
          <w:gallery w:val="placeholder"/>
        </w:category>
        <w:types>
          <w:type w:val="bbPlcHdr"/>
        </w:types>
        <w:behaviors>
          <w:behavior w:val="content"/>
        </w:behaviors>
        <w:description w:val=""/>
        <w:guid w:val="{20aabd5c-c8d1-4e9c-9733-41158859971a}"/>
      </w:docPartPr>
      <w:docPartBody>
        <w:p>
          <w:r>
            <w:rPr>
              <w:color w:val="808080"/>
            </w:rPr>
            <w:t>单击此处输入文字。</w:t>
          </w:r>
        </w:p>
      </w:docPartBody>
    </w:docPart>
    <w:docPart>
      <w:docPartPr>
        <w:name w:val="{cd9c04f3-5470-41fc-a07c-d19f5482dc18}"/>
        <w:style w:val=""/>
        <w:category>
          <w:name w:val="常规"/>
          <w:gallery w:val="placeholder"/>
        </w:category>
        <w:types>
          <w:type w:val="bbPlcHdr"/>
        </w:types>
        <w:behaviors>
          <w:behavior w:val="content"/>
        </w:behaviors>
        <w:description w:val=""/>
        <w:guid w:val="{cd9c04f3-5470-41fc-a07c-d19f5482dc18}"/>
      </w:docPartPr>
      <w:docPartBody>
        <w:p>
          <w:r>
            <w:rPr>
              <w:color w:val="808080"/>
            </w:rPr>
            <w:t>单击此处输入文字。</w:t>
          </w:r>
        </w:p>
      </w:docPartBody>
    </w:docPart>
    <w:docPart>
      <w:docPartPr>
        <w:name w:val="{54e17c2b-33a1-4d8f-b287-60ae31e75e01}"/>
        <w:style w:val=""/>
        <w:category>
          <w:name w:val="常规"/>
          <w:gallery w:val="placeholder"/>
        </w:category>
        <w:types>
          <w:type w:val="bbPlcHdr"/>
        </w:types>
        <w:behaviors>
          <w:behavior w:val="content"/>
        </w:behaviors>
        <w:description w:val=""/>
        <w:guid w:val="{54e17c2b-33a1-4d8f-b287-60ae31e75e01}"/>
      </w:docPartPr>
      <w:docPartBody>
        <w:p>
          <w:r>
            <w:rPr>
              <w:color w:val="808080"/>
            </w:rPr>
            <w:t>单击此处输入文字。</w:t>
          </w:r>
        </w:p>
      </w:docPartBody>
    </w:docPart>
    <w:docPart>
      <w:docPartPr>
        <w:name w:val="{0ec99d7c-abbe-469a-858b-bd2522016a08}"/>
        <w:style w:val=""/>
        <w:category>
          <w:name w:val="常规"/>
          <w:gallery w:val="placeholder"/>
        </w:category>
        <w:types>
          <w:type w:val="bbPlcHdr"/>
        </w:types>
        <w:behaviors>
          <w:behavior w:val="content"/>
        </w:behaviors>
        <w:description w:val=""/>
        <w:guid w:val="{0ec99d7c-abbe-469a-858b-bd2522016a08}"/>
      </w:docPartPr>
      <w:docPartBody>
        <w:p>
          <w:r>
            <w:rPr>
              <w:color w:val="808080"/>
            </w:rPr>
            <w:t>单击此处输入文字。</w:t>
          </w:r>
        </w:p>
      </w:docPartBody>
    </w:docPart>
    <w:docPart>
      <w:docPartPr>
        <w:name w:val="{bdd845e9-a6ef-4854-a6ef-b676792597da}"/>
        <w:style w:val=""/>
        <w:category>
          <w:name w:val="常规"/>
          <w:gallery w:val="placeholder"/>
        </w:category>
        <w:types>
          <w:type w:val="bbPlcHdr"/>
        </w:types>
        <w:behaviors>
          <w:behavior w:val="content"/>
        </w:behaviors>
        <w:description w:val=""/>
        <w:guid w:val="{bdd845e9-a6ef-4854-a6ef-b676792597d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2018-01-19T16:10:00Z</dcterms:created>
  <dc:creator>ASUS</dc:creator>
  <cp:lastModifiedBy>ASUS</cp:lastModifiedBy>
  <dcterms:modified xsi:type="dcterms:W3CDTF">2018-01-19T23:53:03Z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