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845D07" w14:textId="77777777" w:rsidR="000D5019" w:rsidRDefault="000D5019">
      <w:pPr>
        <w:rPr>
          <w:lang w:val="en-GB"/>
        </w:rPr>
      </w:pPr>
    </w:p>
    <w:p w14:paraId="01781D8B" w14:textId="77777777" w:rsidR="00473AAE" w:rsidRDefault="00473AAE">
      <w:pPr>
        <w:rPr>
          <w:lang w:val="en-GB"/>
        </w:rPr>
      </w:pPr>
    </w:p>
    <w:p w14:paraId="65AF4E52" w14:textId="77777777" w:rsidR="00473AAE" w:rsidRDefault="00473AAE">
      <w:pPr>
        <w:rPr>
          <w:lang w:val="en-GB"/>
        </w:rPr>
      </w:pPr>
    </w:p>
    <w:p w14:paraId="27C37859" w14:textId="77777777" w:rsidR="00473AAE" w:rsidRDefault="00473AAE">
      <w:pPr>
        <w:rPr>
          <w:lang w:val="en-GB"/>
        </w:rPr>
      </w:pPr>
    </w:p>
    <w:p w14:paraId="62D00594" w14:textId="77777777" w:rsidR="00473AAE" w:rsidRDefault="00473AAE">
      <w:pPr>
        <w:rPr>
          <w:lang w:val="en-GB"/>
        </w:rPr>
      </w:pPr>
    </w:p>
    <w:p w14:paraId="0F0BF70D" w14:textId="77777777" w:rsidR="00473AAE" w:rsidRDefault="00473AAE">
      <w:pPr>
        <w:rPr>
          <w:lang w:val="en-GB"/>
        </w:rPr>
      </w:pPr>
    </w:p>
    <w:p w14:paraId="0C34E2E8" w14:textId="77777777" w:rsidR="00473AAE" w:rsidRDefault="00473AAE">
      <w:pPr>
        <w:rPr>
          <w:lang w:val="en-GB"/>
        </w:rPr>
      </w:pPr>
    </w:p>
    <w:p w14:paraId="480C7325" w14:textId="77777777" w:rsidR="00473AAE" w:rsidRDefault="00473AAE">
      <w:pPr>
        <w:rPr>
          <w:lang w:val="en-GB"/>
        </w:rPr>
      </w:pPr>
    </w:p>
    <w:p w14:paraId="3BD3536E" w14:textId="77777777" w:rsidR="00473AAE" w:rsidRDefault="00473AAE">
      <w:pPr>
        <w:rPr>
          <w:lang w:val="en-GB"/>
        </w:rPr>
      </w:pPr>
    </w:p>
    <w:p w14:paraId="067C6680" w14:textId="77777777" w:rsidR="00473AAE" w:rsidRDefault="00473AAE">
      <w:pPr>
        <w:rPr>
          <w:lang w:val="en-GB"/>
        </w:rPr>
      </w:pPr>
    </w:p>
    <w:p w14:paraId="3935A65B" w14:textId="77777777" w:rsidR="00473AAE" w:rsidRDefault="00473AAE">
      <w:pPr>
        <w:rPr>
          <w:lang w:val="en-GB"/>
        </w:rPr>
      </w:pPr>
    </w:p>
    <w:p w14:paraId="3B92FFE7" w14:textId="77777777" w:rsidR="00473AAE" w:rsidRDefault="00473AAE">
      <w:pPr>
        <w:rPr>
          <w:lang w:val="en-GB"/>
        </w:rPr>
      </w:pPr>
    </w:p>
    <w:p w14:paraId="11F0B67C" w14:textId="77777777" w:rsidR="00473AAE" w:rsidRPr="00473AAE" w:rsidRDefault="00473AAE" w:rsidP="00473AAE">
      <w:pPr>
        <w:spacing w:line="360" w:lineRule="auto"/>
        <w:rPr>
          <w:rFonts w:ascii="Times New Roman" w:hAnsi="Times New Roman" w:cs="Times New Roman"/>
          <w:sz w:val="28"/>
          <w:szCs w:val="28"/>
          <w:lang w:val="en-GB"/>
        </w:rPr>
      </w:pPr>
    </w:p>
    <w:p w14:paraId="2FA4FEB3" w14:textId="4FADB13B" w:rsidR="00473AAE" w:rsidRPr="00473AAE" w:rsidRDefault="00473AAE" w:rsidP="00473AAE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  <w:r w:rsidRPr="00473AAE">
        <w:rPr>
          <w:rFonts w:ascii="Times New Roman" w:hAnsi="Times New Roman" w:cs="Times New Roman"/>
          <w:sz w:val="28"/>
          <w:szCs w:val="28"/>
          <w:lang w:val="en-GB"/>
        </w:rPr>
        <w:t>Bibliographic Exercise: Legenda Aurea</w:t>
      </w:r>
    </w:p>
    <w:p w14:paraId="03FB18BA" w14:textId="4384131D" w:rsidR="00473AAE" w:rsidRPr="00473AAE" w:rsidRDefault="00473AAE" w:rsidP="00473AAE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  <w:r w:rsidRPr="00473AAE">
        <w:rPr>
          <w:rFonts w:ascii="Times New Roman" w:hAnsi="Times New Roman" w:cs="Times New Roman"/>
          <w:sz w:val="28"/>
          <w:szCs w:val="28"/>
          <w:lang w:val="en-GB"/>
        </w:rPr>
        <w:t>Lolita Kviatkovska</w:t>
      </w:r>
    </w:p>
    <w:p w14:paraId="310CF7B3" w14:textId="6B94C23E" w:rsidR="00473AAE" w:rsidRPr="00473AAE" w:rsidRDefault="00473AAE" w:rsidP="00473AAE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  <w:r w:rsidRPr="00473AAE">
        <w:rPr>
          <w:rFonts w:ascii="Times New Roman" w:hAnsi="Times New Roman" w:cs="Times New Roman"/>
          <w:sz w:val="28"/>
          <w:szCs w:val="28"/>
          <w:lang w:val="en-GB"/>
        </w:rPr>
        <w:t>University of Wales Trinity Saint David</w:t>
      </w:r>
    </w:p>
    <w:p w14:paraId="619DCD25" w14:textId="77777777" w:rsidR="00473AAE" w:rsidRDefault="00473AAE">
      <w:pPr>
        <w:rPr>
          <w:lang w:val="en-GB"/>
        </w:rPr>
      </w:pPr>
    </w:p>
    <w:p w14:paraId="46536730" w14:textId="77777777" w:rsidR="00473AAE" w:rsidRDefault="00473AAE">
      <w:pPr>
        <w:rPr>
          <w:lang w:val="en-GB"/>
        </w:rPr>
      </w:pPr>
    </w:p>
    <w:p w14:paraId="0DB95CC8" w14:textId="77777777" w:rsidR="00473AAE" w:rsidRDefault="00473AAE">
      <w:pPr>
        <w:rPr>
          <w:lang w:val="en-GB"/>
        </w:rPr>
      </w:pPr>
    </w:p>
    <w:p w14:paraId="10F77464" w14:textId="77777777" w:rsidR="00473AAE" w:rsidRDefault="00473AAE">
      <w:pPr>
        <w:rPr>
          <w:lang w:val="en-GB"/>
        </w:rPr>
      </w:pPr>
    </w:p>
    <w:p w14:paraId="2086C779" w14:textId="77777777" w:rsidR="00473AAE" w:rsidRDefault="00473AAE">
      <w:pPr>
        <w:rPr>
          <w:lang w:val="en-GB"/>
        </w:rPr>
      </w:pPr>
    </w:p>
    <w:p w14:paraId="10833628" w14:textId="77777777" w:rsidR="00473AAE" w:rsidRDefault="00473AAE">
      <w:pPr>
        <w:rPr>
          <w:lang w:val="en-GB"/>
        </w:rPr>
      </w:pPr>
    </w:p>
    <w:p w14:paraId="57DF261F" w14:textId="77777777" w:rsidR="00473AAE" w:rsidRDefault="00473AAE">
      <w:pPr>
        <w:rPr>
          <w:lang w:val="en-GB"/>
        </w:rPr>
      </w:pPr>
    </w:p>
    <w:p w14:paraId="212F689E" w14:textId="77777777" w:rsidR="00473AAE" w:rsidRDefault="00473AAE">
      <w:pPr>
        <w:rPr>
          <w:lang w:val="en-GB"/>
        </w:rPr>
      </w:pPr>
    </w:p>
    <w:p w14:paraId="080138DF" w14:textId="77777777" w:rsidR="00473AAE" w:rsidRDefault="00473AAE">
      <w:pPr>
        <w:rPr>
          <w:lang w:val="en-GB"/>
        </w:rPr>
      </w:pPr>
    </w:p>
    <w:p w14:paraId="4C6796A6" w14:textId="77777777" w:rsidR="00473AAE" w:rsidRDefault="00473AAE">
      <w:pPr>
        <w:rPr>
          <w:lang w:val="en-GB"/>
        </w:rPr>
      </w:pPr>
    </w:p>
    <w:p w14:paraId="3ADA4C0D" w14:textId="77777777" w:rsidR="00757660" w:rsidRDefault="00757660">
      <w:pPr>
        <w:rPr>
          <w:lang w:val="en-GB"/>
        </w:rPr>
      </w:pPr>
    </w:p>
    <w:p w14:paraId="0F6D3D14" w14:textId="77777777" w:rsidR="00757660" w:rsidRDefault="00757660">
      <w:pPr>
        <w:rPr>
          <w:lang w:val="en-GB"/>
        </w:rPr>
      </w:pPr>
    </w:p>
    <w:p w14:paraId="605E90BA" w14:textId="6CCCE3DE" w:rsidR="00757660" w:rsidRDefault="00757660" w:rsidP="0075766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0637DF">
        <w:rPr>
          <w:rFonts w:ascii="Times New Roman" w:hAnsi="Times New Roman" w:cs="Times New Roman"/>
          <w:sz w:val="28"/>
          <w:szCs w:val="28"/>
        </w:rPr>
        <w:lastRenderedPageBreak/>
        <w:t>I acknowledge the use</w:t>
      </w:r>
      <w:r>
        <w:rPr>
          <w:rFonts w:ascii="Times New Roman" w:hAnsi="Times New Roman" w:cs="Times New Roman"/>
          <w:sz w:val="28"/>
          <w:szCs w:val="28"/>
        </w:rPr>
        <w:t xml:space="preserve"> of</w:t>
      </w:r>
      <w:r w:rsidRPr="000637DF">
        <w:rPr>
          <w:rFonts w:ascii="Times New Roman" w:hAnsi="Times New Roman" w:cs="Times New Roman"/>
          <w:sz w:val="28"/>
          <w:szCs w:val="28"/>
        </w:rPr>
        <w:t xml:space="preserve"> Grammarly (https://www.grammarly.com/) on 1</w:t>
      </w:r>
      <w:r>
        <w:rPr>
          <w:rFonts w:ascii="Times New Roman" w:hAnsi="Times New Roman" w:cs="Times New Roman"/>
          <w:sz w:val="28"/>
          <w:szCs w:val="28"/>
        </w:rPr>
        <w:t>3</w:t>
      </w:r>
      <w:r w:rsidRPr="000637DF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November</w:t>
      </w:r>
      <w:r w:rsidRPr="000637DF">
        <w:rPr>
          <w:rFonts w:ascii="Times New Roman" w:hAnsi="Times New Roman" w:cs="Times New Roman"/>
          <w:sz w:val="28"/>
          <w:szCs w:val="28"/>
        </w:rPr>
        <w:t xml:space="preserve"> 202</w:t>
      </w:r>
      <w:r>
        <w:rPr>
          <w:rFonts w:ascii="Times New Roman" w:hAnsi="Times New Roman" w:cs="Times New Roman"/>
          <w:sz w:val="28"/>
          <w:szCs w:val="28"/>
        </w:rPr>
        <w:t xml:space="preserve">5 </w:t>
      </w:r>
      <w:r w:rsidRPr="000637DF">
        <w:rPr>
          <w:rFonts w:ascii="Times New Roman" w:hAnsi="Times New Roman" w:cs="Times New Roman"/>
          <w:sz w:val="28"/>
          <w:szCs w:val="28"/>
        </w:rPr>
        <w:t xml:space="preserve">to </w:t>
      </w:r>
      <w:r>
        <w:rPr>
          <w:rFonts w:ascii="Times New Roman" w:hAnsi="Times New Roman" w:cs="Times New Roman"/>
          <w:sz w:val="28"/>
          <w:szCs w:val="28"/>
        </w:rPr>
        <w:t xml:space="preserve">check my work </w:t>
      </w:r>
      <w:r w:rsidRPr="000637DF">
        <w:rPr>
          <w:rFonts w:ascii="Times New Roman" w:hAnsi="Times New Roman" w:cs="Times New Roman"/>
          <w:sz w:val="28"/>
          <w:szCs w:val="28"/>
        </w:rPr>
        <w:t xml:space="preserve">using the prompt: </w:t>
      </w:r>
    </w:p>
    <w:p w14:paraId="26E31EB1" w14:textId="77777777" w:rsidR="00757660" w:rsidRPr="000637DF" w:rsidRDefault="00757660" w:rsidP="00757660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0637DF">
        <w:rPr>
          <w:rFonts w:ascii="Times New Roman" w:hAnsi="Times New Roman" w:cs="Times New Roman"/>
          <w:sz w:val="28"/>
          <w:szCs w:val="28"/>
        </w:rPr>
        <w:t xml:space="preserve">Please check the following text for readability, grammar and syntax. </w:t>
      </w:r>
    </w:p>
    <w:p w14:paraId="721D2E16" w14:textId="421DDC5D" w:rsidR="00757660" w:rsidRDefault="00757660" w:rsidP="0075766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0637DF">
        <w:rPr>
          <w:rFonts w:ascii="Times New Roman" w:hAnsi="Times New Roman" w:cs="Times New Roman"/>
          <w:sz w:val="28"/>
          <w:szCs w:val="28"/>
        </w:rPr>
        <w:t xml:space="preserve">I acknowledge the use of ChatGPT (https://chatgpt.com/) on </w:t>
      </w:r>
      <w:r>
        <w:rPr>
          <w:rFonts w:ascii="Times New Roman" w:hAnsi="Times New Roman" w:cs="Times New Roman"/>
          <w:sz w:val="28"/>
          <w:szCs w:val="28"/>
        </w:rPr>
        <w:t>13</w:t>
      </w:r>
      <w:r w:rsidRPr="000637DF">
        <w:rPr>
          <w:rFonts w:ascii="Times New Roman" w:hAnsi="Times New Roman" w:cs="Times New Roman"/>
          <w:sz w:val="28"/>
          <w:szCs w:val="28"/>
        </w:rPr>
        <w:t xml:space="preserve"> </w:t>
      </w:r>
      <w:r w:rsidR="0083213E">
        <w:rPr>
          <w:rFonts w:ascii="Times New Roman" w:hAnsi="Times New Roman" w:cs="Times New Roman"/>
          <w:sz w:val="28"/>
          <w:szCs w:val="28"/>
        </w:rPr>
        <w:t>November</w:t>
      </w:r>
      <w:r w:rsidRPr="000637DF">
        <w:rPr>
          <w:rFonts w:ascii="Times New Roman" w:hAnsi="Times New Roman" w:cs="Times New Roman"/>
          <w:sz w:val="28"/>
          <w:szCs w:val="28"/>
        </w:rPr>
        <w:t xml:space="preserve"> 202</w:t>
      </w:r>
      <w:r>
        <w:rPr>
          <w:rFonts w:ascii="Times New Roman" w:hAnsi="Times New Roman" w:cs="Times New Roman"/>
          <w:sz w:val="28"/>
          <w:szCs w:val="28"/>
        </w:rPr>
        <w:t>5</w:t>
      </w:r>
      <w:r w:rsidRPr="000637DF">
        <w:rPr>
          <w:rFonts w:ascii="Times New Roman" w:hAnsi="Times New Roman" w:cs="Times New Roman"/>
          <w:sz w:val="28"/>
          <w:szCs w:val="28"/>
        </w:rPr>
        <w:t xml:space="preserve"> to support my research using the prompts: </w:t>
      </w:r>
    </w:p>
    <w:p w14:paraId="647DEE43" w14:textId="46B492A5" w:rsidR="00757660" w:rsidRDefault="00757660" w:rsidP="00757660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0637DF">
        <w:rPr>
          <w:rFonts w:ascii="Times New Roman" w:hAnsi="Times New Roman" w:cs="Times New Roman"/>
          <w:sz w:val="28"/>
          <w:szCs w:val="28"/>
        </w:rPr>
        <w:t xml:space="preserve">Please translate </w:t>
      </w:r>
      <w:r w:rsidR="0083213E">
        <w:rPr>
          <w:rFonts w:ascii="Times New Roman" w:hAnsi="Times New Roman" w:cs="Times New Roman"/>
          <w:sz w:val="28"/>
          <w:szCs w:val="28"/>
        </w:rPr>
        <w:t>my PDF and screenshots from French to English</w:t>
      </w:r>
    </w:p>
    <w:p w14:paraId="7F622A08" w14:textId="2849AD39" w:rsidR="0083213E" w:rsidRPr="0083213E" w:rsidRDefault="00757660" w:rsidP="0083213E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Please help me </w:t>
      </w:r>
      <w:r w:rsidR="0083213E">
        <w:rPr>
          <w:rFonts w:ascii="Times New Roman" w:hAnsi="Times New Roman" w:cs="Times New Roman"/>
          <w:sz w:val="28"/>
          <w:szCs w:val="28"/>
        </w:rPr>
        <w:t xml:space="preserve">understand what makes an edition useful and important </w:t>
      </w:r>
    </w:p>
    <w:p w14:paraId="4C8A0916" w14:textId="77777777" w:rsidR="00757660" w:rsidRDefault="00757660" w:rsidP="00757660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0637DF">
        <w:rPr>
          <w:rFonts w:ascii="Times New Roman" w:hAnsi="Times New Roman" w:cs="Times New Roman"/>
          <w:sz w:val="28"/>
          <w:szCs w:val="28"/>
        </w:rPr>
        <w:t xml:space="preserve">I confirm that I have not presented any </w:t>
      </w:r>
      <w:r>
        <w:rPr>
          <w:rFonts w:ascii="Times New Roman" w:hAnsi="Times New Roman" w:cs="Times New Roman"/>
          <w:sz w:val="28"/>
          <w:szCs w:val="28"/>
        </w:rPr>
        <w:t>AI-generated</w:t>
      </w:r>
      <w:r w:rsidRPr="000637DF">
        <w:rPr>
          <w:rFonts w:ascii="Times New Roman" w:hAnsi="Times New Roman" w:cs="Times New Roman"/>
          <w:sz w:val="28"/>
          <w:szCs w:val="28"/>
        </w:rPr>
        <w:t xml:space="preserve"> text as my own work. I confirm I have copies of my drafts, notes, and other resources I used before and after the use of AI tools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0637DF">
        <w:rPr>
          <w:rFonts w:ascii="Times New Roman" w:hAnsi="Times New Roman" w:cs="Times New Roman"/>
          <w:sz w:val="28"/>
          <w:szCs w:val="28"/>
        </w:rPr>
        <w:t xml:space="preserve"> which I may be asked to provide in evidence. </w:t>
      </w:r>
    </w:p>
    <w:p w14:paraId="33FBDD1E" w14:textId="77777777" w:rsidR="00757660" w:rsidRDefault="00757660"/>
    <w:p w14:paraId="4BFBBF26" w14:textId="77777777" w:rsidR="00757660" w:rsidRDefault="00757660"/>
    <w:p w14:paraId="34FC9AF6" w14:textId="77777777" w:rsidR="00757660" w:rsidRDefault="00757660"/>
    <w:p w14:paraId="5B946514" w14:textId="77777777" w:rsidR="00757660" w:rsidRDefault="00757660"/>
    <w:p w14:paraId="1EB4D619" w14:textId="77777777" w:rsidR="00757660" w:rsidRDefault="00757660"/>
    <w:p w14:paraId="2C884704" w14:textId="77777777" w:rsidR="00757660" w:rsidRDefault="00757660"/>
    <w:p w14:paraId="7633460F" w14:textId="77777777" w:rsidR="00757660" w:rsidRDefault="00757660"/>
    <w:p w14:paraId="14E01505" w14:textId="77777777" w:rsidR="00757660" w:rsidRDefault="00757660"/>
    <w:p w14:paraId="6E19606C" w14:textId="77777777" w:rsidR="00757660" w:rsidRDefault="00757660"/>
    <w:p w14:paraId="155BE602" w14:textId="77777777" w:rsidR="00757660" w:rsidRDefault="00757660"/>
    <w:p w14:paraId="1818EC28" w14:textId="77777777" w:rsidR="00757660" w:rsidRDefault="00757660"/>
    <w:p w14:paraId="1D8CBA57" w14:textId="77777777" w:rsidR="00757660" w:rsidRDefault="00757660"/>
    <w:p w14:paraId="2898E894" w14:textId="77777777" w:rsidR="00757660" w:rsidRPr="00757660" w:rsidRDefault="00757660"/>
    <w:p w14:paraId="728CB413" w14:textId="77777777" w:rsidR="00473AAE" w:rsidRDefault="00473AAE">
      <w:pPr>
        <w:rPr>
          <w:lang w:val="en-GB"/>
        </w:rPr>
      </w:pPr>
    </w:p>
    <w:p w14:paraId="04A249B7" w14:textId="77777777" w:rsidR="0083213E" w:rsidRDefault="0083213E">
      <w:pPr>
        <w:rPr>
          <w:lang w:val="en-GB"/>
        </w:rPr>
      </w:pPr>
    </w:p>
    <w:p w14:paraId="5D989C66" w14:textId="77777777" w:rsidR="00473AAE" w:rsidRDefault="00473AAE">
      <w:pPr>
        <w:rPr>
          <w:lang w:val="en-GB"/>
        </w:rPr>
      </w:pPr>
    </w:p>
    <w:p w14:paraId="30CD7232" w14:textId="16931261" w:rsidR="00473AAE" w:rsidRDefault="00473AAE" w:rsidP="00473AAE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  <w:r w:rsidRPr="00473AAE">
        <w:rPr>
          <w:rFonts w:ascii="Times New Roman" w:hAnsi="Times New Roman" w:cs="Times New Roman"/>
          <w:sz w:val="28"/>
          <w:szCs w:val="28"/>
          <w:lang w:val="en-GB"/>
        </w:rPr>
        <w:lastRenderedPageBreak/>
        <w:t>I</w:t>
      </w:r>
      <w:r>
        <w:rPr>
          <w:rFonts w:ascii="Times New Roman" w:hAnsi="Times New Roman" w:cs="Times New Roman"/>
          <w:sz w:val="28"/>
          <w:szCs w:val="28"/>
          <w:lang w:val="en-GB"/>
        </w:rPr>
        <w:t>ntroduction</w:t>
      </w:r>
    </w:p>
    <w:p w14:paraId="3C395AD3" w14:textId="44544116" w:rsidR="00473AAE" w:rsidRDefault="00473AAE" w:rsidP="00473AAE">
      <w:pPr>
        <w:spacing w:line="360" w:lineRule="auto"/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ab/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‘</w:t>
      </w:r>
      <w:r>
        <w:rPr>
          <w:rFonts w:ascii="Times New Roman" w:hAnsi="Times New Roman" w:cs="Times New Roman"/>
          <w:sz w:val="28"/>
          <w:szCs w:val="28"/>
          <w:lang w:val="en-GB"/>
        </w:rPr>
        <w:t>Legenda Aurea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’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by Jacobus de Voraigne is one of the most </w:t>
      </w:r>
      <w:r w:rsidR="00A821FD">
        <w:rPr>
          <w:rFonts w:ascii="Times New Roman" w:hAnsi="Times New Roman" w:cs="Times New Roman"/>
          <w:sz w:val="28"/>
          <w:szCs w:val="28"/>
          <w:lang w:val="en-GB"/>
        </w:rPr>
        <w:t>significant manuscripts of the Middle Ages. This is a compilation of hagiographies that served theological, didactic and storytelling purposes. Since the late thirteenth century, the book has spread throughout Europe and influenced believers through sermons, art, and a collective sense of sanctity.</w:t>
      </w:r>
    </w:p>
    <w:p w14:paraId="0910BA5F" w14:textId="4420101E" w:rsidR="00A821FD" w:rsidRDefault="00A821FD" w:rsidP="00473AAE">
      <w:pPr>
        <w:spacing w:line="360" w:lineRule="auto"/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ab/>
        <w:t xml:space="preserve">The goal of this exercise is to </w:t>
      </w:r>
      <w:r w:rsidR="00DE6B33">
        <w:rPr>
          <w:rFonts w:ascii="Times New Roman" w:hAnsi="Times New Roman" w:cs="Times New Roman"/>
          <w:sz w:val="28"/>
          <w:szCs w:val="28"/>
          <w:lang w:val="en-GB"/>
        </w:rPr>
        <w:t xml:space="preserve">trace the stages of the textual history of 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‘</w:t>
      </w:r>
      <w:r w:rsidR="00DE6B33">
        <w:rPr>
          <w:rFonts w:ascii="Times New Roman" w:hAnsi="Times New Roman" w:cs="Times New Roman"/>
          <w:sz w:val="28"/>
          <w:szCs w:val="28"/>
          <w:lang w:val="en-GB"/>
        </w:rPr>
        <w:t>Legenda Aurea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’</w:t>
      </w:r>
      <w:r w:rsidR="00DE6B33">
        <w:rPr>
          <w:rFonts w:ascii="Times New Roman" w:hAnsi="Times New Roman" w:cs="Times New Roman"/>
          <w:sz w:val="28"/>
          <w:szCs w:val="28"/>
          <w:lang w:val="en-GB"/>
        </w:rPr>
        <w:t xml:space="preserve"> through </w:t>
      </w:r>
      <w:r w:rsidR="0012014A">
        <w:rPr>
          <w:rFonts w:ascii="Times New Roman" w:hAnsi="Times New Roman" w:cs="Times New Roman"/>
          <w:sz w:val="28"/>
          <w:szCs w:val="28"/>
          <w:lang w:val="en-GB"/>
        </w:rPr>
        <w:t>ten</w:t>
      </w:r>
      <w:r w:rsidR="00DE6B33">
        <w:rPr>
          <w:rFonts w:ascii="Times New Roman" w:hAnsi="Times New Roman" w:cs="Times New Roman"/>
          <w:sz w:val="28"/>
          <w:szCs w:val="28"/>
          <w:lang w:val="en-GB"/>
        </w:rPr>
        <w:t xml:space="preserve"> editions representing different periods and forms of publication. My selection includes first-printed versions, academic and critical editions, translations, and modern digital versions. Such an approach allows us to understand how the methods of reading and textual interpretation </w:t>
      </w:r>
      <w:r w:rsidR="00E54715">
        <w:rPr>
          <w:rFonts w:ascii="Times New Roman" w:hAnsi="Times New Roman" w:cs="Times New Roman"/>
          <w:sz w:val="28"/>
          <w:szCs w:val="28"/>
          <w:lang w:val="en-GB"/>
        </w:rPr>
        <w:t>have changed throughout six centuries, from incunabula to</w:t>
      </w:r>
      <w:r w:rsidR="00DE6B33">
        <w:rPr>
          <w:rFonts w:ascii="Times New Roman" w:hAnsi="Times New Roman" w:cs="Times New Roman"/>
          <w:sz w:val="28"/>
          <w:szCs w:val="28"/>
          <w:lang w:val="en-GB"/>
        </w:rPr>
        <w:t xml:space="preserve"> internet projects</w:t>
      </w:r>
      <w:r w:rsidR="00D7214A">
        <w:rPr>
          <w:rFonts w:ascii="Times New Roman" w:hAnsi="Times New Roman" w:cs="Times New Roman"/>
          <w:sz w:val="28"/>
          <w:szCs w:val="28"/>
          <w:lang w:val="en-GB"/>
        </w:rPr>
        <w:t>.</w:t>
      </w:r>
    </w:p>
    <w:p w14:paraId="6BFF2946" w14:textId="1D6173F4" w:rsidR="00D7214A" w:rsidRDefault="00D7214A" w:rsidP="00D7214A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Bibliography</w:t>
      </w:r>
    </w:p>
    <w:p w14:paraId="72D04E9A" w14:textId="77777777" w:rsidR="00BC4BCE" w:rsidRPr="000C0332" w:rsidRDefault="00BC4BCE" w:rsidP="000C0332">
      <w:pPr>
        <w:shd w:val="clear" w:color="auto" w:fill="FFFFFF" w:themeFill="background1"/>
        <w:spacing w:line="360" w:lineRule="auto"/>
        <w:ind w:left="360"/>
        <w:rPr>
          <w:rFonts w:ascii="Times New Roman" w:hAnsi="Times New Roman" w:cs="Times New Roman"/>
          <w:i/>
          <w:iCs/>
          <w:sz w:val="28"/>
          <w:szCs w:val="28"/>
        </w:rPr>
      </w:pPr>
      <w:r w:rsidRPr="000C0332">
        <w:rPr>
          <w:rFonts w:ascii="Times New Roman" w:hAnsi="Times New Roman" w:cs="Times New Roman"/>
          <w:sz w:val="28"/>
          <w:szCs w:val="28"/>
          <w:shd w:val="clear" w:color="auto" w:fill="FFFFFF" w:themeFill="background1"/>
        </w:rPr>
        <w:t>de</w:t>
      </w:r>
      <w:r w:rsidRPr="000C0332">
        <w:rPr>
          <w:rFonts w:ascii="Times New Roman" w:hAnsi="Times New Roman" w:cs="Times New Roman"/>
          <w:sz w:val="28"/>
          <w:szCs w:val="28"/>
        </w:rPr>
        <w:t xml:space="preserve"> Voraigne, Jacobus, </w:t>
      </w:r>
      <w:r w:rsidRPr="000C0332">
        <w:rPr>
          <w:rFonts w:ascii="Times New Roman" w:hAnsi="Times New Roman" w:cs="Times New Roman"/>
          <w:i/>
          <w:iCs/>
          <w:sz w:val="28"/>
          <w:szCs w:val="28"/>
        </w:rPr>
        <w:t xml:space="preserve">La Légende Dorée, </w:t>
      </w:r>
      <w:r w:rsidRPr="000C0332">
        <w:rPr>
          <w:rFonts w:ascii="Times New Roman" w:hAnsi="Times New Roman" w:cs="Times New Roman"/>
          <w:sz w:val="28"/>
          <w:szCs w:val="28"/>
        </w:rPr>
        <w:t xml:space="preserve">ed. and trans. by Theodor de Wyzewa,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(</w:t>
      </w:r>
      <w:r w:rsidRPr="000C0332">
        <w:rPr>
          <w:rFonts w:ascii="Times New Roman" w:hAnsi="Times New Roman" w:cs="Times New Roman"/>
          <w:sz w:val="28"/>
          <w:szCs w:val="28"/>
        </w:rPr>
        <w:t>Perrin et Cie, 1910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) &lt;https://www.gutenberg.org/cache/epub/69917/pg69917-images.html&gt; [accessed 13.11.25]</w:t>
      </w:r>
    </w:p>
    <w:p w14:paraId="2D568C84" w14:textId="58AE2343" w:rsidR="00DC3B7C" w:rsidRPr="000C0332" w:rsidRDefault="00DC3B7C" w:rsidP="000C0332">
      <w:pPr>
        <w:shd w:val="clear" w:color="auto" w:fill="FFFFFF" w:themeFill="background1"/>
        <w:spacing w:line="360" w:lineRule="auto"/>
        <w:ind w:left="1080"/>
        <w:rPr>
          <w:rFonts w:ascii="Times New Roman" w:hAnsi="Times New Roman" w:cs="Times New Roman"/>
          <w:sz w:val="28"/>
          <w:szCs w:val="28"/>
          <w:lang w:val="uk-UA"/>
        </w:rPr>
      </w:pPr>
      <w:r w:rsidRPr="000C0332">
        <w:rPr>
          <w:rFonts w:ascii="Times New Roman" w:hAnsi="Times New Roman" w:cs="Times New Roman"/>
          <w:sz w:val="28"/>
          <w:szCs w:val="28"/>
        </w:rPr>
        <w:t xml:space="preserve">Theodor de Wyzewa’s edition brought the medieval compilation a second life at the beginning of the twentieth century. In the foreword, the author presented it to the reader not as a naive book of wonders but as evidence of the </w:t>
      </w:r>
      <w:r w:rsidR="000A14EE" w:rsidRPr="000C0332">
        <w:rPr>
          <w:rFonts w:ascii="Times New Roman" w:hAnsi="Times New Roman" w:cs="Times New Roman"/>
          <w:sz w:val="28"/>
          <w:szCs w:val="28"/>
        </w:rPr>
        <w:t>thirteenth century's sincere religiosity</w:t>
      </w:r>
      <w:r w:rsidRPr="000C0332">
        <w:rPr>
          <w:rFonts w:ascii="Times New Roman" w:hAnsi="Times New Roman" w:cs="Times New Roman"/>
          <w:sz w:val="28"/>
          <w:szCs w:val="28"/>
        </w:rPr>
        <w:t xml:space="preserve">. It helped to reconsider the </w:t>
      </w:r>
      <w:r w:rsidR="000C55B5" w:rsidRPr="000C0332">
        <w:rPr>
          <w:rFonts w:ascii="Times New Roman" w:hAnsi="Times New Roman" w:cs="Times New Roman"/>
          <w:sz w:val="28"/>
          <w:szCs w:val="28"/>
        </w:rPr>
        <w:t>work</w:t>
      </w:r>
      <w:r w:rsidRPr="000C0332">
        <w:rPr>
          <w:rFonts w:ascii="Times New Roman" w:hAnsi="Times New Roman" w:cs="Times New Roman"/>
          <w:sz w:val="28"/>
          <w:szCs w:val="28"/>
        </w:rPr>
        <w:t xml:space="preserve"> as a source of cultural and </w:t>
      </w:r>
      <w:r w:rsidR="000C55B5" w:rsidRPr="000C0332">
        <w:rPr>
          <w:rFonts w:ascii="Times New Roman" w:hAnsi="Times New Roman" w:cs="Times New Roman"/>
          <w:sz w:val="28"/>
          <w:szCs w:val="28"/>
        </w:rPr>
        <w:t>spiritual</w:t>
      </w:r>
      <w:r w:rsidRPr="000C0332">
        <w:rPr>
          <w:rFonts w:ascii="Times New Roman" w:hAnsi="Times New Roman" w:cs="Times New Roman"/>
          <w:sz w:val="28"/>
          <w:szCs w:val="28"/>
        </w:rPr>
        <w:t xml:space="preserve"> history instead of </w:t>
      </w:r>
      <w:r w:rsidR="000C55B5" w:rsidRPr="000C0332">
        <w:rPr>
          <w:rFonts w:ascii="Times New Roman" w:hAnsi="Times New Roman" w:cs="Times New Roman"/>
          <w:sz w:val="28"/>
          <w:szCs w:val="28"/>
        </w:rPr>
        <w:t xml:space="preserve">merely a religious text. </w:t>
      </w:r>
    </w:p>
    <w:p w14:paraId="3C645505" w14:textId="38887984" w:rsidR="00BC4BCE" w:rsidRPr="000C0332" w:rsidRDefault="00BC4BCE" w:rsidP="000C0332">
      <w:pPr>
        <w:shd w:val="clear" w:color="auto" w:fill="FFFFFF" w:themeFill="background1"/>
        <w:spacing w:line="360" w:lineRule="auto"/>
        <w:ind w:left="360"/>
        <w:rPr>
          <w:rFonts w:ascii="Times New Roman" w:hAnsi="Times New Roman" w:cs="Times New Roman"/>
          <w:i/>
          <w:iCs/>
          <w:sz w:val="28"/>
          <w:szCs w:val="28"/>
        </w:rPr>
      </w:pPr>
      <w:r w:rsidRPr="000C0332">
        <w:rPr>
          <w:rFonts w:ascii="Times New Roman" w:hAnsi="Times New Roman" w:cs="Times New Roman"/>
          <w:sz w:val="28"/>
          <w:szCs w:val="28"/>
          <w:shd w:val="clear" w:color="auto" w:fill="FFFFFF" w:themeFill="background1"/>
        </w:rPr>
        <w:t>de</w:t>
      </w:r>
      <w:r w:rsidRPr="000C0332">
        <w:rPr>
          <w:rFonts w:ascii="Times New Roman" w:hAnsi="Times New Roman" w:cs="Times New Roman"/>
          <w:sz w:val="28"/>
          <w:szCs w:val="28"/>
        </w:rPr>
        <w:t xml:space="preserve"> Voraigne, Jacobus, </w:t>
      </w:r>
      <w:r w:rsidRPr="000C0332">
        <w:rPr>
          <w:rFonts w:ascii="Times New Roman" w:hAnsi="Times New Roman" w:cs="Times New Roman"/>
          <w:i/>
          <w:iCs/>
          <w:sz w:val="28"/>
          <w:szCs w:val="28"/>
        </w:rPr>
        <w:t xml:space="preserve">La Légende Dorée, </w:t>
      </w:r>
      <w:r w:rsidRPr="000C0332">
        <w:rPr>
          <w:rFonts w:ascii="Times New Roman" w:hAnsi="Times New Roman" w:cs="Times New Roman"/>
          <w:sz w:val="28"/>
          <w:szCs w:val="28"/>
        </w:rPr>
        <w:t>ed. and. trans. by Alain Boureau, Monique Goullet et Laurence Moulinier, in collab. with Pascal Collomb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, preface by </w:t>
      </w:r>
      <w:r w:rsidRPr="000C0332">
        <w:rPr>
          <w:rFonts w:ascii="Times New Roman" w:hAnsi="Times New Roman" w:cs="Times New Roman"/>
          <w:sz w:val="28"/>
          <w:szCs w:val="28"/>
        </w:rPr>
        <w:t>Jacques Le Goff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 (</w:t>
      </w:r>
      <w:r w:rsidR="000C55B5" w:rsidRPr="000C0332">
        <w:rPr>
          <w:rFonts w:ascii="Times New Roman" w:hAnsi="Times New Roman" w:cs="Times New Roman"/>
          <w:sz w:val="28"/>
          <w:szCs w:val="28"/>
        </w:rPr>
        <w:t xml:space="preserve">Gallimard, </w:t>
      </w:r>
      <w:r w:rsidRPr="000C0332">
        <w:rPr>
          <w:rFonts w:ascii="Times New Roman" w:hAnsi="Times New Roman" w:cs="Times New Roman"/>
          <w:sz w:val="28"/>
          <w:szCs w:val="28"/>
        </w:rPr>
        <w:t>2004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) &lt;https://www.la-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lastRenderedPageBreak/>
        <w:t>pleiade.fr/Catalogue/GALLIMARD/Bibliotheque-de-la-Pleiade/La-Legende-doree#feuilleteur&gt; [accessed 13.11.25]</w:t>
      </w:r>
    </w:p>
    <w:p w14:paraId="54D78BF2" w14:textId="2BAF453D" w:rsidR="000C55B5" w:rsidRPr="000C0332" w:rsidRDefault="000C55B5" w:rsidP="000C0332">
      <w:pPr>
        <w:shd w:val="clear" w:color="auto" w:fill="FFFFFF" w:themeFill="background1"/>
        <w:spacing w:line="360" w:lineRule="auto"/>
        <w:ind w:left="1080"/>
        <w:rPr>
          <w:rFonts w:ascii="Times New Roman" w:hAnsi="Times New Roman" w:cs="Times New Roman"/>
          <w:i/>
          <w:iCs/>
          <w:sz w:val="28"/>
          <w:szCs w:val="28"/>
        </w:rPr>
      </w:pP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This modern edition unites the precision of scientific work and the clarity of literary translation. It is addressed to </w:t>
      </w:r>
      <w:r w:rsidR="000A14EE" w:rsidRPr="000C0332">
        <w:rPr>
          <w:rFonts w:ascii="Times New Roman" w:hAnsi="Times New Roman" w:cs="Times New Roman"/>
          <w:sz w:val="28"/>
          <w:szCs w:val="28"/>
          <w:lang w:val="en-GB"/>
        </w:rPr>
        <w:t>a broader, educated audience and is a vivid example of how medieval texts can exist in both academically veracious and accessible forms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.</w:t>
      </w:r>
    </w:p>
    <w:p w14:paraId="701E6A05" w14:textId="0451919E" w:rsidR="00BC4BCE" w:rsidRPr="000C0332" w:rsidRDefault="00BC4BCE" w:rsidP="000C0332">
      <w:pPr>
        <w:shd w:val="clear" w:color="auto" w:fill="FFFFFF" w:themeFill="background1"/>
        <w:spacing w:line="360" w:lineRule="auto"/>
        <w:ind w:left="360"/>
        <w:rPr>
          <w:rFonts w:ascii="Times New Roman" w:hAnsi="Times New Roman" w:cs="Times New Roman"/>
          <w:sz w:val="28"/>
          <w:szCs w:val="28"/>
          <w:lang w:val="en-GB"/>
        </w:rPr>
      </w:pPr>
      <w:r w:rsidRPr="000C0332">
        <w:rPr>
          <w:rFonts w:ascii="Times New Roman" w:hAnsi="Times New Roman" w:cs="Times New Roman"/>
          <w:sz w:val="28"/>
          <w:szCs w:val="28"/>
          <w:shd w:val="clear" w:color="auto" w:fill="FFFFFF" w:themeFill="background1"/>
        </w:rPr>
        <w:t>de</w:t>
      </w:r>
      <w:r w:rsidRPr="000C0332">
        <w:rPr>
          <w:rFonts w:ascii="Times New Roman" w:hAnsi="Times New Roman" w:cs="Times New Roman"/>
          <w:sz w:val="28"/>
          <w:szCs w:val="28"/>
        </w:rPr>
        <w:t xml:space="preserve"> Voraigne, Jacobus, </w:t>
      </w:r>
      <w:r w:rsidRPr="000C0332">
        <w:rPr>
          <w:rFonts w:ascii="Times New Roman" w:hAnsi="Times New Roman" w:cs="Times New Roman"/>
          <w:i/>
          <w:iCs/>
          <w:sz w:val="28"/>
          <w:szCs w:val="28"/>
        </w:rPr>
        <w:t xml:space="preserve">Legenda aurea / Iacopo da Varazze: edizione critica a cura di Giovanni Paolo Maggioni, </w:t>
      </w:r>
      <w:r w:rsidRPr="000C0332">
        <w:rPr>
          <w:rFonts w:ascii="Times New Roman" w:hAnsi="Times New Roman" w:cs="Times New Roman"/>
          <w:sz w:val="28"/>
          <w:szCs w:val="28"/>
        </w:rPr>
        <w:t xml:space="preserve">ed. by Giovanni Maggioni, 2nd edn, 2 vols,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(</w:t>
      </w:r>
      <w:r w:rsidRPr="000C0332">
        <w:rPr>
          <w:rFonts w:ascii="Times New Roman" w:hAnsi="Times New Roman" w:cs="Times New Roman"/>
          <w:sz w:val="28"/>
          <w:szCs w:val="28"/>
        </w:rPr>
        <w:t>Sismel, 1998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) &lt;https://primo.sorbonne-universite.fr/permalink/33BSU_INST/gpos0e/alma990016624790206616&gt; [accessed 1</w:t>
      </w:r>
      <w:r w:rsidR="00757660">
        <w:rPr>
          <w:rFonts w:ascii="Times New Roman" w:hAnsi="Times New Roman" w:cs="Times New Roman"/>
          <w:sz w:val="28"/>
          <w:szCs w:val="28"/>
          <w:lang w:val="en-GB"/>
        </w:rPr>
        <w:t>3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.11.25]</w:t>
      </w:r>
    </w:p>
    <w:p w14:paraId="70AF7B7D" w14:textId="07D721F5" w:rsidR="00865D65" w:rsidRPr="000C0332" w:rsidRDefault="00865D65" w:rsidP="000C0332">
      <w:pPr>
        <w:shd w:val="clear" w:color="auto" w:fill="FFFFFF" w:themeFill="background1"/>
        <w:spacing w:line="360" w:lineRule="auto"/>
        <w:ind w:left="1080"/>
        <w:rPr>
          <w:rFonts w:ascii="Times New Roman" w:hAnsi="Times New Roman" w:cs="Times New Roman"/>
          <w:sz w:val="28"/>
          <w:szCs w:val="28"/>
          <w:lang w:val="en-GB"/>
        </w:rPr>
      </w:pPr>
      <w:r w:rsidRPr="000C0332">
        <w:rPr>
          <w:rFonts w:ascii="Times New Roman" w:hAnsi="Times New Roman" w:cs="Times New Roman"/>
          <w:sz w:val="28"/>
          <w:szCs w:val="28"/>
          <w:lang w:val="en-GB"/>
        </w:rPr>
        <w:t>This modern critical version is the most precise and scientifically revised edition of the Latin original compilation.</w:t>
      </w:r>
      <w:r w:rsidR="00B860A5">
        <w:rPr>
          <w:rStyle w:val="FootnoteReference"/>
          <w:rFonts w:ascii="Times New Roman" w:hAnsi="Times New Roman" w:cs="Times New Roman"/>
          <w:sz w:val="28"/>
          <w:szCs w:val="28"/>
          <w:lang w:val="en-GB"/>
        </w:rPr>
        <w:footnoteReference w:id="1"/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 Maggioni describes </w:t>
      </w:r>
      <w:r w:rsidR="000A14EE"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in great detail the handwritten tradition of medieval times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and explains the principles of textual normalisation. He also offers readers a reconstruction of what specifically </w:t>
      </w:r>
      <w:r w:rsidR="007D4EEB" w:rsidRPr="000C0332">
        <w:rPr>
          <w:rFonts w:ascii="Times New Roman" w:hAnsi="Times New Roman" w:cs="Times New Roman"/>
          <w:sz w:val="28"/>
          <w:szCs w:val="28"/>
          <w:lang w:val="en-GB"/>
        </w:rPr>
        <w:t>the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 Lombardic version </w:t>
      </w:r>
      <w:r w:rsidR="007D4EEB" w:rsidRPr="000C0332">
        <w:rPr>
          <w:rFonts w:ascii="Times New Roman" w:hAnsi="Times New Roman" w:cs="Times New Roman"/>
          <w:sz w:val="28"/>
          <w:szCs w:val="28"/>
          <w:lang w:val="en-GB"/>
        </w:rPr>
        <w:t>is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. </w:t>
      </w:r>
      <w:r w:rsidR="007D4EEB"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This edition is equipped with critical apparatus and commentary, which makes it the main source for modern research on 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‘</w:t>
      </w:r>
      <w:r w:rsidR="007D4EEB" w:rsidRPr="000C0332">
        <w:rPr>
          <w:rFonts w:ascii="Times New Roman" w:hAnsi="Times New Roman" w:cs="Times New Roman"/>
          <w:sz w:val="28"/>
          <w:szCs w:val="28"/>
          <w:lang w:val="en-GB"/>
        </w:rPr>
        <w:t>Legenda aurea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’</w:t>
      </w:r>
      <w:r w:rsidR="007D4EEB" w:rsidRPr="000C0332">
        <w:rPr>
          <w:rFonts w:ascii="Times New Roman" w:hAnsi="Times New Roman" w:cs="Times New Roman"/>
          <w:sz w:val="28"/>
          <w:szCs w:val="28"/>
          <w:lang w:val="en-GB"/>
        </w:rPr>
        <w:t>.</w:t>
      </w:r>
      <w:r w:rsidR="00B860A5">
        <w:rPr>
          <w:rStyle w:val="FootnoteReference"/>
          <w:rFonts w:ascii="Times New Roman" w:hAnsi="Times New Roman" w:cs="Times New Roman"/>
          <w:sz w:val="28"/>
          <w:szCs w:val="28"/>
          <w:lang w:val="en-GB"/>
        </w:rPr>
        <w:footnoteReference w:id="2"/>
      </w:r>
    </w:p>
    <w:p w14:paraId="59D62D6A" w14:textId="2755CC37" w:rsidR="00BC4BCE" w:rsidRPr="000C0332" w:rsidRDefault="00BC4BCE" w:rsidP="000C0332">
      <w:pPr>
        <w:shd w:val="clear" w:color="auto" w:fill="FFFFFF" w:themeFill="background1"/>
        <w:spacing w:line="360" w:lineRule="auto"/>
        <w:ind w:left="360"/>
        <w:rPr>
          <w:rFonts w:ascii="Times New Roman" w:hAnsi="Times New Roman" w:cs="Times New Roman"/>
          <w:sz w:val="28"/>
          <w:szCs w:val="28"/>
          <w:lang w:val="en-GB"/>
        </w:rPr>
      </w:pPr>
      <w:r w:rsidRPr="000C0332">
        <w:rPr>
          <w:rFonts w:ascii="Times New Roman" w:hAnsi="Times New Roman" w:cs="Times New Roman"/>
          <w:sz w:val="28"/>
          <w:szCs w:val="28"/>
          <w:shd w:val="clear" w:color="auto" w:fill="FFFFFF" w:themeFill="background1"/>
        </w:rPr>
        <w:t>de</w:t>
      </w:r>
      <w:r w:rsidRPr="000C0332">
        <w:rPr>
          <w:rFonts w:ascii="Times New Roman" w:hAnsi="Times New Roman" w:cs="Times New Roman"/>
          <w:sz w:val="28"/>
          <w:szCs w:val="28"/>
        </w:rPr>
        <w:t xml:space="preserve"> Voraigne, Jacobus, </w:t>
      </w:r>
      <w:r w:rsidRPr="000C0332">
        <w:rPr>
          <w:rFonts w:ascii="Times New Roman" w:hAnsi="Times New Roman" w:cs="Times New Roman"/>
          <w:i/>
          <w:iCs/>
          <w:sz w:val="28"/>
          <w:szCs w:val="28"/>
        </w:rPr>
        <w:t xml:space="preserve">Legenda Aurea: Vulgo Historia Lombardica Dicta, </w:t>
      </w:r>
      <w:r w:rsidRPr="000C0332">
        <w:rPr>
          <w:rFonts w:ascii="Times New Roman" w:hAnsi="Times New Roman" w:cs="Times New Roman"/>
          <w:sz w:val="28"/>
          <w:szCs w:val="28"/>
        </w:rPr>
        <w:t>ed. by</w:t>
      </w:r>
      <w:r w:rsidRPr="000C0332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Pr="000C0332">
        <w:rPr>
          <w:rFonts w:ascii="Times New Roman" w:hAnsi="Times New Roman" w:cs="Times New Roman"/>
          <w:sz w:val="28"/>
          <w:szCs w:val="28"/>
        </w:rPr>
        <w:t xml:space="preserve">Theodor Graesse,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(</w:t>
      </w:r>
      <w:r w:rsidRPr="000C0332">
        <w:rPr>
          <w:rFonts w:ascii="Times New Roman" w:hAnsi="Times New Roman" w:cs="Times New Roman"/>
          <w:sz w:val="28"/>
          <w:szCs w:val="28"/>
        </w:rPr>
        <w:t>Impensis Librariae Arnoldianae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, 1846) &lt;https://archive.org/details/LegendaAureaGraesse1846&gt; [accessed 1</w:t>
      </w:r>
      <w:r w:rsidR="00757660">
        <w:rPr>
          <w:rFonts w:ascii="Times New Roman" w:hAnsi="Times New Roman" w:cs="Times New Roman"/>
          <w:sz w:val="28"/>
          <w:szCs w:val="28"/>
          <w:lang w:val="en-GB"/>
        </w:rPr>
        <w:t>3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.11.25]</w:t>
      </w:r>
    </w:p>
    <w:p w14:paraId="2008E3D2" w14:textId="634890D0" w:rsidR="007D4EEB" w:rsidRPr="000C0332" w:rsidRDefault="007D4EEB" w:rsidP="000C0332">
      <w:pPr>
        <w:shd w:val="clear" w:color="auto" w:fill="FFFFFF" w:themeFill="background1"/>
        <w:spacing w:line="360" w:lineRule="auto"/>
        <w:ind w:left="1080"/>
        <w:rPr>
          <w:rFonts w:ascii="Times New Roman" w:hAnsi="Times New Roman" w:cs="Times New Roman"/>
          <w:sz w:val="28"/>
          <w:szCs w:val="28"/>
          <w:lang w:val="en-GB"/>
        </w:rPr>
      </w:pP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This edition of the nineteenth century resurrected the academic audience’s interest in the compilation. Graesse’s edition became the basis of all quotations and scientific research of the text for over </w:t>
      </w:r>
      <w:r w:rsidR="00B14849"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a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lastRenderedPageBreak/>
        <w:t>hundred years.</w:t>
      </w:r>
      <w:r w:rsidR="008E2DA0">
        <w:rPr>
          <w:rStyle w:val="FootnoteReference"/>
          <w:rFonts w:ascii="Times New Roman" w:hAnsi="Times New Roman" w:cs="Times New Roman"/>
          <w:sz w:val="28"/>
          <w:szCs w:val="28"/>
          <w:lang w:val="en-GB"/>
        </w:rPr>
        <w:footnoteReference w:id="3"/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B14849" w:rsidRPr="000C0332">
        <w:rPr>
          <w:rFonts w:ascii="Times New Roman" w:hAnsi="Times New Roman" w:cs="Times New Roman"/>
          <w:sz w:val="28"/>
          <w:szCs w:val="28"/>
          <w:lang w:val="en-GB"/>
        </w:rPr>
        <w:t>What makes it special is the comparison of the original manuscripts</w:t>
      </w:r>
      <w:r w:rsidR="000A14EE" w:rsidRPr="000C0332">
        <w:rPr>
          <w:rFonts w:ascii="Times New Roman" w:hAnsi="Times New Roman" w:cs="Times New Roman"/>
          <w:sz w:val="28"/>
          <w:szCs w:val="28"/>
          <w:lang w:val="en-GB"/>
        </w:rPr>
        <w:t>, which allowed them to be amalgamated into a revised text with stable page and chapter numeration</w:t>
      </w:r>
      <w:r w:rsidR="00B14849"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. Thus, it became a standard for any subsequent projects.   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</w:p>
    <w:p w14:paraId="08990F0E" w14:textId="7DDD57A0" w:rsidR="00BC4BCE" w:rsidRPr="000C0332" w:rsidRDefault="00BC4BCE" w:rsidP="000C0332">
      <w:pPr>
        <w:shd w:val="clear" w:color="auto" w:fill="FFFFFF" w:themeFill="background1"/>
        <w:spacing w:line="360" w:lineRule="auto"/>
        <w:ind w:left="360"/>
        <w:rPr>
          <w:rFonts w:ascii="Times New Roman" w:hAnsi="Times New Roman" w:cs="Times New Roman"/>
          <w:sz w:val="28"/>
          <w:szCs w:val="28"/>
          <w:lang w:val="en-GB"/>
        </w:rPr>
      </w:pPr>
      <w:r w:rsidRPr="000C0332">
        <w:rPr>
          <w:rFonts w:ascii="Times New Roman" w:hAnsi="Times New Roman" w:cs="Times New Roman"/>
          <w:sz w:val="28"/>
          <w:szCs w:val="28"/>
          <w:shd w:val="clear" w:color="auto" w:fill="FFFFFF" w:themeFill="background1"/>
        </w:rPr>
        <w:t>de</w:t>
      </w:r>
      <w:r w:rsidRPr="000C0332">
        <w:rPr>
          <w:rFonts w:ascii="Times New Roman" w:hAnsi="Times New Roman" w:cs="Times New Roman"/>
          <w:sz w:val="28"/>
          <w:szCs w:val="28"/>
        </w:rPr>
        <w:t xml:space="preserve"> Voraigne, Jacobus, </w:t>
      </w:r>
      <w:r w:rsidRPr="000C0332">
        <w:rPr>
          <w:rFonts w:ascii="Times New Roman" w:hAnsi="Times New Roman" w:cs="Times New Roman"/>
          <w:i/>
          <w:iCs/>
          <w:sz w:val="28"/>
          <w:szCs w:val="28"/>
        </w:rPr>
        <w:t xml:space="preserve">Légende dorée, </w:t>
      </w:r>
      <w:r w:rsidRPr="000C0332">
        <w:rPr>
          <w:rFonts w:ascii="Times New Roman" w:hAnsi="Times New Roman" w:cs="Times New Roman"/>
          <w:sz w:val="28"/>
          <w:szCs w:val="28"/>
        </w:rPr>
        <w:t xml:space="preserve">ed. by Guillaume Le Roy, trans. by Jean de Vignay,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(</w:t>
      </w:r>
      <w:r w:rsidRPr="000C0332">
        <w:rPr>
          <w:rFonts w:ascii="Times New Roman" w:hAnsi="Times New Roman" w:cs="Times New Roman"/>
          <w:sz w:val="28"/>
          <w:szCs w:val="28"/>
        </w:rPr>
        <w:t>Jean Batallier, Lyon, 1476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) &lt;https://books.google.com.ua/books?id=nm8oiMdVw2AC&amp;hl=fr&amp;pg=PA3#v=onepage&amp;q&amp;f=false&gt; [accessed 1</w:t>
      </w:r>
      <w:r w:rsidR="00757660">
        <w:rPr>
          <w:rFonts w:ascii="Times New Roman" w:hAnsi="Times New Roman" w:cs="Times New Roman"/>
          <w:sz w:val="28"/>
          <w:szCs w:val="28"/>
          <w:lang w:val="en-GB"/>
        </w:rPr>
        <w:t>3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.11.25]</w:t>
      </w:r>
    </w:p>
    <w:p w14:paraId="136AD05F" w14:textId="73914225" w:rsidR="00DF0F2A" w:rsidRPr="000C0332" w:rsidRDefault="00DF0F2A" w:rsidP="000C0332">
      <w:pPr>
        <w:shd w:val="clear" w:color="auto" w:fill="FFFFFF" w:themeFill="background1"/>
        <w:spacing w:line="360" w:lineRule="auto"/>
        <w:ind w:left="1080"/>
        <w:rPr>
          <w:rFonts w:ascii="Times New Roman" w:hAnsi="Times New Roman" w:cs="Times New Roman"/>
          <w:sz w:val="28"/>
          <w:szCs w:val="28"/>
          <w:lang w:val="en-GB"/>
        </w:rPr>
      </w:pP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This translation became one of the most </w:t>
      </w:r>
      <w:r w:rsidR="000A14EE" w:rsidRPr="000C0332">
        <w:rPr>
          <w:rFonts w:ascii="Times New Roman" w:hAnsi="Times New Roman" w:cs="Times New Roman"/>
          <w:sz w:val="28"/>
          <w:szCs w:val="28"/>
          <w:lang w:val="en-GB"/>
        </w:rPr>
        <w:t>critical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 milestones in </w:t>
      </w:r>
      <w:r w:rsidR="000A14EE"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the textual tradition because, through this version, 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‘</w:t>
      </w:r>
      <w:r w:rsidR="000A14EE" w:rsidRPr="000C0332">
        <w:rPr>
          <w:rFonts w:ascii="Times New Roman" w:hAnsi="Times New Roman" w:cs="Times New Roman"/>
          <w:sz w:val="28"/>
          <w:szCs w:val="28"/>
          <w:lang w:val="en-GB"/>
        </w:rPr>
        <w:t>Legenda aurea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’</w:t>
      </w:r>
      <w:r w:rsidR="000A14EE"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 entered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French linguistic culture. This edition is another prominent example of </w:t>
      </w:r>
      <w:r w:rsidR="000A14EE"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adaptation to the local audience and of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a transition from Latin inaccessibility to the people’s language.</w:t>
      </w:r>
    </w:p>
    <w:p w14:paraId="72E353DD" w14:textId="1A46A23A" w:rsidR="00BC4BCE" w:rsidRPr="000C0332" w:rsidRDefault="00BC4BCE" w:rsidP="000C0332">
      <w:pPr>
        <w:shd w:val="clear" w:color="auto" w:fill="FFFFFF" w:themeFill="background1"/>
        <w:spacing w:line="360" w:lineRule="auto"/>
        <w:ind w:left="360"/>
        <w:rPr>
          <w:rFonts w:ascii="Times New Roman" w:hAnsi="Times New Roman" w:cs="Times New Roman"/>
          <w:sz w:val="28"/>
          <w:szCs w:val="28"/>
          <w:lang w:val="en-GB"/>
        </w:rPr>
      </w:pPr>
      <w:r w:rsidRPr="000C0332">
        <w:rPr>
          <w:rFonts w:ascii="Times New Roman" w:hAnsi="Times New Roman" w:cs="Times New Roman"/>
          <w:sz w:val="28"/>
          <w:szCs w:val="28"/>
          <w:shd w:val="clear" w:color="auto" w:fill="FFFFFF" w:themeFill="background1"/>
        </w:rPr>
        <w:t>de</w:t>
      </w:r>
      <w:r w:rsidRPr="000C0332">
        <w:rPr>
          <w:rFonts w:ascii="Times New Roman" w:hAnsi="Times New Roman" w:cs="Times New Roman"/>
          <w:sz w:val="28"/>
          <w:szCs w:val="28"/>
        </w:rPr>
        <w:t xml:space="preserve"> Voraigne, Jacobus, </w:t>
      </w:r>
      <w:r w:rsidRPr="000C0332">
        <w:rPr>
          <w:rFonts w:ascii="Times New Roman" w:hAnsi="Times New Roman" w:cs="Times New Roman"/>
          <w:i/>
          <w:iCs/>
          <w:sz w:val="28"/>
          <w:szCs w:val="28"/>
        </w:rPr>
        <w:t xml:space="preserve">Leggenda aurea. Storie dal deserto, storie malvagie, storie strane, </w:t>
      </w:r>
      <w:r w:rsidRPr="000C0332">
        <w:rPr>
          <w:rFonts w:ascii="Times New Roman" w:hAnsi="Times New Roman" w:cs="Times New Roman"/>
          <w:sz w:val="28"/>
          <w:szCs w:val="28"/>
        </w:rPr>
        <w:t xml:space="preserve">ed. by Giovanni Maggioni, trans. by Francis Stella,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(</w:t>
      </w:r>
      <w:r w:rsidRPr="000C0332">
        <w:rPr>
          <w:rFonts w:ascii="Times New Roman" w:hAnsi="Times New Roman" w:cs="Times New Roman"/>
          <w:sz w:val="28"/>
          <w:szCs w:val="28"/>
        </w:rPr>
        <w:t>Sismel, 2016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) &lt;https://www.sismel.it/pubblicazioni/1489-leggenda-aurea-storie-dal-deserto-storie-malvagie-storie-strane&gt; [accessed 1</w:t>
      </w:r>
      <w:r w:rsidR="00757660">
        <w:rPr>
          <w:rFonts w:ascii="Times New Roman" w:hAnsi="Times New Roman" w:cs="Times New Roman"/>
          <w:sz w:val="28"/>
          <w:szCs w:val="28"/>
          <w:lang w:val="en-GB"/>
        </w:rPr>
        <w:t>3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.11.25]</w:t>
      </w:r>
    </w:p>
    <w:p w14:paraId="02436AAF" w14:textId="023DB6DF" w:rsidR="00DF0F2A" w:rsidRPr="000C0332" w:rsidRDefault="00DF0F2A" w:rsidP="000C0332">
      <w:pPr>
        <w:shd w:val="clear" w:color="auto" w:fill="FFFFFF" w:themeFill="background1"/>
        <w:spacing w:line="360" w:lineRule="auto"/>
        <w:ind w:left="1080"/>
        <w:rPr>
          <w:rFonts w:ascii="Times New Roman" w:hAnsi="Times New Roman" w:cs="Times New Roman"/>
          <w:sz w:val="28"/>
          <w:szCs w:val="28"/>
          <w:lang w:val="en-GB"/>
        </w:rPr>
      </w:pP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In </w:t>
      </w:r>
      <w:r w:rsidR="000A14EE" w:rsidRPr="000C0332">
        <w:rPr>
          <w:rFonts w:ascii="Times New Roman" w:hAnsi="Times New Roman" w:cs="Times New Roman"/>
          <w:sz w:val="28"/>
          <w:szCs w:val="28"/>
          <w:lang w:val="en-GB"/>
        </w:rPr>
        <w:t>recent decades, selective anthologies have become increasingly common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. Such editions feature both </w:t>
      </w:r>
      <w:r w:rsidR="000A14EE" w:rsidRPr="000C0332">
        <w:rPr>
          <w:rFonts w:ascii="Times New Roman" w:hAnsi="Times New Roman" w:cs="Times New Roman"/>
          <w:sz w:val="28"/>
          <w:szCs w:val="28"/>
          <w:lang w:val="en-GB"/>
        </w:rPr>
        <w:t>the original text and modern adaptations, full of commentary and explanations of historical context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. </w:t>
      </w:r>
      <w:r w:rsidR="0028512F"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These works are addressed to broader audiences thanks to </w:t>
      </w:r>
      <w:r w:rsidR="000A14EE"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their accessibility and excitement, without losing </w:t>
      </w:r>
      <w:r w:rsidR="0028512F" w:rsidRPr="000C0332">
        <w:rPr>
          <w:rFonts w:ascii="Times New Roman" w:hAnsi="Times New Roman" w:cs="Times New Roman"/>
          <w:sz w:val="28"/>
          <w:szCs w:val="28"/>
          <w:lang w:val="en-GB"/>
        </w:rPr>
        <w:t>academic quality.</w:t>
      </w:r>
    </w:p>
    <w:p w14:paraId="161545F1" w14:textId="77777777" w:rsidR="00BC4BCE" w:rsidRPr="000C0332" w:rsidRDefault="00BC4BCE" w:rsidP="000C0332">
      <w:pPr>
        <w:shd w:val="clear" w:color="auto" w:fill="FFFFFF" w:themeFill="background1"/>
        <w:spacing w:line="360" w:lineRule="auto"/>
        <w:ind w:left="360"/>
        <w:rPr>
          <w:rFonts w:ascii="Times New Roman" w:hAnsi="Times New Roman" w:cs="Times New Roman"/>
          <w:sz w:val="28"/>
          <w:szCs w:val="28"/>
        </w:rPr>
      </w:pPr>
      <w:r w:rsidRPr="000C0332">
        <w:rPr>
          <w:rFonts w:ascii="Times New Roman" w:hAnsi="Times New Roman" w:cs="Times New Roman"/>
          <w:sz w:val="28"/>
          <w:szCs w:val="28"/>
        </w:rPr>
        <w:t xml:space="preserve">de Voraigne, Jacobus, </w:t>
      </w:r>
      <w:r w:rsidRPr="000C0332">
        <w:rPr>
          <w:rFonts w:ascii="Times New Roman" w:hAnsi="Times New Roman" w:cs="Times New Roman"/>
          <w:i/>
          <w:iCs/>
          <w:sz w:val="28"/>
          <w:szCs w:val="28"/>
        </w:rPr>
        <w:t xml:space="preserve">The Golden Legend (Aurea Legenda), </w:t>
      </w:r>
      <w:r w:rsidRPr="000C0332">
        <w:rPr>
          <w:rFonts w:ascii="Times New Roman" w:hAnsi="Times New Roman" w:cs="Times New Roman"/>
          <w:sz w:val="28"/>
          <w:szCs w:val="28"/>
        </w:rPr>
        <w:t>ed. by</w:t>
      </w:r>
      <w:r w:rsidRPr="000C0332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Pr="000C0332">
        <w:rPr>
          <w:rFonts w:ascii="Times New Roman" w:hAnsi="Times New Roman" w:cs="Times New Roman"/>
          <w:sz w:val="28"/>
          <w:szCs w:val="28"/>
        </w:rPr>
        <w:t xml:space="preserve">Frederick Startridge Ellis,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(</w:t>
      </w:r>
      <w:r w:rsidRPr="000C0332">
        <w:rPr>
          <w:rFonts w:ascii="Times New Roman" w:hAnsi="Times New Roman" w:cs="Times New Roman"/>
          <w:sz w:val="28"/>
          <w:szCs w:val="28"/>
        </w:rPr>
        <w:t>Temple Classics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, 1900)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lastRenderedPageBreak/>
        <w:t>&lt;https://sourcebooks.web.fordham.edu/basis/goldenlegend/index.asp&gt; [accessed 13.11.25]</w:t>
      </w:r>
    </w:p>
    <w:p w14:paraId="220DC859" w14:textId="65E8BD3C" w:rsidR="0028512F" w:rsidRPr="000C0332" w:rsidRDefault="0028512F" w:rsidP="000C0332">
      <w:pPr>
        <w:shd w:val="clear" w:color="auto" w:fill="FFFFFF" w:themeFill="background1"/>
        <w:spacing w:line="360" w:lineRule="auto"/>
        <w:ind w:left="1080"/>
        <w:rPr>
          <w:rFonts w:ascii="Times New Roman" w:hAnsi="Times New Roman" w:cs="Times New Roman"/>
          <w:sz w:val="28"/>
          <w:szCs w:val="28"/>
        </w:rPr>
      </w:pPr>
      <w:r w:rsidRPr="000C0332">
        <w:rPr>
          <w:rFonts w:ascii="Times New Roman" w:hAnsi="Times New Roman" w:cs="Times New Roman"/>
          <w:sz w:val="28"/>
          <w:szCs w:val="28"/>
        </w:rPr>
        <w:t xml:space="preserve">An authoritative institution like Fordham University created this digital edition for educational purposes. Thanks to its academic provenance, clear table of contents and stable URL address, this version proves </w:t>
      </w:r>
      <w:r w:rsidR="000A14EE" w:rsidRPr="000C0332">
        <w:rPr>
          <w:rFonts w:ascii="Times New Roman" w:hAnsi="Times New Roman" w:cs="Times New Roman"/>
          <w:sz w:val="28"/>
          <w:szCs w:val="28"/>
        </w:rPr>
        <w:t>helpful</w:t>
      </w:r>
      <w:r w:rsidR="00AD6D4F" w:rsidRPr="000C0332">
        <w:rPr>
          <w:rFonts w:ascii="Times New Roman" w:hAnsi="Times New Roman" w:cs="Times New Roman"/>
          <w:sz w:val="28"/>
          <w:szCs w:val="28"/>
        </w:rPr>
        <w:t xml:space="preserve"> and accessible worldwide.</w:t>
      </w:r>
    </w:p>
    <w:p w14:paraId="4928DD61" w14:textId="465AD52D" w:rsidR="00BC4BCE" w:rsidRPr="000C0332" w:rsidRDefault="00BC4BCE" w:rsidP="000C0332">
      <w:pPr>
        <w:shd w:val="clear" w:color="auto" w:fill="FFFFFF" w:themeFill="background1"/>
        <w:spacing w:line="360" w:lineRule="auto"/>
        <w:ind w:left="360"/>
        <w:rPr>
          <w:rFonts w:ascii="Times New Roman" w:hAnsi="Times New Roman" w:cs="Times New Roman"/>
          <w:sz w:val="28"/>
          <w:szCs w:val="28"/>
        </w:rPr>
      </w:pPr>
      <w:r w:rsidRPr="000C0332">
        <w:rPr>
          <w:rFonts w:ascii="Times New Roman" w:hAnsi="Times New Roman" w:cs="Times New Roman"/>
          <w:sz w:val="28"/>
          <w:szCs w:val="28"/>
          <w:shd w:val="clear" w:color="auto" w:fill="FFFFFF" w:themeFill="background1"/>
        </w:rPr>
        <w:t>de</w:t>
      </w:r>
      <w:r w:rsidRPr="000C0332">
        <w:rPr>
          <w:rFonts w:ascii="Times New Roman" w:hAnsi="Times New Roman" w:cs="Times New Roman"/>
          <w:sz w:val="28"/>
          <w:szCs w:val="28"/>
        </w:rPr>
        <w:t xml:space="preserve"> Voraigne, Jacobus, </w:t>
      </w:r>
      <w:r w:rsidRPr="000C0332">
        <w:rPr>
          <w:rFonts w:ascii="Times New Roman" w:hAnsi="Times New Roman" w:cs="Times New Roman"/>
          <w:i/>
          <w:iCs/>
          <w:sz w:val="28"/>
          <w:szCs w:val="28"/>
        </w:rPr>
        <w:t xml:space="preserve">The Golden Legend, </w:t>
      </w:r>
      <w:r w:rsidRPr="000C0332">
        <w:rPr>
          <w:rFonts w:ascii="Times New Roman" w:hAnsi="Times New Roman" w:cs="Times New Roman"/>
          <w:sz w:val="28"/>
          <w:szCs w:val="28"/>
        </w:rPr>
        <w:t>ed. by</w:t>
      </w:r>
      <w:r w:rsidRPr="000C0332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Pr="000C0332">
        <w:rPr>
          <w:rFonts w:ascii="Times New Roman" w:hAnsi="Times New Roman" w:cs="Times New Roman"/>
          <w:sz w:val="28"/>
          <w:szCs w:val="28"/>
        </w:rPr>
        <w:t xml:space="preserve">Alfred Aspland,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(William Caxton, 1483; facsimile repr. </w:t>
      </w:r>
      <w:r w:rsidRPr="000C0332">
        <w:rPr>
          <w:rFonts w:ascii="Times New Roman" w:hAnsi="Times New Roman" w:cs="Times New Roman"/>
          <w:sz w:val="28"/>
          <w:szCs w:val="28"/>
        </w:rPr>
        <w:t>Holbein Society, 1878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) &lt;https://books.google.com.ua/books?id=_CwPAQAAMAAJ&amp;hl=ru&amp;pg=PA3#v=onepage&amp;q&amp;f=false&gt; [accessed 1</w:t>
      </w:r>
      <w:r w:rsidR="00757660">
        <w:rPr>
          <w:rFonts w:ascii="Times New Roman" w:hAnsi="Times New Roman" w:cs="Times New Roman"/>
          <w:sz w:val="28"/>
          <w:szCs w:val="28"/>
          <w:lang w:val="en-GB"/>
        </w:rPr>
        <w:t>3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.11.25]</w:t>
      </w:r>
    </w:p>
    <w:p w14:paraId="483A63EE" w14:textId="7336BF92" w:rsidR="00AD6D4F" w:rsidRPr="000C0332" w:rsidRDefault="00AD6D4F" w:rsidP="000C0332">
      <w:pPr>
        <w:shd w:val="clear" w:color="auto" w:fill="FFFFFF" w:themeFill="background1"/>
        <w:spacing w:line="360" w:lineRule="auto"/>
        <w:ind w:left="1080"/>
        <w:rPr>
          <w:rFonts w:ascii="Times New Roman" w:hAnsi="Times New Roman" w:cs="Times New Roman"/>
          <w:sz w:val="28"/>
          <w:szCs w:val="28"/>
        </w:rPr>
      </w:pP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Facsimile reprint returns the compilation to its corporeality in every aspect: font, layout, engravings, etc. Such editions allow researchers to analyse the nuances of early typographic practices and how the visual </w:t>
      </w:r>
      <w:r w:rsidR="000A14EE" w:rsidRPr="000C0332">
        <w:rPr>
          <w:rFonts w:ascii="Times New Roman" w:hAnsi="Times New Roman" w:cs="Times New Roman"/>
          <w:sz w:val="28"/>
          <w:szCs w:val="28"/>
          <w:lang w:val="en-GB"/>
        </w:rPr>
        <w:t>element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 influences the perception of context. Facsimile editions are also </w:t>
      </w:r>
      <w:r w:rsidR="000A14EE" w:rsidRPr="000C0332">
        <w:rPr>
          <w:rFonts w:ascii="Times New Roman" w:hAnsi="Times New Roman" w:cs="Times New Roman"/>
          <w:sz w:val="28"/>
          <w:szCs w:val="28"/>
          <w:lang w:val="en-GB"/>
        </w:rPr>
        <w:t>helpful in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 teaching </w:t>
      </w:r>
      <w:r w:rsidR="001435B2" w:rsidRPr="000C0332">
        <w:rPr>
          <w:rFonts w:ascii="Times New Roman" w:hAnsi="Times New Roman" w:cs="Times New Roman"/>
          <w:sz w:val="28"/>
          <w:szCs w:val="28"/>
          <w:lang w:val="en-GB"/>
        </w:rPr>
        <w:t>the skills of working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 with primary sources. </w:t>
      </w:r>
    </w:p>
    <w:p w14:paraId="55A93C28" w14:textId="0F0CF25E" w:rsidR="000A14EE" w:rsidRPr="000C0332" w:rsidRDefault="00BC4BCE" w:rsidP="000C0332">
      <w:pPr>
        <w:shd w:val="clear" w:color="auto" w:fill="FFFFFF" w:themeFill="background1"/>
        <w:spacing w:line="360" w:lineRule="auto"/>
        <w:ind w:left="360"/>
        <w:rPr>
          <w:rFonts w:ascii="Times New Roman" w:hAnsi="Times New Roman" w:cs="Times New Roman"/>
          <w:sz w:val="28"/>
          <w:szCs w:val="28"/>
        </w:rPr>
      </w:pPr>
      <w:bookmarkStart w:id="0" w:name="_Hlk213843964"/>
      <w:r w:rsidRPr="000C0332">
        <w:rPr>
          <w:rFonts w:ascii="Times New Roman" w:hAnsi="Times New Roman" w:cs="Times New Roman"/>
          <w:sz w:val="28"/>
          <w:szCs w:val="28"/>
          <w:shd w:val="clear" w:color="auto" w:fill="FFFFFF" w:themeFill="background1"/>
        </w:rPr>
        <w:t>de</w:t>
      </w:r>
      <w:r w:rsidRPr="000C0332">
        <w:rPr>
          <w:rFonts w:ascii="Times New Roman" w:hAnsi="Times New Roman" w:cs="Times New Roman"/>
          <w:sz w:val="28"/>
          <w:szCs w:val="28"/>
        </w:rPr>
        <w:t xml:space="preserve"> Voraigne, Jacobus, </w:t>
      </w:r>
      <w:r w:rsidRPr="000C0332">
        <w:rPr>
          <w:rFonts w:ascii="Times New Roman" w:hAnsi="Times New Roman" w:cs="Times New Roman"/>
          <w:i/>
          <w:iCs/>
          <w:sz w:val="28"/>
          <w:szCs w:val="28"/>
        </w:rPr>
        <w:t xml:space="preserve">The Golden Legend: Readings on the Saints, </w:t>
      </w:r>
      <w:r w:rsidRPr="000C0332">
        <w:rPr>
          <w:rFonts w:ascii="Times New Roman" w:hAnsi="Times New Roman" w:cs="Times New Roman"/>
          <w:sz w:val="28"/>
          <w:szCs w:val="28"/>
        </w:rPr>
        <w:t xml:space="preserve">trans. by William Granger Ryan, 2 vols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(</w:t>
      </w:r>
      <w:r w:rsidRPr="000C0332">
        <w:rPr>
          <w:rFonts w:ascii="Times New Roman" w:hAnsi="Times New Roman" w:cs="Times New Roman"/>
          <w:sz w:val="28"/>
          <w:szCs w:val="28"/>
        </w:rPr>
        <w:t>Princeton University, 1993-1995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) &lt;https://archive.org/details/goldenlegendread0001jaco&gt; &lt;https://archive.org/details/goldenlegendread0002jaco&gt; [accessed 1</w:t>
      </w:r>
      <w:r w:rsidR="00757660">
        <w:rPr>
          <w:rFonts w:ascii="Times New Roman" w:hAnsi="Times New Roman" w:cs="Times New Roman"/>
          <w:sz w:val="28"/>
          <w:szCs w:val="28"/>
          <w:lang w:val="en-GB"/>
        </w:rPr>
        <w:t>3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.11.25]</w:t>
      </w:r>
    </w:p>
    <w:p w14:paraId="395A483E" w14:textId="738A9064" w:rsidR="000A14EE" w:rsidRPr="000C0332" w:rsidRDefault="0043167C" w:rsidP="000C0332">
      <w:pPr>
        <w:shd w:val="clear" w:color="auto" w:fill="FFFFFF" w:themeFill="background1"/>
        <w:spacing w:line="360" w:lineRule="auto"/>
        <w:ind w:left="1080"/>
        <w:rPr>
          <w:rFonts w:ascii="Times New Roman" w:hAnsi="Times New Roman" w:cs="Times New Roman"/>
          <w:sz w:val="28"/>
          <w:szCs w:val="28"/>
        </w:rPr>
      </w:pPr>
      <w:r w:rsidRPr="000C0332">
        <w:rPr>
          <w:rFonts w:ascii="Times New Roman" w:hAnsi="Times New Roman" w:cs="Times New Roman"/>
          <w:sz w:val="28"/>
          <w:szCs w:val="28"/>
        </w:rPr>
        <w:t xml:space="preserve">This edition became the first </w:t>
      </w:r>
      <w:r w:rsidR="0047074B">
        <w:rPr>
          <w:rFonts w:ascii="Times New Roman" w:hAnsi="Times New Roman" w:cs="Times New Roman"/>
          <w:sz w:val="28"/>
          <w:szCs w:val="28"/>
        </w:rPr>
        <w:t>complete</w:t>
      </w:r>
      <w:r w:rsidRPr="000C0332">
        <w:rPr>
          <w:rFonts w:ascii="Times New Roman" w:hAnsi="Times New Roman" w:cs="Times New Roman"/>
          <w:sz w:val="28"/>
          <w:szCs w:val="28"/>
        </w:rPr>
        <w:t xml:space="preserve"> and academic version in modern English. It was translated from Graesse’s Latin text and accompanied by commentary on sources and the cultural context of the separate stories.</w:t>
      </w:r>
      <w:r w:rsidR="000C0332">
        <w:rPr>
          <w:rStyle w:val="FootnoteReference"/>
          <w:rFonts w:ascii="Times New Roman" w:hAnsi="Times New Roman" w:cs="Times New Roman"/>
          <w:sz w:val="28"/>
          <w:szCs w:val="28"/>
        </w:rPr>
        <w:footnoteReference w:id="4"/>
      </w:r>
      <w:r w:rsidRPr="000C0332">
        <w:rPr>
          <w:rFonts w:ascii="Times New Roman" w:hAnsi="Times New Roman" w:cs="Times New Roman"/>
          <w:sz w:val="28"/>
          <w:szCs w:val="28"/>
        </w:rPr>
        <w:t xml:space="preserve"> This is a canonical academic translation essential for the English-speaking audience. </w:t>
      </w:r>
    </w:p>
    <w:bookmarkEnd w:id="0"/>
    <w:p w14:paraId="06F88A27" w14:textId="135DE8EA" w:rsidR="00BC4BCE" w:rsidRPr="000C0332" w:rsidRDefault="00BC4BCE" w:rsidP="000C0332">
      <w:pPr>
        <w:shd w:val="clear" w:color="auto" w:fill="FFFFFF" w:themeFill="background1"/>
        <w:spacing w:line="360" w:lineRule="auto"/>
        <w:ind w:left="360"/>
        <w:rPr>
          <w:rFonts w:ascii="Times New Roman" w:hAnsi="Times New Roman" w:cs="Times New Roman"/>
          <w:sz w:val="28"/>
          <w:szCs w:val="28"/>
          <w:lang w:val="en-GB"/>
        </w:rPr>
      </w:pPr>
      <w:r w:rsidRPr="00695366">
        <w:rPr>
          <w:rFonts w:ascii="Times New Roman" w:hAnsi="Times New Roman" w:cs="Times New Roman"/>
          <w:sz w:val="28"/>
          <w:szCs w:val="28"/>
        </w:rPr>
        <w:lastRenderedPageBreak/>
        <w:t>de</w:t>
      </w:r>
      <w:r w:rsidRPr="000C0332">
        <w:rPr>
          <w:rFonts w:ascii="Times New Roman" w:hAnsi="Times New Roman" w:cs="Times New Roman"/>
          <w:sz w:val="28"/>
          <w:szCs w:val="28"/>
        </w:rPr>
        <w:t xml:space="preserve"> Voraigne, Jacobus, </w:t>
      </w:r>
      <w:r w:rsidRPr="000C0332">
        <w:rPr>
          <w:rFonts w:ascii="Times New Roman" w:hAnsi="Times New Roman" w:cs="Times New Roman"/>
          <w:i/>
          <w:iCs/>
          <w:sz w:val="28"/>
          <w:szCs w:val="28"/>
        </w:rPr>
        <w:t xml:space="preserve">Thus Endeth the Legende Named in Latyn Legenda Aurea, That Is to Saye in Englysshe the Golden Legende ..., </w:t>
      </w:r>
      <w:r w:rsidRPr="000C0332">
        <w:rPr>
          <w:rFonts w:ascii="Times New Roman" w:hAnsi="Times New Roman" w:cs="Times New Roman"/>
          <w:sz w:val="28"/>
          <w:szCs w:val="28"/>
        </w:rPr>
        <w:t xml:space="preserve">ed. and trans. by William Caxton, </w:t>
      </w:r>
      <w:r w:rsidRPr="00695366">
        <w:rPr>
          <w:rFonts w:ascii="Times New Roman" w:hAnsi="Times New Roman" w:cs="Times New Roman"/>
          <w:sz w:val="28"/>
          <w:szCs w:val="28"/>
        </w:rPr>
        <w:t>STC (2nd ed.) 24873</w:t>
      </w:r>
      <w:r w:rsidRPr="000C0332">
        <w:rPr>
          <w:rFonts w:ascii="Times New Roman" w:hAnsi="Times New Roman" w:cs="Times New Roman"/>
          <w:sz w:val="28"/>
          <w:szCs w:val="28"/>
        </w:rPr>
        <w:t xml:space="preserve">, 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(William Caxton, 1483) &lt;https://datb.cerl.org/estc/S541&gt; [accessed 1</w:t>
      </w:r>
      <w:r w:rsidR="00757660">
        <w:rPr>
          <w:rFonts w:ascii="Times New Roman" w:hAnsi="Times New Roman" w:cs="Times New Roman"/>
          <w:sz w:val="28"/>
          <w:szCs w:val="28"/>
          <w:lang w:val="en-GB"/>
        </w:rPr>
        <w:t>3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.11.25]</w:t>
      </w:r>
    </w:p>
    <w:p w14:paraId="0913FF1A" w14:textId="3352C150" w:rsidR="0043167C" w:rsidRPr="000C0332" w:rsidRDefault="0043167C" w:rsidP="000C0332">
      <w:pPr>
        <w:shd w:val="clear" w:color="auto" w:fill="FFFFFF" w:themeFill="background1"/>
        <w:spacing w:line="360" w:lineRule="auto"/>
        <w:ind w:left="1080"/>
        <w:rPr>
          <w:rFonts w:ascii="Times New Roman" w:hAnsi="Times New Roman" w:cs="Times New Roman"/>
          <w:sz w:val="28"/>
          <w:szCs w:val="28"/>
          <w:lang w:val="en-GB"/>
        </w:rPr>
      </w:pP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This incunabulum was the first English version of 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‘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The Golden Legend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’</w:t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>. This edition was crucial for the distribution of the text outside the cloister world. Caxton adapted the material to a broader audience, making the compilation one of the most read books in England.</w:t>
      </w:r>
      <w:r w:rsidR="000C0332">
        <w:rPr>
          <w:rStyle w:val="FootnoteReference"/>
          <w:rFonts w:ascii="Times New Roman" w:hAnsi="Times New Roman" w:cs="Times New Roman"/>
          <w:sz w:val="28"/>
          <w:szCs w:val="28"/>
          <w:lang w:val="en-GB"/>
        </w:rPr>
        <w:footnoteReference w:id="5"/>
      </w:r>
      <w:r w:rsidRPr="000C0332">
        <w:rPr>
          <w:rFonts w:ascii="Times New Roman" w:hAnsi="Times New Roman" w:cs="Times New Roman"/>
          <w:sz w:val="28"/>
          <w:szCs w:val="28"/>
          <w:lang w:val="en-GB"/>
        </w:rPr>
        <w:t xml:space="preserve"> It signifies a transition from manuscripts to printed knowledge and public reading.</w:t>
      </w:r>
    </w:p>
    <w:p w14:paraId="42B64EB8" w14:textId="4EE0C26F" w:rsidR="00E54715" w:rsidRDefault="00E54715" w:rsidP="00E54715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Conclusion</w:t>
      </w:r>
    </w:p>
    <w:p w14:paraId="70791FB6" w14:textId="54C65150" w:rsidR="00E54715" w:rsidRDefault="00E54715" w:rsidP="00E54715">
      <w:pPr>
        <w:shd w:val="clear" w:color="auto" w:fill="FFFFFF" w:themeFill="background1"/>
        <w:spacing w:line="360" w:lineRule="auto"/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ab/>
        <w:t xml:space="preserve">Observed editions reveal that the history of 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‘</w:t>
      </w:r>
      <w:r>
        <w:rPr>
          <w:rFonts w:ascii="Times New Roman" w:hAnsi="Times New Roman" w:cs="Times New Roman"/>
          <w:sz w:val="28"/>
          <w:szCs w:val="28"/>
          <w:lang w:val="en-GB"/>
        </w:rPr>
        <w:t>Legenda Aurea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’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isn’t just that of a historical text, but also of development in European book culture. Every new edition did not just represent a linguistic work but the shifts of perception of sanctity itself and the role of the book in society. </w:t>
      </w:r>
    </w:p>
    <w:p w14:paraId="3A686062" w14:textId="6230FA4E" w:rsidR="004C7DD5" w:rsidRDefault="004C7DD5" w:rsidP="00E54715">
      <w:pPr>
        <w:shd w:val="clear" w:color="auto" w:fill="FFFFFF" w:themeFill="background1"/>
        <w:spacing w:line="360" w:lineRule="auto"/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ab/>
        <w:t xml:space="preserve">Caxton’s incunabulum marked a first breakthrough to the mass readership. Graesse’s edition </w:t>
      </w:r>
      <w:r w:rsidR="000A14EE">
        <w:rPr>
          <w:rFonts w:ascii="Times New Roman" w:hAnsi="Times New Roman" w:cs="Times New Roman"/>
          <w:sz w:val="28"/>
          <w:szCs w:val="28"/>
          <w:lang w:val="en-GB"/>
        </w:rPr>
        <w:t>established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a scientific status for the text. Maggioni was responsible for putting Jacobus’ work into a modern academic dimension, and the digital projects made it accessible worldwide. Between these milestones, numerous translations and editions adapted 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‘</w:t>
      </w:r>
      <w:r>
        <w:rPr>
          <w:rFonts w:ascii="Times New Roman" w:hAnsi="Times New Roman" w:cs="Times New Roman"/>
          <w:sz w:val="28"/>
          <w:szCs w:val="28"/>
          <w:lang w:val="en-GB"/>
        </w:rPr>
        <w:t>The Golden Legend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’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to new languages and mentalities, whil</w:t>
      </w:r>
      <w:r w:rsidR="0039770A">
        <w:rPr>
          <w:rFonts w:ascii="Times New Roman" w:hAnsi="Times New Roman" w:cs="Times New Roman"/>
          <w:sz w:val="28"/>
          <w:szCs w:val="28"/>
          <w:lang w:val="en-GB"/>
        </w:rPr>
        <w:t>st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preserving its core meaning – the proof of living faith and cultural memory. </w:t>
      </w:r>
    </w:p>
    <w:p w14:paraId="0FA5F490" w14:textId="442319F2" w:rsidR="000C0332" w:rsidRDefault="004C7DD5" w:rsidP="000C0332">
      <w:pPr>
        <w:shd w:val="clear" w:color="auto" w:fill="FFFFFF" w:themeFill="background1"/>
        <w:spacing w:line="360" w:lineRule="auto"/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ab/>
      </w:r>
      <w:r w:rsidR="004449FD">
        <w:rPr>
          <w:rFonts w:ascii="Times New Roman" w:hAnsi="Times New Roman" w:cs="Times New Roman"/>
          <w:sz w:val="28"/>
          <w:szCs w:val="28"/>
          <w:lang w:val="en-GB"/>
        </w:rPr>
        <w:t xml:space="preserve">Therefore, 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‘</w:t>
      </w:r>
      <w:r w:rsidR="004449FD">
        <w:rPr>
          <w:rFonts w:ascii="Times New Roman" w:hAnsi="Times New Roman" w:cs="Times New Roman"/>
          <w:sz w:val="28"/>
          <w:szCs w:val="28"/>
          <w:lang w:val="en-GB"/>
        </w:rPr>
        <w:t>Legenda Aurea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’</w:t>
      </w:r>
      <w:r w:rsidR="004449FD">
        <w:rPr>
          <w:rFonts w:ascii="Times New Roman" w:hAnsi="Times New Roman" w:cs="Times New Roman"/>
          <w:sz w:val="28"/>
          <w:szCs w:val="28"/>
          <w:lang w:val="en-GB"/>
        </w:rPr>
        <w:t xml:space="preserve"> exists as a text uniting an incomprehensible number of generations, both through traditions and modernity. Its multiple </w:t>
      </w:r>
      <w:r w:rsidR="004449FD">
        <w:rPr>
          <w:rFonts w:ascii="Times New Roman" w:hAnsi="Times New Roman" w:cs="Times New Roman"/>
          <w:sz w:val="28"/>
          <w:szCs w:val="28"/>
          <w:lang w:val="en-GB"/>
        </w:rPr>
        <w:lastRenderedPageBreak/>
        <w:t xml:space="preserve">editions demonstrate that even medieval hagiographic compilations can remain objects of scientific, historical and cultural interest. </w:t>
      </w:r>
    </w:p>
    <w:p w14:paraId="01EBB423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2922D385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3D8BBF99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474558B0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1D2D2FBB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5BBB3099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4F4B5931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391544F8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28021107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19EC4A7A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14C20B29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00D3654F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28AC0E8B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58DCBF5C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28873BCA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09532937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5F23B4BD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73B9AB71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687FC780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1535FF3C" w14:textId="77777777" w:rsidR="008838E3" w:rsidRDefault="008838E3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6E4DBD35" w14:textId="5C6AB80A" w:rsidR="008E2DA0" w:rsidRDefault="008E2DA0" w:rsidP="000C0332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lastRenderedPageBreak/>
        <w:t xml:space="preserve">Reference </w:t>
      </w:r>
      <w:r w:rsidR="0001536B">
        <w:rPr>
          <w:rFonts w:ascii="Times New Roman" w:hAnsi="Times New Roman" w:cs="Times New Roman"/>
          <w:sz w:val="28"/>
          <w:szCs w:val="28"/>
          <w:lang w:val="en-GB"/>
        </w:rPr>
        <w:t>L</w:t>
      </w:r>
      <w:r>
        <w:rPr>
          <w:rFonts w:ascii="Times New Roman" w:hAnsi="Times New Roman" w:cs="Times New Roman"/>
          <w:sz w:val="28"/>
          <w:szCs w:val="28"/>
          <w:lang w:val="en-GB"/>
        </w:rPr>
        <w:t>ist</w:t>
      </w:r>
    </w:p>
    <w:p w14:paraId="099CF551" w14:textId="77777777" w:rsidR="008838E3" w:rsidRPr="008838E3" w:rsidRDefault="008838E3" w:rsidP="00487F37">
      <w:pPr>
        <w:shd w:val="clear" w:color="auto" w:fill="FFFFFF" w:themeFill="background1"/>
        <w:spacing w:line="360" w:lineRule="auto"/>
        <w:ind w:left="720" w:hanging="720"/>
        <w:rPr>
          <w:rFonts w:ascii="Times New Roman" w:hAnsi="Times New Roman" w:cs="Times New Roman"/>
          <w:sz w:val="28"/>
          <w:szCs w:val="28"/>
          <w:lang w:val="en-GB"/>
        </w:rPr>
      </w:pPr>
      <w:r w:rsidRPr="008838E3">
        <w:rPr>
          <w:rFonts w:ascii="Times New Roman" w:hAnsi="Times New Roman" w:cs="Times New Roman"/>
          <w:sz w:val="28"/>
          <w:szCs w:val="28"/>
        </w:rPr>
        <w:t>Lemaitre, Jean-Loup, ‘Jacques de Voragine. La Légende dorée’,</w:t>
      </w:r>
      <w:r w:rsidRPr="008838E3">
        <w:rPr>
          <w:rFonts w:ascii="Times New Roman" w:hAnsi="Times New Roman" w:cs="Times New Roman"/>
          <w:i/>
          <w:iCs/>
          <w:sz w:val="28"/>
          <w:szCs w:val="28"/>
        </w:rPr>
        <w:t xml:space="preserve"> Revue d'histoire de l'Église de France</w:t>
      </w:r>
      <w:r w:rsidRPr="008838E3">
        <w:rPr>
          <w:rFonts w:ascii="Times New Roman" w:hAnsi="Times New Roman" w:cs="Times New Roman"/>
          <w:sz w:val="28"/>
          <w:szCs w:val="28"/>
        </w:rPr>
        <w:t>, vol. 91, n°226, 2005, &lt;https://www.persee.fr/doc/rhef_0048-7988_2005_num_91_226_4206_t16_0175_0000_1&gt; [accessed 13.11.2025]</w:t>
      </w:r>
    </w:p>
    <w:p w14:paraId="657BE4A3" w14:textId="48BEC7D0" w:rsidR="008838E3" w:rsidRPr="008838E3" w:rsidRDefault="008838E3" w:rsidP="00487F37">
      <w:pPr>
        <w:shd w:val="clear" w:color="auto" w:fill="FFFFFF" w:themeFill="background1"/>
        <w:spacing w:line="360" w:lineRule="auto"/>
        <w:ind w:left="720" w:hanging="720"/>
        <w:rPr>
          <w:rFonts w:ascii="Times New Roman" w:hAnsi="Times New Roman" w:cs="Times New Roman"/>
          <w:sz w:val="28"/>
          <w:szCs w:val="28"/>
        </w:rPr>
      </w:pPr>
      <w:r w:rsidRPr="008838E3">
        <w:rPr>
          <w:rFonts w:ascii="Times New Roman" w:hAnsi="Times New Roman" w:cs="Times New Roman"/>
          <w:sz w:val="28"/>
          <w:szCs w:val="28"/>
        </w:rPr>
        <w:t xml:space="preserve">Ott, Michael, </w:t>
      </w:r>
      <w:r w:rsidR="00A64061">
        <w:rPr>
          <w:rFonts w:ascii="Times New Roman" w:hAnsi="Times New Roman" w:cs="Times New Roman"/>
          <w:sz w:val="28"/>
          <w:szCs w:val="28"/>
        </w:rPr>
        <w:t>‘</w:t>
      </w:r>
      <w:r w:rsidRPr="008838E3">
        <w:rPr>
          <w:rFonts w:ascii="Times New Roman" w:hAnsi="Times New Roman" w:cs="Times New Roman"/>
          <w:sz w:val="28"/>
          <w:szCs w:val="28"/>
        </w:rPr>
        <w:t>Blessed Jacopo de Voragine</w:t>
      </w:r>
      <w:r w:rsidR="00A64061">
        <w:rPr>
          <w:rFonts w:ascii="Times New Roman" w:hAnsi="Times New Roman" w:cs="Times New Roman"/>
          <w:sz w:val="28"/>
          <w:szCs w:val="28"/>
        </w:rPr>
        <w:t>’</w:t>
      </w:r>
      <w:r w:rsidRPr="008838E3">
        <w:rPr>
          <w:rFonts w:ascii="Times New Roman" w:hAnsi="Times New Roman" w:cs="Times New Roman"/>
          <w:sz w:val="28"/>
          <w:szCs w:val="28"/>
        </w:rPr>
        <w:t>, in </w:t>
      </w:r>
      <w:r w:rsidRPr="008838E3">
        <w:rPr>
          <w:rFonts w:ascii="Times New Roman" w:hAnsi="Times New Roman" w:cs="Times New Roman"/>
          <w:i/>
          <w:iCs/>
          <w:sz w:val="28"/>
          <w:szCs w:val="28"/>
        </w:rPr>
        <w:t xml:space="preserve">The Catholic Encyclopedia, </w:t>
      </w:r>
      <w:r w:rsidRPr="008838E3">
        <w:rPr>
          <w:rFonts w:ascii="Times New Roman" w:hAnsi="Times New Roman" w:cs="Times New Roman"/>
          <w:sz w:val="28"/>
          <w:szCs w:val="28"/>
        </w:rPr>
        <w:t>vol. 8 (Robert Appleton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8838E3">
        <w:rPr>
          <w:rFonts w:ascii="Times New Roman" w:hAnsi="Times New Roman" w:cs="Times New Roman"/>
          <w:sz w:val="28"/>
          <w:szCs w:val="28"/>
        </w:rPr>
        <w:t>Company, 1910) &lt;http://www.newadvent.org/cathen/08262b.htm&gt; [accessed 13.11.2025]</w:t>
      </w:r>
    </w:p>
    <w:p w14:paraId="5CFF349A" w14:textId="152F945A" w:rsidR="008838E3" w:rsidRPr="008838E3" w:rsidRDefault="008838E3" w:rsidP="00487F37">
      <w:pPr>
        <w:shd w:val="clear" w:color="auto" w:fill="FFFFFF" w:themeFill="background1"/>
        <w:spacing w:line="360" w:lineRule="auto"/>
        <w:ind w:left="720" w:hanging="720"/>
        <w:rPr>
          <w:rFonts w:ascii="Times New Roman" w:hAnsi="Times New Roman" w:cs="Times New Roman"/>
          <w:sz w:val="28"/>
          <w:szCs w:val="28"/>
          <w:lang w:val="en-GB"/>
        </w:rPr>
      </w:pPr>
      <w:r w:rsidRPr="008838E3">
        <w:rPr>
          <w:rFonts w:ascii="Times New Roman" w:hAnsi="Times New Roman" w:cs="Times New Roman"/>
          <w:sz w:val="28"/>
          <w:szCs w:val="28"/>
          <w:lang w:val="en-GB"/>
        </w:rPr>
        <w:t xml:space="preserve">Princeton University Press, </w:t>
      </w:r>
      <w:r w:rsidR="00A64061">
        <w:rPr>
          <w:rFonts w:ascii="Times New Roman" w:hAnsi="Times New Roman" w:cs="Times New Roman"/>
          <w:sz w:val="28"/>
          <w:szCs w:val="28"/>
          <w:lang w:val="en-GB"/>
        </w:rPr>
        <w:t>‘</w:t>
      </w:r>
      <w:r w:rsidRPr="008838E3">
        <w:rPr>
          <w:rFonts w:ascii="Times New Roman" w:eastAsia="Times New Roman" w:hAnsi="Times New Roman" w:cs="Times New Roman"/>
          <w:color w:val="2E2E2E"/>
          <w:spacing w:val="-1"/>
          <w:kern w:val="36"/>
          <w:sz w:val="28"/>
          <w:szCs w:val="28"/>
          <w:lang w:val="en-GB" w:eastAsia="en-FI"/>
        </w:rPr>
        <w:t>T</w:t>
      </w:r>
      <w:r w:rsidRPr="008838E3">
        <w:rPr>
          <w:rFonts w:ascii="Times New Roman" w:hAnsi="Times New Roman" w:cs="Times New Roman"/>
          <w:sz w:val="28"/>
          <w:szCs w:val="28"/>
        </w:rPr>
        <w:t>he Golden Legend, Volume I: Readings on the Saints</w:t>
      </w:r>
      <w:r w:rsidRPr="008838E3">
        <w:rPr>
          <w:rFonts w:ascii="Times New Roman" w:hAnsi="Times New Roman" w:cs="Times New Roman"/>
          <w:sz w:val="28"/>
          <w:szCs w:val="28"/>
          <w:lang w:val="en-GB"/>
        </w:rPr>
        <w:t>’ &lt;https://press.princeton.edu/books/paperback/9780691001531/the-golden-legend-volume-i&gt; [accessed 1</w:t>
      </w:r>
      <w:r w:rsidR="00757660">
        <w:rPr>
          <w:rFonts w:ascii="Times New Roman" w:hAnsi="Times New Roman" w:cs="Times New Roman"/>
          <w:sz w:val="28"/>
          <w:szCs w:val="28"/>
          <w:lang w:val="en-GB"/>
        </w:rPr>
        <w:t>3</w:t>
      </w:r>
      <w:r w:rsidRPr="008838E3">
        <w:rPr>
          <w:rFonts w:ascii="Times New Roman" w:hAnsi="Times New Roman" w:cs="Times New Roman"/>
          <w:sz w:val="28"/>
          <w:szCs w:val="28"/>
          <w:lang w:val="en-GB"/>
        </w:rPr>
        <w:t>.11.2025]</w:t>
      </w:r>
    </w:p>
    <w:p w14:paraId="4CABFD60" w14:textId="77777777" w:rsidR="000C0332" w:rsidRPr="004449FD" w:rsidRDefault="000C0332" w:rsidP="000C0332">
      <w:pPr>
        <w:shd w:val="clear" w:color="auto" w:fill="FFFFFF" w:themeFill="background1"/>
        <w:spacing w:line="360" w:lineRule="auto"/>
        <w:rPr>
          <w:rFonts w:ascii="Times New Roman" w:hAnsi="Times New Roman" w:cs="Times New Roman"/>
          <w:sz w:val="28"/>
          <w:szCs w:val="28"/>
          <w:lang w:val="en-GB"/>
        </w:rPr>
      </w:pPr>
    </w:p>
    <w:sectPr w:rsidR="000C0332" w:rsidRPr="004449FD" w:rsidSect="00473AAE">
      <w:headerReference w:type="default" r:id="rId8"/>
      <w:headerReference w:type="firs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052EA3" w14:textId="77777777" w:rsidR="00C80C47" w:rsidRDefault="00C80C47" w:rsidP="00473AAE">
      <w:pPr>
        <w:spacing w:after="0" w:line="240" w:lineRule="auto"/>
      </w:pPr>
      <w:r>
        <w:separator/>
      </w:r>
    </w:p>
  </w:endnote>
  <w:endnote w:type="continuationSeparator" w:id="0">
    <w:p w14:paraId="3E3E9BD5" w14:textId="77777777" w:rsidR="00C80C47" w:rsidRDefault="00C80C47" w:rsidP="00473A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41329C" w14:textId="77777777" w:rsidR="00C80C47" w:rsidRDefault="00C80C47" w:rsidP="00473AAE">
      <w:pPr>
        <w:spacing w:after="0" w:line="240" w:lineRule="auto"/>
      </w:pPr>
      <w:r>
        <w:separator/>
      </w:r>
    </w:p>
  </w:footnote>
  <w:footnote w:type="continuationSeparator" w:id="0">
    <w:p w14:paraId="50221A33" w14:textId="77777777" w:rsidR="00C80C47" w:rsidRDefault="00C80C47" w:rsidP="00473AAE">
      <w:pPr>
        <w:spacing w:after="0" w:line="240" w:lineRule="auto"/>
      </w:pPr>
      <w:r>
        <w:continuationSeparator/>
      </w:r>
    </w:p>
  </w:footnote>
  <w:footnote w:id="1">
    <w:p w14:paraId="46698C59" w14:textId="5D643B81" w:rsidR="00B860A5" w:rsidRPr="00B860A5" w:rsidRDefault="00B860A5">
      <w:pPr>
        <w:pStyle w:val="FootnoteText"/>
        <w:rPr>
          <w:rFonts w:ascii="Times New Roman" w:hAnsi="Times New Roman" w:cs="Times New Roman"/>
        </w:rPr>
      </w:pPr>
      <w:r w:rsidRPr="00B860A5">
        <w:rPr>
          <w:rStyle w:val="FootnoteReference"/>
          <w:rFonts w:ascii="Times New Roman" w:hAnsi="Times New Roman" w:cs="Times New Roman"/>
        </w:rPr>
        <w:footnoteRef/>
      </w:r>
      <w:r w:rsidRPr="00B860A5">
        <w:rPr>
          <w:rFonts w:ascii="Times New Roman" w:hAnsi="Times New Roman" w:cs="Times New Roman"/>
        </w:rPr>
        <w:t xml:space="preserve"> Jean-Loup Lemaitre, ‘Jacques de Voragine. La Légende dorée’,</w:t>
      </w:r>
      <w:r w:rsidRPr="00B860A5">
        <w:rPr>
          <w:rFonts w:ascii="Times New Roman" w:hAnsi="Times New Roman" w:cs="Times New Roman"/>
          <w:i/>
          <w:iCs/>
        </w:rPr>
        <w:t xml:space="preserve"> Revue d'histoire de l'Église de France</w:t>
      </w:r>
      <w:r w:rsidRPr="00B860A5">
        <w:rPr>
          <w:rFonts w:ascii="Times New Roman" w:hAnsi="Times New Roman" w:cs="Times New Roman"/>
        </w:rPr>
        <w:t xml:space="preserve">, </w:t>
      </w:r>
      <w:r w:rsidR="008838E3">
        <w:rPr>
          <w:rFonts w:ascii="Times New Roman" w:hAnsi="Times New Roman" w:cs="Times New Roman"/>
        </w:rPr>
        <w:t>vol.</w:t>
      </w:r>
      <w:r w:rsidRPr="00B860A5">
        <w:rPr>
          <w:rFonts w:ascii="Times New Roman" w:hAnsi="Times New Roman" w:cs="Times New Roman"/>
        </w:rPr>
        <w:t xml:space="preserve"> 91, n°226, 2005, pp. 175-177</w:t>
      </w:r>
      <w:r>
        <w:rPr>
          <w:rFonts w:ascii="Times New Roman" w:hAnsi="Times New Roman" w:cs="Times New Roman"/>
        </w:rPr>
        <w:t xml:space="preserve">, </w:t>
      </w:r>
      <w:r w:rsidR="00B113F2">
        <w:rPr>
          <w:rFonts w:ascii="Times New Roman" w:hAnsi="Times New Roman" w:cs="Times New Roman"/>
        </w:rPr>
        <w:t>&lt;</w:t>
      </w:r>
      <w:r w:rsidR="00B113F2" w:rsidRPr="00B113F2">
        <w:rPr>
          <w:rFonts w:ascii="Times New Roman" w:hAnsi="Times New Roman" w:cs="Times New Roman"/>
        </w:rPr>
        <w:t>https://www.persee.fr/doc/rhef_0048-7988_2005_num_91_226_4206_t16_0175_0000_1</w:t>
      </w:r>
      <w:r w:rsidR="00B113F2">
        <w:rPr>
          <w:rFonts w:ascii="Times New Roman" w:hAnsi="Times New Roman" w:cs="Times New Roman"/>
        </w:rPr>
        <w:t>&gt; [accessed 13.11.2025]</w:t>
      </w:r>
      <w:r w:rsidRPr="00B860A5">
        <w:rPr>
          <w:rFonts w:ascii="Times New Roman" w:hAnsi="Times New Roman" w:cs="Times New Roman"/>
        </w:rPr>
        <w:t>.</w:t>
      </w:r>
    </w:p>
  </w:footnote>
  <w:footnote w:id="2">
    <w:p w14:paraId="6A263EB7" w14:textId="1395407B" w:rsidR="00B860A5" w:rsidRPr="00B860A5" w:rsidRDefault="00B860A5">
      <w:pPr>
        <w:pStyle w:val="FootnoteText"/>
      </w:pPr>
      <w:r w:rsidRPr="00B860A5">
        <w:rPr>
          <w:rStyle w:val="FootnoteReference"/>
          <w:rFonts w:ascii="Times New Roman" w:hAnsi="Times New Roman" w:cs="Times New Roman"/>
        </w:rPr>
        <w:footnoteRef/>
      </w:r>
      <w:r w:rsidRPr="00B860A5">
        <w:rPr>
          <w:rFonts w:ascii="Times New Roman" w:hAnsi="Times New Roman" w:cs="Times New Roman"/>
        </w:rPr>
        <w:t xml:space="preserve"> Ibid</w:t>
      </w:r>
      <w:r w:rsidR="00CD777D">
        <w:rPr>
          <w:rFonts w:ascii="Times New Roman" w:hAnsi="Times New Roman" w:cs="Times New Roman"/>
        </w:rPr>
        <w:t>.</w:t>
      </w:r>
      <w:r w:rsidRPr="00B860A5">
        <w:rPr>
          <w:rFonts w:ascii="Times New Roman" w:hAnsi="Times New Roman" w:cs="Times New Roman"/>
        </w:rPr>
        <w:t>, pp.175-177</w:t>
      </w:r>
    </w:p>
  </w:footnote>
  <w:footnote w:id="3">
    <w:p w14:paraId="71E860A3" w14:textId="2A4C72FE" w:rsidR="008E2DA0" w:rsidRPr="008E2DA0" w:rsidRDefault="008E2DA0">
      <w:pPr>
        <w:pStyle w:val="FootnoteText"/>
        <w:rPr>
          <w:rFonts w:ascii="Times New Roman" w:hAnsi="Times New Roman" w:cs="Times New Roman"/>
          <w:lang w:val="en-GB"/>
        </w:rPr>
      </w:pPr>
      <w:r w:rsidRPr="008E2DA0">
        <w:rPr>
          <w:rStyle w:val="FootnoteReference"/>
          <w:rFonts w:ascii="Times New Roman" w:hAnsi="Times New Roman" w:cs="Times New Roman"/>
        </w:rPr>
        <w:footnoteRef/>
      </w:r>
      <w:r w:rsidRPr="008E2DA0">
        <w:rPr>
          <w:rFonts w:ascii="Times New Roman" w:hAnsi="Times New Roman" w:cs="Times New Roman"/>
        </w:rPr>
        <w:t xml:space="preserve"> Michael Ott, </w:t>
      </w:r>
      <w:r w:rsidR="00A64061">
        <w:rPr>
          <w:rFonts w:ascii="Times New Roman" w:hAnsi="Times New Roman" w:cs="Times New Roman"/>
        </w:rPr>
        <w:t>‘</w:t>
      </w:r>
      <w:r w:rsidRPr="008E2DA0">
        <w:rPr>
          <w:rFonts w:ascii="Times New Roman" w:hAnsi="Times New Roman" w:cs="Times New Roman"/>
        </w:rPr>
        <w:t>Blessed Jacopo de Voragine</w:t>
      </w:r>
      <w:r w:rsidR="00A64061">
        <w:rPr>
          <w:rFonts w:ascii="Times New Roman" w:hAnsi="Times New Roman" w:cs="Times New Roman"/>
        </w:rPr>
        <w:t>’</w:t>
      </w:r>
      <w:r w:rsidRPr="008E2DA0">
        <w:rPr>
          <w:rFonts w:ascii="Times New Roman" w:hAnsi="Times New Roman" w:cs="Times New Roman"/>
        </w:rPr>
        <w:t>, in </w:t>
      </w:r>
      <w:r w:rsidRPr="008E2DA0">
        <w:rPr>
          <w:rFonts w:ascii="Times New Roman" w:hAnsi="Times New Roman" w:cs="Times New Roman"/>
          <w:i/>
          <w:iCs/>
        </w:rPr>
        <w:t xml:space="preserve">The Catholic Encyclopedia, </w:t>
      </w:r>
      <w:r w:rsidRPr="008E2DA0">
        <w:rPr>
          <w:rFonts w:ascii="Times New Roman" w:hAnsi="Times New Roman" w:cs="Times New Roman"/>
        </w:rPr>
        <w:t>vol. 8 (Robert Appleton Company, 1910) </w:t>
      </w:r>
      <w:r>
        <w:rPr>
          <w:rFonts w:ascii="Times New Roman" w:hAnsi="Times New Roman" w:cs="Times New Roman"/>
        </w:rPr>
        <w:t>&lt;</w:t>
      </w:r>
      <w:r w:rsidRPr="008E2DA0">
        <w:rPr>
          <w:rFonts w:ascii="Times New Roman" w:hAnsi="Times New Roman" w:cs="Times New Roman"/>
        </w:rPr>
        <w:t>http://www.newadvent.org/cathen/08262b.htm</w:t>
      </w:r>
      <w:r>
        <w:rPr>
          <w:rFonts w:ascii="Times New Roman" w:hAnsi="Times New Roman" w:cs="Times New Roman"/>
        </w:rPr>
        <w:t>&gt;</w:t>
      </w:r>
      <w:r w:rsidRPr="008E2DA0">
        <w:rPr>
          <w:rFonts w:ascii="Times New Roman" w:hAnsi="Times New Roman" w:cs="Times New Roman"/>
        </w:rPr>
        <w:t xml:space="preserve"> [accessed 13.11.2025] (para. 5 of 7)</w:t>
      </w:r>
      <w:r w:rsidR="00B860A5">
        <w:rPr>
          <w:rFonts w:ascii="Times New Roman" w:hAnsi="Times New Roman" w:cs="Times New Roman"/>
        </w:rPr>
        <w:t>.</w:t>
      </w:r>
    </w:p>
  </w:footnote>
  <w:footnote w:id="4">
    <w:p w14:paraId="5345C29B" w14:textId="6D2EE64F" w:rsidR="000C0332" w:rsidRPr="000C0332" w:rsidRDefault="000C0332">
      <w:pPr>
        <w:pStyle w:val="FootnoteText"/>
        <w:rPr>
          <w:rFonts w:ascii="Times New Roman" w:hAnsi="Times New Roman" w:cs="Times New Roman"/>
          <w:lang w:val="uk-UA"/>
        </w:rPr>
      </w:pPr>
      <w:r w:rsidRPr="000C0332">
        <w:rPr>
          <w:rStyle w:val="FootnoteReference"/>
          <w:rFonts w:ascii="Times New Roman" w:hAnsi="Times New Roman" w:cs="Times New Roman"/>
        </w:rPr>
        <w:footnoteRef/>
      </w:r>
      <w:r w:rsidRPr="000C0332">
        <w:rPr>
          <w:rFonts w:ascii="Times New Roman" w:hAnsi="Times New Roman" w:cs="Times New Roman"/>
        </w:rPr>
        <w:t xml:space="preserve"> </w:t>
      </w:r>
      <w:r w:rsidRPr="000C0332">
        <w:rPr>
          <w:rFonts w:ascii="Times New Roman" w:hAnsi="Times New Roman" w:cs="Times New Roman"/>
          <w:lang w:val="en-GB"/>
        </w:rPr>
        <w:t>Princeton University Press, ’</w:t>
      </w:r>
      <w:r w:rsidRPr="000C0332">
        <w:rPr>
          <w:rFonts w:ascii="Times New Roman" w:eastAsia="Times New Roman" w:hAnsi="Times New Roman" w:cs="Times New Roman"/>
          <w:color w:val="2E2E2E"/>
          <w:spacing w:val="-1"/>
          <w:kern w:val="36"/>
          <w:lang w:val="en-GB" w:eastAsia="en-FI"/>
        </w:rPr>
        <w:t>T</w:t>
      </w:r>
      <w:r w:rsidRPr="000C0332">
        <w:rPr>
          <w:rFonts w:ascii="Times New Roman" w:hAnsi="Times New Roman" w:cs="Times New Roman"/>
        </w:rPr>
        <w:t>he Golden Legend, Volume I: Readings on the Saints</w:t>
      </w:r>
      <w:r w:rsidRPr="000C0332">
        <w:rPr>
          <w:rFonts w:ascii="Times New Roman" w:hAnsi="Times New Roman" w:cs="Times New Roman"/>
          <w:lang w:val="en-GB"/>
        </w:rPr>
        <w:t>’ &lt;https://press.princeton.edu/books/paperback/9780691001531/the-golden-legend-volume-i&gt; [accessed 1</w:t>
      </w:r>
      <w:r w:rsidR="00757660">
        <w:rPr>
          <w:rFonts w:ascii="Times New Roman" w:hAnsi="Times New Roman" w:cs="Times New Roman"/>
          <w:lang w:val="en-GB"/>
        </w:rPr>
        <w:t>3</w:t>
      </w:r>
      <w:r w:rsidRPr="000C0332">
        <w:rPr>
          <w:rFonts w:ascii="Times New Roman" w:hAnsi="Times New Roman" w:cs="Times New Roman"/>
          <w:lang w:val="en-GB"/>
        </w:rPr>
        <w:t>.11.2025]</w:t>
      </w:r>
      <w:r>
        <w:rPr>
          <w:rFonts w:ascii="Times New Roman" w:hAnsi="Times New Roman" w:cs="Times New Roman"/>
          <w:lang w:val="en-GB"/>
        </w:rPr>
        <w:t>.</w:t>
      </w:r>
      <w:r w:rsidRPr="000C0332">
        <w:rPr>
          <w:rFonts w:ascii="Times New Roman" w:hAnsi="Times New Roman" w:cs="Times New Roman"/>
          <w:lang w:val="en-GB"/>
        </w:rPr>
        <w:t xml:space="preserve"> </w:t>
      </w:r>
    </w:p>
  </w:footnote>
  <w:footnote w:id="5">
    <w:p w14:paraId="279FED7E" w14:textId="46792417" w:rsidR="000C0332" w:rsidRPr="000C0332" w:rsidRDefault="000C0332">
      <w:pPr>
        <w:pStyle w:val="FootnoteText"/>
        <w:rPr>
          <w:rFonts w:ascii="Times New Roman" w:hAnsi="Times New Roman" w:cs="Times New Roman"/>
          <w:lang w:val="en-GB"/>
        </w:rPr>
      </w:pPr>
      <w:r w:rsidRPr="000C0332">
        <w:rPr>
          <w:rStyle w:val="FootnoteReference"/>
          <w:rFonts w:ascii="Times New Roman" w:hAnsi="Times New Roman" w:cs="Times New Roman"/>
        </w:rPr>
        <w:footnoteRef/>
      </w:r>
      <w:r w:rsidRPr="000C0332">
        <w:rPr>
          <w:rFonts w:ascii="Times New Roman" w:hAnsi="Times New Roman" w:cs="Times New Roman"/>
        </w:rPr>
        <w:t xml:space="preserve"> Michael Ott, </w:t>
      </w:r>
      <w:r w:rsidR="00A64061">
        <w:rPr>
          <w:rFonts w:ascii="Times New Roman" w:hAnsi="Times New Roman" w:cs="Times New Roman"/>
        </w:rPr>
        <w:t>‘</w:t>
      </w:r>
      <w:r w:rsidRPr="000C0332">
        <w:rPr>
          <w:rFonts w:ascii="Times New Roman" w:hAnsi="Times New Roman" w:cs="Times New Roman"/>
        </w:rPr>
        <w:t>Blessed Jacopo de Voragine</w:t>
      </w:r>
      <w:r w:rsidR="00A64061">
        <w:rPr>
          <w:rFonts w:ascii="Times New Roman" w:hAnsi="Times New Roman" w:cs="Times New Roman"/>
        </w:rPr>
        <w:t>’</w:t>
      </w:r>
      <w:r w:rsidRPr="000C0332">
        <w:rPr>
          <w:rFonts w:ascii="Times New Roman" w:hAnsi="Times New Roman" w:cs="Times New Roman"/>
        </w:rPr>
        <w:t>, in </w:t>
      </w:r>
      <w:r w:rsidRPr="000C0332">
        <w:rPr>
          <w:rFonts w:ascii="Times New Roman" w:hAnsi="Times New Roman" w:cs="Times New Roman"/>
          <w:i/>
          <w:iCs/>
        </w:rPr>
        <w:t xml:space="preserve">The Catholic Encyclopedia, </w:t>
      </w:r>
      <w:r w:rsidRPr="000C0332">
        <w:rPr>
          <w:rFonts w:ascii="Times New Roman" w:hAnsi="Times New Roman" w:cs="Times New Roman"/>
        </w:rPr>
        <w:t xml:space="preserve">vol. 8 (Robert Appleton Company, 1910) &lt;http://www.newadvent.org/cathen/08262b.htm&gt; [accessed 13.11.2025] (para. </w:t>
      </w:r>
      <w:r>
        <w:rPr>
          <w:rFonts w:ascii="Times New Roman" w:hAnsi="Times New Roman" w:cs="Times New Roman"/>
        </w:rPr>
        <w:t>6</w:t>
      </w:r>
      <w:r w:rsidRPr="000C0332">
        <w:rPr>
          <w:rFonts w:ascii="Times New Roman" w:hAnsi="Times New Roman" w:cs="Times New Roman"/>
        </w:rPr>
        <w:t xml:space="preserve"> of 7).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364A8F" w14:textId="072F2BFB" w:rsidR="00473AAE" w:rsidRPr="00473AAE" w:rsidRDefault="00473AAE">
    <w:pPr>
      <w:pStyle w:val="Header"/>
      <w:rPr>
        <w:rFonts w:ascii="Times New Roman" w:hAnsi="Times New Roman" w:cs="Times New Roman"/>
        <w:sz w:val="24"/>
        <w:szCs w:val="24"/>
      </w:rPr>
    </w:pPr>
    <w:r w:rsidRPr="00473AAE">
      <w:rPr>
        <w:rFonts w:ascii="Times New Roman" w:hAnsi="Times New Roman" w:cs="Times New Roman"/>
        <w:sz w:val="24"/>
        <w:szCs w:val="24"/>
      </w:rPr>
      <w:t>BIBLIOGRAPHIC EXERCISE</w:t>
    </w:r>
    <w:r w:rsidRPr="00473AAE">
      <w:rPr>
        <w:rFonts w:ascii="Times New Roman" w:hAnsi="Times New Roman" w:cs="Times New Roman"/>
        <w:sz w:val="24"/>
        <w:szCs w:val="24"/>
      </w:rPr>
      <w:tab/>
    </w:r>
    <w:r w:rsidRPr="00473AAE">
      <w:rPr>
        <w:rFonts w:ascii="Times New Roman" w:hAnsi="Times New Roman" w:cs="Times New Roman"/>
        <w:sz w:val="24"/>
        <w:szCs w:val="24"/>
      </w:rPr>
      <w:tab/>
    </w:r>
    <w:sdt>
      <w:sdtPr>
        <w:rPr>
          <w:rFonts w:ascii="Times New Roman" w:hAnsi="Times New Roman" w:cs="Times New Roman"/>
          <w:sz w:val="24"/>
          <w:szCs w:val="24"/>
        </w:rPr>
        <w:id w:val="-481626809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Pr="00473AAE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473AAE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473AAE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473AAE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473AAE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sdtContent>
    </w:sdt>
  </w:p>
  <w:p w14:paraId="54F1EDD2" w14:textId="77777777" w:rsidR="00473AAE" w:rsidRDefault="00473AA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FC3AFB" w14:textId="360895FF" w:rsidR="00473AAE" w:rsidRPr="00473AAE" w:rsidRDefault="00473AAE">
    <w:pPr>
      <w:pStyle w:val="Header"/>
      <w:rPr>
        <w:rFonts w:ascii="Times New Roman" w:hAnsi="Times New Roman" w:cs="Times New Roman"/>
        <w:lang w:val="en-GB"/>
      </w:rPr>
    </w:pPr>
    <w:r w:rsidRPr="00473AAE">
      <w:rPr>
        <w:rFonts w:ascii="Times New Roman" w:hAnsi="Times New Roman" w:cs="Times New Roman"/>
        <w:sz w:val="24"/>
        <w:szCs w:val="24"/>
        <w:lang w:val="en-GB"/>
      </w:rPr>
      <w:t>Running head: BIBLIOGRAPHIC EXERCISE</w:t>
    </w:r>
    <w:r w:rsidRPr="00473AAE">
      <w:rPr>
        <w:rFonts w:ascii="Times New Roman" w:hAnsi="Times New Roman" w:cs="Times New Roman"/>
        <w:lang w:val="en-GB"/>
      </w:rPr>
      <w:tab/>
    </w:r>
    <w:r w:rsidRPr="00473AAE">
      <w:rPr>
        <w:rFonts w:ascii="Times New Roman" w:hAnsi="Times New Roman" w:cs="Times New Roman"/>
        <w:lang w:val="en-GB"/>
      </w:rP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842219"/>
    <w:multiLevelType w:val="hybridMultilevel"/>
    <w:tmpl w:val="8BCC9D2C"/>
    <w:lvl w:ilvl="0" w:tplc="2000000F">
      <w:start w:val="1"/>
      <w:numFmt w:val="decimal"/>
      <w:lvlText w:val="%1."/>
      <w:lvlJc w:val="left"/>
      <w:pPr>
        <w:ind w:left="720" w:hanging="360"/>
      </w:p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A64C01"/>
    <w:multiLevelType w:val="hybridMultilevel"/>
    <w:tmpl w:val="3536BA1E"/>
    <w:lvl w:ilvl="0" w:tplc="2000000F">
      <w:start w:val="1"/>
      <w:numFmt w:val="decimal"/>
      <w:lvlText w:val="%1."/>
      <w:lvlJc w:val="left"/>
      <w:pPr>
        <w:ind w:left="1440" w:hanging="360"/>
      </w:pPr>
    </w:lvl>
    <w:lvl w:ilvl="1" w:tplc="20000019" w:tentative="1">
      <w:start w:val="1"/>
      <w:numFmt w:val="lowerLetter"/>
      <w:lvlText w:val="%2."/>
      <w:lvlJc w:val="left"/>
      <w:pPr>
        <w:ind w:left="2160" w:hanging="360"/>
      </w:pPr>
    </w:lvl>
    <w:lvl w:ilvl="2" w:tplc="2000001B" w:tentative="1">
      <w:start w:val="1"/>
      <w:numFmt w:val="lowerRoman"/>
      <w:lvlText w:val="%3."/>
      <w:lvlJc w:val="right"/>
      <w:pPr>
        <w:ind w:left="2880" w:hanging="180"/>
      </w:pPr>
    </w:lvl>
    <w:lvl w:ilvl="3" w:tplc="2000000F" w:tentative="1">
      <w:start w:val="1"/>
      <w:numFmt w:val="decimal"/>
      <w:lvlText w:val="%4."/>
      <w:lvlJc w:val="left"/>
      <w:pPr>
        <w:ind w:left="3600" w:hanging="360"/>
      </w:pPr>
    </w:lvl>
    <w:lvl w:ilvl="4" w:tplc="20000019" w:tentative="1">
      <w:start w:val="1"/>
      <w:numFmt w:val="lowerLetter"/>
      <w:lvlText w:val="%5."/>
      <w:lvlJc w:val="left"/>
      <w:pPr>
        <w:ind w:left="4320" w:hanging="360"/>
      </w:pPr>
    </w:lvl>
    <w:lvl w:ilvl="5" w:tplc="2000001B" w:tentative="1">
      <w:start w:val="1"/>
      <w:numFmt w:val="lowerRoman"/>
      <w:lvlText w:val="%6."/>
      <w:lvlJc w:val="right"/>
      <w:pPr>
        <w:ind w:left="5040" w:hanging="180"/>
      </w:pPr>
    </w:lvl>
    <w:lvl w:ilvl="6" w:tplc="2000000F" w:tentative="1">
      <w:start w:val="1"/>
      <w:numFmt w:val="decimal"/>
      <w:lvlText w:val="%7."/>
      <w:lvlJc w:val="left"/>
      <w:pPr>
        <w:ind w:left="5760" w:hanging="360"/>
      </w:pPr>
    </w:lvl>
    <w:lvl w:ilvl="7" w:tplc="20000019" w:tentative="1">
      <w:start w:val="1"/>
      <w:numFmt w:val="lowerLetter"/>
      <w:lvlText w:val="%8."/>
      <w:lvlJc w:val="left"/>
      <w:pPr>
        <w:ind w:left="6480" w:hanging="360"/>
      </w:pPr>
    </w:lvl>
    <w:lvl w:ilvl="8" w:tplc="2000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4A6A1BD0"/>
    <w:multiLevelType w:val="hybridMultilevel"/>
    <w:tmpl w:val="7F36E376"/>
    <w:lvl w:ilvl="0" w:tplc="2000000F">
      <w:start w:val="1"/>
      <w:numFmt w:val="decimal"/>
      <w:lvlText w:val="%1."/>
      <w:lvlJc w:val="left"/>
      <w:pPr>
        <w:ind w:left="1080" w:hanging="360"/>
      </w:pPr>
    </w:lvl>
    <w:lvl w:ilvl="1" w:tplc="20000019" w:tentative="1">
      <w:start w:val="1"/>
      <w:numFmt w:val="lowerLetter"/>
      <w:lvlText w:val="%2."/>
      <w:lvlJc w:val="left"/>
      <w:pPr>
        <w:ind w:left="1800" w:hanging="360"/>
      </w:pPr>
    </w:lvl>
    <w:lvl w:ilvl="2" w:tplc="2000001B" w:tentative="1">
      <w:start w:val="1"/>
      <w:numFmt w:val="lowerRoman"/>
      <w:lvlText w:val="%3."/>
      <w:lvlJc w:val="right"/>
      <w:pPr>
        <w:ind w:left="2520" w:hanging="180"/>
      </w:pPr>
    </w:lvl>
    <w:lvl w:ilvl="3" w:tplc="2000000F" w:tentative="1">
      <w:start w:val="1"/>
      <w:numFmt w:val="decimal"/>
      <w:lvlText w:val="%4."/>
      <w:lvlJc w:val="left"/>
      <w:pPr>
        <w:ind w:left="3240" w:hanging="360"/>
      </w:pPr>
    </w:lvl>
    <w:lvl w:ilvl="4" w:tplc="20000019" w:tentative="1">
      <w:start w:val="1"/>
      <w:numFmt w:val="lowerLetter"/>
      <w:lvlText w:val="%5."/>
      <w:lvlJc w:val="left"/>
      <w:pPr>
        <w:ind w:left="3960" w:hanging="360"/>
      </w:pPr>
    </w:lvl>
    <w:lvl w:ilvl="5" w:tplc="2000001B" w:tentative="1">
      <w:start w:val="1"/>
      <w:numFmt w:val="lowerRoman"/>
      <w:lvlText w:val="%6."/>
      <w:lvlJc w:val="right"/>
      <w:pPr>
        <w:ind w:left="4680" w:hanging="180"/>
      </w:pPr>
    </w:lvl>
    <w:lvl w:ilvl="6" w:tplc="2000000F" w:tentative="1">
      <w:start w:val="1"/>
      <w:numFmt w:val="decimal"/>
      <w:lvlText w:val="%7."/>
      <w:lvlJc w:val="left"/>
      <w:pPr>
        <w:ind w:left="5400" w:hanging="360"/>
      </w:pPr>
    </w:lvl>
    <w:lvl w:ilvl="7" w:tplc="20000019" w:tentative="1">
      <w:start w:val="1"/>
      <w:numFmt w:val="lowerLetter"/>
      <w:lvlText w:val="%8."/>
      <w:lvlJc w:val="left"/>
      <w:pPr>
        <w:ind w:left="6120" w:hanging="360"/>
      </w:pPr>
    </w:lvl>
    <w:lvl w:ilvl="8" w:tplc="2000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0510526"/>
    <w:multiLevelType w:val="hybridMultilevel"/>
    <w:tmpl w:val="3536BA1E"/>
    <w:lvl w:ilvl="0" w:tplc="FFFFFFFF">
      <w:start w:val="1"/>
      <w:numFmt w:val="decimal"/>
      <w:lvlText w:val="%1.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50BF6743"/>
    <w:multiLevelType w:val="hybridMultilevel"/>
    <w:tmpl w:val="98544BE4"/>
    <w:lvl w:ilvl="0" w:tplc="2000000F">
      <w:start w:val="1"/>
      <w:numFmt w:val="decimal"/>
      <w:lvlText w:val="%1."/>
      <w:lvlJc w:val="left"/>
      <w:pPr>
        <w:ind w:left="720" w:hanging="360"/>
      </w:p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1E51332"/>
    <w:multiLevelType w:val="hybridMultilevel"/>
    <w:tmpl w:val="28F0CEFE"/>
    <w:lvl w:ilvl="0" w:tplc="2000000F">
      <w:start w:val="1"/>
      <w:numFmt w:val="decimal"/>
      <w:lvlText w:val="%1."/>
      <w:lvlJc w:val="left"/>
      <w:pPr>
        <w:ind w:left="720" w:hanging="360"/>
      </w:pPr>
    </w:lvl>
    <w:lvl w:ilvl="1" w:tplc="20000019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047ECB"/>
    <w:multiLevelType w:val="multilevel"/>
    <w:tmpl w:val="10D4E9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7955C4B"/>
    <w:multiLevelType w:val="hybridMultilevel"/>
    <w:tmpl w:val="82FC87A6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51890210">
    <w:abstractNumId w:val="4"/>
  </w:num>
  <w:num w:numId="2" w16cid:durableId="1213614508">
    <w:abstractNumId w:val="0"/>
  </w:num>
  <w:num w:numId="3" w16cid:durableId="1285841767">
    <w:abstractNumId w:val="7"/>
  </w:num>
  <w:num w:numId="4" w16cid:durableId="540870180">
    <w:abstractNumId w:val="2"/>
  </w:num>
  <w:num w:numId="5" w16cid:durableId="2126463091">
    <w:abstractNumId w:val="6"/>
  </w:num>
  <w:num w:numId="6" w16cid:durableId="329482040">
    <w:abstractNumId w:val="5"/>
  </w:num>
  <w:num w:numId="7" w16cid:durableId="1862936068">
    <w:abstractNumId w:val="1"/>
  </w:num>
  <w:num w:numId="8" w16cid:durableId="81657880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AAE"/>
    <w:rsid w:val="0001536B"/>
    <w:rsid w:val="000220ED"/>
    <w:rsid w:val="000A14EE"/>
    <w:rsid w:val="000C0332"/>
    <w:rsid w:val="000C55B5"/>
    <w:rsid w:val="000D5019"/>
    <w:rsid w:val="0012014A"/>
    <w:rsid w:val="00142A29"/>
    <w:rsid w:val="001435B2"/>
    <w:rsid w:val="00170214"/>
    <w:rsid w:val="001812C0"/>
    <w:rsid w:val="00207055"/>
    <w:rsid w:val="0022109F"/>
    <w:rsid w:val="00254C76"/>
    <w:rsid w:val="0028512F"/>
    <w:rsid w:val="002E1145"/>
    <w:rsid w:val="0039770A"/>
    <w:rsid w:val="003F0A9C"/>
    <w:rsid w:val="003F7B70"/>
    <w:rsid w:val="004051BD"/>
    <w:rsid w:val="0041217B"/>
    <w:rsid w:val="0043167C"/>
    <w:rsid w:val="004449FD"/>
    <w:rsid w:val="0047074B"/>
    <w:rsid w:val="00473AAE"/>
    <w:rsid w:val="004816BA"/>
    <w:rsid w:val="00487F37"/>
    <w:rsid w:val="004A2920"/>
    <w:rsid w:val="004A3032"/>
    <w:rsid w:val="004C7DD5"/>
    <w:rsid w:val="005A0CD0"/>
    <w:rsid w:val="005B2C77"/>
    <w:rsid w:val="00695366"/>
    <w:rsid w:val="007015AC"/>
    <w:rsid w:val="00757660"/>
    <w:rsid w:val="007D4EEB"/>
    <w:rsid w:val="0083213E"/>
    <w:rsid w:val="00865D65"/>
    <w:rsid w:val="008838E3"/>
    <w:rsid w:val="00884CA6"/>
    <w:rsid w:val="0089197C"/>
    <w:rsid w:val="008B4F23"/>
    <w:rsid w:val="008E2DA0"/>
    <w:rsid w:val="009E353C"/>
    <w:rsid w:val="009F5931"/>
    <w:rsid w:val="00A64061"/>
    <w:rsid w:val="00A71154"/>
    <w:rsid w:val="00A821FD"/>
    <w:rsid w:val="00AD6D4F"/>
    <w:rsid w:val="00B113F2"/>
    <w:rsid w:val="00B14849"/>
    <w:rsid w:val="00B860A5"/>
    <w:rsid w:val="00BC4BCE"/>
    <w:rsid w:val="00C45C70"/>
    <w:rsid w:val="00C80C47"/>
    <w:rsid w:val="00CD777D"/>
    <w:rsid w:val="00D525C4"/>
    <w:rsid w:val="00D7214A"/>
    <w:rsid w:val="00D932E9"/>
    <w:rsid w:val="00DC3B7C"/>
    <w:rsid w:val="00DE6B33"/>
    <w:rsid w:val="00DF0F2A"/>
    <w:rsid w:val="00E033E0"/>
    <w:rsid w:val="00E17315"/>
    <w:rsid w:val="00E2580E"/>
    <w:rsid w:val="00E54715"/>
    <w:rsid w:val="00E62F63"/>
    <w:rsid w:val="00E63132"/>
    <w:rsid w:val="00EB23D3"/>
    <w:rsid w:val="00F24EBF"/>
    <w:rsid w:val="00F66484"/>
    <w:rsid w:val="00FD2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FI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,"/>
  <w14:docId w14:val="7D593219"/>
  <w15:chartTrackingRefBased/>
  <w15:docId w15:val="{0ED06403-E101-4558-AFA5-22827270F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FI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3A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3A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3AA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3A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3AA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3A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3A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3A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3A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3AA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3AA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3AA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3AA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3AA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3A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3A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3A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3A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3A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3A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3A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3A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3A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3A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3A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3AA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3AA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3AA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3AAE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73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3AAE"/>
  </w:style>
  <w:style w:type="paragraph" w:styleId="Footer">
    <w:name w:val="footer"/>
    <w:basedOn w:val="Normal"/>
    <w:link w:val="FooterChar"/>
    <w:uiPriority w:val="99"/>
    <w:unhideWhenUsed/>
    <w:rsid w:val="00473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3AAE"/>
  </w:style>
  <w:style w:type="character" w:styleId="Hyperlink">
    <w:name w:val="Hyperlink"/>
    <w:basedOn w:val="DefaultParagraphFont"/>
    <w:uiPriority w:val="99"/>
    <w:unhideWhenUsed/>
    <w:rsid w:val="004051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51BD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4A292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A292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A292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A292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A2920"/>
    <w:rPr>
      <w:b/>
      <w:bCs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E2DA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E2DA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E2DA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E6C513-804C-4D69-A556-D97BB34C85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2319</TotalTime>
  <Pages>9</Pages>
  <Words>1238</Words>
  <Characters>8048</Characters>
  <Application>Microsoft Office Word</Application>
  <DocSecurity>0</DocSecurity>
  <Lines>217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Lolita Kviatkovska</dc:creator>
  <cp:keywords/>
  <dc:description/>
  <cp:lastModifiedBy>Lolita Kviatkovska</cp:lastModifiedBy>
  <cp:revision>22</cp:revision>
  <dcterms:created xsi:type="dcterms:W3CDTF">2025-11-11T18:24:00Z</dcterms:created>
  <dcterms:modified xsi:type="dcterms:W3CDTF">2025-11-14T11:51:00Z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36167ed8-631e-4460-84f8-78cf8f889a38</vt:lpwstr>
  </property>
</Properties>
</file>