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6452E20">
      <w:pPr>
        <w:pStyle w:val="style0"/>
        <w:jc w:val="center"/>
        <w:rPr/>
      </w:pPr>
      <w:r>
        <w:rPr>
          <w:noProof/>
        </w:rPr>
        <w:drawing>
          <wp:inline distL="0" distT="0" distB="0" distR="0">
            <wp:extent cx="2739980" cy="561975"/>
            <wp:effectExtent l="0" t="0" r="0" b="0"/>
            <wp:docPr id="1026" name="Imag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2" cstate="print"/>
                    <a:srcRect l="0" t="0" r="0" b="0"/>
                    <a:stretch/>
                  </pic:blipFill>
                  <pic:spPr>
                    <a:xfrm rot="0">
                      <a:off x="0" y="0"/>
                      <a:ext cx="2739980" cy="561975"/>
                    </a:xfrm>
                    <a:prstGeom prst="rect"/>
                  </pic:spPr>
                </pic:pic>
              </a:graphicData>
            </a:graphic>
          </wp:inline>
        </w:drawing>
      </w:r>
    </w:p>
    <w:p w14:paraId="57076B0C">
      <w:pPr>
        <w:pStyle w:val="style0"/>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52A29B14">
      <w:pPr>
        <w:pStyle w:val="style0"/>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43242170">
      <w:pPr>
        <w:pStyle w:val="style66"/>
        <w:rPr>
          <w:sz w:val="20"/>
        </w:rPr>
      </w:pPr>
    </w:p>
    <w:p w14:paraId="5C2390FD">
      <w:pPr>
        <w:pStyle w:val="style66"/>
        <w:rPr>
          <w:sz w:val="20"/>
        </w:rPr>
      </w:pPr>
      <w:r>
        <w:rPr>
          <w:noProof/>
          <w:sz w:val="20"/>
        </w:rPr>
        <w:drawing>
          <wp:anchor distT="0" distB="0" distL="0" distR="0" simplePos="false" relativeHeight="2" behindDoc="true" locked="false" layoutInCell="true" allowOverlap="true">
            <wp:simplePos x="0" y="0"/>
            <wp:positionH relativeFrom="margin">
              <wp:align>center</wp:align>
            </wp:positionH>
            <wp:positionV relativeFrom="paragraph">
              <wp:posOffset>201295</wp:posOffset>
            </wp:positionV>
            <wp:extent cx="1885950" cy="1752600"/>
            <wp:effectExtent l="0" t="0" r="0" b="0"/>
            <wp:wrapTopAndBottom/>
            <wp:docPr id="1027" name="Imag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2"/>
                    <pic:cNvPicPr/>
                  </pic:nvPicPr>
                  <pic:blipFill>
                    <a:blip r:embed="rId3" cstate="print"/>
                    <a:srcRect l="0" t="0" r="0" b="0"/>
                    <a:stretch/>
                  </pic:blipFill>
                  <pic:spPr>
                    <a:xfrm rot="0">
                      <a:off x="0" y="0"/>
                      <a:ext cx="1885950" cy="1752600"/>
                    </a:xfrm>
                    <a:prstGeom prst="rect"/>
                  </pic:spPr>
                </pic:pic>
              </a:graphicData>
            </a:graphic>
            <wp14:sizeRelH relativeFrom="margin">
              <wp14:pctWidth>0</wp14:pctWidth>
            </wp14:sizeRelH>
            <wp14:sizeRelV relativeFrom="margin">
              <wp14:pctHeight>0</wp14:pctHeight>
            </wp14:sizeRelV>
          </wp:anchor>
        </w:drawing>
      </w:r>
    </w:p>
    <w:p w14:paraId="5B7E28CD">
      <w:pPr>
        <w:pStyle w:val="style66"/>
        <w:spacing w:before="14"/>
        <w:rPr>
          <w:sz w:val="20"/>
        </w:rPr>
      </w:pPr>
    </w:p>
    <w:p w14:paraId="11F03A16">
      <w:pPr>
        <w:pStyle w:val="style0"/>
        <w:jc w:val="center"/>
        <w:rPr>
          <w:b/>
          <w:bCs/>
          <w:color w:val="ff0000"/>
          <w:sz w:val="28"/>
          <w:szCs w:val="24"/>
        </w:rPr>
      </w:pPr>
      <w:r>
        <w:rPr>
          <w:b/>
          <w:bCs/>
          <w:color w:val="ff0000"/>
          <w:sz w:val="28"/>
          <w:szCs w:val="24"/>
        </w:rPr>
        <w:t>Contemporary</w:t>
      </w:r>
      <w:r>
        <w:rPr>
          <w:b/>
          <w:bCs/>
          <w:color w:val="ff0000"/>
          <w:spacing w:val="-27"/>
          <w:sz w:val="28"/>
          <w:szCs w:val="24"/>
        </w:rPr>
        <w:t xml:space="preserve"> </w:t>
      </w:r>
      <w:r>
        <w:rPr>
          <w:b/>
          <w:bCs/>
          <w:color w:val="ff0000"/>
          <w:sz w:val="28"/>
          <w:szCs w:val="24"/>
        </w:rPr>
        <w:t>employability</w:t>
      </w:r>
      <w:r>
        <w:rPr>
          <w:b/>
          <w:bCs/>
          <w:color w:val="ff0000"/>
          <w:spacing w:val="-25"/>
          <w:sz w:val="28"/>
          <w:szCs w:val="24"/>
        </w:rPr>
        <w:t xml:space="preserve"> </w:t>
      </w:r>
      <w:r>
        <w:rPr>
          <w:b/>
          <w:bCs/>
          <w:color w:val="ff0000"/>
          <w:sz w:val="28"/>
          <w:szCs w:val="24"/>
        </w:rPr>
        <w:t>skills</w:t>
      </w:r>
    </w:p>
    <w:p w14:paraId="47F109E6">
      <w:pPr>
        <w:pStyle w:val="style0"/>
        <w:spacing w:before="286"/>
        <w:ind w:left="1819"/>
        <w:rPr>
          <w:sz w:val="28"/>
        </w:rP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Pr>
          <w:color w:val="ed0000"/>
          <w:spacing w:val="-6"/>
          <w:sz w:val="28"/>
        </w:rPr>
        <w:t>50%</w:t>
      </w:r>
    </w:p>
    <w:p w14:paraId="0515A755">
      <w:pPr>
        <w:pStyle w:val="style0"/>
        <w:spacing w:lineRule="auto" w:line="412"/>
        <w:rPr>
          <w:sz w:val="28"/>
        </w:rPr>
      </w:pPr>
    </w:p>
    <w:p w14:paraId="4C54AE77">
      <w:pPr>
        <w:pStyle w:val="style0"/>
        <w:spacing w:before="0" w:after="0" w:lineRule="auto" w:line="240"/>
        <w:rPr>
          <w:b/>
          <w:spacing w:val="-2"/>
          <w:sz w:val="28"/>
        </w:rPr>
      </w:pPr>
      <w:r>
        <w:rPr>
          <w:b/>
          <w:sz w:val="28"/>
        </w:rPr>
        <w:t>Module</w:t>
      </w:r>
      <w:r>
        <w:rPr>
          <w:b/>
          <w:spacing w:val="-14"/>
          <w:sz w:val="28"/>
        </w:rPr>
        <w:t xml:space="preserve"> </w:t>
      </w:r>
      <w:r>
        <w:rPr>
          <w:b/>
          <w:spacing w:val="-2"/>
          <w:sz w:val="28"/>
        </w:rPr>
        <w:t>name:</w:t>
      </w:r>
      <w:r>
        <w:rPr>
          <w:b/>
          <w:spacing w:val="-2"/>
          <w:sz w:val="28"/>
        </w:rPr>
        <w:t xml:space="preserve"> </w:t>
      </w:r>
      <w:r>
        <w:rPr>
          <w:b/>
          <w:spacing w:val="-2"/>
          <w:sz w:val="28"/>
        </w:rPr>
        <w:t>Strategic Management</w:t>
      </w:r>
    </w:p>
    <w:p w14:paraId="67B5E165">
      <w:pPr>
        <w:pStyle w:val="style0"/>
        <w:spacing w:before="0" w:after="0" w:lineRule="auto" w:line="240"/>
        <w:rPr>
          <w:b/>
          <w:spacing w:val="-2"/>
          <w:sz w:val="28"/>
        </w:rPr>
      </w:pPr>
    </w:p>
    <w:p w14:paraId="4794DB8C">
      <w:pPr>
        <w:pStyle w:val="style0"/>
        <w:spacing w:before="0" w:after="0" w:lineRule="auto" w:line="240"/>
        <w:rPr>
          <w:b/>
          <w:spacing w:val="-2"/>
          <w:sz w:val="28"/>
        </w:rPr>
      </w:pPr>
      <w:r>
        <w:rPr>
          <w:b/>
          <w:spacing w:val="-2"/>
          <w:sz w:val="28"/>
        </w:rPr>
        <w:t>Module code</w:t>
      </w:r>
      <w:r>
        <w:rPr>
          <w:b/>
          <w:spacing w:val="-2"/>
          <w:sz w:val="28"/>
        </w:rPr>
        <w:t xml:space="preserve">: </w:t>
      </w:r>
      <w:r>
        <w:rPr>
          <w:b/>
          <w:spacing w:val="-2"/>
          <w:sz w:val="28"/>
        </w:rPr>
        <w:t>LCMB7003</w:t>
      </w:r>
    </w:p>
    <w:p w14:paraId="34B76D5D">
      <w:pPr>
        <w:pStyle w:val="style0"/>
        <w:spacing w:before="0" w:after="0" w:lineRule="auto" w:line="240"/>
        <w:rPr>
          <w:b/>
          <w:spacing w:val="-2"/>
          <w:sz w:val="28"/>
        </w:rPr>
      </w:pPr>
    </w:p>
    <w:p w14:paraId="7BEB6B03">
      <w:pPr>
        <w:pStyle w:val="style0"/>
        <w:spacing w:before="0" w:after="0" w:lineRule="auto" w:line="240"/>
        <w:rPr>
          <w:b/>
          <w:spacing w:val="-2"/>
          <w:sz w:val="28"/>
        </w:rPr>
      </w:pPr>
      <w:r>
        <w:rPr>
          <w:b/>
          <w:spacing w:val="-2"/>
          <w:sz w:val="28"/>
        </w:rPr>
        <w:t>Lecturer name</w:t>
      </w:r>
      <w:r>
        <w:rPr>
          <w:b/>
          <w:spacing w:val="-2"/>
          <w:sz w:val="28"/>
          <w:lang w:val="en-US"/>
        </w:rPr>
        <w:t>: Hoang Nguyen</w:t>
      </w:r>
    </w:p>
    <w:p w14:paraId="11755751">
      <w:pPr>
        <w:pStyle w:val="style0"/>
        <w:spacing w:before="0" w:after="0" w:lineRule="auto" w:line="240"/>
        <w:rPr>
          <w:b/>
          <w:spacing w:val="-2"/>
          <w:sz w:val="28"/>
        </w:rPr>
      </w:pPr>
    </w:p>
    <w:p w14:paraId="5DA37067">
      <w:pPr>
        <w:pStyle w:val="style0"/>
        <w:spacing w:before="0" w:after="0" w:lineRule="auto" w:line="240"/>
        <w:rPr>
          <w:b/>
          <w:spacing w:val="-2"/>
          <w:sz w:val="28"/>
        </w:rPr>
      </w:pPr>
      <w:r>
        <w:rPr>
          <w:b/>
          <w:spacing w:val="-2"/>
          <w:sz w:val="28"/>
        </w:rPr>
        <w:t xml:space="preserve">Student name: </w:t>
      </w:r>
      <w:r>
        <w:rPr>
          <w:b/>
          <w:spacing w:val="-2"/>
          <w:sz w:val="28"/>
          <w:lang w:val="en-US"/>
        </w:rPr>
        <w:t xml:space="preserve">Henil Rajeshbhai Jasoliya </w:t>
      </w:r>
    </w:p>
    <w:p w14:paraId="621BFF2D">
      <w:pPr>
        <w:pStyle w:val="style0"/>
        <w:spacing w:before="0" w:after="0" w:lineRule="auto" w:line="240"/>
        <w:rPr>
          <w:b/>
          <w:spacing w:val="-2"/>
          <w:sz w:val="28"/>
        </w:rPr>
      </w:pPr>
    </w:p>
    <w:p w14:paraId="6719406E">
      <w:pPr>
        <w:pStyle w:val="style0"/>
        <w:spacing w:before="0" w:after="0" w:lineRule="auto" w:line="240"/>
        <w:rPr>
          <w:b/>
          <w:spacing w:val="-2"/>
          <w:sz w:val="28"/>
        </w:rPr>
      </w:pPr>
      <w:r>
        <w:rPr>
          <w:b/>
          <w:spacing w:val="-2"/>
          <w:sz w:val="28"/>
        </w:rPr>
        <w:t>Student id:</w:t>
      </w:r>
      <w:r>
        <w:rPr>
          <w:b/>
          <w:spacing w:val="-2"/>
          <w:sz w:val="28"/>
          <w:lang w:val="en-US"/>
        </w:rPr>
        <w:t xml:space="preserve"> 2532366</w:t>
      </w:r>
    </w:p>
    <w:p w14:paraId="4EC9A90E">
      <w:pPr>
        <w:pStyle w:val="style0"/>
        <w:spacing w:before="0" w:after="0" w:lineRule="auto" w:line="240"/>
        <w:rPr>
          <w:b/>
          <w:spacing w:val="-2"/>
          <w:sz w:val="28"/>
        </w:rPr>
      </w:pPr>
    </w:p>
    <w:p w14:paraId="7F56D1BA">
      <w:pPr>
        <w:pStyle w:val="style0"/>
        <w:spacing w:before="0" w:after="0" w:lineRule="auto" w:line="240"/>
        <w:rPr>
          <w:b/>
          <w:sz w:val="28"/>
        </w:rPr>
      </w:pPr>
      <w:r>
        <w:rPr>
          <w:b/>
          <w:sz w:val="28"/>
        </w:rPr>
        <w:t xml:space="preserve">Word count: </w:t>
      </w:r>
      <w:r>
        <w:rPr>
          <w:b/>
          <w:sz w:val="28"/>
        </w:rPr>
        <w:t>5375</w:t>
      </w:r>
    </w:p>
    <w:p w14:paraId="40B8D4B7">
      <w:pPr>
        <w:pStyle w:val="style0"/>
        <w:spacing w:before="0" w:after="0" w:lineRule="auto" w:line="240"/>
        <w:rPr>
          <w:b/>
          <w:sz w:val="28"/>
        </w:rPr>
      </w:pPr>
    </w:p>
    <w:p w14:paraId="0DC54BF9">
      <w:pPr>
        <w:pStyle w:val="style0"/>
        <w:spacing w:before="0" w:after="0" w:lineRule="auto" w:line="240"/>
        <w:rPr>
          <w:b/>
          <w:sz w:val="28"/>
        </w:rPr>
        <w:sectPr>
          <w:pgSz w:w="11910" w:h="16840" w:orient="portrait"/>
          <w:pgMar w:top="1540" w:right="1417" w:bottom="280" w:left="1417" w:header="720" w:footer="720" w:gutter="0"/>
          <w:cols w:space="720"/>
        </w:sectPr>
      </w:pPr>
      <w:r>
        <w:rPr>
          <w:b/>
          <w:sz w:val="28"/>
        </w:rPr>
        <w:t>Submission date:</w:t>
      </w:r>
      <w:r>
        <w:rPr>
          <w:b/>
          <w:sz w:val="28"/>
          <w:lang w:val="en-US"/>
        </w:rPr>
        <w:t xml:space="preserve"> 12/08/2026</w:t>
      </w:r>
    </w:p>
    <w:bookmarkStart w:id="0" w:name="AI_use_acknowledgement"/>
    <w:bookmarkEnd w:id="0"/>
    <w:p w14:paraId="65003A9D">
      <w:pPr>
        <w:pStyle w:val="style0"/>
        <w:spacing w:before="80"/>
        <w:ind w:left="23"/>
        <w:rPr>
          <w:b/>
          <w:bCs/>
          <w:sz w:val="32"/>
          <w:szCs w:val="18"/>
        </w:rPr>
      </w:pPr>
      <w:r>
        <w:rPr>
          <w:b/>
          <w:bCs/>
          <w:color w:val="0e4660"/>
          <w:spacing w:val="-10"/>
          <w:sz w:val="32"/>
          <w:szCs w:val="18"/>
        </w:rPr>
        <w:t>AI</w:t>
      </w:r>
      <w:r>
        <w:rPr>
          <w:b/>
          <w:bCs/>
          <w:color w:val="0e4660"/>
          <w:spacing w:val="-44"/>
          <w:sz w:val="32"/>
          <w:szCs w:val="18"/>
        </w:rPr>
        <w:t xml:space="preserve"> </w:t>
      </w:r>
      <w:r>
        <w:rPr>
          <w:b/>
          <w:bCs/>
          <w:color w:val="0e4660"/>
          <w:spacing w:val="-10"/>
          <w:sz w:val="32"/>
          <w:szCs w:val="18"/>
        </w:rPr>
        <w:t>use</w:t>
      </w:r>
      <w:r>
        <w:rPr>
          <w:b/>
          <w:bCs/>
          <w:color w:val="0e4660"/>
          <w:spacing w:val="-42"/>
          <w:sz w:val="32"/>
          <w:szCs w:val="18"/>
        </w:rPr>
        <w:t xml:space="preserve"> </w:t>
      </w:r>
      <w:r>
        <w:rPr>
          <w:b/>
          <w:bCs/>
          <w:color w:val="0e4660"/>
          <w:spacing w:val="-10"/>
          <w:sz w:val="32"/>
          <w:szCs w:val="18"/>
        </w:rPr>
        <w:t>acknowledgement</w:t>
      </w:r>
    </w:p>
    <w:p w14:paraId="1F3CA3AA">
      <w:pPr>
        <w:pStyle w:val="style66"/>
        <w:spacing w:before="221" w:lineRule="auto" w:line="292"/>
        <w:ind w:left="23" w:right="73"/>
        <w:rPr>
          <w:rFonts w:ascii="Times New Roman" w:cs="Times New Roman" w:hAnsi="Times New Roman"/>
        </w:rPr>
      </w:pPr>
      <w:r>
        <w:rPr>
          <w:rFonts w:ascii="Times New Roman" w:cs="Times New Roman" w:hAnsi="Times New Roman"/>
          <w:spacing w:val="-4"/>
        </w:rPr>
        <w:t>I</w:t>
      </w:r>
      <w:r>
        <w:rPr>
          <w:rFonts w:ascii="Times New Roman" w:cs="Times New Roman" w:hAnsi="Times New Roman"/>
          <w:spacing w:val="-22"/>
        </w:rPr>
        <w:t xml:space="preserve"> </w:t>
      </w:r>
      <w:r>
        <w:rPr>
          <w:rFonts w:ascii="Times New Roman" w:cs="Times New Roman" w:hAnsi="Times New Roman"/>
          <w:spacing w:val="-4"/>
        </w:rPr>
        <w:t>confirm</w:t>
      </w:r>
      <w:r>
        <w:rPr>
          <w:rFonts w:ascii="Times New Roman" w:cs="Times New Roman" w:hAnsi="Times New Roman"/>
          <w:spacing w:val="-18"/>
        </w:rPr>
        <w:t xml:space="preserve"> </w:t>
      </w:r>
      <w:r>
        <w:rPr>
          <w:rFonts w:ascii="Times New Roman" w:cs="Times New Roman" w:hAnsi="Times New Roman"/>
          <w:spacing w:val="-4"/>
        </w:rPr>
        <w:t>that</w:t>
      </w:r>
      <w:r>
        <w:rPr>
          <w:rFonts w:ascii="Times New Roman" w:cs="Times New Roman" w:hAnsi="Times New Roman"/>
          <w:spacing w:val="-17"/>
        </w:rPr>
        <w:t xml:space="preserve"> </w:t>
      </w:r>
      <w:r>
        <w:rPr>
          <w:rFonts w:ascii="Times New Roman" w:cs="Times New Roman" w:hAnsi="Times New Roman"/>
          <w:spacing w:val="-4"/>
        </w:rPr>
        <w:t>I</w:t>
      </w:r>
      <w:r>
        <w:rPr>
          <w:rFonts w:ascii="Times New Roman" w:cs="Times New Roman" w:hAnsi="Times New Roman"/>
          <w:spacing w:val="-22"/>
        </w:rPr>
        <w:t xml:space="preserve"> </w:t>
      </w:r>
      <w:r>
        <w:rPr>
          <w:rFonts w:ascii="Times New Roman" w:cs="Times New Roman" w:hAnsi="Times New Roman"/>
          <w:spacing w:val="-4"/>
        </w:rPr>
        <w:t>have</w:t>
      </w:r>
      <w:r>
        <w:rPr>
          <w:rFonts w:ascii="Times New Roman" w:cs="Times New Roman" w:hAnsi="Times New Roman"/>
          <w:spacing w:val="-21"/>
        </w:rPr>
        <w:t xml:space="preserve"> </w:t>
      </w:r>
      <w:r>
        <w:rPr>
          <w:rFonts w:ascii="Times New Roman" w:cs="Times New Roman" w:hAnsi="Times New Roman"/>
          <w:spacing w:val="-4"/>
        </w:rPr>
        <w:t>not</w:t>
      </w:r>
      <w:r>
        <w:rPr>
          <w:rFonts w:ascii="Times New Roman" w:cs="Times New Roman" w:hAnsi="Times New Roman"/>
          <w:spacing w:val="-17"/>
        </w:rPr>
        <w:t xml:space="preserve"> </w:t>
      </w:r>
      <w:r>
        <w:rPr>
          <w:rFonts w:ascii="Times New Roman" w:cs="Times New Roman" w:hAnsi="Times New Roman"/>
          <w:spacing w:val="-4"/>
        </w:rPr>
        <w:t>presented</w:t>
      </w:r>
      <w:r>
        <w:rPr>
          <w:rFonts w:ascii="Times New Roman" w:cs="Times New Roman" w:hAnsi="Times New Roman"/>
          <w:spacing w:val="-19"/>
        </w:rPr>
        <w:t xml:space="preserve"> </w:t>
      </w:r>
      <w:r>
        <w:rPr>
          <w:rFonts w:ascii="Times New Roman" w:cs="Times New Roman" w:hAnsi="Times New Roman"/>
          <w:spacing w:val="-4"/>
        </w:rPr>
        <w:t>any</w:t>
      </w:r>
      <w:r>
        <w:rPr>
          <w:rFonts w:ascii="Times New Roman" w:cs="Times New Roman" w:hAnsi="Times New Roman"/>
          <w:spacing w:val="-18"/>
        </w:rPr>
        <w:t xml:space="preserve"> </w:t>
      </w:r>
      <w:r>
        <w:rPr>
          <w:rFonts w:ascii="Times New Roman" w:cs="Times New Roman" w:hAnsi="Times New Roman"/>
          <w:spacing w:val="-4"/>
        </w:rPr>
        <w:t>AI</w:t>
      </w:r>
      <w:r>
        <w:rPr>
          <w:rFonts w:ascii="Times New Roman" w:cs="Times New Roman" w:hAnsi="Times New Roman"/>
          <w:spacing w:val="-22"/>
        </w:rPr>
        <w:t xml:space="preserve"> </w:t>
      </w:r>
      <w:r>
        <w:rPr>
          <w:rFonts w:ascii="Times New Roman" w:cs="Times New Roman" w:hAnsi="Times New Roman"/>
          <w:spacing w:val="-4"/>
        </w:rPr>
        <w:t>generated</w:t>
      </w:r>
      <w:r>
        <w:rPr>
          <w:rFonts w:ascii="Times New Roman" w:cs="Times New Roman" w:hAnsi="Times New Roman"/>
          <w:spacing w:val="-19"/>
        </w:rPr>
        <w:t xml:space="preserve"> </w:t>
      </w:r>
      <w:r>
        <w:rPr>
          <w:rFonts w:ascii="Times New Roman" w:cs="Times New Roman" w:hAnsi="Times New Roman"/>
          <w:spacing w:val="-4"/>
        </w:rPr>
        <w:t>text</w:t>
      </w:r>
      <w:r>
        <w:rPr>
          <w:rFonts w:ascii="Times New Roman" w:cs="Times New Roman" w:hAnsi="Times New Roman"/>
          <w:spacing w:val="-17"/>
        </w:rPr>
        <w:t xml:space="preserve"> </w:t>
      </w:r>
      <w:r>
        <w:rPr>
          <w:rFonts w:ascii="Times New Roman" w:cs="Times New Roman" w:hAnsi="Times New Roman"/>
          <w:spacing w:val="-4"/>
        </w:rPr>
        <w:t>as</w:t>
      </w:r>
      <w:r>
        <w:rPr>
          <w:rFonts w:ascii="Times New Roman" w:cs="Times New Roman" w:hAnsi="Times New Roman"/>
          <w:spacing w:val="-21"/>
        </w:rPr>
        <w:t xml:space="preserve"> </w:t>
      </w:r>
      <w:r>
        <w:rPr>
          <w:rFonts w:ascii="Times New Roman" w:cs="Times New Roman" w:hAnsi="Times New Roman"/>
          <w:spacing w:val="-4"/>
        </w:rPr>
        <w:t>my</w:t>
      </w:r>
      <w:r>
        <w:rPr>
          <w:rFonts w:ascii="Times New Roman" w:cs="Times New Roman" w:hAnsi="Times New Roman"/>
          <w:spacing w:val="-18"/>
        </w:rPr>
        <w:t xml:space="preserve"> </w:t>
      </w:r>
      <w:r>
        <w:rPr>
          <w:rFonts w:ascii="Times New Roman" w:cs="Times New Roman" w:hAnsi="Times New Roman"/>
          <w:spacing w:val="-4"/>
        </w:rPr>
        <w:t>own</w:t>
      </w:r>
      <w:r>
        <w:rPr>
          <w:rFonts w:ascii="Times New Roman" w:cs="Times New Roman" w:hAnsi="Times New Roman"/>
          <w:spacing w:val="-21"/>
        </w:rPr>
        <w:t xml:space="preserve"> </w:t>
      </w:r>
      <w:r>
        <w:rPr>
          <w:rFonts w:ascii="Times New Roman" w:cs="Times New Roman" w:hAnsi="Times New Roman"/>
          <w:spacing w:val="-4"/>
        </w:rPr>
        <w:t>work.</w:t>
      </w:r>
      <w:r>
        <w:rPr>
          <w:rFonts w:ascii="Times New Roman" w:cs="Times New Roman" w:hAnsi="Times New Roman"/>
          <w:spacing w:val="-18"/>
        </w:rPr>
        <w:t xml:space="preserve"> </w:t>
      </w:r>
      <w:r>
        <w:rPr>
          <w:rFonts w:ascii="Times New Roman" w:cs="Times New Roman" w:hAnsi="Times New Roman"/>
          <w:spacing w:val="-4"/>
        </w:rPr>
        <w:t>I</w:t>
      </w:r>
      <w:r>
        <w:rPr>
          <w:rFonts w:ascii="Times New Roman" w:cs="Times New Roman" w:hAnsi="Times New Roman"/>
          <w:spacing w:val="-22"/>
        </w:rPr>
        <w:t xml:space="preserve"> </w:t>
      </w:r>
      <w:r>
        <w:rPr>
          <w:rFonts w:ascii="Times New Roman" w:cs="Times New Roman" w:hAnsi="Times New Roman"/>
          <w:spacing w:val="-4"/>
        </w:rPr>
        <w:t>confirm</w:t>
      </w:r>
      <w:r>
        <w:rPr>
          <w:rFonts w:ascii="Times New Roman" w:cs="Times New Roman" w:hAnsi="Times New Roman"/>
          <w:spacing w:val="-18"/>
        </w:rPr>
        <w:t xml:space="preserve"> </w:t>
      </w:r>
      <w:r>
        <w:rPr>
          <w:rFonts w:ascii="Times New Roman" w:cs="Times New Roman" w:hAnsi="Times New Roman"/>
          <w:spacing w:val="-4"/>
        </w:rPr>
        <w:t>I have</w:t>
      </w:r>
      <w:r>
        <w:rPr>
          <w:rFonts w:ascii="Times New Roman" w:cs="Times New Roman" w:hAnsi="Times New Roman"/>
          <w:spacing w:val="-24"/>
        </w:rPr>
        <w:t xml:space="preserve"> </w:t>
      </w:r>
      <w:r>
        <w:rPr>
          <w:rFonts w:ascii="Times New Roman" w:cs="Times New Roman" w:hAnsi="Times New Roman"/>
          <w:spacing w:val="-4"/>
        </w:rPr>
        <w:t>copies</w:t>
      </w:r>
      <w:r>
        <w:rPr>
          <w:rFonts w:ascii="Times New Roman" w:cs="Times New Roman" w:hAnsi="Times New Roman"/>
          <w:spacing w:val="-24"/>
        </w:rPr>
        <w:t xml:space="preserve"> </w:t>
      </w:r>
      <w:r>
        <w:rPr>
          <w:rFonts w:ascii="Times New Roman" w:cs="Times New Roman" w:hAnsi="Times New Roman"/>
          <w:spacing w:val="-4"/>
        </w:rPr>
        <w:t>of</w:t>
      </w:r>
      <w:r>
        <w:rPr>
          <w:rFonts w:ascii="Times New Roman" w:cs="Times New Roman" w:hAnsi="Times New Roman"/>
          <w:spacing w:val="-24"/>
        </w:rPr>
        <w:t xml:space="preserve"> </w:t>
      </w:r>
      <w:r>
        <w:rPr>
          <w:rFonts w:ascii="Times New Roman" w:cs="Times New Roman" w:hAnsi="Times New Roman"/>
          <w:spacing w:val="-4"/>
        </w:rPr>
        <w:t>my</w:t>
      </w:r>
      <w:r>
        <w:rPr>
          <w:rFonts w:ascii="Times New Roman" w:cs="Times New Roman" w:hAnsi="Times New Roman"/>
          <w:spacing w:val="-20"/>
        </w:rPr>
        <w:t xml:space="preserve"> </w:t>
      </w:r>
      <w:r>
        <w:rPr>
          <w:rFonts w:ascii="Times New Roman" w:cs="Times New Roman" w:hAnsi="Times New Roman"/>
          <w:spacing w:val="-4"/>
        </w:rPr>
        <w:t>drafts,</w:t>
      </w:r>
      <w:r>
        <w:rPr>
          <w:rFonts w:ascii="Times New Roman" w:cs="Times New Roman" w:hAnsi="Times New Roman"/>
          <w:spacing w:val="-26"/>
        </w:rPr>
        <w:t xml:space="preserve"> </w:t>
      </w:r>
      <w:r>
        <w:rPr>
          <w:rFonts w:ascii="Times New Roman" w:cs="Times New Roman" w:hAnsi="Times New Roman"/>
          <w:spacing w:val="-4"/>
        </w:rPr>
        <w:t>notes,</w:t>
      </w:r>
      <w:r>
        <w:rPr>
          <w:rFonts w:ascii="Times New Roman" w:cs="Times New Roman" w:hAnsi="Times New Roman"/>
          <w:spacing w:val="-21"/>
        </w:rPr>
        <w:t xml:space="preserve"> </w:t>
      </w:r>
      <w:r>
        <w:rPr>
          <w:rFonts w:ascii="Times New Roman" w:cs="Times New Roman" w:hAnsi="Times New Roman"/>
          <w:spacing w:val="-4"/>
        </w:rPr>
        <w:t>and</w:t>
      </w:r>
      <w:r>
        <w:rPr>
          <w:rFonts w:ascii="Times New Roman" w:cs="Times New Roman" w:hAnsi="Times New Roman"/>
          <w:spacing w:val="-22"/>
        </w:rPr>
        <w:t xml:space="preserve"> </w:t>
      </w:r>
      <w:r>
        <w:rPr>
          <w:rFonts w:ascii="Times New Roman" w:cs="Times New Roman" w:hAnsi="Times New Roman"/>
          <w:spacing w:val="-4"/>
        </w:rPr>
        <w:t>other</w:t>
      </w:r>
      <w:r>
        <w:rPr>
          <w:rFonts w:ascii="Times New Roman" w:cs="Times New Roman" w:hAnsi="Times New Roman"/>
          <w:spacing w:val="-22"/>
        </w:rPr>
        <w:t xml:space="preserve"> </w:t>
      </w:r>
      <w:r>
        <w:rPr>
          <w:rFonts w:ascii="Times New Roman" w:cs="Times New Roman" w:hAnsi="Times New Roman"/>
          <w:spacing w:val="-4"/>
        </w:rPr>
        <w:t>resources</w:t>
      </w:r>
      <w:r>
        <w:rPr>
          <w:rFonts w:ascii="Times New Roman" w:cs="Times New Roman" w:hAnsi="Times New Roman"/>
          <w:spacing w:val="-24"/>
        </w:rPr>
        <w:t xml:space="preserve"> </w:t>
      </w:r>
      <w:r>
        <w:rPr>
          <w:rFonts w:ascii="Times New Roman" w:cs="Times New Roman" w:hAnsi="Times New Roman"/>
          <w:spacing w:val="-4"/>
        </w:rPr>
        <w:t>I</w:t>
      </w:r>
      <w:r>
        <w:rPr>
          <w:rFonts w:ascii="Times New Roman" w:cs="Times New Roman" w:hAnsi="Times New Roman"/>
          <w:spacing w:val="-25"/>
        </w:rPr>
        <w:t xml:space="preserve"> </w:t>
      </w:r>
      <w:r>
        <w:rPr>
          <w:rFonts w:ascii="Times New Roman" w:cs="Times New Roman" w:hAnsi="Times New Roman"/>
          <w:spacing w:val="-4"/>
        </w:rPr>
        <w:t>used</w:t>
      </w:r>
      <w:r>
        <w:rPr>
          <w:rFonts w:ascii="Times New Roman" w:cs="Times New Roman" w:hAnsi="Times New Roman"/>
          <w:spacing w:val="-22"/>
        </w:rPr>
        <w:t xml:space="preserve"> </w:t>
      </w:r>
      <w:r>
        <w:rPr>
          <w:rFonts w:ascii="Times New Roman" w:cs="Times New Roman" w:hAnsi="Times New Roman"/>
          <w:spacing w:val="-4"/>
        </w:rPr>
        <w:t>before,</w:t>
      </w:r>
      <w:r>
        <w:rPr>
          <w:rFonts w:ascii="Times New Roman" w:cs="Times New Roman" w:hAnsi="Times New Roman"/>
          <w:spacing w:val="-21"/>
        </w:rPr>
        <w:t xml:space="preserve"> </w:t>
      </w:r>
      <w:r>
        <w:rPr>
          <w:rFonts w:ascii="Times New Roman" w:cs="Times New Roman" w:hAnsi="Times New Roman"/>
          <w:spacing w:val="-4"/>
        </w:rPr>
        <w:t>and</w:t>
      </w:r>
      <w:r>
        <w:rPr>
          <w:rFonts w:ascii="Times New Roman" w:cs="Times New Roman" w:hAnsi="Times New Roman"/>
          <w:spacing w:val="-22"/>
        </w:rPr>
        <w:t xml:space="preserve"> </w:t>
      </w:r>
      <w:r>
        <w:rPr>
          <w:rFonts w:ascii="Times New Roman" w:cs="Times New Roman" w:hAnsi="Times New Roman"/>
          <w:spacing w:val="-4"/>
        </w:rPr>
        <w:t>after</w:t>
      </w:r>
      <w:r>
        <w:rPr>
          <w:rFonts w:ascii="Times New Roman" w:cs="Times New Roman" w:hAnsi="Times New Roman"/>
          <w:spacing w:val="-22"/>
        </w:rPr>
        <w:t xml:space="preserve"> </w:t>
      </w:r>
      <w:r>
        <w:rPr>
          <w:rFonts w:ascii="Times New Roman" w:cs="Times New Roman" w:hAnsi="Times New Roman"/>
          <w:spacing w:val="-4"/>
        </w:rPr>
        <w:t>the</w:t>
      </w:r>
      <w:r>
        <w:rPr>
          <w:rFonts w:ascii="Times New Roman" w:cs="Times New Roman" w:hAnsi="Times New Roman"/>
          <w:spacing w:val="-24"/>
        </w:rPr>
        <w:t xml:space="preserve"> </w:t>
      </w:r>
      <w:r>
        <w:rPr>
          <w:rFonts w:ascii="Times New Roman" w:cs="Times New Roman" w:hAnsi="Times New Roman"/>
          <w:spacing w:val="-4"/>
        </w:rPr>
        <w:t>use</w:t>
      </w:r>
      <w:r>
        <w:rPr>
          <w:rFonts w:ascii="Times New Roman" w:cs="Times New Roman" w:hAnsi="Times New Roman"/>
          <w:spacing w:val="-24"/>
        </w:rPr>
        <w:t xml:space="preserve"> </w:t>
      </w:r>
      <w:r>
        <w:rPr>
          <w:rFonts w:ascii="Times New Roman" w:cs="Times New Roman" w:hAnsi="Times New Roman"/>
          <w:spacing w:val="-4"/>
        </w:rPr>
        <w:t xml:space="preserve">of </w:t>
      </w:r>
      <w:r>
        <w:rPr>
          <w:rFonts w:ascii="Times New Roman" w:cs="Times New Roman" w:hAnsi="Times New Roman"/>
        </w:rPr>
        <w:t>AI</w:t>
      </w:r>
      <w:r>
        <w:rPr>
          <w:rFonts w:ascii="Times New Roman" w:cs="Times New Roman" w:hAnsi="Times New Roman"/>
          <w:spacing w:val="-25"/>
        </w:rPr>
        <w:t xml:space="preserve"> </w:t>
      </w:r>
      <w:r>
        <w:rPr>
          <w:rFonts w:ascii="Times New Roman" w:cs="Times New Roman" w:hAnsi="Times New Roman"/>
        </w:rPr>
        <w:t>tools</w:t>
      </w:r>
      <w:r>
        <w:rPr>
          <w:rFonts w:ascii="Times New Roman" w:cs="Times New Roman" w:hAnsi="Times New Roman"/>
          <w:spacing w:val="-24"/>
        </w:rPr>
        <w:t xml:space="preserve"> </w:t>
      </w:r>
      <w:r>
        <w:rPr>
          <w:rFonts w:ascii="Times New Roman" w:cs="Times New Roman" w:hAnsi="Times New Roman"/>
        </w:rPr>
        <w:t>which</w:t>
      </w:r>
      <w:r>
        <w:rPr>
          <w:rFonts w:ascii="Times New Roman" w:cs="Times New Roman" w:hAnsi="Times New Roman"/>
          <w:spacing w:val="-24"/>
        </w:rPr>
        <w:t xml:space="preserve"> </w:t>
      </w:r>
      <w:r>
        <w:rPr>
          <w:rFonts w:ascii="Times New Roman" w:cs="Times New Roman" w:hAnsi="Times New Roman"/>
        </w:rPr>
        <w:t>I</w:t>
      </w:r>
      <w:r>
        <w:rPr>
          <w:rFonts w:ascii="Times New Roman" w:cs="Times New Roman" w:hAnsi="Times New Roman"/>
          <w:spacing w:val="-25"/>
        </w:rPr>
        <w:t xml:space="preserve"> </w:t>
      </w:r>
      <w:r>
        <w:rPr>
          <w:rFonts w:ascii="Times New Roman" w:cs="Times New Roman" w:hAnsi="Times New Roman"/>
        </w:rPr>
        <w:t>may</w:t>
      </w:r>
      <w:r>
        <w:rPr>
          <w:rFonts w:ascii="Times New Roman" w:cs="Times New Roman" w:hAnsi="Times New Roman"/>
          <w:spacing w:val="-21"/>
        </w:rPr>
        <w:t xml:space="preserve"> </w:t>
      </w:r>
      <w:r>
        <w:rPr>
          <w:rFonts w:ascii="Times New Roman" w:cs="Times New Roman" w:hAnsi="Times New Roman"/>
        </w:rPr>
        <w:t>be</w:t>
      </w:r>
      <w:r>
        <w:rPr>
          <w:rFonts w:ascii="Times New Roman" w:cs="Times New Roman" w:hAnsi="Times New Roman"/>
          <w:spacing w:val="-23"/>
        </w:rPr>
        <w:t xml:space="preserve"> </w:t>
      </w:r>
      <w:r>
        <w:rPr>
          <w:rFonts w:ascii="Times New Roman" w:cs="Times New Roman" w:hAnsi="Times New Roman"/>
        </w:rPr>
        <w:t>asked</w:t>
      </w:r>
      <w:r>
        <w:rPr>
          <w:rFonts w:ascii="Times New Roman" w:cs="Times New Roman" w:hAnsi="Times New Roman"/>
          <w:spacing w:val="-22"/>
        </w:rPr>
        <w:t xml:space="preserve"> </w:t>
      </w:r>
      <w:r>
        <w:rPr>
          <w:rFonts w:ascii="Times New Roman" w:cs="Times New Roman" w:hAnsi="Times New Roman"/>
        </w:rPr>
        <w:t>to</w:t>
      </w:r>
      <w:r>
        <w:rPr>
          <w:rFonts w:ascii="Times New Roman" w:cs="Times New Roman" w:hAnsi="Times New Roman"/>
          <w:spacing w:val="-24"/>
        </w:rPr>
        <w:t xml:space="preserve"> </w:t>
      </w:r>
      <w:r>
        <w:rPr>
          <w:rFonts w:ascii="Times New Roman" w:cs="Times New Roman" w:hAnsi="Times New Roman"/>
        </w:rPr>
        <w:t>provide</w:t>
      </w:r>
      <w:r>
        <w:rPr>
          <w:rFonts w:ascii="Times New Roman" w:cs="Times New Roman" w:hAnsi="Times New Roman"/>
          <w:spacing w:val="-24"/>
        </w:rPr>
        <w:t xml:space="preserve"> </w:t>
      </w:r>
      <w:r>
        <w:rPr>
          <w:rFonts w:ascii="Times New Roman" w:cs="Times New Roman" w:hAnsi="Times New Roman"/>
        </w:rPr>
        <w:t>in</w:t>
      </w:r>
      <w:r>
        <w:rPr>
          <w:rFonts w:ascii="Times New Roman" w:cs="Times New Roman" w:hAnsi="Times New Roman"/>
          <w:spacing w:val="-24"/>
        </w:rPr>
        <w:t xml:space="preserve"> </w:t>
      </w:r>
      <w:r>
        <w:rPr>
          <w:rFonts w:ascii="Times New Roman" w:cs="Times New Roman" w:hAnsi="Times New Roman"/>
        </w:rPr>
        <w:t>evidence.</w:t>
      </w:r>
    </w:p>
    <w:p w14:paraId="10F152A0">
      <w:pPr>
        <w:pStyle w:val="style0"/>
        <w:spacing w:before="0" w:after="160" w:lineRule="auto" w:line="259"/>
        <w:jc w:val="left"/>
        <w:rPr>
          <w:rFonts w:ascii="Trebuchet MS" w:cs="Trebuchet MS" w:eastAsia="Trebuchet MS" w:hAnsi="Trebuchet MS"/>
          <w:kern w:val="0"/>
          <w:szCs w:val="24"/>
          <w:lang w:val="en-US"/>
          <w14:ligatures xmlns:w14="http://schemas.microsoft.com/office/word/2010/wordml" w14:val="none"/>
        </w:rPr>
      </w:pPr>
      <w:r>
        <w:br w:type="page"/>
      </w:r>
    </w:p>
    <w:p w14:paraId="2E27A7EA">
      <w:pPr>
        <w:pStyle w:val="style0"/>
        <w:jc w:val="center"/>
        <w:rPr>
          <w:b/>
          <w:bCs/>
          <w:sz w:val="36"/>
          <w:szCs w:val="32"/>
        </w:rPr>
      </w:pPr>
    </w:p>
    <w:p w14:paraId="30D064C5">
      <w:pPr>
        <w:pStyle w:val="style0"/>
        <w:jc w:val="center"/>
        <w:rPr>
          <w:b/>
          <w:bCs/>
          <w:sz w:val="36"/>
          <w:szCs w:val="32"/>
        </w:rPr>
      </w:pPr>
    </w:p>
    <w:p w14:paraId="1ED55DED">
      <w:pPr>
        <w:pStyle w:val="style0"/>
        <w:jc w:val="center"/>
        <w:rPr>
          <w:rFonts w:cs="Times New Roman"/>
          <w:b/>
          <w:bCs/>
          <w:sz w:val="36"/>
          <w:szCs w:val="32"/>
        </w:rPr>
      </w:pPr>
    </w:p>
    <w:p w14:paraId="440B0189">
      <w:pPr>
        <w:pStyle w:val="style0"/>
        <w:jc w:val="center"/>
        <w:rPr>
          <w:rFonts w:cs="Times New Roman"/>
          <w:b/>
          <w:bCs/>
          <w:sz w:val="36"/>
          <w:szCs w:val="32"/>
        </w:rPr>
      </w:pPr>
    </w:p>
    <w:p w14:paraId="14FB7103">
      <w:pPr>
        <w:pStyle w:val="style0"/>
        <w:jc w:val="center"/>
        <w:rPr>
          <w:rFonts w:cs="Times New Roman"/>
          <w:b/>
          <w:bCs/>
          <w:sz w:val="36"/>
          <w:szCs w:val="32"/>
        </w:rPr>
      </w:pPr>
      <w:r>
        <w:rPr>
          <w:rFonts w:cs="Times New Roman"/>
          <w:b/>
          <w:bCs/>
          <w:sz w:val="36"/>
          <w:szCs w:val="32"/>
        </w:rPr>
        <w:t>Master of Business Administration</w:t>
      </w:r>
    </w:p>
    <w:p w14:paraId="0D2B2C00">
      <w:pPr>
        <w:pStyle w:val="style0"/>
        <w:jc w:val="center"/>
        <w:rPr>
          <w:rFonts w:cs="Times New Roman"/>
          <w:b/>
          <w:bCs/>
          <w:sz w:val="36"/>
          <w:szCs w:val="32"/>
          <w:u w:val="single"/>
        </w:rPr>
      </w:pPr>
    </w:p>
    <w:p w14:paraId="4C43C069">
      <w:pPr>
        <w:pStyle w:val="style0"/>
        <w:jc w:val="center"/>
        <w:rPr>
          <w:rFonts w:cs="Times New Roman"/>
          <w:b/>
          <w:bCs/>
          <w:sz w:val="32"/>
          <w:szCs w:val="28"/>
        </w:rPr>
      </w:pPr>
      <w:r>
        <w:rPr>
          <w:rFonts w:cs="Times New Roman"/>
          <w:b/>
          <w:bCs/>
          <w:sz w:val="32"/>
          <w:szCs w:val="28"/>
        </w:rPr>
        <w:t>INDIVIDUAL REPORT</w:t>
      </w:r>
    </w:p>
    <w:p w14:paraId="5E394FC3">
      <w:pPr>
        <w:pStyle w:val="style0"/>
        <w:spacing w:before="120" w:after="120"/>
        <w:jc w:val="center"/>
        <w:rPr>
          <w:rFonts w:cs="Times New Roman"/>
          <w:b/>
          <w:bCs/>
          <w:sz w:val="36"/>
          <w:szCs w:val="32"/>
          <w:u w:val="single"/>
        </w:rPr>
      </w:pPr>
    </w:p>
    <w:p w14:paraId="388F1B60">
      <w:pPr>
        <w:pStyle w:val="style0"/>
        <w:spacing w:before="120" w:after="120"/>
        <w:jc w:val="center"/>
        <w:rPr>
          <w:rFonts w:cs="Times New Roman"/>
          <w:b/>
          <w:bCs/>
          <w:sz w:val="36"/>
          <w:szCs w:val="32"/>
          <w:u w:val="single"/>
        </w:rPr>
      </w:pPr>
    </w:p>
    <w:p w14:paraId="32D8C1CF">
      <w:pPr>
        <w:pStyle w:val="style0"/>
        <w:spacing w:before="120" w:after="120"/>
        <w:jc w:val="center"/>
        <w:rPr>
          <w:rFonts w:cs="Times New Roman"/>
          <w:b/>
          <w:bCs/>
          <w:sz w:val="36"/>
          <w:szCs w:val="32"/>
          <w:u w:val="single"/>
        </w:rPr>
      </w:pPr>
    </w:p>
    <w:p w14:paraId="67599138">
      <w:pPr>
        <w:pStyle w:val="style66"/>
        <w:spacing w:before="221" w:lineRule="auto" w:line="292"/>
        <w:ind w:left="23" w:right="73"/>
        <w:jc w:val="center"/>
        <w:rPr>
          <w:rFonts w:ascii="Times New Roman" w:cs="Times New Roman" w:hAnsi="Times New Roman"/>
        </w:rPr>
      </w:pPr>
      <w:r>
        <w:rPr>
          <w:rFonts w:ascii="Times New Roman" w:cs="Times New Roman" w:hAnsi="Times New Roman"/>
          <w:b/>
          <w:bCs/>
          <w:i/>
          <w:iCs/>
          <w:sz w:val="28"/>
        </w:rPr>
        <w:t>Company Name: ASDA in the United Kingdom</w:t>
      </w:r>
    </w:p>
    <w:p w14:paraId="50C08D0D">
      <w:pPr>
        <w:pStyle w:val="style0"/>
        <w:spacing w:before="0" w:after="160" w:lineRule="auto" w:line="259"/>
        <w:jc w:val="left"/>
        <w:rPr>
          <w:rFonts w:ascii="Trebuchet MS" w:cs="Trebuchet MS" w:eastAsia="Trebuchet MS" w:hAnsi="Trebuchet MS"/>
          <w:kern w:val="0"/>
          <w:szCs w:val="24"/>
          <w:lang w:val="en-US"/>
          <w14:ligatures xmlns:w14="http://schemas.microsoft.com/office/word/2010/wordml" w14:val="none"/>
        </w:rPr>
      </w:pPr>
      <w:r>
        <w:br w:type="page"/>
      </w:r>
    </w:p>
    <w:p w14:paraId="761E58A6">
      <w:pPr>
        <w:pStyle w:val="style266"/>
        <w:spacing w:before="120" w:after="120" w:lineRule="auto" w:line="360"/>
        <w:jc w:val="center"/>
        <w:rPr>
          <w:rFonts w:ascii="Times New Roman" w:cs="Times New Roman" w:hAnsi="Times New Roman"/>
          <w:b/>
          <w:bCs/>
          <w:color w:val="000000"/>
          <w:sz w:val="28"/>
          <w:szCs w:val="28"/>
        </w:rPr>
      </w:pPr>
      <w:r>
        <w:rPr>
          <w:rFonts w:ascii="Times New Roman" w:cs="Times New Roman" w:hAnsi="Times New Roman"/>
          <w:b/>
          <w:bCs/>
          <w:color w:val="000000"/>
          <w:sz w:val="28"/>
          <w:szCs w:val="28"/>
        </w:rPr>
        <w:t>Table of Contents</w:t>
      </w:r>
    </w:p>
    <w:p w14:paraId="2270295A">
      <w:pPr>
        <w:pStyle w:val="style19"/>
        <w:rPr>
          <w:rFonts w:ascii="Calibri" w:eastAsia="宋体" w:hAnsi="Calibri"/>
          <w:b w:val="false"/>
          <w:bCs w:val="false"/>
          <w:szCs w:val="24"/>
          <w:lang w:eastAsia="en-IN"/>
        </w:rPr>
      </w:pPr>
      <w:r>
        <w:rPr>
          <w:noProof w:val="false"/>
        </w:rPr>
        <w:fldChar w:fldCharType="begin"/>
      </w:r>
      <w:r>
        <w:instrText xml:space="preserve"> TOC \o "1-3" \h \z \u </w:instrText>
      </w:r>
      <w:r>
        <w:rPr>
          <w:noProof w:val="false"/>
        </w:rPr>
        <w:fldChar w:fldCharType="separate"/>
      </w:r>
      <w:r>
        <w:rPr/>
        <w:fldChar w:fldCharType="begin"/>
      </w:r>
      <w:r>
        <w:instrText xml:space="preserve"> HYPERLINK \l "_Toc237430328" </w:instrText>
      </w:r>
      <w:r>
        <w:rPr/>
        <w:fldChar w:fldCharType="separate"/>
      </w:r>
      <w:r>
        <w:rPr>
          <w:rStyle w:val="style85"/>
        </w:rPr>
        <w:t>SECTION 1</w:t>
      </w:r>
      <w:r>
        <w:rPr>
          <w:webHidden/>
        </w:rPr>
        <w:tab/>
      </w:r>
      <w:r>
        <w:rPr>
          <w:webHidden/>
        </w:rPr>
        <w:fldChar w:fldCharType="begin"/>
      </w:r>
      <w:r>
        <w:rPr>
          <w:webHidden/>
        </w:rPr>
        <w:instrText xml:space="preserve"> PAGEREF _Toc237430328 \h </w:instrText>
      </w:r>
      <w:r>
        <w:rPr>
          <w:webHidden/>
        </w:rPr>
        <w:fldChar w:fldCharType="separate"/>
      </w:r>
      <w:r>
        <w:rPr>
          <w:webHidden/>
        </w:rPr>
        <w:t>5</w:t>
      </w:r>
      <w:r>
        <w:rPr>
          <w:webHidden/>
        </w:rPr>
        <w:fldChar w:fldCharType="end"/>
      </w:r>
      <w:r>
        <w:rPr/>
        <w:fldChar w:fldCharType="end"/>
      </w:r>
    </w:p>
    <w:p w14:paraId="43EF14F2">
      <w:pPr>
        <w:pStyle w:val="style19"/>
        <w:rPr>
          <w:rFonts w:ascii="Calibri" w:eastAsia="宋体" w:hAnsi="Calibri"/>
          <w:b w:val="false"/>
          <w:bCs w:val="false"/>
          <w:szCs w:val="24"/>
          <w:lang w:eastAsia="en-IN"/>
        </w:rPr>
      </w:pPr>
      <w:r>
        <w:rPr/>
        <w:fldChar w:fldCharType="begin"/>
      </w:r>
      <w:r>
        <w:instrText xml:space="preserve"> HYPERLINK \l "_Toc237430329" </w:instrText>
      </w:r>
      <w:r>
        <w:rPr/>
        <w:fldChar w:fldCharType="separate"/>
      </w:r>
      <w:r>
        <w:rPr>
          <w:rStyle w:val="style85"/>
        </w:rPr>
        <w:t>1. Organisational Context and Overview</w:t>
      </w:r>
      <w:r>
        <w:rPr>
          <w:webHidden/>
        </w:rPr>
        <w:tab/>
      </w:r>
      <w:r>
        <w:rPr>
          <w:webHidden/>
        </w:rPr>
        <w:fldChar w:fldCharType="begin"/>
      </w:r>
      <w:r>
        <w:rPr>
          <w:webHidden/>
        </w:rPr>
        <w:instrText xml:space="preserve"> PAGEREF _Toc237430329 \h </w:instrText>
      </w:r>
      <w:r>
        <w:rPr>
          <w:webHidden/>
        </w:rPr>
        <w:fldChar w:fldCharType="separate"/>
      </w:r>
      <w:r>
        <w:rPr>
          <w:webHidden/>
        </w:rPr>
        <w:t>5</w:t>
      </w:r>
      <w:r>
        <w:rPr>
          <w:webHidden/>
        </w:rPr>
        <w:fldChar w:fldCharType="end"/>
      </w:r>
      <w:r>
        <w:rPr/>
        <w:fldChar w:fldCharType="end"/>
      </w:r>
    </w:p>
    <w:p w14:paraId="46036B0B">
      <w:pPr>
        <w:pStyle w:val="style19"/>
        <w:rPr>
          <w:rFonts w:ascii="Calibri" w:eastAsia="宋体" w:hAnsi="Calibri"/>
          <w:b w:val="false"/>
          <w:bCs w:val="false"/>
          <w:szCs w:val="24"/>
          <w:lang w:eastAsia="en-IN"/>
        </w:rPr>
      </w:pPr>
      <w:r>
        <w:rPr/>
        <w:fldChar w:fldCharType="begin"/>
      </w:r>
      <w:r>
        <w:instrText xml:space="preserve"> HYPERLINK \l "_Toc237430330" </w:instrText>
      </w:r>
      <w:r>
        <w:rPr/>
        <w:fldChar w:fldCharType="separate"/>
      </w:r>
      <w:r>
        <w:rPr>
          <w:rStyle w:val="style85"/>
        </w:rPr>
        <w:t>2. External and Internal Analysis</w:t>
      </w:r>
      <w:r>
        <w:rPr>
          <w:webHidden/>
        </w:rPr>
        <w:tab/>
      </w:r>
      <w:r>
        <w:rPr>
          <w:webHidden/>
        </w:rPr>
        <w:fldChar w:fldCharType="begin"/>
      </w:r>
      <w:r>
        <w:rPr>
          <w:webHidden/>
        </w:rPr>
        <w:instrText xml:space="preserve"> PAGEREF _Toc237430330 \h </w:instrText>
      </w:r>
      <w:r>
        <w:rPr>
          <w:webHidden/>
        </w:rPr>
        <w:fldChar w:fldCharType="separate"/>
      </w:r>
      <w:r>
        <w:rPr>
          <w:webHidden/>
        </w:rPr>
        <w:t>6</w:t>
      </w:r>
      <w:r>
        <w:rPr>
          <w:webHidden/>
        </w:rPr>
        <w:fldChar w:fldCharType="end"/>
      </w:r>
      <w:r>
        <w:rPr/>
        <w:fldChar w:fldCharType="end"/>
      </w:r>
    </w:p>
    <w:p w14:paraId="0C2E6AC1">
      <w:pPr>
        <w:pStyle w:val="style21"/>
        <w:tabs>
          <w:tab w:val="right" w:leader="dot" w:pos="9016"/>
        </w:tabs>
        <w:rPr>
          <w:rFonts w:ascii="Calibri" w:eastAsia="宋体" w:hAnsi="Calibri"/>
          <w:noProof/>
          <w:szCs w:val="24"/>
          <w:lang w:eastAsia="en-IN"/>
        </w:rPr>
      </w:pPr>
      <w:r>
        <w:rPr/>
        <w:fldChar w:fldCharType="begin"/>
      </w:r>
      <w:r>
        <w:instrText xml:space="preserve"> HYPERLINK \l "_Toc237430331" </w:instrText>
      </w:r>
      <w:r>
        <w:rPr/>
        <w:fldChar w:fldCharType="separate"/>
      </w:r>
      <w:r>
        <w:rPr>
          <w:rStyle w:val="style85"/>
          <w:noProof/>
        </w:rPr>
        <w:t>2.1 Critical analysis of the external business environment of ASDA using the PESTEL Framework</w:t>
      </w:r>
      <w:r>
        <w:rPr>
          <w:noProof/>
          <w:webHidden/>
        </w:rPr>
        <w:tab/>
      </w:r>
      <w:r>
        <w:rPr>
          <w:noProof/>
          <w:webHidden/>
        </w:rPr>
        <w:fldChar w:fldCharType="begin"/>
      </w:r>
      <w:r>
        <w:rPr>
          <w:noProof/>
          <w:webHidden/>
        </w:rPr>
        <w:instrText xml:space="preserve"> PAGEREF _Toc237430331 \h </w:instrText>
      </w:r>
      <w:r>
        <w:rPr>
          <w:noProof/>
          <w:webHidden/>
        </w:rPr>
        <w:fldChar w:fldCharType="separate"/>
      </w:r>
      <w:r>
        <w:rPr>
          <w:noProof/>
          <w:webHidden/>
        </w:rPr>
        <w:t>6</w:t>
      </w:r>
      <w:r>
        <w:rPr>
          <w:noProof/>
          <w:webHidden/>
        </w:rPr>
        <w:fldChar w:fldCharType="end"/>
      </w:r>
      <w:r>
        <w:rPr/>
        <w:fldChar w:fldCharType="end"/>
      </w:r>
    </w:p>
    <w:p w14:paraId="6BC214D9">
      <w:pPr>
        <w:pStyle w:val="style21"/>
        <w:tabs>
          <w:tab w:val="right" w:leader="dot" w:pos="9016"/>
        </w:tabs>
        <w:rPr>
          <w:rFonts w:ascii="Calibri" w:eastAsia="宋体" w:hAnsi="Calibri"/>
          <w:noProof/>
          <w:szCs w:val="24"/>
          <w:lang w:eastAsia="en-IN"/>
        </w:rPr>
      </w:pPr>
      <w:r>
        <w:rPr/>
        <w:fldChar w:fldCharType="begin"/>
      </w:r>
      <w:r>
        <w:instrText xml:space="preserve"> HYPERLINK \l "_Toc237430332" </w:instrText>
      </w:r>
      <w:r>
        <w:rPr/>
        <w:fldChar w:fldCharType="separate"/>
      </w:r>
      <w:r>
        <w:rPr>
          <w:rStyle w:val="style85"/>
          <w:noProof/>
        </w:rPr>
        <w:t>2.2 VRIO</w:t>
      </w:r>
      <w:r>
        <w:rPr>
          <w:noProof/>
          <w:webHidden/>
        </w:rPr>
        <w:tab/>
      </w:r>
      <w:r>
        <w:rPr>
          <w:noProof/>
          <w:webHidden/>
        </w:rPr>
        <w:fldChar w:fldCharType="begin"/>
      </w:r>
      <w:r>
        <w:rPr>
          <w:noProof/>
          <w:webHidden/>
        </w:rPr>
        <w:instrText xml:space="preserve"> PAGEREF _Toc237430332 \h </w:instrText>
      </w:r>
      <w:r>
        <w:rPr>
          <w:noProof/>
          <w:webHidden/>
        </w:rPr>
        <w:fldChar w:fldCharType="separate"/>
      </w:r>
      <w:r>
        <w:rPr>
          <w:noProof/>
          <w:webHidden/>
        </w:rPr>
        <w:t>10</w:t>
      </w:r>
      <w:r>
        <w:rPr>
          <w:noProof/>
          <w:webHidden/>
        </w:rPr>
        <w:fldChar w:fldCharType="end"/>
      </w:r>
      <w:r>
        <w:rPr/>
        <w:fldChar w:fldCharType="end"/>
      </w:r>
    </w:p>
    <w:p w14:paraId="0FA6C584">
      <w:pPr>
        <w:pStyle w:val="style21"/>
        <w:tabs>
          <w:tab w:val="right" w:leader="dot" w:pos="9016"/>
        </w:tabs>
        <w:rPr>
          <w:rFonts w:ascii="Calibri" w:eastAsia="宋体" w:hAnsi="Calibri"/>
          <w:noProof/>
          <w:szCs w:val="24"/>
          <w:lang w:eastAsia="en-IN"/>
        </w:rPr>
      </w:pPr>
      <w:r>
        <w:rPr/>
        <w:fldChar w:fldCharType="begin"/>
      </w:r>
      <w:r>
        <w:instrText xml:space="preserve"> HYPERLINK \l "_Toc237430333" </w:instrText>
      </w:r>
      <w:r>
        <w:rPr/>
        <w:fldChar w:fldCharType="separate"/>
      </w:r>
      <w:r>
        <w:rPr>
          <w:rStyle w:val="style85"/>
          <w:noProof/>
        </w:rPr>
        <w:t>2.3 SWOT</w:t>
      </w:r>
      <w:r>
        <w:rPr>
          <w:noProof/>
          <w:webHidden/>
        </w:rPr>
        <w:tab/>
      </w:r>
      <w:r>
        <w:rPr>
          <w:noProof/>
          <w:webHidden/>
        </w:rPr>
        <w:fldChar w:fldCharType="begin"/>
      </w:r>
      <w:r>
        <w:rPr>
          <w:noProof/>
          <w:webHidden/>
        </w:rPr>
        <w:instrText xml:space="preserve"> PAGEREF _Toc237430333 \h </w:instrText>
      </w:r>
      <w:r>
        <w:rPr>
          <w:noProof/>
          <w:webHidden/>
        </w:rPr>
        <w:fldChar w:fldCharType="separate"/>
      </w:r>
      <w:r>
        <w:rPr>
          <w:noProof/>
          <w:webHidden/>
        </w:rPr>
        <w:t>11</w:t>
      </w:r>
      <w:r>
        <w:rPr>
          <w:noProof/>
          <w:webHidden/>
        </w:rPr>
        <w:fldChar w:fldCharType="end"/>
      </w:r>
      <w:r>
        <w:rPr/>
        <w:fldChar w:fldCharType="end"/>
      </w:r>
    </w:p>
    <w:p w14:paraId="0BF41606">
      <w:pPr>
        <w:pStyle w:val="style19"/>
        <w:rPr>
          <w:rFonts w:ascii="Calibri" w:eastAsia="宋体" w:hAnsi="Calibri"/>
          <w:b w:val="false"/>
          <w:bCs w:val="false"/>
          <w:szCs w:val="24"/>
          <w:lang w:eastAsia="en-IN"/>
        </w:rPr>
      </w:pPr>
      <w:r>
        <w:rPr/>
        <w:fldChar w:fldCharType="begin"/>
      </w:r>
      <w:r>
        <w:instrText xml:space="preserve"> HYPERLINK \l "_Toc237430334" </w:instrText>
      </w:r>
      <w:r>
        <w:rPr/>
        <w:fldChar w:fldCharType="separate"/>
      </w:r>
      <w:r>
        <w:rPr>
          <w:rStyle w:val="style85"/>
        </w:rPr>
        <w:t>3. Comprehensive and holistic view of the organisation</w:t>
      </w:r>
      <w:r>
        <w:rPr>
          <w:webHidden/>
        </w:rPr>
        <w:tab/>
      </w:r>
      <w:r>
        <w:rPr>
          <w:webHidden/>
        </w:rPr>
        <w:fldChar w:fldCharType="begin"/>
      </w:r>
      <w:r>
        <w:rPr>
          <w:webHidden/>
        </w:rPr>
        <w:instrText xml:space="preserve"> PAGEREF _Toc237430334 \h </w:instrText>
      </w:r>
      <w:r>
        <w:rPr>
          <w:webHidden/>
        </w:rPr>
        <w:fldChar w:fldCharType="separate"/>
      </w:r>
      <w:r>
        <w:rPr>
          <w:webHidden/>
        </w:rPr>
        <w:t>13</w:t>
      </w:r>
      <w:r>
        <w:rPr>
          <w:webHidden/>
        </w:rPr>
        <w:fldChar w:fldCharType="end"/>
      </w:r>
      <w:r>
        <w:rPr/>
        <w:fldChar w:fldCharType="end"/>
      </w:r>
    </w:p>
    <w:p w14:paraId="2DFD9915">
      <w:pPr>
        <w:pStyle w:val="style21"/>
        <w:tabs>
          <w:tab w:val="right" w:leader="dot" w:pos="9016"/>
        </w:tabs>
        <w:rPr>
          <w:rFonts w:ascii="Calibri" w:eastAsia="宋体" w:hAnsi="Calibri"/>
          <w:noProof/>
          <w:szCs w:val="24"/>
          <w:lang w:eastAsia="en-IN"/>
        </w:rPr>
      </w:pPr>
      <w:r>
        <w:rPr/>
        <w:fldChar w:fldCharType="begin"/>
      </w:r>
      <w:r>
        <w:instrText xml:space="preserve"> HYPERLINK \l "_Toc237430335" </w:instrText>
      </w:r>
      <w:r>
        <w:rPr/>
        <w:fldChar w:fldCharType="separate"/>
      </w:r>
      <w:r>
        <w:rPr>
          <w:rStyle w:val="style85"/>
          <w:noProof/>
        </w:rPr>
        <w:t>3.1 Corporate Social Responsibility and Strategic Alignment</w:t>
      </w:r>
      <w:r>
        <w:rPr>
          <w:noProof/>
          <w:webHidden/>
        </w:rPr>
        <w:tab/>
      </w:r>
      <w:r>
        <w:rPr>
          <w:noProof/>
          <w:webHidden/>
        </w:rPr>
        <w:fldChar w:fldCharType="begin"/>
      </w:r>
      <w:r>
        <w:rPr>
          <w:noProof/>
          <w:webHidden/>
        </w:rPr>
        <w:instrText xml:space="preserve"> PAGEREF _Toc237430335 \h </w:instrText>
      </w:r>
      <w:r>
        <w:rPr>
          <w:noProof/>
          <w:webHidden/>
        </w:rPr>
        <w:fldChar w:fldCharType="separate"/>
      </w:r>
      <w:r>
        <w:rPr>
          <w:noProof/>
          <w:webHidden/>
        </w:rPr>
        <w:t>13</w:t>
      </w:r>
      <w:r>
        <w:rPr>
          <w:noProof/>
          <w:webHidden/>
        </w:rPr>
        <w:fldChar w:fldCharType="end"/>
      </w:r>
      <w:r>
        <w:rPr/>
        <w:fldChar w:fldCharType="end"/>
      </w:r>
    </w:p>
    <w:p w14:paraId="74E6773E">
      <w:pPr>
        <w:pStyle w:val="style21"/>
        <w:tabs>
          <w:tab w:val="right" w:leader="dot" w:pos="9016"/>
        </w:tabs>
        <w:rPr>
          <w:rFonts w:ascii="Calibri" w:eastAsia="宋体" w:hAnsi="Calibri"/>
          <w:noProof/>
          <w:szCs w:val="24"/>
          <w:lang w:eastAsia="en-IN"/>
        </w:rPr>
      </w:pPr>
      <w:r>
        <w:rPr/>
        <w:fldChar w:fldCharType="begin"/>
      </w:r>
      <w:r>
        <w:instrText xml:space="preserve"> HYPERLINK \l "_Toc237430336" </w:instrText>
      </w:r>
      <w:r>
        <w:rPr/>
        <w:fldChar w:fldCharType="separate"/>
      </w:r>
      <w:r>
        <w:rPr>
          <w:rStyle w:val="style85"/>
          <w:noProof/>
        </w:rPr>
        <w:t>3.2 Application of the Balanced Scorecard</w:t>
      </w:r>
      <w:r>
        <w:rPr>
          <w:noProof/>
          <w:webHidden/>
        </w:rPr>
        <w:tab/>
      </w:r>
      <w:r>
        <w:rPr>
          <w:noProof/>
          <w:webHidden/>
        </w:rPr>
        <w:fldChar w:fldCharType="begin"/>
      </w:r>
      <w:r>
        <w:rPr>
          <w:noProof/>
          <w:webHidden/>
        </w:rPr>
        <w:instrText xml:space="preserve"> PAGEREF _Toc237430336 \h </w:instrText>
      </w:r>
      <w:r>
        <w:rPr>
          <w:noProof/>
          <w:webHidden/>
        </w:rPr>
        <w:fldChar w:fldCharType="separate"/>
      </w:r>
      <w:r>
        <w:rPr>
          <w:noProof/>
          <w:webHidden/>
        </w:rPr>
        <w:t>14</w:t>
      </w:r>
      <w:r>
        <w:rPr>
          <w:noProof/>
          <w:webHidden/>
        </w:rPr>
        <w:fldChar w:fldCharType="end"/>
      </w:r>
      <w:r>
        <w:rPr/>
        <w:fldChar w:fldCharType="end"/>
      </w:r>
    </w:p>
    <w:p w14:paraId="487983B4">
      <w:pPr>
        <w:pStyle w:val="style19"/>
        <w:rPr>
          <w:rFonts w:ascii="Calibri" w:eastAsia="宋体" w:hAnsi="Calibri"/>
          <w:b w:val="false"/>
          <w:bCs w:val="false"/>
          <w:szCs w:val="24"/>
          <w:lang w:eastAsia="en-IN"/>
        </w:rPr>
      </w:pPr>
      <w:r>
        <w:rPr/>
        <w:fldChar w:fldCharType="begin"/>
      </w:r>
      <w:r>
        <w:instrText xml:space="preserve"> HYPERLINK \l "_Toc237430337" </w:instrText>
      </w:r>
      <w:r>
        <w:rPr/>
        <w:fldChar w:fldCharType="separate"/>
      </w:r>
      <w:r>
        <w:rPr>
          <w:rStyle w:val="style85"/>
        </w:rPr>
        <w:t>4. Strategic Choices and Implementation</w:t>
      </w:r>
      <w:r>
        <w:rPr>
          <w:webHidden/>
        </w:rPr>
        <w:tab/>
      </w:r>
      <w:r>
        <w:rPr>
          <w:webHidden/>
        </w:rPr>
        <w:fldChar w:fldCharType="begin"/>
      </w:r>
      <w:r>
        <w:rPr>
          <w:webHidden/>
        </w:rPr>
        <w:instrText xml:space="preserve"> PAGEREF _Toc237430337 \h </w:instrText>
      </w:r>
      <w:r>
        <w:rPr>
          <w:webHidden/>
        </w:rPr>
        <w:fldChar w:fldCharType="separate"/>
      </w:r>
      <w:r>
        <w:rPr>
          <w:webHidden/>
        </w:rPr>
        <w:t>16</w:t>
      </w:r>
      <w:r>
        <w:rPr>
          <w:webHidden/>
        </w:rPr>
        <w:fldChar w:fldCharType="end"/>
      </w:r>
      <w:r>
        <w:rPr/>
        <w:fldChar w:fldCharType="end"/>
      </w:r>
    </w:p>
    <w:p w14:paraId="78BE65BB">
      <w:pPr>
        <w:pStyle w:val="style21"/>
        <w:tabs>
          <w:tab w:val="right" w:leader="dot" w:pos="9016"/>
        </w:tabs>
        <w:rPr>
          <w:rFonts w:ascii="Calibri" w:eastAsia="宋体" w:hAnsi="Calibri"/>
          <w:noProof/>
          <w:szCs w:val="24"/>
          <w:lang w:eastAsia="en-IN"/>
        </w:rPr>
      </w:pPr>
      <w:r>
        <w:rPr/>
        <w:fldChar w:fldCharType="begin"/>
      </w:r>
      <w:r>
        <w:instrText xml:space="preserve"> HYPERLINK \l "_Toc237430338" </w:instrText>
      </w:r>
      <w:r>
        <w:rPr/>
        <w:fldChar w:fldCharType="separate"/>
      </w:r>
      <w:r>
        <w:rPr>
          <w:rStyle w:val="style85"/>
          <w:noProof/>
        </w:rPr>
        <w:t>4.1 Evaluation of Strategic Choices at the Business Level</w:t>
      </w:r>
      <w:r>
        <w:rPr>
          <w:noProof/>
          <w:webHidden/>
        </w:rPr>
        <w:tab/>
      </w:r>
      <w:r>
        <w:rPr>
          <w:noProof/>
          <w:webHidden/>
        </w:rPr>
        <w:fldChar w:fldCharType="begin"/>
      </w:r>
      <w:r>
        <w:rPr>
          <w:noProof/>
          <w:webHidden/>
        </w:rPr>
        <w:instrText xml:space="preserve"> PAGEREF _Toc237430338 \h </w:instrText>
      </w:r>
      <w:r>
        <w:rPr>
          <w:noProof/>
          <w:webHidden/>
        </w:rPr>
        <w:fldChar w:fldCharType="separate"/>
      </w:r>
      <w:r>
        <w:rPr>
          <w:noProof/>
          <w:webHidden/>
        </w:rPr>
        <w:t>17</w:t>
      </w:r>
      <w:r>
        <w:rPr>
          <w:noProof/>
          <w:webHidden/>
        </w:rPr>
        <w:fldChar w:fldCharType="end"/>
      </w:r>
      <w:r>
        <w:rPr/>
        <w:fldChar w:fldCharType="end"/>
      </w:r>
    </w:p>
    <w:p w14:paraId="3B51B2DE">
      <w:pPr>
        <w:pStyle w:val="style21"/>
        <w:tabs>
          <w:tab w:val="right" w:leader="dot" w:pos="9016"/>
        </w:tabs>
        <w:rPr>
          <w:rFonts w:ascii="Calibri" w:eastAsia="宋体" w:hAnsi="Calibri"/>
          <w:noProof/>
          <w:szCs w:val="24"/>
          <w:lang w:eastAsia="en-IN"/>
        </w:rPr>
      </w:pPr>
      <w:r>
        <w:rPr/>
        <w:fldChar w:fldCharType="begin"/>
      </w:r>
      <w:r>
        <w:instrText xml:space="preserve"> HYPERLINK \l "_Toc237430339" </w:instrText>
      </w:r>
      <w:r>
        <w:rPr/>
        <w:fldChar w:fldCharType="separate"/>
      </w:r>
      <w:r>
        <w:rPr>
          <w:rStyle w:val="style85"/>
          <w:noProof/>
        </w:rPr>
        <w:t>4.2 Identification and Validation of the Appropriate Strategy</w:t>
      </w:r>
      <w:r>
        <w:rPr>
          <w:noProof/>
          <w:webHidden/>
        </w:rPr>
        <w:tab/>
      </w:r>
      <w:r>
        <w:rPr>
          <w:noProof/>
          <w:webHidden/>
        </w:rPr>
        <w:fldChar w:fldCharType="begin"/>
      </w:r>
      <w:r>
        <w:rPr>
          <w:noProof/>
          <w:webHidden/>
        </w:rPr>
        <w:instrText xml:space="preserve"> PAGEREF _Toc237430339 \h </w:instrText>
      </w:r>
      <w:r>
        <w:rPr>
          <w:noProof/>
          <w:webHidden/>
        </w:rPr>
        <w:fldChar w:fldCharType="separate"/>
      </w:r>
      <w:r>
        <w:rPr>
          <w:noProof/>
          <w:webHidden/>
        </w:rPr>
        <w:t>17</w:t>
      </w:r>
      <w:r>
        <w:rPr>
          <w:noProof/>
          <w:webHidden/>
        </w:rPr>
        <w:fldChar w:fldCharType="end"/>
      </w:r>
      <w:r>
        <w:rPr/>
        <w:fldChar w:fldCharType="end"/>
      </w:r>
    </w:p>
    <w:p w14:paraId="4847B2E8">
      <w:pPr>
        <w:pStyle w:val="style21"/>
        <w:tabs>
          <w:tab w:val="right" w:leader="dot" w:pos="9016"/>
        </w:tabs>
        <w:rPr>
          <w:rFonts w:ascii="Calibri" w:eastAsia="宋体" w:hAnsi="Calibri"/>
          <w:noProof/>
          <w:szCs w:val="24"/>
          <w:lang w:eastAsia="en-IN"/>
        </w:rPr>
      </w:pPr>
      <w:r>
        <w:rPr/>
        <w:fldChar w:fldCharType="begin"/>
      </w:r>
      <w:r>
        <w:instrText xml:space="preserve"> HYPERLINK \l "_Toc237430340" </w:instrText>
      </w:r>
      <w:r>
        <w:rPr/>
        <w:fldChar w:fldCharType="separate"/>
      </w:r>
      <w:r>
        <w:rPr>
          <w:rStyle w:val="style85"/>
          <w:noProof/>
        </w:rPr>
        <w:t>4.3 Delivering Optimum Performance and Competitive Advantage</w:t>
      </w:r>
      <w:r>
        <w:rPr>
          <w:noProof/>
          <w:webHidden/>
        </w:rPr>
        <w:tab/>
      </w:r>
      <w:r>
        <w:rPr>
          <w:noProof/>
          <w:webHidden/>
        </w:rPr>
        <w:fldChar w:fldCharType="begin"/>
      </w:r>
      <w:r>
        <w:rPr>
          <w:noProof/>
          <w:webHidden/>
        </w:rPr>
        <w:instrText xml:space="preserve"> PAGEREF _Toc237430340 \h </w:instrText>
      </w:r>
      <w:r>
        <w:rPr>
          <w:noProof/>
          <w:webHidden/>
        </w:rPr>
        <w:fldChar w:fldCharType="separate"/>
      </w:r>
      <w:r>
        <w:rPr>
          <w:noProof/>
          <w:webHidden/>
        </w:rPr>
        <w:t>18</w:t>
      </w:r>
      <w:r>
        <w:rPr>
          <w:noProof/>
          <w:webHidden/>
        </w:rPr>
        <w:fldChar w:fldCharType="end"/>
      </w:r>
      <w:r>
        <w:rPr/>
        <w:fldChar w:fldCharType="end"/>
      </w:r>
    </w:p>
    <w:p w14:paraId="01A75A55">
      <w:pPr>
        <w:pStyle w:val="style21"/>
        <w:tabs>
          <w:tab w:val="right" w:leader="dot" w:pos="9016"/>
        </w:tabs>
        <w:rPr>
          <w:rFonts w:ascii="Calibri" w:eastAsia="宋体" w:hAnsi="Calibri"/>
          <w:noProof/>
          <w:szCs w:val="24"/>
          <w:lang w:eastAsia="en-IN"/>
        </w:rPr>
      </w:pPr>
      <w:r>
        <w:rPr/>
        <w:fldChar w:fldCharType="begin"/>
      </w:r>
      <w:r>
        <w:instrText xml:space="preserve"> HYPERLINK \l "_Toc237430341" </w:instrText>
      </w:r>
      <w:r>
        <w:rPr/>
        <w:fldChar w:fldCharType="separate"/>
      </w:r>
      <w:r>
        <w:rPr>
          <w:rStyle w:val="style85"/>
          <w:noProof/>
        </w:rPr>
        <w:t>4.4 Potential Implementation Challenges and Mitigation Solutions</w:t>
      </w:r>
      <w:r>
        <w:rPr>
          <w:noProof/>
          <w:webHidden/>
        </w:rPr>
        <w:tab/>
      </w:r>
      <w:r>
        <w:rPr>
          <w:noProof/>
          <w:webHidden/>
        </w:rPr>
        <w:fldChar w:fldCharType="begin"/>
      </w:r>
      <w:r>
        <w:rPr>
          <w:noProof/>
          <w:webHidden/>
        </w:rPr>
        <w:instrText xml:space="preserve"> PAGEREF _Toc237430341 \h </w:instrText>
      </w:r>
      <w:r>
        <w:rPr>
          <w:noProof/>
          <w:webHidden/>
        </w:rPr>
        <w:fldChar w:fldCharType="separate"/>
      </w:r>
      <w:r>
        <w:rPr>
          <w:noProof/>
          <w:webHidden/>
        </w:rPr>
        <w:t>18</w:t>
      </w:r>
      <w:r>
        <w:rPr>
          <w:noProof/>
          <w:webHidden/>
        </w:rPr>
        <w:fldChar w:fldCharType="end"/>
      </w:r>
      <w:r>
        <w:rPr/>
        <w:fldChar w:fldCharType="end"/>
      </w:r>
    </w:p>
    <w:p w14:paraId="0C411F83">
      <w:pPr>
        <w:pStyle w:val="style19"/>
        <w:rPr>
          <w:rFonts w:ascii="Calibri" w:eastAsia="宋体" w:hAnsi="Calibri"/>
          <w:b w:val="false"/>
          <w:bCs w:val="false"/>
          <w:szCs w:val="24"/>
          <w:lang w:eastAsia="en-IN"/>
        </w:rPr>
      </w:pPr>
      <w:r>
        <w:rPr/>
        <w:fldChar w:fldCharType="begin"/>
      </w:r>
      <w:r>
        <w:instrText xml:space="preserve"> HYPERLINK \l "_Toc237430342" </w:instrText>
      </w:r>
      <w:r>
        <w:rPr/>
        <w:fldChar w:fldCharType="separate"/>
      </w:r>
      <w:r>
        <w:rPr>
          <w:rStyle w:val="style85"/>
        </w:rPr>
        <w:t>SECTION 2: REFLECTIVE ACCOUNT</w:t>
      </w:r>
      <w:r>
        <w:rPr>
          <w:webHidden/>
        </w:rPr>
        <w:tab/>
      </w:r>
      <w:r>
        <w:rPr>
          <w:webHidden/>
        </w:rPr>
        <w:fldChar w:fldCharType="begin"/>
      </w:r>
      <w:r>
        <w:rPr>
          <w:webHidden/>
        </w:rPr>
        <w:instrText xml:space="preserve"> PAGEREF _Toc237430342 \h </w:instrText>
      </w:r>
      <w:r>
        <w:rPr>
          <w:webHidden/>
        </w:rPr>
        <w:fldChar w:fldCharType="separate"/>
      </w:r>
      <w:r>
        <w:rPr>
          <w:webHidden/>
        </w:rPr>
        <w:t>20</w:t>
      </w:r>
      <w:r>
        <w:rPr>
          <w:webHidden/>
        </w:rPr>
        <w:fldChar w:fldCharType="end"/>
      </w:r>
      <w:r>
        <w:rPr/>
        <w:fldChar w:fldCharType="end"/>
      </w:r>
    </w:p>
    <w:p w14:paraId="396293A6">
      <w:pPr>
        <w:pStyle w:val="style20"/>
        <w:tabs>
          <w:tab w:val="right" w:leader="dot" w:pos="9016"/>
        </w:tabs>
        <w:rPr>
          <w:rFonts w:ascii="Calibri" w:eastAsia="宋体" w:hAnsi="Calibri"/>
          <w:noProof/>
          <w:szCs w:val="24"/>
          <w:lang w:eastAsia="en-IN"/>
        </w:rPr>
      </w:pPr>
      <w:r>
        <w:rPr/>
        <w:fldChar w:fldCharType="begin"/>
      </w:r>
      <w:r>
        <w:instrText xml:space="preserve"> HYPERLINK \l "_Toc237430343" </w:instrText>
      </w:r>
      <w:r>
        <w:rPr/>
        <w:fldChar w:fldCharType="separate"/>
      </w:r>
      <w:r>
        <w:rPr>
          <w:rStyle w:val="style85"/>
          <w:noProof/>
        </w:rPr>
        <w:t>2.1 Gibbs reflective cycle</w:t>
      </w:r>
      <w:r>
        <w:rPr>
          <w:noProof/>
          <w:webHidden/>
        </w:rPr>
        <w:tab/>
      </w:r>
      <w:r>
        <w:rPr>
          <w:noProof/>
          <w:webHidden/>
        </w:rPr>
        <w:fldChar w:fldCharType="begin"/>
      </w:r>
      <w:r>
        <w:rPr>
          <w:noProof/>
          <w:webHidden/>
        </w:rPr>
        <w:instrText xml:space="preserve"> PAGEREF _Toc237430343 \h </w:instrText>
      </w:r>
      <w:r>
        <w:rPr>
          <w:noProof/>
          <w:webHidden/>
        </w:rPr>
        <w:fldChar w:fldCharType="separate"/>
      </w:r>
      <w:r>
        <w:rPr>
          <w:noProof/>
          <w:webHidden/>
        </w:rPr>
        <w:t>20</w:t>
      </w:r>
      <w:r>
        <w:rPr>
          <w:noProof/>
          <w:webHidden/>
        </w:rPr>
        <w:fldChar w:fldCharType="end"/>
      </w:r>
      <w:r>
        <w:rPr/>
        <w:fldChar w:fldCharType="end"/>
      </w:r>
    </w:p>
    <w:p w14:paraId="15C708FB">
      <w:pPr>
        <w:pStyle w:val="style19"/>
        <w:rPr>
          <w:rFonts w:ascii="Calibri" w:eastAsia="宋体" w:hAnsi="Calibri"/>
          <w:b w:val="false"/>
          <w:bCs w:val="false"/>
          <w:szCs w:val="24"/>
          <w:lang w:eastAsia="en-IN"/>
        </w:rPr>
      </w:pPr>
      <w:r>
        <w:rPr/>
        <w:fldChar w:fldCharType="begin"/>
      </w:r>
      <w:r>
        <w:instrText xml:space="preserve"> HYPERLINK \l "_Toc237430344" </w:instrText>
      </w:r>
      <w:r>
        <w:rPr/>
        <w:fldChar w:fldCharType="separate"/>
      </w:r>
      <w:r>
        <w:rPr>
          <w:rStyle w:val="style85"/>
        </w:rPr>
        <w:t>Reference List</w:t>
      </w:r>
      <w:r>
        <w:rPr>
          <w:webHidden/>
        </w:rPr>
        <w:tab/>
      </w:r>
      <w:r>
        <w:rPr>
          <w:webHidden/>
        </w:rPr>
        <w:fldChar w:fldCharType="begin"/>
      </w:r>
      <w:r>
        <w:rPr>
          <w:webHidden/>
        </w:rPr>
        <w:instrText xml:space="preserve"> PAGEREF _Toc237430344 \h </w:instrText>
      </w:r>
      <w:r>
        <w:rPr>
          <w:webHidden/>
        </w:rPr>
        <w:fldChar w:fldCharType="separate"/>
      </w:r>
      <w:r>
        <w:rPr>
          <w:webHidden/>
        </w:rPr>
        <w:t>25</w:t>
      </w:r>
      <w:r>
        <w:rPr>
          <w:webHidden/>
        </w:rPr>
        <w:fldChar w:fldCharType="end"/>
      </w:r>
      <w:r>
        <w:rPr/>
        <w:fldChar w:fldCharType="end"/>
      </w:r>
    </w:p>
    <w:p w14:paraId="0FB053DD">
      <w:pPr>
        <w:pStyle w:val="style19"/>
        <w:rPr>
          <w:rFonts w:ascii="Calibri" w:eastAsia="宋体" w:hAnsi="Calibri"/>
          <w:b w:val="false"/>
          <w:bCs w:val="false"/>
          <w:szCs w:val="24"/>
          <w:lang w:eastAsia="en-IN"/>
        </w:rPr>
      </w:pPr>
      <w:r>
        <w:rPr/>
        <w:fldChar w:fldCharType="begin"/>
      </w:r>
      <w:r>
        <w:instrText xml:space="preserve"> HYPERLINK \l "_Toc237430345" </w:instrText>
      </w:r>
      <w:r>
        <w:rPr/>
        <w:fldChar w:fldCharType="separate"/>
      </w:r>
      <w:r>
        <w:rPr>
          <w:rStyle w:val="style85"/>
        </w:rPr>
        <w:t>Bibliography</w:t>
      </w:r>
      <w:r>
        <w:rPr>
          <w:webHidden/>
        </w:rPr>
        <w:tab/>
      </w:r>
      <w:r>
        <w:rPr>
          <w:webHidden/>
        </w:rPr>
        <w:fldChar w:fldCharType="begin"/>
      </w:r>
      <w:r>
        <w:rPr>
          <w:webHidden/>
        </w:rPr>
        <w:instrText xml:space="preserve"> PAGEREF _Toc237430345 \h </w:instrText>
      </w:r>
      <w:r>
        <w:rPr>
          <w:webHidden/>
        </w:rPr>
        <w:fldChar w:fldCharType="separate"/>
      </w:r>
      <w:r>
        <w:rPr>
          <w:webHidden/>
        </w:rPr>
        <w:t>30</w:t>
      </w:r>
      <w:r>
        <w:rPr>
          <w:webHidden/>
        </w:rPr>
        <w:fldChar w:fldCharType="end"/>
      </w:r>
      <w:r>
        <w:rPr/>
        <w:fldChar w:fldCharType="end"/>
      </w:r>
    </w:p>
    <w:p w14:paraId="7A8DEE1E">
      <w:pPr>
        <w:pStyle w:val="style19"/>
        <w:rPr>
          <w:rFonts w:ascii="Calibri" w:eastAsia="宋体" w:hAnsi="Calibri"/>
          <w:b w:val="false"/>
          <w:bCs w:val="false"/>
          <w:szCs w:val="24"/>
          <w:lang w:eastAsia="en-IN"/>
        </w:rPr>
      </w:pPr>
      <w:r>
        <w:rPr/>
        <w:fldChar w:fldCharType="begin"/>
      </w:r>
      <w:r>
        <w:instrText xml:space="preserve"> HYPERLINK \l "_Toc237430346" </w:instrText>
      </w:r>
      <w:r>
        <w:rPr/>
        <w:fldChar w:fldCharType="separate"/>
      </w:r>
      <w:r>
        <w:rPr>
          <w:rStyle w:val="style85"/>
        </w:rPr>
        <w:t>Appendix</w:t>
      </w:r>
      <w:r>
        <w:rPr>
          <w:webHidden/>
        </w:rPr>
        <w:tab/>
      </w:r>
      <w:r>
        <w:rPr>
          <w:webHidden/>
        </w:rPr>
        <w:fldChar w:fldCharType="begin"/>
      </w:r>
      <w:r>
        <w:rPr>
          <w:webHidden/>
        </w:rPr>
        <w:instrText xml:space="preserve"> PAGEREF _Toc237430346 \h </w:instrText>
      </w:r>
      <w:r>
        <w:rPr>
          <w:webHidden/>
        </w:rPr>
        <w:fldChar w:fldCharType="separate"/>
      </w:r>
      <w:r>
        <w:rPr>
          <w:webHidden/>
        </w:rPr>
        <w:t>31</w:t>
      </w:r>
      <w:r>
        <w:rPr>
          <w:webHidden/>
        </w:rPr>
        <w:fldChar w:fldCharType="end"/>
      </w:r>
      <w:r>
        <w:rPr/>
        <w:fldChar w:fldCharType="end"/>
      </w:r>
    </w:p>
    <w:p w14:paraId="0149236E">
      <w:pPr>
        <w:pStyle w:val="style0"/>
        <w:spacing w:before="120" w:after="120"/>
        <w:rPr>
          <w:b/>
          <w:bCs/>
          <w:noProof/>
        </w:rPr>
      </w:pPr>
      <w:r>
        <w:rPr>
          <w:b/>
          <w:bCs/>
          <w:noProof/>
        </w:rPr>
        <w:fldChar w:fldCharType="end"/>
      </w:r>
    </w:p>
    <w:p w14:paraId="7E3EAE79">
      <w:pPr>
        <w:pStyle w:val="style0"/>
        <w:spacing w:before="120" w:after="120"/>
        <w:rPr>
          <w:b/>
          <w:bCs/>
          <w:noProof/>
        </w:rPr>
      </w:pPr>
      <w:r>
        <w:br w:type="page"/>
      </w:r>
    </w:p>
    <w:bookmarkStart w:id="1" w:name="_Toc237430328"/>
    <w:p w14:paraId="1CF7404D">
      <w:pPr>
        <w:pStyle w:val="style1"/>
        <w:rPr/>
      </w:pPr>
      <w:r>
        <w:t>SECTION 1</w:t>
      </w:r>
      <w:bookmarkEnd w:id="1"/>
    </w:p>
    <w:bookmarkStart w:id="2" w:name="_Toc237430329"/>
    <w:p w14:paraId="546A88E9">
      <w:pPr>
        <w:pStyle w:val="style1"/>
        <w:rPr/>
      </w:pPr>
      <w:r>
        <w:t xml:space="preserve">1. </w:t>
      </w:r>
      <w:r>
        <w:t>Organisational Context and Overview</w:t>
      </w:r>
      <w:bookmarkEnd w:id="2"/>
      <w:r>
        <w:t xml:space="preserve"> </w:t>
      </w:r>
    </w:p>
    <w:p w14:paraId="495AEEB2">
      <w:pPr>
        <w:pStyle w:val="style0"/>
        <w:rPr>
          <w:b/>
          <w:bCs/>
          <w:szCs w:val="24"/>
        </w:rPr>
      </w:pPr>
      <w:r>
        <w:rPr>
          <w:b/>
          <w:bCs/>
          <w:szCs w:val="24"/>
        </w:rPr>
        <w:t>1.1 Historical background, Mission, vision and Business Model</w:t>
      </w:r>
    </w:p>
    <w:p w14:paraId="408403B2">
      <w:pPr>
        <w:pStyle w:val="style0"/>
        <w:rPr>
          <w:b/>
          <w:bCs/>
          <w:i/>
          <w:iCs/>
          <w:szCs w:val="24"/>
        </w:rPr>
      </w:pPr>
      <w:r>
        <w:rPr>
          <w:b/>
          <w:bCs/>
          <w:i/>
          <w:iCs/>
          <w:szCs w:val="24"/>
        </w:rPr>
        <w:t>Background</w:t>
      </w:r>
    </w:p>
    <w:p w14:paraId="238EA61F">
      <w:pPr>
        <w:pStyle w:val="style0"/>
        <w:rPr>
          <w:szCs w:val="24"/>
        </w:rPr>
      </w:pPr>
      <w:r>
        <w:rPr>
          <w:szCs w:val="24"/>
        </w:rPr>
        <w:t>Asda is a British supermarket chain offering food, clothing, home goods and other general merchandise both in-store and online. It came into existence in 1949 following the amalgamation of the retail business of the Asquith family and the Associated Dairies company of Yorkshire, England. ASDA started off as a local supermarket chain that grew rapidly in the 1970s and 1980s with acquisitions and store openings. In 2021 it was sold to the Issa brothers and TDR Capital and is now taking a new strategic approach, planning to become more competitive in the UK grocery market.</w:t>
      </w:r>
    </w:p>
    <w:p w14:paraId="3287C0AA">
      <w:pPr>
        <w:pStyle w:val="style0"/>
        <w:rPr>
          <w:b/>
          <w:bCs/>
          <w:i/>
          <w:iCs/>
          <w:szCs w:val="24"/>
        </w:rPr>
      </w:pPr>
      <w:r>
        <w:rPr>
          <w:b/>
          <w:bCs/>
          <w:i/>
          <w:iCs/>
          <w:szCs w:val="24"/>
        </w:rPr>
        <w:t>Mission</w:t>
      </w:r>
    </w:p>
    <w:p w14:paraId="3EAB3700">
      <w:pPr>
        <w:pStyle w:val="style0"/>
        <w:rPr>
          <w:szCs w:val="24"/>
        </w:rPr>
      </w:pPr>
      <w:r>
        <w:rPr>
          <w:szCs w:val="24"/>
        </w:rPr>
        <w:t>ASDA's mission aims at helping its customers save and live better by offering quality products at fair prices</w:t>
      </w:r>
      <w:r>
        <w:rPr>
          <w:szCs w:val="24"/>
        </w:rPr>
        <w:t xml:space="preserve"> (</w:t>
      </w:r>
      <w:r>
        <w:t>Asda</w:t>
      </w:r>
      <w:r>
        <w:t>, 2026)</w:t>
      </w:r>
      <w:r>
        <w:rPr>
          <w:szCs w:val="24"/>
        </w:rPr>
        <w:t>.</w:t>
      </w:r>
    </w:p>
    <w:p w14:paraId="3406DC32">
      <w:pPr>
        <w:pStyle w:val="style0"/>
        <w:rPr>
          <w:b/>
          <w:bCs/>
          <w:i/>
          <w:iCs/>
          <w:szCs w:val="24"/>
        </w:rPr>
      </w:pPr>
      <w:r>
        <w:rPr>
          <w:b/>
          <w:bCs/>
          <w:i/>
          <w:iCs/>
          <w:szCs w:val="24"/>
        </w:rPr>
        <w:t>Vision</w:t>
      </w:r>
    </w:p>
    <w:p w14:paraId="1CF70596">
      <w:pPr>
        <w:pStyle w:val="style0"/>
        <w:rPr>
          <w:szCs w:val="24"/>
        </w:rPr>
      </w:pPr>
      <w:r>
        <w:rPr>
          <w:szCs w:val="24"/>
        </w:rPr>
        <w:t>The organisation has the vision of ensuring that it provides the best customer service and value for money in each of the product categories</w:t>
      </w:r>
      <w:r>
        <w:rPr>
          <w:szCs w:val="24"/>
        </w:rPr>
        <w:t xml:space="preserve"> (</w:t>
      </w:r>
      <w:r>
        <w:t>Asda</w:t>
      </w:r>
      <w:r>
        <w:t>, 2026)</w:t>
      </w:r>
      <w:r>
        <w:rPr>
          <w:szCs w:val="24"/>
        </w:rPr>
        <w:t xml:space="preserve">. </w:t>
      </w:r>
    </w:p>
    <w:p w14:paraId="4B9E1E70">
      <w:pPr>
        <w:pStyle w:val="style0"/>
        <w:rPr>
          <w:b/>
          <w:bCs/>
          <w:i/>
          <w:iCs/>
          <w:szCs w:val="24"/>
        </w:rPr>
      </w:pPr>
      <w:r>
        <w:rPr>
          <w:b/>
          <w:bCs/>
          <w:i/>
          <w:iCs/>
          <w:szCs w:val="24"/>
        </w:rPr>
        <w:t xml:space="preserve">Business </w:t>
      </w:r>
      <w:r>
        <w:rPr>
          <w:b/>
          <w:bCs/>
          <w:i/>
          <w:iCs/>
          <w:szCs w:val="24"/>
        </w:rPr>
        <w:t xml:space="preserve">Model </w:t>
      </w:r>
    </w:p>
    <w:p w14:paraId="0C028B74">
      <w:pPr>
        <w:pStyle w:val="style0"/>
        <w:rPr>
          <w:szCs w:val="24"/>
        </w:rPr>
      </w:pPr>
      <w:r>
        <w:rPr>
          <w:szCs w:val="24"/>
        </w:rPr>
        <w:t xml:space="preserve">The business model used by ASDA is </w:t>
      </w:r>
      <w:r>
        <w:rPr>
          <w:b/>
          <w:bCs/>
          <w:i/>
          <w:iCs/>
          <w:szCs w:val="24"/>
        </w:rPr>
        <w:t>cost leadership</w:t>
      </w:r>
      <w:r>
        <w:rPr>
          <w:szCs w:val="24"/>
        </w:rPr>
        <w:t>, whereby efficiency in operations and economies of scale enable the company to offer its products at very competitive prices. It is committed to becoming the most trusted and customer-centric retailer in the UK, and this has been realised through constant improvement of the shopping experiences, expansion of digital services, and sustainability through responsible sourcing and waste minimisation initiatives (Wang, 2023).</w:t>
      </w:r>
    </w:p>
    <w:p w14:paraId="58AC8FAB">
      <w:pPr>
        <w:pStyle w:val="style0"/>
        <w:rPr>
          <w:b/>
          <w:bCs/>
          <w:szCs w:val="24"/>
        </w:rPr>
      </w:pPr>
      <w:r>
        <w:rPr>
          <w:b/>
          <w:bCs/>
          <w:szCs w:val="24"/>
        </w:rPr>
        <w:t>1.2 Industry, Key Competitors and Market Position</w:t>
      </w:r>
    </w:p>
    <w:p w14:paraId="6F108B9A">
      <w:pPr>
        <w:pStyle w:val="style0"/>
        <w:rPr>
          <w:b/>
          <w:bCs/>
          <w:i/>
          <w:iCs/>
          <w:szCs w:val="24"/>
        </w:rPr>
      </w:pPr>
      <w:r>
        <w:rPr>
          <w:b/>
          <w:bCs/>
          <w:i/>
          <w:iCs/>
          <w:szCs w:val="24"/>
        </w:rPr>
        <w:t xml:space="preserve">Industry </w:t>
      </w:r>
    </w:p>
    <w:p w14:paraId="68C89625">
      <w:pPr>
        <w:pStyle w:val="style0"/>
        <w:rPr>
          <w:szCs w:val="24"/>
        </w:rPr>
      </w:pPr>
      <w:r>
        <w:rPr>
          <w:szCs w:val="24"/>
        </w:rPr>
        <w:t xml:space="preserve">ASDA is a company that is in the UK grocery retail sector, which is one of the most competitive industries with a high level of price competition; consumer preferences, technological advancements and online shopping are gaining momentum. </w:t>
      </w:r>
    </w:p>
    <w:p w14:paraId="7234E560">
      <w:pPr>
        <w:pStyle w:val="style0"/>
        <w:rPr>
          <w:b/>
          <w:bCs/>
          <w:i/>
          <w:iCs/>
          <w:szCs w:val="24"/>
        </w:rPr>
      </w:pPr>
      <w:r>
        <w:rPr>
          <w:b/>
          <w:bCs/>
          <w:i/>
          <w:iCs/>
          <w:szCs w:val="24"/>
        </w:rPr>
        <w:t>Key competitors</w:t>
      </w:r>
    </w:p>
    <w:p w14:paraId="72508F34">
      <w:pPr>
        <w:pStyle w:val="style0"/>
        <w:rPr>
          <w:szCs w:val="24"/>
        </w:rPr>
      </w:pPr>
      <w:r>
        <w:rPr>
          <w:szCs w:val="24"/>
        </w:rPr>
        <w:t>ASDA competes directly with the big retailers such as Tesco, J Sainsbury plc, Morrisons, Aldi and Lidl. Tesco has the largest market share in the UK, and Aldi and Lidl are continuing to appeal to price-conscious customers with their cut-throat discounting policy.</w:t>
      </w:r>
    </w:p>
    <w:p w14:paraId="1792BD7F">
      <w:pPr>
        <w:pStyle w:val="style0"/>
        <w:rPr>
          <w:b/>
          <w:bCs/>
          <w:i/>
          <w:iCs/>
          <w:szCs w:val="24"/>
        </w:rPr>
      </w:pPr>
      <w:r>
        <w:rPr>
          <w:b/>
          <w:bCs/>
          <w:i/>
          <w:iCs/>
          <w:szCs w:val="24"/>
        </w:rPr>
        <w:t>Market position</w:t>
      </w:r>
    </w:p>
    <w:p w14:paraId="571FB2CF">
      <w:pPr>
        <w:pStyle w:val="style0"/>
        <w:rPr>
          <w:szCs w:val="24"/>
        </w:rPr>
      </w:pPr>
      <w:r>
        <w:rPr>
          <w:szCs w:val="24"/>
        </w:rPr>
        <w:t>The high value proposition, its chain of stores across the UK, its own brand of George clothing, and its online grocery store, which is gaining traction, have seen ASDA remain one of the most successful chains of supermarkets in the UK. Its low-cost focus, its efficiency in its operations and convenience to its customers enable the organisation to retain a high position in the market and a formidable competitor in the dynamic UK retail market.</w:t>
      </w:r>
      <w:r>
        <w:rPr>
          <w:szCs w:val="24"/>
        </w:rPr>
        <w:t xml:space="preserve"> </w:t>
      </w:r>
    </w:p>
    <w:bookmarkStart w:id="3" w:name="_Toc237430330"/>
    <w:p w14:paraId="161342AA">
      <w:pPr>
        <w:pStyle w:val="style1"/>
        <w:rPr/>
      </w:pPr>
      <w:r>
        <w:t xml:space="preserve">2. </w:t>
      </w:r>
      <w:r>
        <w:t>External and Internal Analysis</w:t>
      </w:r>
      <w:bookmarkEnd w:id="3"/>
      <w:r>
        <w:t xml:space="preserve"> </w:t>
      </w:r>
    </w:p>
    <w:bookmarkStart w:id="4" w:name="_Toc237430331"/>
    <w:p w14:paraId="6A80909C">
      <w:pPr>
        <w:pStyle w:val="style3"/>
        <w:rPr/>
      </w:pPr>
      <w:r>
        <w:t>2.1 Critical analysis of the external business environment of ASDA using the PESTEL Framework</w:t>
      </w:r>
      <w:bookmarkEnd w:id="4"/>
    </w:p>
    <w:bookmarkStart w:id="5" w:name="_bwromli3ukwo" w:colFirst="0" w:colLast="0"/>
    <w:bookmarkEnd w:id="5"/>
    <w:p w14:paraId="61389141">
      <w:pPr>
        <w:pStyle w:val="style0"/>
        <w:rPr>
          <w:b/>
          <w:bCs/>
          <w:szCs w:val="24"/>
          <w:u w:val="single"/>
        </w:rPr>
      </w:pPr>
      <w:r>
        <w:rPr>
          <w:b/>
          <w:bCs/>
          <w:szCs w:val="24"/>
          <w:u w:val="single"/>
        </w:rPr>
        <w:t xml:space="preserve">2.1.1 PESTEL </w:t>
      </w:r>
    </w:p>
    <w:p w14:paraId="5229499F">
      <w:pPr>
        <w:pStyle w:val="style0"/>
        <w:rPr>
          <w:szCs w:val="24"/>
        </w:rPr>
      </w:pPr>
      <w:r>
        <w:rPr>
          <w:szCs w:val="24"/>
        </w:rPr>
        <w:t>This section critically examines the political, economic, social, technological, environmental and legal forces affecting ASDA as well as identifies the largest opportunities and threats that currently are affecting its long-term strategic position.</w:t>
      </w:r>
    </w:p>
    <w:p w14:paraId="14FA3EE4">
      <w:pPr>
        <w:pStyle w:val="style0"/>
        <w:rPr>
          <w:b/>
          <w:bCs/>
          <w:i/>
          <w:iCs/>
          <w:szCs w:val="24"/>
        </w:rPr>
      </w:pPr>
      <w:r>
        <w:rPr>
          <w:b/>
          <w:bCs/>
          <w:i/>
          <w:iCs/>
          <w:szCs w:val="24"/>
        </w:rPr>
        <w:t>Political Factors</w:t>
      </w:r>
    </w:p>
    <w:p w14:paraId="5F4B7A68">
      <w:pPr>
        <w:pStyle w:val="style0"/>
        <w:rPr>
          <w:szCs w:val="24"/>
        </w:rPr>
      </w:pPr>
      <w:r>
        <w:rPr>
          <w:szCs w:val="24"/>
        </w:rPr>
        <w:t xml:space="preserve">The impact of political factors on ASDA is influenced by government policies, which can have a direct impact on the work of retailers, labour costs, international trade and food chains. Custom measures, importation laws and border controls, with the UK no longer being a part of the European Union, have grown more intricate in the manner in which retailers who get their goods across the borders operate. These have led to increased cost of procurement and supply chain interruptions, especially of imported food products (Solanki </w:t>
      </w:r>
      <w:r>
        <w:rPr>
          <w:i/>
          <w:iCs/>
          <w:szCs w:val="24"/>
        </w:rPr>
        <w:t xml:space="preserve">et al., </w:t>
      </w:r>
      <w:r>
        <w:rPr>
          <w:szCs w:val="24"/>
        </w:rPr>
        <w:t xml:space="preserve">2024). The government attempts to encourage investment in digital infrastructure and local production, </w:t>
      </w:r>
      <w:r>
        <w:rPr>
          <w:szCs w:val="24"/>
        </w:rPr>
        <w:t xml:space="preserve">though, giving ASDA a chance to increase local sourcing and reduce its dependence on foreign suppliers. </w:t>
      </w:r>
    </w:p>
    <w:p w14:paraId="6DA3CFDB">
      <w:pPr>
        <w:pStyle w:val="style0"/>
        <w:rPr>
          <w:b/>
          <w:bCs/>
          <w:i/>
          <w:iCs/>
          <w:szCs w:val="24"/>
        </w:rPr>
      </w:pPr>
      <w:r>
        <w:rPr>
          <w:b/>
          <w:bCs/>
          <w:i/>
          <w:iCs/>
          <w:szCs w:val="24"/>
        </w:rPr>
        <w:t>Economic Factors</w:t>
      </w:r>
    </w:p>
    <w:p w14:paraId="4069E9DD">
      <w:pPr>
        <w:pStyle w:val="style0"/>
        <w:rPr>
          <w:szCs w:val="24"/>
        </w:rPr>
      </w:pPr>
      <w:r>
        <w:rPr>
          <w:szCs w:val="24"/>
        </w:rPr>
        <w:t xml:space="preserve">Consumer purchasing behaviour in the UK has significantly changed due to inflation rates, the rise in interest rates and the cost of living in the household. Customers have become more price-sensitive and are seeking more value-for-money products and promotions. </w:t>
      </w:r>
    </w:p>
    <w:p w14:paraId="3A3D8CF1">
      <w:pPr>
        <w:pStyle w:val="style0"/>
        <w:jc w:val="center"/>
        <w:rPr>
          <w:szCs w:val="24"/>
        </w:rPr>
      </w:pPr>
      <w:r>
        <w:rPr>
          <w:noProof/>
          <w:szCs w:val="24"/>
        </w:rPr>
        <w:drawing>
          <wp:inline distL="0" distT="0" distB="0" distR="0">
            <wp:extent cx="5152445" cy="2886323"/>
            <wp:effectExtent l="0" t="0" r="0" b="9525"/>
            <wp:docPr id="1028"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rcRect l="0" t="0" r="0" b="0"/>
                    <a:stretch/>
                  </pic:blipFill>
                  <pic:spPr>
                    <a:xfrm rot="0">
                      <a:off x="0" y="0"/>
                      <a:ext cx="5152445" cy="2886323"/>
                    </a:xfrm>
                    <a:prstGeom prst="rect"/>
                  </pic:spPr>
                </pic:pic>
              </a:graphicData>
            </a:graphic>
          </wp:inline>
        </w:drawing>
      </w:r>
    </w:p>
    <w:p w14:paraId="6654C23B">
      <w:pPr>
        <w:pStyle w:val="style0"/>
        <w:jc w:val="center"/>
        <w:rPr>
          <w:b/>
          <w:bCs/>
          <w:szCs w:val="24"/>
        </w:rPr>
      </w:pPr>
      <w:r>
        <w:rPr>
          <w:b/>
          <w:bCs/>
          <w:szCs w:val="24"/>
        </w:rPr>
        <w:t>Figure 1: Percentage change in sales at Asda in Great Britain (September 2014 to March 2024)</w:t>
      </w:r>
    </w:p>
    <w:p w14:paraId="5CAC329D">
      <w:pPr>
        <w:pStyle w:val="style0"/>
        <w:jc w:val="center"/>
        <w:rPr>
          <w:szCs w:val="24"/>
        </w:rPr>
      </w:pPr>
      <w:r>
        <w:rPr>
          <w:szCs w:val="24"/>
        </w:rPr>
        <w:t>(Source: Kantar Worldpanel, 2024)</w:t>
      </w:r>
    </w:p>
    <w:p w14:paraId="551EA16D">
      <w:pPr>
        <w:pStyle w:val="style0"/>
        <w:rPr>
          <w:szCs w:val="24"/>
        </w:rPr>
      </w:pPr>
      <w:r>
        <w:rPr>
          <w:szCs w:val="24"/>
        </w:rPr>
        <w:t xml:space="preserve">These economic conditions are a tremendous opportunity for ASDA in terms of strategy, as its competitive advantage is built on the cost leadership strategy, which helps to boost the sales growth of the organisation. ASDA transfers these increased costs to the customers; then they are likely to lose customers as price sensitivity will rise (Lan </w:t>
      </w:r>
      <w:r>
        <w:rPr>
          <w:i/>
          <w:iCs/>
          <w:szCs w:val="24"/>
        </w:rPr>
        <w:t xml:space="preserve">et al., </w:t>
      </w:r>
      <w:r>
        <w:rPr>
          <w:szCs w:val="24"/>
        </w:rPr>
        <w:t xml:space="preserve">2022). Otherwise, exchange rate volatility also has an implication on the prices of imported goods, particularly those that are imported, like food products.  </w:t>
      </w:r>
    </w:p>
    <w:p w14:paraId="1323BE1F">
      <w:pPr>
        <w:pStyle w:val="style0"/>
        <w:rPr>
          <w:b/>
          <w:bCs/>
          <w:i/>
          <w:iCs/>
          <w:szCs w:val="24"/>
        </w:rPr>
      </w:pPr>
      <w:r>
        <w:rPr>
          <w:b/>
          <w:bCs/>
          <w:i/>
          <w:iCs/>
          <w:szCs w:val="24"/>
        </w:rPr>
        <w:t>Social Factors</w:t>
      </w:r>
    </w:p>
    <w:p w14:paraId="5D4177D6">
      <w:pPr>
        <w:pStyle w:val="style0"/>
        <w:rPr>
          <w:szCs w:val="24"/>
        </w:rPr>
      </w:pPr>
      <w:r>
        <w:rPr>
          <w:szCs w:val="24"/>
        </w:rPr>
        <w:t xml:space="preserve">Consumer lifestyles change, and demographic changes are very important in the strategic decision of ASDA. Modern consumers are focusing on being more convenient, enjoying </w:t>
      </w:r>
      <w:r>
        <w:rPr>
          <w:szCs w:val="24"/>
        </w:rPr>
        <w:t xml:space="preserve">healthier food choices, sourcing and personalised shopping experiences. Online shopping of groceries has evolved at a very rapid pace, altering the expectations of customers radically because they require retailers to invest in online platforms and delivery systems (Srivastava </w:t>
      </w:r>
      <w:r>
        <w:rPr>
          <w:i/>
          <w:iCs/>
          <w:szCs w:val="24"/>
        </w:rPr>
        <w:t xml:space="preserve">et al., </w:t>
      </w:r>
      <w:r>
        <w:rPr>
          <w:szCs w:val="24"/>
        </w:rPr>
        <w:t>2025).</w:t>
      </w:r>
    </w:p>
    <w:p w14:paraId="339F3F02">
      <w:pPr>
        <w:pStyle w:val="style0"/>
        <w:rPr>
          <w:b/>
          <w:bCs/>
          <w:i/>
          <w:iCs/>
          <w:szCs w:val="24"/>
        </w:rPr>
      </w:pPr>
      <w:r>
        <w:rPr>
          <w:b/>
          <w:bCs/>
          <w:i/>
          <w:iCs/>
          <w:szCs w:val="24"/>
        </w:rPr>
        <w:t>Technological Factors</w:t>
      </w:r>
    </w:p>
    <w:p w14:paraId="7F4109A3">
      <w:pPr>
        <w:pStyle w:val="style0"/>
        <w:rPr>
          <w:szCs w:val="24"/>
        </w:rPr>
      </w:pPr>
      <w:r>
        <w:rPr>
          <w:szCs w:val="24"/>
        </w:rPr>
        <w:t>In the case of ASDA, technology innovation presents a lot of opportunities. The operational efficiency can be enhanced with investment in self-checkout systems, automated distribution centres, predictive inventory management and artificial intelligence to decrease long-term operating costs (</w:t>
      </w:r>
      <w:r>
        <w:rPr>
          <w:szCs w:val="24"/>
        </w:rPr>
        <w:t>Kalyvaki</w:t>
      </w:r>
      <w:r>
        <w:rPr>
          <w:szCs w:val="24"/>
        </w:rPr>
        <w:t xml:space="preserve">, 2023). The analysis of data helps the organisation to know the customer buying behaviour, tailor their promotion campaigns and manage their inventory levels better, hence enhancing customer satisfaction and profitability. </w:t>
      </w:r>
    </w:p>
    <w:p w14:paraId="7D1BB137">
      <w:pPr>
        <w:pStyle w:val="style0"/>
        <w:rPr>
          <w:b/>
          <w:bCs/>
          <w:i/>
          <w:iCs/>
          <w:szCs w:val="24"/>
        </w:rPr>
      </w:pPr>
      <w:r>
        <w:rPr>
          <w:b/>
          <w:bCs/>
          <w:i/>
          <w:iCs/>
          <w:szCs w:val="24"/>
        </w:rPr>
        <w:t>Environmental Factors</w:t>
      </w:r>
    </w:p>
    <w:p w14:paraId="2A6A86B0">
      <w:pPr>
        <w:pStyle w:val="style0"/>
        <w:rPr>
          <w:szCs w:val="24"/>
        </w:rPr>
      </w:pPr>
      <w:r>
        <w:rPr>
          <w:szCs w:val="24"/>
        </w:rPr>
        <w:t>All of the changes provide good opportunities for ASDA to promote its corporate image. By investing in renewable energy and recyclable packaging, sustainable sourcing and food waste programmes, the company can ensure the long-term efficiency of its operations, while at the same time gaining the trust of its stakeholders. Further, ASDA can draw attention of green buyer segment as environmental practices can serve as an advantage over its competitor (</w:t>
      </w:r>
      <w:r>
        <w:rPr>
          <w:szCs w:val="24"/>
        </w:rPr>
        <w:t>Ologunebi</w:t>
      </w:r>
      <w:r>
        <w:rPr>
          <w:szCs w:val="24"/>
        </w:rPr>
        <w:t xml:space="preserve"> and Taiwo, 2023). Global food supply chains will also be affected by a shortage of agricultural production under extreme weather events, and risks of shortages and price variations will increase due to climate change.</w:t>
      </w:r>
      <w:r>
        <w:rPr>
          <w:szCs w:val="24"/>
        </w:rPr>
        <w:t xml:space="preserve"> </w:t>
      </w:r>
    </w:p>
    <w:p w14:paraId="53BDE394">
      <w:pPr>
        <w:pStyle w:val="style0"/>
        <w:rPr>
          <w:b/>
          <w:bCs/>
          <w:i/>
          <w:iCs/>
          <w:szCs w:val="24"/>
        </w:rPr>
      </w:pPr>
      <w:r>
        <w:rPr>
          <w:b/>
          <w:bCs/>
          <w:i/>
          <w:iCs/>
          <w:szCs w:val="24"/>
        </w:rPr>
        <w:t>Legal Factors</w:t>
      </w:r>
    </w:p>
    <w:p w14:paraId="36D09635">
      <w:pPr>
        <w:pStyle w:val="style0"/>
        <w:rPr>
          <w:szCs w:val="24"/>
        </w:rPr>
      </w:pPr>
      <w:r>
        <w:rPr>
          <w:szCs w:val="24"/>
        </w:rPr>
        <w:t xml:space="preserve">The retail industry in the UK has a complex legal system in terms of employment practices, food safety, competition law, consumer protection and information privacy. These rules are important in guaranteeing that the operations are genuine and that the reputation of the organisation is preserved. Compliance with the law will bring opportunities, as it will help to create consumer confidence, and the image of a responsible retailer will be created in relation to ASDA. The safety of high food standards, open pricing and good data security is a good attribute to customer confidence and brand loyalty in the long run. However, Low wages, labour rights, product safety and environmental laws increase the operation and administration expenses. </w:t>
      </w:r>
    </w:p>
    <w:p w14:paraId="7B1F493D">
      <w:pPr>
        <w:pStyle w:val="style0"/>
        <w:rPr>
          <w:b/>
          <w:bCs/>
          <w:szCs w:val="24"/>
        </w:rPr>
      </w:pPr>
      <w:r>
        <w:rPr>
          <w:b/>
          <w:bCs/>
          <w:szCs w:val="24"/>
        </w:rPr>
        <w:t>2.1.2 Important opportunities and threats</w:t>
      </w:r>
    </w:p>
    <w:p w14:paraId="7A49AF21">
      <w:pPr>
        <w:pStyle w:val="style0"/>
        <w:rPr>
          <w:b/>
          <w:bCs/>
          <w:szCs w:val="24"/>
          <w:u w:val="single"/>
        </w:rPr>
      </w:pPr>
      <w:r>
        <w:rPr>
          <w:b/>
          <w:bCs/>
          <w:szCs w:val="24"/>
          <w:u w:val="single"/>
        </w:rPr>
        <w:t>Key Opportunities</w:t>
      </w:r>
    </w:p>
    <w:p w14:paraId="77D07C7F">
      <w:pPr>
        <w:pStyle w:val="style0"/>
        <w:rPr>
          <w:szCs w:val="24"/>
        </w:rPr>
      </w:pPr>
      <w:r>
        <w:rPr>
          <w:szCs w:val="24"/>
        </w:rPr>
        <w:t>From the PESTEL analysis, there are several significant opportunities that can be beneficial for ASDA to strengthen its competitive advantage in the grocery retail industry in the UK. In addition, the rapid growth of e-commerce and digital technologies also provides opportunities to increase online grocery services, improve customer experience with the assistance of personalised marketing, and streamline operations with the assistance of automation and data analytics. Increased consumer consciousness about health and sustainability also allows ASDA to increase its assortment of healthy, organic and environmentally friendly products and enhances its corporate image.</w:t>
      </w:r>
      <w:r>
        <w:rPr>
          <w:szCs w:val="24"/>
        </w:rPr>
        <w:t xml:space="preserve">  </w:t>
      </w:r>
    </w:p>
    <w:p w14:paraId="1445098D">
      <w:pPr>
        <w:pStyle w:val="style0"/>
        <w:rPr>
          <w:b/>
          <w:bCs/>
          <w:szCs w:val="24"/>
          <w:u w:val="single"/>
        </w:rPr>
      </w:pPr>
      <w:r>
        <w:rPr>
          <w:b/>
          <w:bCs/>
          <w:szCs w:val="24"/>
          <w:u w:val="single"/>
        </w:rPr>
        <w:t>Key Threats</w:t>
      </w:r>
    </w:p>
    <w:p w14:paraId="378C31FA">
      <w:pPr>
        <w:pStyle w:val="style0"/>
        <w:rPr>
          <w:szCs w:val="24"/>
        </w:rPr>
      </w:pPr>
      <w:r>
        <w:rPr>
          <w:szCs w:val="24"/>
        </w:rPr>
        <w:t>Despite these opportunities, there are several external threats which impact ASDA's future performance. Operating margin is under pressure due to persistent inflation, energy prices, and quickening wages, as well as supply chain disruptions and currency fluctuations, all of which cost more for procurement. The political uncertainty as well as fluctuating government policies also makes international sourcing and business planning difficult, after Brexit. Besides, due to a high rate of technological progress, it is necessary to regularly invest in digital infrastructure, and cybersecurity threats jeopardise customer data safety and the reputation of organisations. Compliance costs can be further raised by environmental laws which mandate the need to cut carbon emissions and plastic waste.</w:t>
      </w:r>
      <w:r>
        <w:rPr>
          <w:szCs w:val="24"/>
        </w:rPr>
        <w:t xml:space="preserve"> </w:t>
      </w:r>
    </w:p>
    <w:p w14:paraId="18660FCD">
      <w:pPr>
        <w:pStyle w:val="style0"/>
        <w:rPr>
          <w:b/>
          <w:bCs/>
          <w:szCs w:val="24"/>
          <w:u w:val="single"/>
        </w:rPr>
      </w:pPr>
      <w:r>
        <w:rPr>
          <w:b/>
          <w:bCs/>
          <w:szCs w:val="24"/>
          <w:u w:val="single"/>
        </w:rPr>
        <w:t>Critical Evaluation</w:t>
      </w:r>
    </w:p>
    <w:p w14:paraId="7F0DC975">
      <w:pPr>
        <w:pStyle w:val="style0"/>
        <w:rPr>
          <w:szCs w:val="24"/>
        </w:rPr>
      </w:pPr>
      <w:r>
        <w:rPr>
          <w:szCs w:val="24"/>
        </w:rPr>
        <w:t xml:space="preserve">Among all the external factors mentioned, economic and technology factors are the most dominant factors which are likely to spearhead the future competitiveness of ASDA. The greatest opportunity is set by the economic conditions, with the greater demand for cheap products, and the greatest threat by the greater costs of operations. Therefore, the sustainable opportunities and threats that ASDA can leverage and minimise through strategic investment, efficient operations, digitalisation and sustainable business processes will define its success in the long run. </w:t>
      </w:r>
    </w:p>
    <w:bookmarkStart w:id="6" w:name="_Toc237430332"/>
    <w:p w14:paraId="78AD9A20">
      <w:pPr>
        <w:pStyle w:val="style3"/>
        <w:rPr/>
      </w:pPr>
      <w:r>
        <w:t>2.2 VRIO</w:t>
      </w:r>
      <w:bookmarkEnd w:id="6"/>
      <w:r>
        <w:t xml:space="preserve"> </w:t>
      </w:r>
    </w:p>
    <w:p w14:paraId="10ED2779">
      <w:pPr>
        <w:pStyle w:val="style0"/>
        <w:rPr/>
      </w:pPr>
      <w:r>
        <w:t>VRIO framework is employed to analyse the internal environment within ASDA to identify the key strengths and weaknesses that have the potential to be sustained as a competitive advantage.</w:t>
      </w:r>
    </w:p>
    <w:p w14:paraId="28C971EA">
      <w:pPr>
        <w:pStyle w:val="style0"/>
        <w:rPr/>
      </w:pPr>
      <w:r>
        <w:rPr>
          <w:b/>
          <w:bCs/>
          <w:i/>
          <w:iCs/>
        </w:rPr>
        <w:t>Value</w:t>
      </w:r>
      <w:r>
        <w:t>: The advantage of having a large store network and distribution network (as UK) is important to ASDA. These are infrastructural investments, enabling the company to present the offerings of its extensive products to its target audience, which is rather demographically determined as families and the internet-savvy consumers, at rather affordable prices. The ASDA Rewards app elevates the value, offering the opportunity for an additional layer of gamification to loyalty, as well as creating more personalised offers.</w:t>
      </w:r>
    </w:p>
    <w:p w14:paraId="5323F84C">
      <w:pPr>
        <w:pStyle w:val="style0"/>
        <w:rPr/>
      </w:pPr>
      <w:r>
        <w:rPr>
          <w:b/>
          <w:bCs/>
          <w:i/>
          <w:iCs/>
        </w:rPr>
        <w:t>Rarity</w:t>
      </w:r>
      <w:r>
        <w:t>: Large physical store network and web-shopping can be advantageous, but it isn't rare within retail as one of Britain's fiercest competitors, Tesco, Sainsbury's, Morrisons, also have a large physical network; and about 99% of food retailers have a website. Nevertheless – thanks to a historically strong brand recognition and solid private label products like ‘Smart Price' (ASOS, 2024) – ASDA is one of the cheapest value destinations of its kind in the UK, which is quite rare for the perception of value within its specific target audience (IIDE, 2026).</w:t>
      </w:r>
    </w:p>
    <w:p w14:paraId="25F950BB">
      <w:pPr>
        <w:pStyle w:val="style0"/>
        <w:rPr/>
      </w:pPr>
      <w:r>
        <w:rPr>
          <w:b/>
          <w:bCs/>
          <w:i/>
          <w:iCs/>
        </w:rPr>
        <w:t>Inimitability</w:t>
      </w:r>
      <w:r>
        <w:t>: Low cost and high efficiency: ASDA's low cost and efficient operations are tough to copy but not impossible. Now ASDA's advantage of being able to offer low prices has been neutralized by deep discounters such as Aldi and Lidl who have managed to mimic and then exceed it (Jones, 2022). Moreover, some internal weaknesses, such as a hierarchical structure slowing decision making and not developing detailed analysis on consumer preferences, make it difficult for ASDA to give unprecedented strategic responses.</w:t>
      </w:r>
    </w:p>
    <w:p w14:paraId="689AD698">
      <w:pPr>
        <w:pStyle w:val="style0"/>
        <w:rPr/>
      </w:pPr>
      <w:r>
        <w:rPr>
          <w:b/>
          <w:bCs/>
          <w:i/>
          <w:iCs/>
        </w:rPr>
        <w:t>Organisation</w:t>
      </w:r>
      <w:r>
        <w:t>: ASDA is setup to extract value for the customers through omnichannel retail, with seamless click-to-collect experience and home delivery service and has a robust supply chain operation (Aithal and Saldanha, 2025). But there are weaknesses in the organisation. It is very much dependent on the UK market for its growth and elements of its past have raised some controversy on prices, which can sometimes have a negative effect on its image.</w:t>
      </w:r>
    </w:p>
    <w:p w14:paraId="4430CB7A">
      <w:pPr>
        <w:pStyle w:val="style0"/>
        <w:rPr/>
      </w:pPr>
      <w:r>
        <w:t>ASDA has some valuable and organized resources but in the new competitive environment its low-cost model is neither unique nor unattainable so that it cannot obtain sustainable competitive advantage with the agile discounters.</w:t>
      </w:r>
    </w:p>
    <w:bookmarkStart w:id="7" w:name="_Toc237430333"/>
    <w:p w14:paraId="09BEB61F">
      <w:pPr>
        <w:pStyle w:val="style3"/>
        <w:rPr/>
      </w:pPr>
      <w:r>
        <w:t>2.3 SWOT</w:t>
      </w:r>
      <w:bookmarkEnd w:id="7"/>
      <w:r>
        <w:t xml:space="preserve"> </w:t>
      </w:r>
    </w:p>
    <w:p w14:paraId="39891B87">
      <w:pPr>
        <w:pStyle w:val="style0"/>
        <w:rPr/>
      </w:pPr>
      <w:r>
        <w:t>After analysing both its internal and external environment, this SWOT analysis is a product of the strategic positioning of ASDA in the UK retail sector.</w:t>
      </w:r>
    </w:p>
    <w:p w14:paraId="5BF1E647">
      <w:pPr>
        <w:pStyle w:val="style0"/>
        <w:rPr/>
      </w:pPr>
      <w:r>
        <w:rPr>
          <w:b/>
          <w:bCs/>
        </w:rPr>
        <w:t>Strengths (Internal)</w:t>
      </w:r>
    </w:p>
    <w:p w14:paraId="1063763B">
      <w:pPr>
        <w:pStyle w:val="style0"/>
        <w:numPr>
          <w:ilvl w:val="0"/>
          <w:numId w:val="1"/>
        </w:numPr>
        <w:rPr/>
      </w:pPr>
      <w:r>
        <w:rPr>
          <w:i/>
          <w:iCs/>
        </w:rPr>
        <w:t>Strong Brand and Market Position</w:t>
      </w:r>
      <w:r>
        <w:t xml:space="preserve">: ASDA has a higher brand reputation and always has a strong market reputation as a retail brand known for offering low prices (Islam and </w:t>
      </w:r>
      <w:r>
        <w:t>Alharahsheh</w:t>
      </w:r>
      <w:r>
        <w:t>, 2026). Its product mix consists of many products, including a strong private brands portfolio, which meets consumers' daily needs.</w:t>
      </w:r>
    </w:p>
    <w:p w14:paraId="52BB8216">
      <w:pPr>
        <w:pStyle w:val="style0"/>
        <w:numPr>
          <w:ilvl w:val="0"/>
          <w:numId w:val="1"/>
        </w:numPr>
        <w:rPr/>
      </w:pPr>
      <w:r>
        <w:rPr>
          <w:i/>
          <w:iCs/>
        </w:rPr>
        <w:t>Large Supply Chain</w:t>
      </w:r>
      <w:r>
        <w:t>: The company has a wide reach network of distribution centres (25 +) and an extensive supply chain of more than 600 stores.</w:t>
      </w:r>
    </w:p>
    <w:p w14:paraId="7E7A58DC">
      <w:pPr>
        <w:pStyle w:val="style0"/>
        <w:numPr>
          <w:ilvl w:val="0"/>
          <w:numId w:val="1"/>
        </w:numPr>
        <w:rPr/>
      </w:pPr>
      <w:r>
        <w:rPr>
          <w:i/>
          <w:iCs/>
        </w:rPr>
        <w:t>Omnichannel Capabilities</w:t>
      </w:r>
      <w:r>
        <w:t xml:space="preserve">: </w:t>
      </w:r>
      <w:r>
        <w:t>ASDA has established a strong digital footprint and implemented a range of digital services and features, such as personalised digital coupons, gamified challenges, home delivery, and online services and offers through their successful ASDA Rewards app (Mohamed, 2024).</w:t>
      </w:r>
    </w:p>
    <w:p w14:paraId="74DA3403">
      <w:pPr>
        <w:pStyle w:val="style0"/>
        <w:numPr>
          <w:ilvl w:val="0"/>
          <w:numId w:val="1"/>
        </w:numPr>
        <w:rPr/>
      </w:pPr>
      <w:r>
        <w:rPr>
          <w:i/>
          <w:iCs/>
        </w:rPr>
        <w:t>Marketing Adaptability</w:t>
      </w:r>
      <w:r>
        <w:t>: The company has adapted its marketing strategy to incorporate value pricing, emotional storytelling, and collaborations with influencers, which has helped it to connect more with its customers.</w:t>
      </w:r>
    </w:p>
    <w:p w14:paraId="720A424F">
      <w:pPr>
        <w:pStyle w:val="style0"/>
        <w:rPr/>
      </w:pPr>
      <w:r>
        <w:rPr>
          <w:b/>
          <w:bCs/>
        </w:rPr>
        <w:t>Weaknesses (Internal)</w:t>
      </w:r>
    </w:p>
    <w:p w14:paraId="140362C2">
      <w:pPr>
        <w:pStyle w:val="style0"/>
        <w:numPr>
          <w:ilvl w:val="0"/>
          <w:numId w:val="6"/>
        </w:numPr>
        <w:rPr/>
      </w:pPr>
      <w:r>
        <w:rPr>
          <w:i/>
          <w:iCs/>
        </w:rPr>
        <w:t>Market Concentration</w:t>
      </w:r>
      <w:r>
        <w:t>: ASDA has an overreliance on the UK market and has a limited presence internationally, which makes them susceptible to fluctuations in the UK economy (</w:t>
      </w:r>
      <w:r>
        <w:t>Omarini</w:t>
      </w:r>
      <w:r>
        <w:t>, 2022).</w:t>
      </w:r>
    </w:p>
    <w:p w14:paraId="60F06143">
      <w:pPr>
        <w:pStyle w:val="style0"/>
        <w:numPr>
          <w:ilvl w:val="0"/>
          <w:numId w:val="6"/>
        </w:numPr>
        <w:rPr/>
      </w:pPr>
      <w:r>
        <w:rPr>
          <w:i/>
          <w:iCs/>
        </w:rPr>
        <w:t>Perception and Differentiation</w:t>
      </w:r>
      <w:r>
        <w:t>: Price is crucial and a huge emphasis on low prices can result in a perception of lesser/faulty offerings from the consumer's point of view, and limits ASDA's ability to differentiate. Others think that its products aren't as appealing as those of rivals like Waitrose.</w:t>
      </w:r>
    </w:p>
    <w:p w14:paraId="00D0330E">
      <w:pPr>
        <w:pStyle w:val="style0"/>
        <w:numPr>
          <w:ilvl w:val="0"/>
          <w:numId w:val="6"/>
        </w:numPr>
        <w:rPr/>
      </w:pPr>
      <w:r>
        <w:rPr>
          <w:i/>
          <w:iCs/>
        </w:rPr>
        <w:t>Organizational Inefficiencies</w:t>
      </w:r>
      <w:r>
        <w:t>: There is slow decision-making process in a hierarchical organization structure, and there is lack of in-depth analysis related to the consumers' preferences and feedback.</w:t>
      </w:r>
    </w:p>
    <w:p w14:paraId="2C6BEADB">
      <w:pPr>
        <w:pStyle w:val="style0"/>
        <w:numPr>
          <w:ilvl w:val="0"/>
          <w:numId w:val="6"/>
        </w:numPr>
        <w:rPr/>
      </w:pPr>
      <w:r>
        <w:t>The impact of financial pressures relates to the company's debt (c. £3.5 billion).</w:t>
      </w:r>
    </w:p>
    <w:p w14:paraId="431D9306">
      <w:pPr>
        <w:pStyle w:val="style0"/>
        <w:rPr/>
      </w:pPr>
      <w:r>
        <w:rPr>
          <w:b/>
          <w:bCs/>
        </w:rPr>
        <w:t>Opportunities (External)</w:t>
      </w:r>
    </w:p>
    <w:p w14:paraId="7F719778">
      <w:pPr>
        <w:pStyle w:val="style0"/>
        <w:numPr>
          <w:ilvl w:val="0"/>
          <w:numId w:val="7"/>
        </w:numPr>
        <w:rPr/>
      </w:pPr>
      <w:r>
        <w:rPr>
          <w:i/>
          <w:iCs/>
        </w:rPr>
        <w:t>ECommerce Growth</w:t>
      </w:r>
      <w:r>
        <w:t>: The global expansion of eCommerce is an enormous expansion opportunity, with digitisation in international markets.</w:t>
      </w:r>
    </w:p>
    <w:p w14:paraId="43CCC975">
      <w:pPr>
        <w:pStyle w:val="style0"/>
        <w:numPr>
          <w:ilvl w:val="0"/>
          <w:numId w:val="7"/>
        </w:numPr>
        <w:rPr/>
      </w:pPr>
      <w:r>
        <w:rPr>
          <w:i/>
          <w:iCs/>
        </w:rPr>
        <w:t>Product Line Diversification</w:t>
      </w:r>
      <w:r>
        <w:t>: Potentials to expand product lines into new territories like pharmacy, opticians, tourism/entertainment etc.</w:t>
      </w:r>
    </w:p>
    <w:p w14:paraId="7F5D0737">
      <w:pPr>
        <w:pStyle w:val="style0"/>
        <w:numPr>
          <w:ilvl w:val="0"/>
          <w:numId w:val="7"/>
        </w:numPr>
        <w:rPr/>
      </w:pPr>
      <w:r>
        <w:rPr>
          <w:i/>
          <w:iCs/>
        </w:rPr>
        <w:t>Market Capture during Inflation</w:t>
      </w:r>
      <w:r>
        <w:t>: When economic stability is rocky and there is a lot of inflation going round, one can capture the market by consumers who are willing to buy cheaper products and value-centric retailers.</w:t>
      </w:r>
    </w:p>
    <w:p w14:paraId="2EEAC716">
      <w:pPr>
        <w:pStyle w:val="style0"/>
        <w:rPr/>
      </w:pPr>
      <w:r>
        <w:rPr>
          <w:b/>
          <w:bCs/>
        </w:rPr>
        <w:t>Threats (External)</w:t>
      </w:r>
    </w:p>
    <w:p w14:paraId="5452B3F9">
      <w:pPr>
        <w:pStyle w:val="style0"/>
        <w:numPr>
          <w:ilvl w:val="0"/>
          <w:numId w:val="8"/>
        </w:numPr>
        <w:rPr/>
      </w:pPr>
      <w:r>
        <w:t>Eastmure</w:t>
      </w:r>
      <w:r>
        <w:t xml:space="preserve"> (2022) states that ASDA is involved in price wars and intense competition against their traditional rivals (Tesco and Sainsbury's) and aggressive discounters (Aldi and Lidl), which put pressure on the profit margin.</w:t>
      </w:r>
    </w:p>
    <w:p w14:paraId="03CF3B1E">
      <w:pPr>
        <w:pStyle w:val="style0"/>
        <w:numPr>
          <w:ilvl w:val="0"/>
          <w:numId w:val="8"/>
        </w:numPr>
        <w:rPr/>
      </w:pPr>
      <w:r>
        <w:t>Operational efficiency and pricing strategies are under threat due to the increasing costs, inflation and disruption in supply chains.</w:t>
      </w:r>
    </w:p>
    <w:p w14:paraId="23C1193F">
      <w:pPr>
        <w:pStyle w:val="style0"/>
        <w:numPr>
          <w:ilvl w:val="0"/>
          <w:numId w:val="8"/>
        </w:numPr>
        <w:rPr/>
      </w:pPr>
      <w:r>
        <w:rPr>
          <w:i/>
          <w:iCs/>
        </w:rPr>
        <w:t>Consumer preference shifts</w:t>
      </w:r>
      <w:r>
        <w:t>: Consumers' preference for health/wellness, and for sustainability, as well as not keeping pace with these shifts may result in loss of market share.</w:t>
      </w:r>
    </w:p>
    <w:p w14:paraId="61CA46DB">
      <w:pPr>
        <w:pStyle w:val="style0"/>
        <w:numPr>
          <w:ilvl w:val="0"/>
          <w:numId w:val="8"/>
        </w:numPr>
        <w:rPr/>
      </w:pPr>
      <w:r>
        <w:t>The more digital operations there are, the more the risks surrounding cybersecurity grow. Furthermore, the external dangers are continually being confronted by change in the government rules, taxes and labour acts.</w:t>
      </w:r>
    </w:p>
    <w:bookmarkStart w:id="8" w:name="_Toc237430334"/>
    <w:p w14:paraId="7A8C56E0">
      <w:pPr>
        <w:pStyle w:val="style1"/>
        <w:rPr/>
      </w:pPr>
      <w:r>
        <w:t xml:space="preserve">3. </w:t>
      </w:r>
      <w:r>
        <w:t>Comprehensive and holistic view of the organisation</w:t>
      </w:r>
      <w:bookmarkEnd w:id="8"/>
      <w:r>
        <w:t xml:space="preserve"> </w:t>
      </w:r>
    </w:p>
    <w:bookmarkStart w:id="9" w:name="_Toc237430335"/>
    <w:p w14:paraId="4E0B22A8">
      <w:pPr>
        <w:pStyle w:val="style3"/>
        <w:rPr/>
      </w:pPr>
      <w:r>
        <w:t>3.1 Corporate Social Responsibility and Strategic Alignment</w:t>
      </w:r>
      <w:bookmarkEnd w:id="9"/>
      <w:r>
        <w:t xml:space="preserve"> </w:t>
      </w:r>
    </w:p>
    <w:p w14:paraId="0A48ABA4">
      <w:pPr>
        <w:pStyle w:val="style0"/>
        <w:rPr/>
      </w:pPr>
      <w:r>
        <w:t xml:space="preserve">Understanding ASDA's current Corporate Social Responsibility (CSR) strategy and critically discussing its alignment with business objectives can be achieved only by understanding that their work is not necessarily an add-on to philanthropy, but rather an integral part of how their </w:t>
      </w:r>
      <w:r>
        <w:t xml:space="preserve">business competes. ASDA's CSR strategy is summarized in its CSR Strategy "Create Change for Better" (CCFB), where environmental and social issues are embedded in its business activities and daily operations (Mahmoud and Ross, 2021). </w:t>
      </w:r>
    </w:p>
    <w:p w14:paraId="20ED73C5">
      <w:pPr>
        <w:pStyle w:val="style0"/>
        <w:rPr/>
      </w:pPr>
      <w:r>
        <w:t>From a strategic perspective, ASDA's main business goal is to maintain cost leadership and to provide the consumers in the UK affordable value in a very competitive market where the price wars are being waged by Aldi, Lidl and Tesco. The CCFB strategy fits in well with this goal with its two pillars: Better Planet and Better Business. ASDA's core approach of driving towards 2040 Net-Zero Carbon, eradicating unnecessary plastics and drastically achieving food waste reduction is a by-product of optimizing the supply chain and reducing overheads. This reduces operating expenses, as energy-efficient stores and integrated logistics directly improve the business' bottom line, which can then be translated to the consumer and is a great advantage in maintaining the business' low price market orientation.</w:t>
      </w:r>
    </w:p>
    <w:p w14:paraId="507F0117">
      <w:pPr>
        <w:pStyle w:val="style0"/>
        <w:rPr/>
      </w:pPr>
      <w:r>
        <w:t>A critical strategic weakness in particular is dealt with through the “Better Communities” and “Better Lives” pillars: Brand Perception. Part of the low image of quality and ethical standards sometimes attached to a deep discount model is probably deserved, as these models typically offer lower quality items. ASDA cultivates emotional loyalty and trust by maintaining the continuity of its supply chain, offering good food at low prices and having its own Community Champions on store. This approach is localized and a community-led one which helps distinguish ASDA from the purely transactional discounters.</w:t>
      </w:r>
    </w:p>
    <w:p w14:paraId="51A22087">
      <w:pPr>
        <w:pStyle w:val="style0"/>
        <w:rPr/>
      </w:pPr>
      <w:r>
        <w:t>A big hurdle will be whether investments can be directed toward sustainability when the company may be weighted down with debt and, importantly, retail prices will remain a limiting factor. Despite the initial cost, due to the gigantic volumes that ASDA are likely to be using, the company is able to require a high standard of CSR from suppliers by implementing sustainable sourcing. In general, ASDA's CSR strategy can be seen as effective, both as a strong cost-reduction tool and as a valuable brand-enhancing strategy and is well aligned with the overall business objectives.</w:t>
      </w:r>
      <w:r>
        <w:t xml:space="preserve"> </w:t>
      </w:r>
      <w:r>
        <w:t xml:space="preserve"> </w:t>
      </w:r>
    </w:p>
    <w:bookmarkStart w:id="10" w:name="_Toc237430336"/>
    <w:p w14:paraId="4E1DC518">
      <w:pPr>
        <w:pStyle w:val="style3"/>
        <w:rPr>
          <w:iCs/>
        </w:rPr>
      </w:pPr>
      <w:r>
        <w:t>3.2 Application of the Balanced Scorecard</w:t>
      </w:r>
      <w:bookmarkEnd w:id="10"/>
      <w:r>
        <w:t xml:space="preserve"> </w:t>
      </w:r>
    </w:p>
    <w:p w14:paraId="0926E88B">
      <w:pPr>
        <w:pStyle w:val="style0"/>
        <w:rPr/>
      </w:pPr>
      <w:r>
        <w:t xml:space="preserve">For monitoring the strategic objectives, ASDA can use the </w:t>
      </w:r>
      <w:r>
        <w:rPr>
          <w:b/>
          <w:bCs/>
        </w:rPr>
        <w:t>Balanced Scorecard framework</w:t>
      </w:r>
      <w:r>
        <w:t xml:space="preserve"> (Kaplan and Norton, 1992). This tool offers a holistic suite of performance measures, encompassing both traditional financial and critical non-financial measures. The scorecard breaks ASDA's fundamental business, to save customers money, down into objective measures </w:t>
      </w:r>
      <w:r>
        <w:t>that address its four perspectives. That way, financial short-term pressures will not offset long-term value creation.</w:t>
      </w:r>
      <w:r>
        <w:t xml:space="preserve"> </w:t>
      </w:r>
    </w:p>
    <w:p w14:paraId="25B6DB4F">
      <w:pPr>
        <w:pStyle w:val="style0"/>
        <w:rPr>
          <w:b/>
          <w:bCs/>
        </w:rPr>
      </w:pPr>
      <w:r>
        <w:rPr>
          <w:b/>
          <w:bCs/>
          <w:noProof/>
        </w:rPr>
        <w:drawing>
          <wp:inline distL="0" distT="0" distB="0" distR="0">
            <wp:extent cx="5739897" cy="4092852"/>
            <wp:effectExtent l="19050" t="19050" r="13334" b="22225"/>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739897" cy="4092852"/>
                    </a:xfrm>
                    <a:prstGeom prst="rect"/>
                    <a:ln cmpd="sng" cap="flat" w="9525">
                      <a:solidFill>
                        <a:srgbClr val="4472c4"/>
                      </a:solidFill>
                      <a:prstDash val="solid"/>
                      <a:round/>
                      <a:headEnd len="med" w="med" type="none"/>
                      <a:tailEnd len="med" w="med" type="none"/>
                    </a:ln>
                  </pic:spPr>
                </pic:pic>
              </a:graphicData>
            </a:graphic>
          </wp:inline>
        </w:drawing>
      </w:r>
    </w:p>
    <w:p w14:paraId="34B3D61E">
      <w:pPr>
        <w:pStyle w:val="style0"/>
        <w:rPr>
          <w:b/>
          <w:bCs/>
        </w:rPr>
      </w:pPr>
      <w:r>
        <w:rPr>
          <w:b/>
          <w:bCs/>
        </w:rPr>
        <w:t>3.2.1 Financial Perspective</w:t>
      </w:r>
    </w:p>
    <w:p w14:paraId="722A0A85">
      <w:pPr>
        <w:pStyle w:val="style0"/>
        <w:rPr/>
      </w:pPr>
      <w:r>
        <w:t>The financial perspective involves examining the sustainable increase in the bottom line of ASDA as a result of the company's strategy (Mendonça, 2025). With the company having undertaken a lot of debt through a major leveraged buyout, and the grocery price wars being as severe as they are in the UK, financial stability is key. The main goal is to boost revenue on the one hand and on the other to safeguard the margins from discounters, as well as reduce the corporate debt. The measurement for this is through KPIs like the annual revenue growth rate, debt to equity ratio and gross profit margin percentage (BONTEMPI, 2024). Stated goals include growing revenue at least 3% per year, decreasing total debt by £500m over 2 years, and keeping the profit margin stable at 4%. Strategic investments should aim to grow the company in higher margin businesses such as the George brand for clothes while at the same time exercising tight cost control in all the supply chain to generate availability of cash for debt servicing.</w:t>
      </w:r>
      <w:r>
        <w:t xml:space="preserve"> </w:t>
      </w:r>
    </w:p>
    <w:p w14:paraId="51E29769">
      <w:pPr>
        <w:pStyle w:val="style0"/>
        <w:rPr>
          <w:b/>
          <w:bCs/>
        </w:rPr>
      </w:pPr>
      <w:r>
        <w:rPr>
          <w:b/>
          <w:bCs/>
        </w:rPr>
        <w:t>3.2.2 Customer Perspective</w:t>
      </w:r>
    </w:p>
    <w:p w14:paraId="7CD78429">
      <w:pPr>
        <w:pStyle w:val="style0"/>
        <w:rPr/>
      </w:pPr>
      <w:r>
        <w:t>Because the success in this will directly translate into financial results, this is a budget-important segment for ASDA, and one in which a value proposition is very important. The goal of this is to boost brand loyalty, elevate product quality and nurture customer engagement in digital marketing. KPIs consist of the Net Promoter Score (NPS), customer retention rate and active monthly ASDA Rewards users. ASDA's objectives should be to boost their NPS by 10 points, increase customer retention rate to 85%, and increase their active app users by 15% year-on-year (Latterly, 2025). Examples of how this can be done include personalized discounts, based on data from the ASDA Rewards program, and challenges to save, with gamification (</w:t>
      </w:r>
      <w:r>
        <w:t>Boaretto</w:t>
      </w:r>
      <w:r>
        <w:t xml:space="preserve"> et al., 2022). Also, placing investment on the 'Extra Special' premium private-label will aid to change the consumers' perception from that of a low-cost choice.</w:t>
      </w:r>
      <w:r>
        <w:t xml:space="preserve"> </w:t>
      </w:r>
    </w:p>
    <w:p w14:paraId="72F6241C">
      <w:pPr>
        <w:pStyle w:val="style0"/>
        <w:rPr>
          <w:b/>
          <w:bCs/>
        </w:rPr>
      </w:pPr>
      <w:r>
        <w:rPr>
          <w:b/>
          <w:bCs/>
        </w:rPr>
        <w:t>3.2.3 Internal Business Processes</w:t>
      </w:r>
    </w:p>
    <w:p w14:paraId="67D432E4">
      <w:pPr>
        <w:pStyle w:val="style0"/>
        <w:rPr/>
      </w:pPr>
      <w:r>
        <w:t>In order to provide low prices and high satisfaction, ASDA has to be best in class. The emphasis of this view is on the fundamentals of retail effectiveness and omnichannel solutions. The aim is to facilitate supply chain logistics, losing or wasting as little inventory as possible and physical to digital transformation. The inventory turnover ratio, on-time delivery online rate and overall retail shrinkage rate are KPIs (</w:t>
      </w:r>
      <w:r>
        <w:t>Filani</w:t>
      </w:r>
      <w:r>
        <w:t xml:space="preserve"> et al., 2022). ASDA's goals should be to achieve a 15 turn (sell through) per year inventory turnover, a 98% on-time delivery rate, and shrink by 10%. These include automated inventory control systems with AI forecasting to reduce overstock and food waste (A Rahman, 2026). Moreover, with larger supermarkets equipped with automatic micro-fulfilment centres, the picking and packing speed of click and collect / home delivery orders will be increased significantly.</w:t>
      </w:r>
      <w:r>
        <w:t xml:space="preserve"> </w:t>
      </w:r>
    </w:p>
    <w:p w14:paraId="52B1443F">
      <w:pPr>
        <w:pStyle w:val="style0"/>
        <w:rPr>
          <w:b/>
          <w:bCs/>
        </w:rPr>
      </w:pPr>
      <w:r>
        <w:rPr>
          <w:b/>
          <w:bCs/>
        </w:rPr>
        <w:t>3.2.4 Learning and Growth</w:t>
      </w:r>
    </w:p>
    <w:p w14:paraId="483AA059">
      <w:pPr>
        <w:pStyle w:val="style0"/>
        <w:rPr/>
      </w:pPr>
      <w:r>
        <w:t xml:space="preserve">The human and technological infrastructure are at the heart of this approach, which is provided by ASDA. The goal is to: Build a motivated and trained staff and modernize its IT infrastructure so that advanced retail analytics can be utilized. Some examples of KPIs to monitor are employee turnover rate, average training hours per employee and uptime of digital systems. One of the goals the company is aiming for is to keep the employee turnover rate below 20%, provide 30 hours of training to each employee each year and maintain IT system uptime of 99.9%. Delivering a holistic training program emphasising digital literacy and better customer service. If an employee is promoted to store management, it will improve the morale amongst </w:t>
      </w:r>
      <w:r>
        <w:t>them and aid in retaining their talent within the business. Finally, a company's underlying systems will be capable of accommodating more data from modern omnichannel retail practices after investing heavily in strong cloud infrastructure (</w:t>
      </w:r>
      <w:r>
        <w:t>Modugula</w:t>
      </w:r>
      <w:r>
        <w:t>, 2026).</w:t>
      </w:r>
      <w:r>
        <w:t xml:space="preserve"> </w:t>
      </w:r>
    </w:p>
    <w:bookmarkStart w:id="11" w:name="_Toc237430337"/>
    <w:p w14:paraId="0F8A7F5D">
      <w:pPr>
        <w:pStyle w:val="style1"/>
        <w:rPr/>
      </w:pPr>
      <w:r>
        <w:t>4. Strategic Choices and Implementation</w:t>
      </w:r>
      <w:bookmarkEnd w:id="11"/>
    </w:p>
    <w:p w14:paraId="716FC3C3">
      <w:pPr>
        <w:pStyle w:val="style0"/>
        <w:rPr/>
      </w:pPr>
      <w:r>
        <w:rPr>
          <w:noProof/>
        </w:rPr>
        <w:drawing>
          <wp:inline distL="0" distT="0" distB="0" distR="0">
            <wp:extent cx="5675580" cy="4586473"/>
            <wp:effectExtent l="19050" t="19050" r="20955" b="24130"/>
            <wp:docPr id="1030"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2"/>
                    <pic:cNvPicPr/>
                  </pic:nvPicPr>
                  <pic:blipFill>
                    <a:blip r:embed="rId6" cstate="print"/>
                    <a:srcRect l="0" t="0" r="0" b="0"/>
                    <a:stretch/>
                  </pic:blipFill>
                  <pic:spPr>
                    <a:xfrm rot="0">
                      <a:off x="0" y="0"/>
                      <a:ext cx="5675580" cy="4586473"/>
                    </a:xfrm>
                    <a:prstGeom prst="rect"/>
                    <a:ln cmpd="sng" cap="flat" w="9525">
                      <a:solidFill>
                        <a:srgbClr val="4472c4"/>
                      </a:solidFill>
                      <a:prstDash val="solid"/>
                      <a:round/>
                      <a:headEnd len="med" w="med" type="none"/>
                      <a:tailEnd len="med" w="med" type="none"/>
                    </a:ln>
                  </pic:spPr>
                </pic:pic>
              </a:graphicData>
            </a:graphic>
          </wp:inline>
        </w:drawing>
      </w:r>
    </w:p>
    <w:bookmarkStart w:id="12" w:name="_Toc237430338"/>
    <w:p w14:paraId="4F44C835">
      <w:pPr>
        <w:pStyle w:val="style3"/>
        <w:rPr/>
      </w:pPr>
      <w:r>
        <w:t xml:space="preserve">4.1 </w:t>
      </w:r>
      <w:r>
        <w:t>Evaluation of Strategic Choices at the Business Level</w:t>
      </w:r>
      <w:bookmarkEnd w:id="12"/>
    </w:p>
    <w:p w14:paraId="58CA2C31">
      <w:pPr>
        <w:pStyle w:val="style0"/>
        <w:rPr/>
      </w:pPr>
      <w:r>
        <w:t>Strategically, at the ASDA level, there are some important decisions to make to ensure that ASDA can sustain its market position with the highly competitive UK retail market. Porter's Generic Strategies claim that a firm should pick one of the three strategies: Cost Leadership, Differentiation and Focus to not be in the "middle" (FIKADU, 2023). ASDA's Cost Leadership Strategy is to invest heavily on achieving operational efficiencies, supply chain control and economies of scale to provide the lowest possible cost to the customer. The selection is logical because ASDA has always been the value leader and a 'Smart Price'.</w:t>
      </w:r>
    </w:p>
    <w:p w14:paraId="47576FA3">
      <w:pPr>
        <w:pStyle w:val="style0"/>
        <w:rPr/>
      </w:pPr>
      <w:r>
        <w:t>Instead, ASDA can choose to get a Differentiation strategy. This means abandoning the short-term grab for cheap wins by selling products at lower prices, and keeping up with the temporary surge in demand, to enhance your USP through better customer service, more unique products on the shelves, or unique experience in-store through your shop, restaurant, farmer's market, or other retail setup. There is a drive for differentiation, specifically ASDA has successfully differentiated itself with its clothing line “George” and with its “ASDA Rewards” app, however if ASDA made a concerted effort to fully differentiate its grocery business this would come into direct conflict with the consumer's perception of ASDA (Burney, 2024). The Focus strategy, geared towards an extremely few and niche market, is completely unsuitable for ASDA's scale since the company has over 600 stores and needs to adopt mass-market strategy to ensure profitability through a blend of high fixed costs and the volume of stores.</w:t>
      </w:r>
    </w:p>
    <w:bookmarkStart w:id="13" w:name="_Toc237430339"/>
    <w:p w14:paraId="11A989AF">
      <w:pPr>
        <w:pStyle w:val="style3"/>
        <w:rPr/>
      </w:pPr>
      <w:r>
        <w:t xml:space="preserve">4.2 </w:t>
      </w:r>
      <w:r>
        <w:t>Identification and Validation of the Appropriate Strategy</w:t>
      </w:r>
      <w:bookmarkEnd w:id="13"/>
      <w:r>
        <w:t xml:space="preserve"> </w:t>
      </w:r>
    </w:p>
    <w:p w14:paraId="1E133B95">
      <w:pPr>
        <w:pStyle w:val="style0"/>
        <w:rPr/>
      </w:pPr>
      <w:r>
        <w:t xml:space="preserve">From the validation of the </w:t>
      </w:r>
      <w:r>
        <w:rPr>
          <w:b/>
          <w:bCs/>
        </w:rPr>
        <w:t>Ansoff Matrix framework</w:t>
      </w:r>
      <w:r>
        <w:t xml:space="preserve">, the best approach for ASDA should be a Hybrid Strategy that will emphasize on </w:t>
      </w:r>
      <w:r>
        <w:rPr>
          <w:b/>
          <w:bCs/>
        </w:rPr>
        <w:t>Cost Leadership</w:t>
      </w:r>
      <w:r>
        <w:t xml:space="preserve"> while using </w:t>
      </w:r>
      <w:r>
        <w:rPr>
          <w:b/>
          <w:bCs/>
        </w:rPr>
        <w:t>Market Penetration</w:t>
      </w:r>
      <w:r>
        <w:t xml:space="preserve"> selectively. Applying the suggested frameworks, which must be used in an assessment, to the case of ASDA shows that adopting Diversification and/or Market Development (expansion overseas into the broader markets) is unfeasible as it is overstretching for a company with the current debt load of £3.5 billion, and the company is exclusive to the UK market. So, Market Penetration striving to gain sales of existing products in the existing UK market is the feasible and low-risk market strategy (</w:t>
      </w:r>
      <w:r>
        <w:t>Rumapea</w:t>
      </w:r>
      <w:r>
        <w:t xml:space="preserve"> and Gerarldo, 2024). </w:t>
      </w:r>
    </w:p>
    <w:p w14:paraId="6174FFFD">
      <w:pPr>
        <w:pStyle w:val="style0"/>
        <w:rPr/>
      </w:pPr>
      <w:r>
        <w:t>Nevertheless, costs cannot be the only avenue to differentiate from other discounters like Aldi and Lidl anymore, if a company wants to come out on top. ASDA have to adopt Cost Leadership supported by micro-differentiation. But which means keeping prices down whilst having a lot of automation on the supply chain and digital assets in order to create a memorable “sticky customer experience” such as gamification-based ASDA Rewards. This will directly respond to the strategic call for a competitive advantage and ensuring ASDA does not end up with a mid-of-the-range strategy and seek to move to technological differentiation in order to increase the basic value proposition of cost saving.</w:t>
      </w:r>
      <w:r>
        <w:t xml:space="preserve"> </w:t>
      </w:r>
    </w:p>
    <w:bookmarkStart w:id="14" w:name="_Toc237430340"/>
    <w:p w14:paraId="334C4E7B">
      <w:pPr>
        <w:pStyle w:val="style3"/>
        <w:rPr/>
      </w:pPr>
      <w:r>
        <w:t xml:space="preserve">4.3 </w:t>
      </w:r>
      <w:r>
        <w:t>Delivering Optimum Performance and Competitive Advantage</w:t>
      </w:r>
      <w:bookmarkEnd w:id="14"/>
      <w:r>
        <w:t xml:space="preserve"> </w:t>
      </w:r>
    </w:p>
    <w:p w14:paraId="48880CB6">
      <w:pPr>
        <w:pStyle w:val="style0"/>
        <w:rPr/>
      </w:pPr>
      <w:r>
        <w:t xml:space="preserve">With this hybrid strategy –Cost Leadership &amp; digitally powered Market Penetration strategy– ASDA will be able to achieve optimum performance and strengthen its competitive advantage. </w:t>
      </w:r>
      <w:r>
        <w:t xml:space="preserve">In theory, this attempts to comply with the idea of a "strategic moat. It can provide data analytics using information from the ASDA Rewards app to stop margin-destroying price cuts and instead offer a more personalised approach (Odicci, 2024). Instead, it can provide ultra-personalised, specific promotions that can increase foot-tall and basket sizes for specific groups of customers and thus preserve overall profit margins. </w:t>
      </w:r>
    </w:p>
    <w:p w14:paraId="2F8B6731">
      <w:pPr>
        <w:pStyle w:val="style0"/>
        <w:rPr/>
      </w:pPr>
      <w:r>
        <w:t>In reality, this approach enables ASDA to make the most of the cost of its real estate investments. This changes ASDA's out stocks to automated micro-fulfilment centres for quick online orders and deliveries, reducing the 'incremental cost' of e-commerce. It has its big connect and is not only utilizing it as retail space but as localised logistics hub (Asda.) 2024). This aspect of efficiency can help strengthen the Cost Leadership dimension and the speed and convenience of the delivery service is a differentiation that cannot be easily replicated by the less-heavy home delivery network in these less heavy category Cost Leadership players such as Aldi. This means that ASDA has no need to compromise on selling its market, as it can compete with the discounters, but are also able to compete with omnichannel retailers such as Tesco.</w:t>
      </w:r>
      <w:r>
        <w:t xml:space="preserve"> </w:t>
      </w:r>
    </w:p>
    <w:bookmarkStart w:id="15" w:name="_Toc237430341"/>
    <w:p w14:paraId="15E0FAD6">
      <w:pPr>
        <w:pStyle w:val="style3"/>
        <w:rPr/>
      </w:pPr>
      <w:r>
        <w:t xml:space="preserve">4.4 </w:t>
      </w:r>
      <w:r>
        <w:t>Potential Implementation Challenges and Mitigation Solutions</w:t>
      </w:r>
      <w:bookmarkEnd w:id="15"/>
      <w:r>
        <w:t xml:space="preserve"> </w:t>
      </w:r>
    </w:p>
    <w:p w14:paraId="703DA855">
      <w:pPr>
        <w:pStyle w:val="style0"/>
        <w:rPr/>
      </w:pPr>
      <w:r>
        <w:t xml:space="preserve">There are certain pertinent questions that need to be addressed with regard to this strategic choice. The main problem is that of dollars. It's a capital-charging adventure, even to adopt the newest of IT solutions for data analytics and automatic micro-fulfilment. If ASDA do not wish to see the negative effect on cash flow and credit downing, it will prove difficult to fund these investments. In this regard, ASDA is recommended to be rolled out in a progressive manner. An automated system should be tried at the business places in the high-density cities with high demand; such as this, it will return more quickly. The profits from these test sites can then be put towards further deployments. </w:t>
      </w:r>
    </w:p>
    <w:p w14:paraId="081DBE51">
      <w:pPr>
        <w:pStyle w:val="style0"/>
        <w:rPr/>
      </w:pPr>
      <w:r>
        <w:t xml:space="preserve">Adapting the workforce and organisation is another secondary issue. A shift to a digital, highly automated form of practice might also cause an impasse in the current workforce and lead to a decline in employee morale or temporary work stoppages from the fear that their skills and careers may never be skilled again. Furthermore, prioritizing the top of the hierarchy might be counterproductive for agility and for decision-making pertaining to digital transformation (Mendonça, 2025). Therefore, to achieve this, the view of ‘Learning and Growth' as described </w:t>
      </w:r>
      <w:r>
        <w:t xml:space="preserve">above in the Balanced Scorecard is quite significant for ASDA's leadership. Communication around automation </w:t>
      </w:r>
      <w:r>
        <w:t>as a means to</w:t>
      </w:r>
      <w:r>
        <w:t xml:space="preserve"> help will need to be transparent </w:t>
      </w:r>
      <w:r>
        <w:t>as a way to</w:t>
      </w:r>
      <w:r>
        <w:t xml:space="preserve"> mitigate staff.</w:t>
      </w:r>
      <w:r>
        <w:t xml:space="preserve"> </w:t>
      </w:r>
    </w:p>
    <w:p w14:paraId="72CEA948">
      <w:pPr>
        <w:pStyle w:val="style0"/>
        <w:spacing w:lineRule="auto" w:line="259"/>
        <w:jc w:val="left"/>
        <w:rPr/>
      </w:pPr>
      <w:r>
        <w:br w:type="page"/>
      </w:r>
    </w:p>
    <w:bookmarkStart w:id="16" w:name="_Toc237004661"/>
    <w:bookmarkStart w:id="17" w:name="_Toc237430342"/>
    <w:p w14:paraId="7D411355">
      <w:pPr>
        <w:pStyle w:val="style1"/>
        <w:rPr/>
      </w:pPr>
      <w:r>
        <w:t>SECTION 2: REFLECTIVE ACCOUNT</w:t>
      </w:r>
      <w:bookmarkEnd w:id="16"/>
      <w:bookmarkEnd w:id="17"/>
    </w:p>
    <w:bookmarkStart w:id="18" w:name="_Toc237004662"/>
    <w:bookmarkStart w:id="19" w:name="_Toc237430343"/>
    <w:p w14:paraId="448F9E89">
      <w:pPr>
        <w:pStyle w:val="style2"/>
        <w:rPr/>
      </w:pPr>
      <w:r>
        <w:t>2.1 Gibbs reflective cycle</w:t>
      </w:r>
      <w:bookmarkEnd w:id="18"/>
      <w:bookmarkEnd w:id="19"/>
    </w:p>
    <w:p w14:paraId="54C1D4F2">
      <w:pPr>
        <w:pStyle w:val="style0"/>
        <w:rPr/>
      </w:pPr>
      <w:r>
        <w:t>This part aligns the reflective aligned with the Gibbs reflective cycle for better understanding of ASDA and critically assessing its internal capacity, external environment and strategic decisions.</w:t>
      </w:r>
    </w:p>
    <w:p w14:paraId="2B132653">
      <w:pPr>
        <w:pStyle w:val="style0"/>
        <w:jc w:val="center"/>
        <w:rPr/>
      </w:pPr>
      <w:r>
        <w:rPr>
          <w:noProof/>
        </w:rPr>
        <w:drawing>
          <wp:inline distL="0" distT="0" distB="0" distR="0">
            <wp:extent cx="3315693" cy="3275938"/>
            <wp:effectExtent l="0" t="0" r="0" b="1270"/>
            <wp:docPr id="1031"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7" cstate="print"/>
                    <a:srcRect l="0" t="0" r="0" b="0"/>
                    <a:stretch/>
                  </pic:blipFill>
                  <pic:spPr>
                    <a:xfrm rot="0">
                      <a:off x="0" y="0"/>
                      <a:ext cx="3315693" cy="3275938"/>
                    </a:xfrm>
                    <a:prstGeom prst="rect"/>
                  </pic:spPr>
                </pic:pic>
              </a:graphicData>
            </a:graphic>
          </wp:inline>
        </w:drawing>
      </w:r>
    </w:p>
    <w:p w14:paraId="18B212E6">
      <w:pPr>
        <w:pStyle w:val="style0"/>
        <w:jc w:val="center"/>
        <w:rPr>
          <w:b/>
          <w:bCs/>
        </w:rPr>
      </w:pPr>
      <w:r>
        <w:rPr>
          <w:b/>
          <w:bCs/>
        </w:rPr>
        <w:t>Figure 2: Gibbs reflective cycle</w:t>
      </w:r>
    </w:p>
    <w:p w14:paraId="028BC5BE">
      <w:pPr>
        <w:pStyle w:val="style0"/>
        <w:jc w:val="center"/>
        <w:rPr/>
      </w:pPr>
      <w:r>
        <w:t>(Source: The University of Edinburgh, 2024)</w:t>
      </w:r>
    </w:p>
    <w:p w14:paraId="472DC8BD">
      <w:pPr>
        <w:pStyle w:val="style0"/>
        <w:rPr>
          <w:b/>
          <w:bCs/>
          <w:i/>
          <w:iCs/>
        </w:rPr>
      </w:pPr>
      <w:r>
        <w:rPr>
          <w:b/>
          <w:bCs/>
          <w:i/>
          <w:iCs/>
        </w:rPr>
        <w:t>2.1 Description</w:t>
      </w:r>
    </w:p>
    <w:p w14:paraId="427AD5C7">
      <w:pPr>
        <w:pStyle w:val="style0"/>
        <w:rPr/>
      </w:pPr>
      <w:r>
        <w:t xml:space="preserve">This assessment process has already been started by selecting ASDA as an organisation and gathering information regarding its past development, business model, mission, vision, competitors and market position. Then, I collected secondary data, i.e. academic material, industry data, and company-related data, to find out what is influencing the current situation in ASDA. PESTEL, VRIO and SWOT were some of the strategies implemented, and this was preceded by the research process. PESTEL helped me to examine the political, economic, social, technological, environmental and legal factors which influenced the organisation, and VRIO was used to examine the internal resources and capabilities of ASDA. </w:t>
      </w:r>
    </w:p>
    <w:p w14:paraId="7D67F8F9">
      <w:pPr>
        <w:pStyle w:val="style0"/>
        <w:rPr/>
      </w:pPr>
      <w:r>
        <w:t>After doing the environmental analysis, I focused on the CSR activities of ASDA and how they are connected to its business objectives. Moreover, I applied the Balanced Scorecard in devising the appropriate performance measures in the financial, customer, internal process and learning and growth perspectives. Otherwise, I had to think about other potential strategic choices that I evaluated using Porter's Generic Strategies and Ansoff Matrix before creating a hybrid one, which was based on the premises of cost leadership, market penetration and digital differentiation.</w:t>
      </w:r>
    </w:p>
    <w:p w14:paraId="18C765D1">
      <w:pPr>
        <w:pStyle w:val="style0"/>
        <w:rPr/>
      </w:pPr>
      <w:r>
        <w:rPr>
          <w:b/>
          <w:bCs/>
          <w:i/>
          <w:iCs/>
        </w:rPr>
        <w:t>2.2 Feelings</w:t>
      </w:r>
    </w:p>
    <w:p w14:paraId="3499B20F">
      <w:pPr>
        <w:pStyle w:val="style0"/>
        <w:rPr/>
      </w:pPr>
      <w:r>
        <w:t>In the initial stage, I was quite sure that I would be able to research ASDA due to the fact that it is a famous organisation with a significant amount of information on the internet available publicly. My first approach was to concentrate on a description of the organisation and its activities, but I realised that more critical analysis was needed instead of pure description as part of the assessment.</w:t>
      </w:r>
    </w:p>
    <w:p w14:paraId="0750A698">
      <w:pPr>
        <w:pStyle w:val="style0"/>
        <w:rPr/>
      </w:pPr>
      <w:r>
        <w:t xml:space="preserve">I also found the use of various strategic frameworks difficult due to overlapping of some of the findings. Having the low price at ASDA was a strength in the SWOT, a resource in the VRIO and a major response to the economic environment in PESTEL. </w:t>
      </w:r>
    </w:p>
    <w:p w14:paraId="3C13D116">
      <w:pPr>
        <w:pStyle w:val="style0"/>
        <w:rPr/>
      </w:pPr>
      <w:r>
        <w:rPr>
          <w:b/>
          <w:bCs/>
          <w:i/>
          <w:iCs/>
        </w:rPr>
        <w:t xml:space="preserve"> 2.3 Evaluation</w:t>
      </w:r>
    </w:p>
    <w:p w14:paraId="5F4917DA">
      <w:pPr>
        <w:pStyle w:val="style0"/>
        <w:rPr/>
      </w:pPr>
      <w:r>
        <w:t>One of the main positive features of my approach was the employment of multiple complementary frameworks instead of using a single analytical model. PESTEL assisted in developing a systematic outlook towards the environmental pressures that I was working in, and VRIO assisted me in understanding whether the resources of ASDA could develop a sustainable competitive advantage. The following findings were the assistance of SWOT. Balanced Scorecard proved to be helpful, especially since it enabled me to convert the strategic priorities into measurable objectives and KPIs and not leave the strategy at the conceptual level.</w:t>
      </w:r>
    </w:p>
    <w:p w14:paraId="1224DE64">
      <w:pPr>
        <w:pStyle w:val="style0"/>
        <w:rPr/>
      </w:pPr>
      <w:r>
        <w:t>My other strength was that I tried to relate the theoretical frameworks to the real business conditions at ASDA. To illustrate, I associated cost leadership with the historical value positioning ASDA has been leading in and digital transformation with the ASDA Rewards programme and online shopping. I also considered the real barriers in terms of the implementation of automation, including economic stress and resistance from staff.</w:t>
      </w:r>
    </w:p>
    <w:p w14:paraId="2B744DCA">
      <w:pPr>
        <w:pStyle w:val="style0"/>
        <w:rPr/>
      </w:pPr>
      <w:r>
        <w:t xml:space="preserve">Initially, I was too reliant on the fact that I was going to build on a huge amount of information, and this rendered the research less focused. I also learned that strategic frameworks can be used in an organisational way to simplify complex organisational issues. </w:t>
      </w:r>
    </w:p>
    <w:p w14:paraId="27D8FF59">
      <w:pPr>
        <w:pStyle w:val="style0"/>
        <w:rPr/>
      </w:pPr>
      <w:r>
        <w:rPr>
          <w:b/>
          <w:bCs/>
          <w:i/>
          <w:iCs/>
        </w:rPr>
        <w:t xml:space="preserve"> 2.4 Analysis</w:t>
      </w:r>
    </w:p>
    <w:p w14:paraId="4AC8BF51">
      <w:pPr>
        <w:pStyle w:val="style0"/>
        <w:rPr/>
      </w:pPr>
      <w:r>
        <w:t xml:space="preserve">The research process has enabled me to realise that the strategic analysis process requires the integration of evidence, theory and organisational context. PESTEL has shown that the influence of competition on the status of ASDA is not limited to direct competition alone but also includes inflation, technological changes, changing consumer demands, sustainability issues and regulatory issues. </w:t>
      </w:r>
    </w:p>
    <w:p w14:paraId="126052EE">
      <w:pPr>
        <w:pStyle w:val="style0"/>
        <w:rPr/>
      </w:pPr>
      <w:r>
        <w:t xml:space="preserve">Another way that the VRIO analysis assisted me in augmenting my knowledge was the realisation that the availability of valuable resources does not always lead to sustainable competitive advantage. The SWOT analysis has assisted me to correlate these internal and external results, but the best learning has been achieved when developing the strategic suggestion. Moreover, cost leadership seemed to be the self-evident approach since ASDA can be competitive in terms of price. However, a comparison of ASDA and Aldi, Lidl, Tesco, etc. has indicated that price does not always differentiate. </w:t>
      </w:r>
    </w:p>
    <w:p w14:paraId="145A3966">
      <w:pPr>
        <w:pStyle w:val="style0"/>
        <w:rPr/>
      </w:pPr>
      <w:r>
        <w:t xml:space="preserve">The implementation of the four perspectives of the Balance scorecard showed that the implementation must be successful by having the financial controls, customer outcomes, efficient internal processes and employee development work in tandem. </w:t>
      </w:r>
    </w:p>
    <w:p w14:paraId="6458B5B9">
      <w:pPr>
        <w:pStyle w:val="style0"/>
        <w:rPr/>
      </w:pPr>
      <w:r>
        <w:rPr>
          <w:b/>
          <w:bCs/>
          <w:i/>
          <w:iCs/>
        </w:rPr>
        <w:t>2.5 Action Plan</w:t>
      </w:r>
    </w:p>
    <w:p w14:paraId="3A4078D6">
      <w:pPr>
        <w:pStyle w:val="style0"/>
        <w:rPr/>
      </w:pPr>
      <w:r>
        <w:t xml:space="preserve">I would be more organised in my research at the beginning in the next assessment. I would make sure that, first of all, I would identify the specific purpose and analytical goal of any given framework, and subsequently I would be able to collect evidence that is directly linked to the purpose and analytical goal. I would also develop my critical analysis through making deliberate comparisons of different academic positions rather than using personal sources as the major tool of supporting particular utterances. </w:t>
      </w:r>
    </w:p>
    <w:tbl>
      <w:tblPr>
        <w:tblStyle w:val="style411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76"/>
        <w:gridCol w:w="2270"/>
        <w:gridCol w:w="2844"/>
        <w:gridCol w:w="2270"/>
      </w:tblGrid>
      <w:tr w14:paraId="10ECFE2F">
        <w:trPr>
          <w:trHeight w:val="1070"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88288">
            <w:pPr>
              <w:pStyle w:val="style0"/>
              <w:jc w:val="center"/>
              <w:rPr/>
            </w:pPr>
            <w:r>
              <w:rPr>
                <w:b/>
                <w:bCs/>
              </w:rPr>
              <w:t>Area for Improvement</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47E9E">
            <w:pPr>
              <w:pStyle w:val="style0"/>
              <w:jc w:val="center"/>
              <w:rPr/>
            </w:pPr>
            <w:r>
              <w:rPr>
                <w:b/>
                <w:bCs/>
              </w:rPr>
              <w:t>Issue Identified from Current Assessment</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A1364">
            <w:pPr>
              <w:pStyle w:val="style0"/>
              <w:jc w:val="center"/>
              <w:rPr/>
            </w:pPr>
            <w:r>
              <w:rPr>
                <w:b/>
                <w:bCs/>
              </w:rPr>
              <w:t>Action to Be Taken</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6D2AC">
            <w:pPr>
              <w:pStyle w:val="style0"/>
              <w:jc w:val="center"/>
              <w:rPr/>
            </w:pPr>
            <w:r>
              <w:rPr>
                <w:b/>
                <w:bCs/>
              </w:rPr>
              <w:t>How It Will Improve Future Work</w:t>
            </w:r>
          </w:p>
        </w:tc>
      </w:tr>
      <w:tr w14:paraId="2A97EDD6">
        <w:tblPrEx/>
        <w:trPr>
          <w:trHeight w:val="1355"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0018D">
            <w:pPr>
              <w:pStyle w:val="style0"/>
              <w:rPr/>
            </w:pPr>
            <w:r>
              <w:t>Research planning</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86C12">
            <w:pPr>
              <w:pStyle w:val="style0"/>
              <w:rPr/>
            </w:pPr>
            <w:r>
              <w:t>Research initially involved collecting more information than was necessary.</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46AD1B">
            <w:pPr>
              <w:pStyle w:val="style0"/>
              <w:rPr/>
            </w:pPr>
            <w:r>
              <w:t>Define the purpose of each section and framework before beginning research.</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BB1FC">
            <w:pPr>
              <w:pStyle w:val="style0"/>
              <w:rPr/>
            </w:pPr>
            <w:r>
              <w:t>Makes research more focused, efficient and relevant.</w:t>
            </w:r>
          </w:p>
        </w:tc>
      </w:tr>
      <w:tr w14:paraId="50CAAC5A">
        <w:tblPrEx/>
        <w:trPr>
          <w:trHeight w:val="1625"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BE3B1">
            <w:pPr>
              <w:pStyle w:val="style0"/>
              <w:rPr/>
            </w:pPr>
            <w:r>
              <w:t>Source selection</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AAB294">
            <w:pPr>
              <w:pStyle w:val="style0"/>
              <w:rPr/>
            </w:pPr>
            <w:r>
              <w:t>Some sources provided overlapping or inconsistent information.</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190DC">
            <w:pPr>
              <w:pStyle w:val="style0"/>
              <w:rPr/>
            </w:pPr>
            <w:r>
              <w:t>Prioritise recent, credible academic journals and reliable organisational/industry sources.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F317E">
            <w:pPr>
              <w:pStyle w:val="style0"/>
              <w:rPr/>
            </w:pPr>
            <w:r>
              <w:t>Improves the reliability and academic quality of the analysis.</w:t>
            </w:r>
          </w:p>
        </w:tc>
      </w:tr>
      <w:tr w14:paraId="037064BB">
        <w:tblPrEx/>
        <w:trPr>
          <w:trHeight w:val="1625"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2E306">
            <w:pPr>
              <w:pStyle w:val="style0"/>
              <w:rPr/>
            </w:pPr>
            <w:r>
              <w:t>Use of frameworks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0C06FD">
            <w:pPr>
              <w:pStyle w:val="style0"/>
              <w:rPr/>
            </w:pPr>
            <w:r>
              <w:t>Some information could be repeated across PESTEL, VRIO and SWOT.</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74FF63">
            <w:pPr>
              <w:pStyle w:val="style0"/>
              <w:rPr/>
            </w:pPr>
            <w:r>
              <w:t>Create an evidence matrix showing which information belongs to each framework.</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64CE3">
            <w:pPr>
              <w:pStyle w:val="style0"/>
              <w:rPr/>
            </w:pPr>
            <w:r>
              <w:t>Reduces repetition and ensures each framework has a distinct analytical purpose.</w:t>
            </w:r>
          </w:p>
        </w:tc>
      </w:tr>
      <w:tr w14:paraId="2247322A">
        <w:tblPrEx/>
        <w:trPr>
          <w:trHeight w:val="1625"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4F942">
            <w:pPr>
              <w:pStyle w:val="style0"/>
              <w:rPr/>
            </w:pPr>
            <w:r>
              <w:t>Critical analysis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6B099B">
            <w:pPr>
              <w:pStyle w:val="style0"/>
              <w:rPr/>
            </w:pPr>
            <w:r>
              <w:t>Initial analysis sometimes focused more on description than evaluation.</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C54BB">
            <w:pPr>
              <w:pStyle w:val="style0"/>
              <w:rPr/>
            </w:pPr>
            <w:r>
              <w:t>Compare different academic perspectives and explicitly discuss similarities, differences and implications.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2B401A">
            <w:pPr>
              <w:pStyle w:val="style0"/>
              <w:rPr/>
            </w:pPr>
            <w:r>
              <w:t>Strengthens critical thinking and moves the work beyond descriptive analysis.</w:t>
            </w:r>
          </w:p>
        </w:tc>
      </w:tr>
      <w:tr w14:paraId="5DAB0BCC">
        <w:tblPrEx/>
        <w:trPr>
          <w:trHeight w:val="1910"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C2D88">
            <w:pPr>
              <w:pStyle w:val="style0"/>
              <w:rPr/>
            </w:pPr>
            <w:r>
              <w:t>Application of theory</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B7DB2">
            <w:pPr>
              <w:pStyle w:val="style0"/>
              <w:rPr/>
            </w:pPr>
            <w:r>
              <w:t>Frameworks can oversimplify complex organisational issues if applied mechanically.</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1CD7C">
            <w:pPr>
              <w:pStyle w:val="style0"/>
              <w:rPr/>
            </w:pPr>
            <w:r>
              <w:t>Consider the strengths and limitations of each framework in ASDA's specific context.</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4F440">
            <w:pPr>
              <w:pStyle w:val="style0"/>
              <w:rPr/>
            </w:pPr>
            <w:r>
              <w:t>Produces more balanced and context-specific strategic analysis.</w:t>
            </w:r>
          </w:p>
        </w:tc>
      </w:tr>
      <w:tr w14:paraId="5354F6E6">
        <w:tblPrEx/>
        <w:trPr>
          <w:trHeight w:val="1625"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07511">
            <w:pPr>
              <w:pStyle w:val="style0"/>
              <w:rPr/>
            </w:pPr>
            <w:r>
              <w:t>Evidence and recommendations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7CC7D">
            <w:pPr>
              <w:pStyle w:val="style0"/>
              <w:rPr/>
            </w:pPr>
            <w:r>
              <w:t>Strategic recommendations need stronger links to research findings.</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CC3E8">
            <w:pPr>
              <w:pStyle w:val="style0"/>
              <w:rPr/>
            </w:pPr>
            <w:r>
              <w:t>Directly connect evidence from PESTEL, VRIO and SWOT to the recommended strategy.</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475B9">
            <w:pPr>
              <w:pStyle w:val="style0"/>
              <w:rPr/>
            </w:pPr>
            <w:r>
              <w:t>Makes recommendations more logical, justified and evidence-based.</w:t>
            </w:r>
          </w:p>
        </w:tc>
      </w:tr>
      <w:tr w14:paraId="269CA983">
        <w:tblPrEx/>
        <w:trPr>
          <w:trHeight w:val="1625"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0B456">
            <w:pPr>
              <w:pStyle w:val="style0"/>
              <w:rPr/>
            </w:pPr>
            <w:r>
              <w:t>Strategy implementation</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33ED4">
            <w:pPr>
              <w:pStyle w:val="style0"/>
              <w:rPr/>
            </w:pPr>
            <w:r>
              <w:t>Financial and workforce barriers were identified but could be explored further.</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E20F6">
            <w:pPr>
              <w:pStyle w:val="style0"/>
              <w:rPr/>
            </w:pPr>
            <w:r>
              <w:t>Assess resources, risks, employee impact and implementation requirements before recommending strategies.</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F33DF4">
            <w:pPr>
              <w:pStyle w:val="style0"/>
              <w:rPr/>
            </w:pPr>
            <w:r>
              <w:t>Makes future strategic recommendations more realistic and practical.</w:t>
            </w:r>
          </w:p>
        </w:tc>
      </w:tr>
      <w:tr w14:paraId="3A0C0E90">
        <w:tblPrEx/>
        <w:trPr>
          <w:trHeight w:val="1910" w:hRule="atLeast"/>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1FCCF2">
            <w:pPr>
              <w:pStyle w:val="style0"/>
              <w:rPr/>
            </w:pPr>
            <w:r>
              <w:t>Time management</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64F42">
            <w:pPr>
              <w:pStyle w:val="style0"/>
              <w:rPr/>
            </w:pPr>
            <w:r>
              <w:t>Extensive information gathering can reduce the time available for analysis and writing.</w:t>
            </w:r>
          </w:p>
        </w:tc>
        <w:tc>
          <w:tcPr>
            <w:tcW w:w="2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1B6DAB">
            <w:pPr>
              <w:pStyle w:val="style0"/>
              <w:rPr/>
            </w:pPr>
            <w:r>
              <w:t>Set separate deadlines for research, framework analysis, critical evaluation and final writing.</w:t>
            </w:r>
          </w:p>
        </w:tc>
        <w:tc>
          <w:tcPr>
            <w:tcW w:w="2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B1907">
            <w:pPr>
              <w:pStyle w:val="style0"/>
              <w:rPr/>
            </w:pPr>
            <w:r>
              <w:t>Improves organisation and allows more time for reviewing and refining the assessment.</w:t>
            </w:r>
          </w:p>
        </w:tc>
      </w:tr>
    </w:tbl>
    <w:p w14:paraId="31DAC04A">
      <w:pPr>
        <w:pStyle w:val="style0"/>
        <w:rPr/>
      </w:pPr>
    </w:p>
    <w:bookmarkStart w:id="20" w:name="_Toc237004663"/>
    <w:bookmarkStart w:id="21" w:name="_Toc237430344"/>
    <w:p w14:paraId="51241C57">
      <w:pPr>
        <w:pStyle w:val="style1"/>
        <w:rPr/>
      </w:pPr>
      <w:r>
        <w:t>Reference List</w:t>
      </w:r>
      <w:bookmarkEnd w:id="20"/>
      <w:bookmarkEnd w:id="21"/>
    </w:p>
    <w:p w14:paraId="0209D6EE">
      <w:pPr>
        <w:pStyle w:val="style0"/>
        <w:rPr/>
      </w:pPr>
      <w:r>
        <w:t>A Rahman, A. (2026). The Role of Inventory Management in Reducing Food Waste in Retail store.</w:t>
      </w:r>
      <w:r>
        <w:t xml:space="preserve"> </w:t>
      </w:r>
      <w:r>
        <w:rPr/>
        <w:fldChar w:fldCharType="begin"/>
      </w:r>
      <w:r>
        <w:instrText xml:space="preserve"> HYPERLINK "https://www.theseus.fi/bitstream/handle/10024/925212/Awab_ARahman.pdf?sequence=2" </w:instrText>
      </w:r>
      <w:r>
        <w:rPr/>
        <w:fldChar w:fldCharType="separate"/>
      </w:r>
      <w:r>
        <w:rPr>
          <w:rStyle w:val="style85"/>
        </w:rPr>
        <w:t>https://www.theseus.fi/bitstream/handle/10024/925212/Awab_ARahman.pdf?sequence=2</w:t>
      </w:r>
      <w:r>
        <w:rPr/>
        <w:fldChar w:fldCharType="end"/>
      </w:r>
    </w:p>
    <w:p w14:paraId="4E8724DA">
      <w:pPr>
        <w:pStyle w:val="style0"/>
        <w:rPr>
          <w:rFonts w:cs="Times New Roman"/>
          <w:szCs w:val="24"/>
        </w:rPr>
      </w:pPr>
      <w:r>
        <w:rPr>
          <w:rFonts w:cs="Times New Roman"/>
          <w:szCs w:val="24"/>
        </w:rPr>
        <w:t xml:space="preserve">Afzal, M. T. (2022). Silence is Golden? Evidence from Social Disclosure Gap. </w:t>
      </w:r>
      <w:r>
        <w:rPr/>
        <w:fldChar w:fldCharType="begin"/>
      </w:r>
      <w:r>
        <w:instrText xml:space="preserve"> HYPERLINK "https://brocku.scholaris.ca/bitstreams/ec6b123a-76db-4359-9b98-d8785bba2a54/download" </w:instrText>
      </w:r>
      <w:r>
        <w:rPr/>
        <w:fldChar w:fldCharType="separate"/>
      </w:r>
      <w:r>
        <w:rPr>
          <w:rStyle w:val="style85"/>
          <w:rFonts w:cs="Times New Roman"/>
          <w:szCs w:val="24"/>
        </w:rPr>
        <w:t>https://brocku.scholaris.ca/bitstreams/ec6b123a-76db-4359-9b98-d8785bba2a54/download</w:t>
      </w:r>
      <w:r>
        <w:rPr/>
        <w:fldChar w:fldCharType="end"/>
      </w:r>
    </w:p>
    <w:p w14:paraId="319DA879">
      <w:pPr>
        <w:pStyle w:val="style0"/>
        <w:rPr>
          <w:rFonts w:cs="Times New Roman"/>
          <w:szCs w:val="24"/>
        </w:rPr>
      </w:pPr>
      <w:r>
        <w:rPr>
          <w:rFonts w:cs="Times New Roman"/>
          <w:szCs w:val="24"/>
        </w:rPr>
        <w:t>Aithal, K. V., and Saldanha, D. (2025). Kroger’s Omnichannel and E-Commerce Evolution: A Comprehensive Analysis of Strategy and Market Impact in Retail. </w:t>
      </w:r>
      <w:r>
        <w:rPr>
          <w:rFonts w:cs="Times New Roman"/>
          <w:i/>
          <w:iCs/>
          <w:szCs w:val="24"/>
        </w:rPr>
        <w:t>Poornaprajna</w:t>
      </w:r>
      <w:r>
        <w:rPr>
          <w:rFonts w:cs="Times New Roman"/>
          <w:i/>
          <w:iCs/>
          <w:szCs w:val="24"/>
        </w:rPr>
        <w:t xml:space="preserve"> International Journal of Teaching &amp; Research Case Studies (PIJTRCS)</w:t>
      </w:r>
      <w:r>
        <w:rPr>
          <w:rFonts w:cs="Times New Roman"/>
          <w:szCs w:val="24"/>
        </w:rPr>
        <w:t>, </w:t>
      </w:r>
      <w:r>
        <w:rPr>
          <w:rFonts w:cs="Times New Roman"/>
          <w:i/>
          <w:iCs/>
          <w:szCs w:val="24"/>
        </w:rPr>
        <w:t>2</w:t>
      </w:r>
      <w:r>
        <w:rPr>
          <w:rFonts w:cs="Times New Roman"/>
          <w:szCs w:val="24"/>
        </w:rPr>
        <w:t xml:space="preserve">(2), 1-57. </w:t>
      </w:r>
      <w:r>
        <w:rPr/>
        <w:fldChar w:fldCharType="begin"/>
      </w:r>
      <w:r>
        <w:instrText xml:space="preserve"> HYPERLINK "https://www.poornaprajnapublication.com/index.php/pijtrcs/article/download/158/154" </w:instrText>
      </w:r>
      <w:r>
        <w:rPr/>
        <w:fldChar w:fldCharType="separate"/>
      </w:r>
      <w:r>
        <w:rPr>
          <w:rStyle w:val="style85"/>
          <w:rFonts w:cs="Times New Roman"/>
          <w:szCs w:val="24"/>
        </w:rPr>
        <w:t>https://www.poornaprajnapublication.com/index.php/pijtrcs/article/download/158/154</w:t>
      </w:r>
      <w:r>
        <w:rPr/>
        <w:fldChar w:fldCharType="end"/>
      </w:r>
    </w:p>
    <w:p w14:paraId="759F7679">
      <w:pPr>
        <w:pStyle w:val="style0"/>
        <w:rPr/>
      </w:pPr>
      <w:r>
        <w:t>Asda (</w:t>
      </w:r>
      <w:r>
        <w:t>2026</w:t>
      </w:r>
      <w:r>
        <w:t xml:space="preserve">) </w:t>
      </w:r>
      <w:r>
        <w:rPr>
          <w:i/>
          <w:iCs/>
        </w:rPr>
        <w:t>Our business</w:t>
      </w:r>
      <w:r>
        <w:t xml:space="preserve">. Available at: </w:t>
      </w:r>
      <w:r>
        <w:rPr/>
        <w:fldChar w:fldCharType="begin"/>
      </w:r>
      <w:r>
        <w:instrText xml:space="preserve"> HYPERLINK "https://www.asda.jobs/everything/we-do/our-business" \t "_new" </w:instrText>
      </w:r>
      <w:r>
        <w:rPr/>
        <w:fldChar w:fldCharType="separate"/>
      </w:r>
      <w:r>
        <w:rPr>
          <w:rStyle w:val="style85"/>
        </w:rPr>
        <w:t>https://www.asda.jobs/everything/we-do/our-business</w:t>
      </w:r>
      <w:r>
        <w:rPr/>
        <w:fldChar w:fldCharType="end"/>
      </w:r>
      <w:r>
        <w:t xml:space="preserve"> </w:t>
      </w:r>
      <w:r>
        <w:t>[</w:t>
      </w:r>
      <w:r>
        <w:t xml:space="preserve">Accessed: </w:t>
      </w:r>
      <w:r>
        <w:t>7</w:t>
      </w:r>
      <w:r>
        <w:t xml:space="preserve"> August 2026</w:t>
      </w:r>
      <w:r>
        <w:t>]</w:t>
      </w:r>
      <w:r>
        <w:t>.</w:t>
      </w:r>
    </w:p>
    <w:p w14:paraId="3F6007B7">
      <w:pPr>
        <w:pStyle w:val="style0"/>
        <w:rPr>
          <w:rFonts w:cs="Times New Roman"/>
          <w:szCs w:val="24"/>
        </w:rPr>
      </w:pPr>
      <w:r>
        <w:t xml:space="preserve">Asda. (2024, September 25). </w:t>
      </w:r>
      <w:r>
        <w:rPr>
          <w:i/>
          <w:iCs/>
        </w:rPr>
        <w:t>Project Future: Driving Asda's transformation</w:t>
      </w:r>
      <w:r>
        <w:t xml:space="preserve">. </w:t>
      </w:r>
      <w:r>
        <w:rPr/>
        <w:fldChar w:fldCharType="begin"/>
      </w:r>
      <w:r>
        <w:instrText xml:space="preserve"> HYPERLINK "https://corporate.asda.com/20240925/project-future-driving-asdas-transformation" \t "_blank" </w:instrText>
      </w:r>
      <w:r>
        <w:rPr/>
        <w:fldChar w:fldCharType="separate"/>
      </w:r>
      <w:r>
        <w:rPr>
          <w:rStyle w:val="style85"/>
        </w:rPr>
        <w:t>https://corporate.asda.com/20240925/project-future-driving-asdas-transformation</w:t>
      </w:r>
      <w:r>
        <w:rPr/>
        <w:fldChar w:fldCharType="end"/>
      </w:r>
    </w:p>
    <w:p w14:paraId="6214C6FA">
      <w:pPr>
        <w:pStyle w:val="style0"/>
        <w:rPr/>
      </w:pPr>
      <w:r>
        <w:t>Boaretto</w:t>
      </w:r>
      <w:r>
        <w:t xml:space="preserve">, C., </w:t>
      </w:r>
      <w:r>
        <w:t>Fregonese</w:t>
      </w:r>
      <w:r>
        <w:t xml:space="preserve">, G., Bregolin, G., Martinez, A., </w:t>
      </w:r>
      <w:r>
        <w:t>and</w:t>
      </w:r>
      <w:r>
        <w:t xml:space="preserve"> R2M, T. M. (2022). H2020WORK PROGRAMME D3. 2-CUSTOMER REWARD AND.</w:t>
      </w:r>
      <w:r>
        <w:t xml:space="preserve"> </w:t>
      </w:r>
      <w:r>
        <w:rPr/>
        <w:fldChar w:fldCharType="begin"/>
      </w:r>
      <w:r>
        <w:instrText xml:space="preserve"> HYPERLINK "https://dl.acm.org/doi/pdf/10.1145/3735141" </w:instrText>
      </w:r>
      <w:r>
        <w:rPr/>
        <w:fldChar w:fldCharType="separate"/>
      </w:r>
      <w:r>
        <w:rPr>
          <w:rStyle w:val="style85"/>
        </w:rPr>
        <w:t>https://dl.acm.org/doi/pdf/10.1145/3735141</w:t>
      </w:r>
      <w:r>
        <w:rPr/>
        <w:fldChar w:fldCharType="end"/>
      </w:r>
    </w:p>
    <w:p w14:paraId="52225A4F">
      <w:pPr>
        <w:pStyle w:val="style0"/>
        <w:rPr/>
      </w:pPr>
      <w:r>
        <w:t>BONTEMPI, F. (2024). FINANCIAL REPORTING AS A DECISION-MAKING TOOL: AN ANALYTICAL STUDY ON KPI-DRIVEN VALUE ASSESSMENT IN CORPORATE STRATEGY.</w:t>
      </w:r>
      <w:r>
        <w:t xml:space="preserve"> </w:t>
      </w:r>
      <w:r>
        <w:rPr/>
        <w:fldChar w:fldCharType="begin"/>
      </w:r>
      <w:r>
        <w:instrText xml:space="preserve"> HYPERLINK "https://tesi.univpm.it/bitstream/20.500.12075/22366/1/TESI%20BONTEMPI%20-%20Completa%20%28Rev%20GP%29.pdf" </w:instrText>
      </w:r>
      <w:r>
        <w:rPr/>
        <w:fldChar w:fldCharType="separate"/>
      </w:r>
      <w:r>
        <w:rPr>
          <w:rStyle w:val="style85"/>
        </w:rPr>
        <w:t>https://tesi.univpm.it/bitstream/20.500.12075/22366/1/TESI%20BONTEMPI%20-%20Completa%20%28Rev%20GP%29.pdf</w:t>
      </w:r>
      <w:r>
        <w:rPr/>
        <w:fldChar w:fldCharType="end"/>
      </w:r>
    </w:p>
    <w:p w14:paraId="0AEF5B59">
      <w:pPr>
        <w:pStyle w:val="style0"/>
        <w:rPr/>
      </w:pPr>
      <w:r>
        <w:t xml:space="preserve">Burney, C. (2024, May 20). </w:t>
      </w:r>
      <w:r>
        <w:rPr>
          <w:i/>
          <w:iCs/>
        </w:rPr>
        <w:t>Asda's continued growth driven by George clothing line</w:t>
      </w:r>
      <w:r>
        <w:t xml:space="preserve">. </w:t>
      </w:r>
      <w:r>
        <w:t>TheIndustry.fashion</w:t>
      </w:r>
      <w:r>
        <w:t xml:space="preserve">. </w:t>
      </w:r>
      <w:r>
        <w:rPr/>
        <w:fldChar w:fldCharType="begin"/>
      </w:r>
      <w:r>
        <w:instrText xml:space="preserve"> HYPERLINK "https://www.theindustry.fashion/asdas-continued-growth-driven-by-george-clothing-line/" \t "_blank" </w:instrText>
      </w:r>
      <w:r>
        <w:rPr/>
        <w:fldChar w:fldCharType="separate"/>
      </w:r>
      <w:r>
        <w:rPr>
          <w:rStyle w:val="style85"/>
        </w:rPr>
        <w:t>https://www.theindustry.fashion/asdas-continued-growth-driven-by-george-clothing-line/</w:t>
      </w:r>
      <w:r>
        <w:rPr/>
        <w:fldChar w:fldCharType="end"/>
      </w:r>
    </w:p>
    <w:p w14:paraId="1B902639">
      <w:pPr>
        <w:pStyle w:val="style0"/>
        <w:rPr>
          <w:rFonts w:cs="Times New Roman"/>
          <w:szCs w:val="24"/>
        </w:rPr>
      </w:pPr>
      <w:r>
        <w:rPr>
          <w:rFonts w:cs="Times New Roman"/>
          <w:szCs w:val="24"/>
        </w:rPr>
        <w:t>Eastmure</w:t>
      </w:r>
      <w:r>
        <w:rPr>
          <w:rFonts w:cs="Times New Roman"/>
          <w:szCs w:val="24"/>
        </w:rPr>
        <w:t>, E. (2022). </w:t>
      </w:r>
      <w:r>
        <w:rPr>
          <w:rFonts w:cs="Times New Roman"/>
          <w:i/>
          <w:iCs/>
          <w:szCs w:val="24"/>
        </w:rPr>
        <w:t>The Strategic Response of the Food Industry to the Public Health Responsibility Deal, in the Context of Power</w:t>
      </w:r>
      <w:r>
        <w:rPr>
          <w:rFonts w:cs="Times New Roman"/>
          <w:szCs w:val="24"/>
        </w:rPr>
        <w:t xml:space="preserve"> (Doctoral dissertation, London School of Hygiene </w:t>
      </w:r>
      <w:r>
        <w:rPr>
          <w:rFonts w:cs="Times New Roman"/>
          <w:szCs w:val="24"/>
        </w:rPr>
        <w:t xml:space="preserve">&amp; Tropical Medicine). </w:t>
      </w:r>
      <w:r>
        <w:rPr/>
        <w:fldChar w:fldCharType="begin"/>
      </w:r>
      <w:r>
        <w:instrText xml:space="preserve"> HYPERLINK "https://researchonline.lshtm.ac.uk/id/eprint/4670679/1/2022_PHP_PhD_Eastmure_E.pdf" </w:instrText>
      </w:r>
      <w:r>
        <w:rPr/>
        <w:fldChar w:fldCharType="separate"/>
      </w:r>
      <w:r>
        <w:rPr>
          <w:rStyle w:val="style85"/>
          <w:rFonts w:cs="Times New Roman"/>
          <w:szCs w:val="24"/>
        </w:rPr>
        <w:t>https://researchonline.lshtm.ac.uk/id/eprint/4670679/1/2022_PHP_PhD_Eastmure_E.pdf</w:t>
      </w:r>
      <w:r>
        <w:rPr/>
        <w:fldChar w:fldCharType="end"/>
      </w:r>
    </w:p>
    <w:p w14:paraId="041717BA">
      <w:pPr>
        <w:pStyle w:val="style0"/>
        <w:rPr/>
      </w:pPr>
      <w:r>
        <w:t>FIKADU, M. (2023). </w:t>
      </w:r>
      <w:r>
        <w:rPr>
          <w:i/>
          <w:iCs/>
        </w:rPr>
        <w:t>An Assessment of Competitive Strategy Practice: in the Case of Ethio-telecom’s Headquarter</w:t>
      </w:r>
      <w:r>
        <w:t> (Doctoral dissertation, St. Mary’s University).</w:t>
      </w:r>
      <w:r>
        <w:t xml:space="preserve"> </w:t>
      </w:r>
      <w:r>
        <w:rPr/>
        <w:fldChar w:fldCharType="begin"/>
      </w:r>
      <w:r>
        <w:instrText xml:space="preserve"> HYPERLINK "http://repository.smuc.edu.et/bitstream/123456789/8440/1/Mubarek%20Fikadu%20Thesis.pdf" </w:instrText>
      </w:r>
      <w:r>
        <w:rPr/>
        <w:fldChar w:fldCharType="separate"/>
      </w:r>
      <w:r>
        <w:rPr>
          <w:rStyle w:val="style85"/>
        </w:rPr>
        <w:t>http://repository.smuc.edu.et/bitstream/123456789/8440/1/Mubarek%20Fikadu%20Thesis.pdf</w:t>
      </w:r>
      <w:r>
        <w:rPr/>
        <w:fldChar w:fldCharType="end"/>
      </w:r>
    </w:p>
    <w:p w14:paraId="04F5E4D5">
      <w:pPr>
        <w:pStyle w:val="style0"/>
        <w:rPr/>
      </w:pPr>
      <w:r>
        <w:t>Filani</w:t>
      </w:r>
      <w:r>
        <w:t xml:space="preserve">, O. M., Olajide, J. O., </w:t>
      </w:r>
      <w:r>
        <w:t>and</w:t>
      </w:r>
      <w:r>
        <w:t xml:space="preserve"> Osho, G. O. (2022). A Multivariate Analysis Model for Predicting Sales Performance Based on Inventory and Delivery Metrics.</w:t>
      </w:r>
      <w:r>
        <w:t xml:space="preserve"> </w:t>
      </w:r>
      <w:r>
        <w:rPr/>
        <w:fldChar w:fldCharType="begin"/>
      </w:r>
      <w:r>
        <w:instrText xml:space="preserve"> HYPERLINK "https://shisrrj.com/paper/SHISRRJ225526.pdf" </w:instrText>
      </w:r>
      <w:r>
        <w:rPr/>
        <w:fldChar w:fldCharType="separate"/>
      </w:r>
      <w:r>
        <w:rPr>
          <w:rStyle w:val="style85"/>
        </w:rPr>
        <w:t>https://shisrrj.com/paper/SHISRRJ225526.pdf</w:t>
      </w:r>
      <w:r>
        <w:rPr/>
        <w:fldChar w:fldCharType="end"/>
      </w:r>
    </w:p>
    <w:p w14:paraId="685883F0">
      <w:pPr>
        <w:pStyle w:val="style0"/>
        <w:rPr>
          <w:rFonts w:cs="Times New Roman"/>
          <w:szCs w:val="24"/>
        </w:rPr>
      </w:pPr>
      <w:r>
        <w:rPr>
          <w:rFonts w:cs="Times New Roman"/>
          <w:szCs w:val="24"/>
        </w:rPr>
        <w:t xml:space="preserve">IIDE. (2026). </w:t>
      </w:r>
      <w:r>
        <w:rPr>
          <w:rFonts w:cs="Times New Roman"/>
          <w:i/>
          <w:iCs/>
          <w:szCs w:val="24"/>
        </w:rPr>
        <w:t>Marketing Strategy of ASDA 2026: How ASDA Is Regaining Market Share</w:t>
      </w:r>
      <w:r>
        <w:rPr>
          <w:rFonts w:cs="Times New Roman"/>
          <w:szCs w:val="24"/>
        </w:rPr>
        <w:t xml:space="preserve">. [online] Available at: </w:t>
      </w:r>
      <w:r>
        <w:rPr/>
        <w:fldChar w:fldCharType="begin"/>
      </w:r>
      <w:r>
        <w:instrText xml:space="preserve"> HYPERLINK "https://iide.co/case-studies/marketing-strategy-of-asda/" \t "_blank" </w:instrText>
      </w:r>
      <w:r>
        <w:rPr/>
        <w:fldChar w:fldCharType="separate"/>
      </w:r>
      <w:r>
        <w:rPr>
          <w:rStyle w:val="style85"/>
          <w:rFonts w:cs="Times New Roman"/>
          <w:szCs w:val="24"/>
        </w:rPr>
        <w:t>https://iide.co/case-studies/marketing-strategy-of-asda/</w:t>
      </w:r>
      <w:r>
        <w:rPr/>
        <w:fldChar w:fldCharType="end"/>
      </w:r>
      <w:r>
        <w:rPr>
          <w:rFonts w:cs="Times New Roman"/>
          <w:szCs w:val="24"/>
        </w:rPr>
        <w:t xml:space="preserve"> </w:t>
      </w:r>
    </w:p>
    <w:p w14:paraId="26CA6FBF">
      <w:pPr>
        <w:pStyle w:val="style0"/>
        <w:rPr>
          <w:rFonts w:cs="Times New Roman"/>
          <w:szCs w:val="24"/>
        </w:rPr>
      </w:pPr>
      <w:r>
        <w:rPr>
          <w:rFonts w:cs="Times New Roman"/>
          <w:szCs w:val="24"/>
        </w:rPr>
        <w:t xml:space="preserve">Islam, N., and </w:t>
      </w:r>
      <w:r>
        <w:rPr>
          <w:rFonts w:cs="Times New Roman"/>
          <w:szCs w:val="24"/>
        </w:rPr>
        <w:t>Alharahsheh</w:t>
      </w:r>
      <w:r>
        <w:rPr>
          <w:rFonts w:cs="Times New Roman"/>
          <w:szCs w:val="24"/>
        </w:rPr>
        <w:t xml:space="preserve">, H. (2026). The Relationship between Motivation and Staff Retention. </w:t>
      </w:r>
      <w:r>
        <w:rPr/>
        <w:fldChar w:fldCharType="begin"/>
      </w:r>
      <w:r>
        <w:instrText xml:space="preserve"> HYPERLINK "https://www.gajrc.com/media/articles/GAJEB_83_531-542.pdf" </w:instrText>
      </w:r>
      <w:r>
        <w:rPr/>
        <w:fldChar w:fldCharType="separate"/>
      </w:r>
      <w:r>
        <w:rPr>
          <w:rStyle w:val="style85"/>
          <w:rFonts w:cs="Times New Roman"/>
          <w:szCs w:val="24"/>
        </w:rPr>
        <w:t>https://www.gajrc.com/media/articles/GAJEB_83_531-542.pdf</w:t>
      </w:r>
      <w:r>
        <w:rPr/>
        <w:fldChar w:fldCharType="end"/>
      </w:r>
    </w:p>
    <w:p w14:paraId="3F2DB8E5">
      <w:pPr>
        <w:pStyle w:val="style0"/>
        <w:rPr>
          <w:rFonts w:cs="Times New Roman"/>
          <w:szCs w:val="24"/>
        </w:rPr>
      </w:pPr>
      <w:r>
        <w:rPr>
          <w:rFonts w:cs="Times New Roman"/>
          <w:szCs w:val="24"/>
        </w:rPr>
        <w:t>Jones, K. (2022). </w:t>
      </w:r>
      <w:r>
        <w:rPr>
          <w:rFonts w:cs="Times New Roman"/>
          <w:i/>
          <w:iCs/>
          <w:szCs w:val="24"/>
        </w:rPr>
        <w:t>Store brands in hard discounters: the psychological processes underpinning consumer evaluation</w:t>
      </w:r>
      <w:r>
        <w:rPr>
          <w:rFonts w:cs="Times New Roman"/>
          <w:szCs w:val="24"/>
        </w:rPr>
        <w:t xml:space="preserve"> (Doctoral dissertation, Kingston University). </w:t>
      </w:r>
      <w:r>
        <w:rPr/>
        <w:fldChar w:fldCharType="begin"/>
      </w:r>
      <w:r>
        <w:instrText xml:space="preserve"> HYPERLINK "https://researchke.kingston.ac.uk/ws/portalfiles/portal/47301634/Jones-K-M.pdf" </w:instrText>
      </w:r>
      <w:r>
        <w:rPr/>
        <w:fldChar w:fldCharType="separate"/>
      </w:r>
      <w:r>
        <w:rPr>
          <w:rStyle w:val="style85"/>
          <w:rFonts w:cs="Times New Roman"/>
          <w:szCs w:val="24"/>
        </w:rPr>
        <w:t>https://researchke.kingston.ac.uk/ws/portalfiles/portal/47301634/Jones-K-M.pdf</w:t>
      </w:r>
      <w:r>
        <w:rPr/>
        <w:fldChar w:fldCharType="end"/>
      </w:r>
    </w:p>
    <w:p w14:paraId="581B001B">
      <w:pPr>
        <w:pStyle w:val="style0"/>
        <w:rPr>
          <w:rFonts w:cs="Times New Roman"/>
          <w:szCs w:val="24"/>
        </w:rPr>
      </w:pPr>
      <w:r>
        <w:rPr>
          <w:rFonts w:cs="Times New Roman"/>
          <w:szCs w:val="24"/>
        </w:rPr>
        <w:t>Jones, P. (2025). Sustainability and the UK's leading clothing retailers. </w:t>
      </w:r>
      <w:r>
        <w:rPr>
          <w:rFonts w:cs="Times New Roman"/>
          <w:i/>
          <w:iCs/>
          <w:szCs w:val="24"/>
        </w:rPr>
        <w:t>Athens</w:t>
      </w:r>
      <w:r>
        <w:rPr>
          <w:rFonts w:cs="Times New Roman"/>
          <w:i/>
          <w:iCs/>
          <w:szCs w:val="24"/>
        </w:rPr>
        <w:t xml:space="preserve"> journal of business &amp; economics</w:t>
      </w:r>
      <w:r>
        <w:rPr>
          <w:rFonts w:cs="Times New Roman"/>
          <w:szCs w:val="24"/>
        </w:rPr>
        <w:t>, </w:t>
      </w:r>
      <w:r>
        <w:rPr>
          <w:rFonts w:cs="Times New Roman"/>
          <w:i/>
          <w:iCs/>
          <w:szCs w:val="24"/>
        </w:rPr>
        <w:t>11</w:t>
      </w:r>
      <w:r>
        <w:rPr>
          <w:rFonts w:cs="Times New Roman"/>
          <w:szCs w:val="24"/>
        </w:rPr>
        <w:t xml:space="preserve">(1), 9-24. </w:t>
      </w:r>
      <w:r>
        <w:rPr/>
        <w:fldChar w:fldCharType="begin"/>
      </w:r>
      <w:r>
        <w:instrText xml:space="preserve"> HYPERLINK "https://savearchive.zbw.eu/bitstream/11159/710484/1/1933392959_0.pdf" </w:instrText>
      </w:r>
      <w:r>
        <w:rPr/>
        <w:fldChar w:fldCharType="separate"/>
      </w:r>
      <w:r>
        <w:rPr>
          <w:rStyle w:val="style85"/>
          <w:rFonts w:cs="Times New Roman"/>
          <w:szCs w:val="24"/>
        </w:rPr>
        <w:t>https://savearchive.zbw.eu/bitstream/11159/710484/1/1933392959_0.pdf</w:t>
      </w:r>
      <w:r>
        <w:rPr/>
        <w:fldChar w:fldCharType="end"/>
      </w:r>
    </w:p>
    <w:p w14:paraId="1EE000A0">
      <w:pPr>
        <w:pStyle w:val="style0"/>
        <w:rPr>
          <w:rFonts w:cs="Times New Roman"/>
          <w:szCs w:val="24"/>
        </w:rPr>
      </w:pPr>
      <w:r>
        <w:rPr>
          <w:rFonts w:cs="Times New Roman"/>
          <w:color w:val="222222"/>
          <w:szCs w:val="24"/>
        </w:rPr>
        <w:t>Kalyvaki</w:t>
      </w:r>
      <w:r>
        <w:rPr>
          <w:rFonts w:cs="Times New Roman"/>
          <w:color w:val="222222"/>
          <w:szCs w:val="24"/>
        </w:rPr>
        <w:t xml:space="preserve">, M., (2023). Grocery e-commerce transformation. In </w:t>
      </w:r>
      <w:r>
        <w:rPr>
          <w:rFonts w:cs="Times New Roman"/>
          <w:i/>
          <w:iCs/>
          <w:color w:val="222222"/>
          <w:szCs w:val="24"/>
        </w:rPr>
        <w:t xml:space="preserve">Influences of </w:t>
      </w:r>
      <w:r>
        <w:rPr>
          <w:rFonts w:cs="Times New Roman"/>
          <w:i/>
          <w:iCs/>
          <w:color w:val="222222"/>
          <w:szCs w:val="24"/>
        </w:rPr>
        <w:t>Social Media</w:t>
      </w:r>
      <w:r>
        <w:rPr>
          <w:rFonts w:cs="Times New Roman"/>
          <w:i/>
          <w:iCs/>
          <w:color w:val="222222"/>
          <w:szCs w:val="24"/>
        </w:rPr>
        <w:t xml:space="preserve"> on Consumer Decision-Making Processes in the Food and Grocery Industry</w:t>
      </w:r>
      <w:r>
        <w:rPr>
          <w:rFonts w:cs="Times New Roman"/>
          <w:color w:val="222222"/>
          <w:szCs w:val="24"/>
        </w:rPr>
        <w:t xml:space="preserve"> (pp. 173-195). IGI Global Scientific Publishing.</w:t>
      </w:r>
      <w:r>
        <w:rPr>
          <w:rFonts w:cs="Times New Roman"/>
          <w:szCs w:val="24"/>
        </w:rPr>
        <w:t xml:space="preserve"> </w:t>
      </w:r>
      <w:r>
        <w:rPr/>
        <w:fldChar w:fldCharType="begin"/>
      </w:r>
      <w:r>
        <w:instrText xml:space="preserve"> HYPERLINK "https://www.igi-global.com/chapter/grocery-e-commerce-transformation/328378" </w:instrText>
      </w:r>
      <w:r>
        <w:rPr/>
        <w:fldChar w:fldCharType="separate"/>
      </w:r>
      <w:r>
        <w:rPr>
          <w:rFonts w:cs="Times New Roman"/>
          <w:color w:val="1155cc"/>
          <w:szCs w:val="24"/>
          <w:u w:val="single"/>
        </w:rPr>
        <w:t>https://www.igi-global.com/chapter/grocery-e-commerce-transformation/328378</w:t>
      </w:r>
      <w:r>
        <w:rPr/>
        <w:fldChar w:fldCharType="end"/>
      </w:r>
      <w:r>
        <w:rPr>
          <w:rFonts w:cs="Times New Roman"/>
          <w:szCs w:val="24"/>
        </w:rPr>
        <w:t xml:space="preserve"> </w:t>
      </w:r>
    </w:p>
    <w:p w14:paraId="1284B46C">
      <w:pPr>
        <w:pStyle w:val="style0"/>
        <w:rPr>
          <w:rFonts w:cs="Times New Roman"/>
          <w:szCs w:val="24"/>
        </w:rPr>
      </w:pPr>
      <w:r>
        <w:rPr>
          <w:rFonts w:cs="Times New Roman"/>
          <w:szCs w:val="24"/>
        </w:rPr>
        <w:t xml:space="preserve">Kantar Worldpanel. (2024). Percentage change in sales at Asda in Great Britain compared to a year earlier from September 2014 to March 2024. Statista. Statista </w:t>
      </w:r>
      <w:r>
        <w:rPr>
          <w:rFonts w:cs="Times New Roman"/>
          <w:szCs w:val="24"/>
        </w:rPr>
        <w:t>Inc..</w:t>
      </w:r>
      <w:r>
        <w:rPr>
          <w:rFonts w:cs="Times New Roman"/>
          <w:szCs w:val="24"/>
        </w:rPr>
        <w:t xml:space="preserve"> Accessed: August 03, 2026. </w:t>
      </w:r>
      <w:r>
        <w:rPr/>
        <w:fldChar w:fldCharType="begin"/>
      </w:r>
      <w:r>
        <w:instrText xml:space="preserve"> HYPERLINK "https://www.statista.com/statistics/386700/asda-sales-percentage-change-great-britain-uk/?srsltid=AfmBOoqEkXhBRDgT0hKgJJXAY8c1IzjC9PI4zEpO32mEWCZABNoitIrJ" </w:instrText>
      </w:r>
      <w:r>
        <w:rPr/>
        <w:fldChar w:fldCharType="separate"/>
      </w:r>
      <w:r>
        <w:rPr>
          <w:rFonts w:cs="Times New Roman"/>
          <w:color w:val="1155cc"/>
          <w:szCs w:val="24"/>
          <w:u w:val="single"/>
        </w:rPr>
        <w:t>https://www.statista.com/statistics/386700/asda-sales-percentage-change-great-britain-uk/?srsltid=AfmBOoqEkXhBRDgT0hKgJJXAY8c1IzjC9PI4zEpO32mEWCZABNoitIrJ</w:t>
      </w:r>
      <w:r>
        <w:rPr/>
        <w:fldChar w:fldCharType="end"/>
      </w:r>
      <w:r>
        <w:rPr>
          <w:rFonts w:cs="Times New Roman"/>
          <w:szCs w:val="24"/>
        </w:rPr>
        <w:t xml:space="preserve"> </w:t>
      </w:r>
    </w:p>
    <w:p w14:paraId="080A52DA">
      <w:pPr>
        <w:pStyle w:val="style0"/>
        <w:rPr>
          <w:rFonts w:cs="Times New Roman"/>
          <w:szCs w:val="24"/>
        </w:rPr>
      </w:pPr>
      <w:r>
        <w:rPr>
          <w:rFonts w:cs="Times New Roman"/>
          <w:color w:val="222222"/>
          <w:szCs w:val="24"/>
        </w:rPr>
        <w:t xml:space="preserve">Lan, H., Lloyd, T.A., McCorriston, S. and Morgan, C.W., (2022). Retailer heterogeneity and price transmission. </w:t>
      </w:r>
      <w:r>
        <w:rPr>
          <w:rFonts w:cs="Times New Roman"/>
          <w:i/>
          <w:iCs/>
          <w:color w:val="222222"/>
          <w:szCs w:val="24"/>
        </w:rPr>
        <w:t>American Journal of Agricultural Economics</w:t>
      </w:r>
      <w:r>
        <w:rPr>
          <w:rFonts w:cs="Times New Roman"/>
          <w:color w:val="222222"/>
          <w:szCs w:val="24"/>
        </w:rPr>
        <w:t xml:space="preserve">, </w:t>
      </w:r>
      <w:r>
        <w:rPr>
          <w:rFonts w:cs="Times New Roman"/>
          <w:i/>
          <w:iCs/>
          <w:color w:val="222222"/>
          <w:szCs w:val="24"/>
        </w:rPr>
        <w:t>104</w:t>
      </w:r>
      <w:r>
        <w:rPr>
          <w:rFonts w:cs="Times New Roman"/>
          <w:color w:val="222222"/>
          <w:szCs w:val="24"/>
        </w:rPr>
        <w:t>(5), pp.1679-1700.</w:t>
      </w:r>
      <w:r>
        <w:rPr>
          <w:rFonts w:cs="Times New Roman"/>
          <w:szCs w:val="24"/>
        </w:rPr>
        <w:t xml:space="preserve"> </w:t>
      </w:r>
      <w:r>
        <w:rPr/>
        <w:fldChar w:fldCharType="begin"/>
      </w:r>
      <w:r>
        <w:instrText xml:space="preserve"> HYPERLINK "https://eprints.whiterose.ac.uk/id/eprint/181583/1/WM02%202027.pdf" </w:instrText>
      </w:r>
      <w:r>
        <w:rPr/>
        <w:fldChar w:fldCharType="separate"/>
      </w:r>
      <w:r>
        <w:rPr>
          <w:rFonts w:cs="Times New Roman"/>
          <w:color w:val="1155cc"/>
          <w:szCs w:val="24"/>
          <w:u w:val="single"/>
        </w:rPr>
        <w:t>https://eprints.whiterose.ac.uk/id/eprint/181583/1/WM02%202027.pdf</w:t>
      </w:r>
      <w:r>
        <w:rPr/>
        <w:fldChar w:fldCharType="end"/>
      </w:r>
      <w:r>
        <w:rPr>
          <w:rFonts w:cs="Times New Roman"/>
          <w:szCs w:val="24"/>
        </w:rPr>
        <w:t xml:space="preserve"> </w:t>
      </w:r>
    </w:p>
    <w:p w14:paraId="0F1930D7">
      <w:pPr>
        <w:pStyle w:val="style0"/>
        <w:rPr/>
      </w:pPr>
      <w:r>
        <w:t>Latterly. (</w:t>
      </w:r>
      <w:r>
        <w:t>2025</w:t>
      </w:r>
      <w:r>
        <w:t xml:space="preserve">). </w:t>
      </w:r>
      <w:r>
        <w:rPr>
          <w:i/>
          <w:iCs/>
        </w:rPr>
        <w:t>ASDA marketing strategy: Driving rollback savings and community trust</w:t>
      </w:r>
      <w:r>
        <w:t xml:space="preserve">. </w:t>
      </w:r>
      <w:r>
        <w:rPr/>
        <w:fldChar w:fldCharType="begin"/>
      </w:r>
      <w:r>
        <w:instrText xml:space="preserve"> HYPERLINK "https://www.latterly.org/asda-marketing-strategy/" \t "_blank" </w:instrText>
      </w:r>
      <w:r>
        <w:rPr/>
        <w:fldChar w:fldCharType="separate"/>
      </w:r>
      <w:r>
        <w:rPr>
          <w:rStyle w:val="style85"/>
        </w:rPr>
        <w:t>https://www.latterly.org/asda-marketing-strategy/</w:t>
      </w:r>
      <w:r>
        <w:rPr/>
        <w:fldChar w:fldCharType="end"/>
      </w:r>
    </w:p>
    <w:p w14:paraId="5473720F">
      <w:pPr>
        <w:pStyle w:val="style0"/>
        <w:rPr>
          <w:rFonts w:cs="Times New Roman"/>
          <w:szCs w:val="24"/>
        </w:rPr>
      </w:pPr>
      <w:r>
        <w:rPr>
          <w:rFonts w:cs="Times New Roman"/>
          <w:szCs w:val="24"/>
        </w:rPr>
        <w:t xml:space="preserve">Mahmoud, O. and Ross, B. (2021). </w:t>
      </w:r>
      <w:r>
        <w:rPr>
          <w:rFonts w:cs="Times New Roman"/>
          <w:i/>
          <w:iCs/>
          <w:szCs w:val="24"/>
        </w:rPr>
        <w:t>Change for Better: Quick Guide</w:t>
      </w:r>
      <w:r>
        <w:rPr>
          <w:rFonts w:cs="Times New Roman"/>
          <w:szCs w:val="24"/>
        </w:rPr>
        <w:t xml:space="preserve">. [pdf] Directory of Social Change. Available at: </w:t>
      </w:r>
      <w:r>
        <w:rPr/>
        <w:fldChar w:fldCharType="begin"/>
      </w:r>
      <w:r>
        <w:instrText xml:space="preserve"> HYPERLINK "https://www.dsc.org.uk/wp-content/uploads/2022/11/C4B-Book-2021-Quick-Guide-A4-V2.pdf" \t "_blank" </w:instrText>
      </w:r>
      <w:r>
        <w:rPr/>
        <w:fldChar w:fldCharType="separate"/>
      </w:r>
      <w:r>
        <w:rPr>
          <w:rStyle w:val="style85"/>
          <w:rFonts w:cs="Times New Roman"/>
          <w:szCs w:val="24"/>
        </w:rPr>
        <w:t>https://www.dsc.org.uk/wp-content/uploads/2022/11/C4B-Book-2021-Quick-Guide-A4-V2.pdf</w:t>
      </w:r>
      <w:r>
        <w:rPr/>
        <w:fldChar w:fldCharType="end"/>
      </w:r>
      <w:r>
        <w:rPr>
          <w:rFonts w:cs="Times New Roman"/>
          <w:szCs w:val="24"/>
        </w:rPr>
        <w:t xml:space="preserve"> </w:t>
      </w:r>
    </w:p>
    <w:p w14:paraId="6BEB8E00">
      <w:pPr>
        <w:pStyle w:val="style0"/>
        <w:rPr/>
      </w:pPr>
      <w:r>
        <w:t>Mendonça, L. B. (2025). </w:t>
      </w:r>
      <w:r>
        <w:rPr>
          <w:i/>
          <w:iCs/>
        </w:rPr>
        <w:t>The Impact of Green Human Resource Management Practices on Environmental and Economic Performance in the UK Retail Sector: The Human Resource Perspective</w:t>
      </w:r>
      <w:r>
        <w:t> (Doctoral dissertation, Dublin, National College of Ireland).</w:t>
      </w:r>
      <w:r>
        <w:t xml:space="preserve"> </w:t>
      </w:r>
      <w:r>
        <w:rPr/>
        <w:fldChar w:fldCharType="begin"/>
      </w:r>
      <w:r>
        <w:instrText xml:space="preserve"> HYPERLINK "https://norma.ncirl.ie/7706/1/lisabrendamendonca.pdf" </w:instrText>
      </w:r>
      <w:r>
        <w:rPr/>
        <w:fldChar w:fldCharType="separate"/>
      </w:r>
      <w:r>
        <w:rPr>
          <w:rStyle w:val="style85"/>
        </w:rPr>
        <w:t>https://norma.ncirl.ie/7706/1/lisabrendamendonca.pdf</w:t>
      </w:r>
      <w:r>
        <w:rPr/>
        <w:fldChar w:fldCharType="end"/>
      </w:r>
    </w:p>
    <w:p w14:paraId="46B38D10">
      <w:pPr>
        <w:pStyle w:val="style0"/>
        <w:rPr/>
      </w:pPr>
      <w:r>
        <w:t>Modugula</w:t>
      </w:r>
      <w:r>
        <w:t xml:space="preserve">, D. (2026, May 7). </w:t>
      </w:r>
      <w:r>
        <w:rPr>
          <w:i/>
          <w:iCs/>
        </w:rPr>
        <w:t>Talent development guide: Strategy, framework &amp; examples for a future-ready workforce</w:t>
      </w:r>
      <w:r>
        <w:t xml:space="preserve">. Phenom. </w:t>
      </w:r>
      <w:r>
        <w:rPr/>
        <w:fldChar w:fldCharType="begin"/>
      </w:r>
      <w:r>
        <w:instrText xml:space="preserve"> HYPERLINK "https://www.phenom.com/blog/talent-development-guide" \t "_blank" </w:instrText>
      </w:r>
      <w:r>
        <w:rPr/>
        <w:fldChar w:fldCharType="separate"/>
      </w:r>
      <w:r>
        <w:rPr>
          <w:rStyle w:val="style85"/>
        </w:rPr>
        <w:t>https://www.phenom.com/blog/talent-development-guide</w:t>
      </w:r>
      <w:r>
        <w:rPr/>
        <w:fldChar w:fldCharType="end"/>
      </w:r>
    </w:p>
    <w:p w14:paraId="71376A6A">
      <w:pPr>
        <w:pStyle w:val="style0"/>
        <w:rPr>
          <w:rFonts w:cs="Times New Roman"/>
          <w:szCs w:val="24"/>
        </w:rPr>
      </w:pPr>
      <w:r>
        <w:rPr>
          <w:rFonts w:cs="Times New Roman"/>
          <w:szCs w:val="24"/>
        </w:rPr>
        <w:t xml:space="preserve">Mohamed, A. (2024). Using Instagram as a digital marketing tool to improve online presence: a case study on ASDA RY. </w:t>
      </w:r>
      <w:r>
        <w:rPr/>
        <w:fldChar w:fldCharType="begin"/>
      </w:r>
      <w:r>
        <w:instrText xml:space="preserve"> HYPERLINK "https://www.theseus.fi/bitstream/handle/10024/862840/Mohamed_Aliya..pdf?sequence=2" </w:instrText>
      </w:r>
      <w:r>
        <w:rPr/>
        <w:fldChar w:fldCharType="separate"/>
      </w:r>
      <w:r>
        <w:rPr>
          <w:rStyle w:val="style85"/>
          <w:rFonts w:cs="Times New Roman"/>
          <w:szCs w:val="24"/>
        </w:rPr>
        <w:t>https://www.theseus.fi/bitstream/handle/10024/862840/Mohamed_Aliya..pdf?sequence=2</w:t>
      </w:r>
      <w:r>
        <w:rPr/>
        <w:fldChar w:fldCharType="end"/>
      </w:r>
    </w:p>
    <w:p w14:paraId="75FA48E9">
      <w:pPr>
        <w:pStyle w:val="style0"/>
        <w:rPr/>
      </w:pPr>
      <w:r>
        <w:t>Odicci. (</w:t>
      </w:r>
      <w:r>
        <w:t>2024</w:t>
      </w:r>
      <w:r>
        <w:t xml:space="preserve">). </w:t>
      </w:r>
      <w:r>
        <w:rPr>
          <w:i/>
          <w:iCs/>
        </w:rPr>
        <w:t>Asda case study</w:t>
      </w:r>
      <w:r>
        <w:t xml:space="preserve">. </w:t>
      </w:r>
      <w:r>
        <w:rPr/>
        <w:fldChar w:fldCharType="begin"/>
      </w:r>
      <w:r>
        <w:instrText xml:space="preserve"> HYPERLINK "https://odicci.com/customer-success-stories/asda-case-study/" \t "_blank" </w:instrText>
      </w:r>
      <w:r>
        <w:rPr/>
        <w:fldChar w:fldCharType="separate"/>
      </w:r>
      <w:r>
        <w:rPr>
          <w:rStyle w:val="style85"/>
        </w:rPr>
        <w:t>https://odicci.com/customer-success-stories/asda-case-study/</w:t>
      </w:r>
      <w:r>
        <w:rPr/>
        <w:fldChar w:fldCharType="end"/>
      </w:r>
    </w:p>
    <w:p w14:paraId="1DCBFBC5">
      <w:pPr>
        <w:pStyle w:val="style0"/>
        <w:rPr>
          <w:rFonts w:cs="Times New Roman"/>
          <w:szCs w:val="24"/>
        </w:rPr>
      </w:pPr>
      <w:r>
        <w:rPr>
          <w:rFonts w:cs="Times New Roman"/>
          <w:color w:val="222222"/>
          <w:szCs w:val="24"/>
        </w:rPr>
        <w:t>Ologunebi</w:t>
      </w:r>
      <w:r>
        <w:rPr>
          <w:rFonts w:cs="Times New Roman"/>
          <w:color w:val="222222"/>
          <w:szCs w:val="24"/>
        </w:rPr>
        <w:t xml:space="preserve">, J. and Taiwo, E.O., (2023). Digital Marketing Strategies, plan and implementations: A case study of Jumia Group and ASDA Uk. </w:t>
      </w:r>
      <w:r>
        <w:rPr>
          <w:rFonts w:cs="Times New Roman"/>
          <w:i/>
          <w:iCs/>
          <w:color w:val="222222"/>
          <w:szCs w:val="24"/>
        </w:rPr>
        <w:t xml:space="preserve">Plan and Implementations: </w:t>
      </w:r>
      <w:r>
        <w:rPr>
          <w:rFonts w:cs="Times New Roman"/>
          <w:i/>
          <w:iCs/>
          <w:color w:val="222222"/>
          <w:szCs w:val="24"/>
        </w:rPr>
        <w:t>a</w:t>
      </w:r>
      <w:r>
        <w:rPr>
          <w:rFonts w:cs="Times New Roman"/>
          <w:i/>
          <w:iCs/>
          <w:color w:val="222222"/>
          <w:szCs w:val="24"/>
        </w:rPr>
        <w:t xml:space="preserve"> Case Study of Jumia Group and ASDA UK (October 6, 2023)</w:t>
      </w:r>
      <w:r>
        <w:rPr>
          <w:rFonts w:cs="Times New Roman"/>
          <w:color w:val="222222"/>
          <w:szCs w:val="24"/>
        </w:rPr>
        <w:t>.</w:t>
      </w:r>
      <w:r>
        <w:rPr>
          <w:rFonts w:cs="Times New Roman"/>
          <w:szCs w:val="24"/>
        </w:rPr>
        <w:t xml:space="preserve"> </w:t>
      </w:r>
      <w:r>
        <w:rPr/>
        <w:fldChar w:fldCharType="begin"/>
      </w:r>
      <w:r>
        <w:instrText xml:space="preserve"> HYPERLINK "https://papers.ssrn.com/sol3/Delivery.cfm?abstractid=4594774" </w:instrText>
      </w:r>
      <w:r>
        <w:rPr/>
        <w:fldChar w:fldCharType="separate"/>
      </w:r>
      <w:r>
        <w:rPr>
          <w:rFonts w:cs="Times New Roman"/>
          <w:color w:val="1155cc"/>
          <w:szCs w:val="24"/>
          <w:u w:val="single"/>
        </w:rPr>
        <w:t>https://papers.ssrn.com/sol3/Delivery.cfm?abstractid=4594774</w:t>
      </w:r>
      <w:r>
        <w:rPr/>
        <w:fldChar w:fldCharType="end"/>
      </w:r>
      <w:r>
        <w:rPr>
          <w:rFonts w:cs="Times New Roman"/>
          <w:szCs w:val="24"/>
        </w:rPr>
        <w:t xml:space="preserve"> </w:t>
      </w:r>
    </w:p>
    <w:p w14:paraId="3586886A">
      <w:pPr>
        <w:pStyle w:val="style0"/>
        <w:rPr>
          <w:rFonts w:cs="Times New Roman"/>
          <w:szCs w:val="24"/>
        </w:rPr>
      </w:pPr>
      <w:r>
        <w:rPr>
          <w:rFonts w:cs="Times New Roman"/>
          <w:szCs w:val="24"/>
        </w:rPr>
        <w:t>Omarini</w:t>
      </w:r>
      <w:r>
        <w:rPr>
          <w:rFonts w:cs="Times New Roman"/>
          <w:szCs w:val="24"/>
        </w:rPr>
        <w:t>, A. (2022). Retail banks’ challenges and opportunities from vision and strategy to managing people, processes and capital. </w:t>
      </w:r>
      <w:r>
        <w:rPr>
          <w:rFonts w:cs="Times New Roman"/>
          <w:i/>
          <w:iCs/>
          <w:szCs w:val="24"/>
        </w:rPr>
        <w:t>Current aspects in business, economics and finance</w:t>
      </w:r>
      <w:r>
        <w:rPr>
          <w:rFonts w:cs="Times New Roman"/>
          <w:szCs w:val="24"/>
        </w:rPr>
        <w:t>, </w:t>
      </w:r>
      <w:r>
        <w:rPr>
          <w:rFonts w:cs="Times New Roman"/>
          <w:i/>
          <w:iCs/>
          <w:szCs w:val="24"/>
        </w:rPr>
        <w:t>3</w:t>
      </w:r>
      <w:r>
        <w:rPr>
          <w:rFonts w:cs="Times New Roman"/>
          <w:szCs w:val="24"/>
        </w:rPr>
        <w:t xml:space="preserve">, 74-103. </w:t>
      </w:r>
      <w:r>
        <w:rPr/>
        <w:fldChar w:fldCharType="begin"/>
      </w:r>
      <w:r>
        <w:instrText xml:space="preserve"> HYPERLINK </w:instrText>
      </w:r>
      <w:r>
        <w:rPr/>
        <w:fldChar w:fldCharType="separate"/>
      </w:r>
      <w:r>
        <w:rPr>
          <w:rStyle w:val="style85"/>
          <w:rFonts w:cs="Times New Roman"/>
          <w:szCs w:val="24"/>
        </w:rPr>
        <w:t>https://www.researchgate.net/profile/Anna-Omarini/publication/362620701_Retail_Banks'_Challenges_and_Opportunities_from_Vision_and_Strategy_to_Managing_People_Processes_and_Capital/links/62f4cb8179550d6d1c729719/Retail-Banks-Challenges-and-Opportunities-from-Vision-and-Strategy-to-Managing-People-Processes-and-Capital.pdf</w:t>
      </w:r>
      <w:r>
        <w:rPr/>
        <w:fldChar w:fldCharType="end"/>
      </w:r>
    </w:p>
    <w:p w14:paraId="052C07CE">
      <w:pPr>
        <w:pStyle w:val="style0"/>
        <w:rPr/>
      </w:pPr>
      <w:r>
        <w:t>Rumapea</w:t>
      </w:r>
      <w:r>
        <w:t xml:space="preserve">, T., </w:t>
      </w:r>
      <w:r>
        <w:t>and</w:t>
      </w:r>
      <w:r>
        <w:t xml:space="preserve"> Gerarldo, A. (2024). Strategic approaches to international market penetration for local products. </w:t>
      </w:r>
      <w:r>
        <w:rPr>
          <w:i/>
          <w:iCs/>
        </w:rPr>
        <w:t>Journal on Economics, Management and Business Technology</w:t>
      </w:r>
      <w:r>
        <w:t>, </w:t>
      </w:r>
      <w:r>
        <w:rPr>
          <w:i/>
          <w:iCs/>
        </w:rPr>
        <w:t>2</w:t>
      </w:r>
      <w:r>
        <w:t>(2), 102-111.</w:t>
      </w:r>
      <w:r>
        <w:t xml:space="preserve"> </w:t>
      </w:r>
      <w:r>
        <w:rPr/>
        <w:fldChar w:fldCharType="begin"/>
      </w:r>
      <w:r>
        <w:instrText xml:space="preserve"> HYPERLINK "https://www.plus62.isha.or.id/index.php/JEMBUT/article/download/211/161" </w:instrText>
      </w:r>
      <w:r>
        <w:rPr/>
        <w:fldChar w:fldCharType="separate"/>
      </w:r>
      <w:r>
        <w:rPr>
          <w:rStyle w:val="style85"/>
        </w:rPr>
        <w:t>https://www.plus62.isha.or.id/index.php/JEMBUT/article/download/211/161</w:t>
      </w:r>
      <w:r>
        <w:rPr/>
        <w:fldChar w:fldCharType="end"/>
      </w:r>
    </w:p>
    <w:p w14:paraId="05340D48">
      <w:pPr>
        <w:pStyle w:val="style0"/>
        <w:rPr>
          <w:rFonts w:cs="Times New Roman"/>
          <w:szCs w:val="24"/>
        </w:rPr>
      </w:pPr>
      <w:r>
        <w:rPr>
          <w:rFonts w:cs="Times New Roman"/>
          <w:color w:val="222222"/>
          <w:szCs w:val="24"/>
        </w:rPr>
        <w:t xml:space="preserve">Solanki, S., Shah, S. and Hasan, S., (2024, November). The resilience of UK's food retail supply chains and business strategies. In </w:t>
      </w:r>
      <w:r>
        <w:rPr>
          <w:rFonts w:cs="Times New Roman"/>
          <w:i/>
          <w:iCs/>
          <w:color w:val="222222"/>
          <w:szCs w:val="24"/>
        </w:rPr>
        <w:t>2024 IEEE International Conference on Technology Management, Operations and Decisions (ICTMOD)</w:t>
      </w:r>
      <w:r>
        <w:rPr>
          <w:rFonts w:cs="Times New Roman"/>
          <w:color w:val="222222"/>
          <w:szCs w:val="24"/>
        </w:rPr>
        <w:t xml:space="preserve"> (pp. 1-5). IEEE.</w:t>
      </w:r>
      <w:r>
        <w:rPr>
          <w:rFonts w:cs="Times New Roman"/>
          <w:szCs w:val="24"/>
        </w:rPr>
        <w:t xml:space="preserve"> </w:t>
      </w:r>
      <w:r>
        <w:rPr/>
        <w:fldChar w:fldCharType="begin"/>
      </w:r>
      <w:r>
        <w:instrText xml:space="preserve"> HYPERLINK "https://ieeexplore.ieee.org/abstract/document/10878248/" </w:instrText>
      </w:r>
      <w:r>
        <w:rPr/>
        <w:fldChar w:fldCharType="separate"/>
      </w:r>
      <w:r>
        <w:rPr>
          <w:rFonts w:cs="Times New Roman"/>
          <w:color w:val="1155cc"/>
          <w:szCs w:val="24"/>
          <w:u w:val="single"/>
        </w:rPr>
        <w:t>https://ieeexplore.ieee.org/abstract/document/10878248/</w:t>
      </w:r>
      <w:r>
        <w:rPr/>
        <w:fldChar w:fldCharType="end"/>
      </w:r>
      <w:r>
        <w:rPr>
          <w:rFonts w:cs="Times New Roman"/>
          <w:szCs w:val="24"/>
        </w:rPr>
        <w:t xml:space="preserve"> </w:t>
      </w:r>
    </w:p>
    <w:p w14:paraId="38EE3369">
      <w:pPr>
        <w:pStyle w:val="style0"/>
        <w:rPr>
          <w:rFonts w:cs="Times New Roman"/>
          <w:szCs w:val="24"/>
        </w:rPr>
      </w:pPr>
      <w:r>
        <w:rPr>
          <w:rFonts w:cs="Times New Roman"/>
          <w:color w:val="222222"/>
          <w:szCs w:val="24"/>
        </w:rPr>
        <w:t xml:space="preserve">Srivastava, P.K., Sharma, A., Whig, V., Malaviya, S. and Kumar, N., (2025). Review Of Transforming Grocery Shopping with Artificial Intelligent: A New Era of Convenience. </w:t>
      </w:r>
      <w:r>
        <w:rPr>
          <w:rFonts w:cs="Times New Roman"/>
          <w:i/>
          <w:iCs/>
          <w:color w:val="222222"/>
          <w:szCs w:val="24"/>
        </w:rPr>
        <w:t>Advances in Consumer Research</w:t>
      </w:r>
      <w:r>
        <w:rPr>
          <w:rFonts w:cs="Times New Roman"/>
          <w:color w:val="222222"/>
          <w:szCs w:val="24"/>
        </w:rPr>
        <w:t xml:space="preserve">, </w:t>
      </w:r>
      <w:r>
        <w:rPr>
          <w:rFonts w:cs="Times New Roman"/>
          <w:i/>
          <w:iCs/>
          <w:color w:val="222222"/>
          <w:szCs w:val="24"/>
        </w:rPr>
        <w:t>2</w:t>
      </w:r>
      <w:r>
        <w:rPr>
          <w:rFonts w:cs="Times New Roman"/>
          <w:color w:val="222222"/>
          <w:szCs w:val="24"/>
        </w:rPr>
        <w:t>(2), pp.665-675.</w:t>
      </w:r>
      <w:r>
        <w:rPr>
          <w:rFonts w:cs="Times New Roman"/>
          <w:szCs w:val="24"/>
        </w:rPr>
        <w:t xml:space="preserve"> </w:t>
      </w:r>
      <w:r>
        <w:rPr/>
        <w:fldChar w:fldCharType="begin"/>
      </w:r>
      <w:r>
        <w:instrText xml:space="preserve"> HYPERLINK "https://www.researchgate.net/profile/Nitin-Agarwal-31/publication/390741418_Review_Of_Transforming_Grocery_Shopping_with_Artificial_Intelligent_A_New_Era_of_Convenience/links/67fba6a4df0e3f544f410a75/Review-Of-Transforming-Grocery-Shopping-with-Artificial-Intelligent-A-New-Era-of-Convenience.pdf" </w:instrText>
      </w:r>
      <w:r>
        <w:rPr/>
        <w:fldChar w:fldCharType="separate"/>
      </w:r>
      <w:r>
        <w:rPr>
          <w:rFonts w:cs="Times New Roman"/>
          <w:color w:val="1155cc"/>
          <w:szCs w:val="24"/>
          <w:u w:val="single"/>
        </w:rPr>
        <w:t>https://www.researchgate.net/profile/Nitin-Agarwal-31/publication/390741418_Review_Of_Transforming_Grocery_Shopping_with_Artificial_Intelligent_A_New_Era_of_Convenience/links/67fba6a4df0e3f544f410a75/Review-Of-Transforming-Grocery-Shopping-with-Artificial-Intelligent-A-New-Era-of-Convenience.pdf</w:t>
      </w:r>
      <w:r>
        <w:rPr/>
        <w:fldChar w:fldCharType="end"/>
      </w:r>
      <w:r>
        <w:rPr>
          <w:rFonts w:cs="Times New Roman"/>
          <w:szCs w:val="24"/>
        </w:rPr>
        <w:t xml:space="preserve"> </w:t>
      </w:r>
    </w:p>
    <w:p w14:paraId="25371C16">
      <w:pPr>
        <w:pStyle w:val="style0"/>
        <w:rPr>
          <w:rFonts w:cs="Times New Roman"/>
        </w:rPr>
      </w:pPr>
      <w:r>
        <w:rPr>
          <w:rFonts w:cs="Times New Roman"/>
        </w:rPr>
        <w:t xml:space="preserve">The University of Edinburgh (2024). </w:t>
      </w:r>
      <w:r>
        <w:rPr>
          <w:rFonts w:cs="Times New Roman"/>
          <w:i/>
          <w:iCs/>
        </w:rPr>
        <w:t>Gibbs” Reflective Cycle</w:t>
      </w:r>
      <w:r>
        <w:rPr>
          <w:rFonts w:cs="Times New Roman"/>
        </w:rPr>
        <w:t xml:space="preserve">. [online] </w:t>
      </w:r>
      <w:r>
        <w:rPr>
          <w:rFonts w:cs="Times New Roman"/>
          <w:i/>
          <w:iCs/>
        </w:rPr>
        <w:t>The University of Edinburgh</w:t>
      </w:r>
      <w:r>
        <w:rPr>
          <w:rFonts w:cs="Times New Roman"/>
        </w:rPr>
        <w:t xml:space="preserve">. Available at: </w:t>
      </w:r>
      <w:r>
        <w:rPr/>
        <w:fldChar w:fldCharType="begin"/>
      </w:r>
      <w:r>
        <w:instrText xml:space="preserve"> HYPERLINK "https://reflection.ed.ac.uk/reflectors-toolkit/reflecting-on-experience/gibbs-reflective-cycle" </w:instrText>
      </w:r>
      <w:r>
        <w:rPr/>
        <w:fldChar w:fldCharType="separate"/>
      </w:r>
      <w:r>
        <w:rPr>
          <w:rStyle w:val="style85"/>
          <w:rFonts w:cs="Times New Roman" w:eastAsia="Calibri"/>
        </w:rPr>
        <w:t>https://reflection.ed.ac.uk/reflectors-toolkit/reflecting-on-experience/gibbs-reflective-cycle</w:t>
      </w:r>
      <w:r>
        <w:rPr/>
        <w:fldChar w:fldCharType="end"/>
      </w:r>
      <w:r>
        <w:rPr>
          <w:rFonts w:cs="Times New Roman"/>
        </w:rPr>
        <w:t xml:space="preserve"> [Accessed 7 Aug. 2026].</w:t>
      </w:r>
    </w:p>
    <w:p w14:paraId="2B05EA17">
      <w:pPr>
        <w:pStyle w:val="style0"/>
        <w:rPr/>
      </w:pPr>
      <w:r>
        <w:rPr>
          <w:rFonts w:cs="Times New Roman"/>
          <w:color w:val="222222"/>
          <w:szCs w:val="24"/>
        </w:rPr>
        <w:t xml:space="preserve">Wang, Y., (2023). A model predicting CRM resource effect on business performance through CRM capabilities. </w:t>
      </w:r>
      <w:r>
        <w:rPr>
          <w:rFonts w:cs="Times New Roman"/>
          <w:i/>
          <w:iCs/>
          <w:color w:val="222222"/>
          <w:szCs w:val="24"/>
        </w:rPr>
        <w:t>Wireless Communications and Mobile Computing</w:t>
      </w:r>
      <w:r>
        <w:rPr>
          <w:rFonts w:cs="Times New Roman"/>
          <w:color w:val="222222"/>
          <w:szCs w:val="24"/>
        </w:rPr>
        <w:t xml:space="preserve">, </w:t>
      </w:r>
      <w:r>
        <w:rPr>
          <w:rFonts w:cs="Times New Roman"/>
          <w:i/>
          <w:iCs/>
          <w:color w:val="222222"/>
          <w:szCs w:val="24"/>
        </w:rPr>
        <w:t>2023</w:t>
      </w:r>
      <w:r>
        <w:rPr>
          <w:rFonts w:cs="Times New Roman"/>
          <w:color w:val="222222"/>
          <w:szCs w:val="24"/>
        </w:rPr>
        <w:t>(1), p.9792999.</w:t>
      </w:r>
      <w:r>
        <w:rPr>
          <w:rFonts w:cs="Times New Roman"/>
          <w:szCs w:val="24"/>
        </w:rPr>
        <w:t xml:space="preserve"> </w:t>
      </w:r>
      <w:r>
        <w:rPr/>
        <w:fldChar w:fldCharType="begin"/>
      </w:r>
      <w:r>
        <w:instrText xml:space="preserve"> HYPERLINK "https://onlinelibrary.wiley.com/doi/pdf/10.1155/2023/9792999" </w:instrText>
      </w:r>
      <w:r>
        <w:rPr/>
        <w:fldChar w:fldCharType="separate"/>
      </w:r>
      <w:r>
        <w:rPr>
          <w:rFonts w:cs="Times New Roman"/>
          <w:color w:val="1155cc"/>
          <w:szCs w:val="24"/>
          <w:u w:val="single"/>
        </w:rPr>
        <w:t>https://onlinelibrary.wiley.com/doi/pdf/10.1155/2023/9792999</w:t>
      </w:r>
      <w:r>
        <w:rPr/>
        <w:fldChar w:fldCharType="end"/>
      </w:r>
      <w:bookmarkStart w:id="22" w:name="_Toc237004664"/>
      <w:r>
        <w:br w:type="page"/>
      </w:r>
    </w:p>
    <w:bookmarkStart w:id="23" w:name="_Toc237430345"/>
    <w:p w14:paraId="154F63A8">
      <w:pPr>
        <w:pStyle w:val="style1"/>
        <w:rPr/>
      </w:pPr>
      <w:r>
        <w:t>Bibliography</w:t>
      </w:r>
      <w:bookmarkEnd w:id="22"/>
      <w:bookmarkEnd w:id="23"/>
    </w:p>
    <w:p w14:paraId="21AEF029">
      <w:pPr>
        <w:pStyle w:val="style0"/>
        <w:rPr>
          <w:szCs w:val="24"/>
        </w:rPr>
      </w:pPr>
      <w:r>
        <w:rPr>
          <w:szCs w:val="24"/>
        </w:rPr>
        <w:t xml:space="preserve">Mukhanova, A. and </w:t>
      </w:r>
      <w:r>
        <w:rPr>
          <w:szCs w:val="24"/>
        </w:rPr>
        <w:t>Seitimova</w:t>
      </w:r>
      <w:r>
        <w:rPr>
          <w:szCs w:val="24"/>
        </w:rPr>
        <w:t xml:space="preserve">, A., </w:t>
      </w:r>
      <w:r>
        <w:rPr>
          <w:szCs w:val="24"/>
        </w:rPr>
        <w:t>(</w:t>
      </w:r>
      <w:r>
        <w:rPr>
          <w:szCs w:val="24"/>
        </w:rPr>
        <w:t>2025</w:t>
      </w:r>
      <w:r>
        <w:rPr>
          <w:szCs w:val="24"/>
        </w:rPr>
        <w:t>)</w:t>
      </w:r>
      <w:r>
        <w:rPr>
          <w:szCs w:val="24"/>
        </w:rPr>
        <w:t>. Reimagining Differentiation: A Reflective Inquiry Using Gibbs’ Model.</w:t>
      </w:r>
    </w:p>
    <w:p w14:paraId="4F401D59">
      <w:pPr>
        <w:pStyle w:val="style0"/>
        <w:rPr>
          <w:szCs w:val="24"/>
        </w:rPr>
      </w:pPr>
      <w:r>
        <w:rPr>
          <w:szCs w:val="24"/>
        </w:rPr>
        <w:t>Nurlatifah</w:t>
      </w:r>
      <w:r>
        <w:rPr>
          <w:szCs w:val="24"/>
        </w:rPr>
        <w:t xml:space="preserve">, L., </w:t>
      </w:r>
      <w:r>
        <w:rPr>
          <w:szCs w:val="24"/>
        </w:rPr>
        <w:t>Purnawarman</w:t>
      </w:r>
      <w:r>
        <w:rPr>
          <w:szCs w:val="24"/>
        </w:rPr>
        <w:t xml:space="preserve">, P., &amp; </w:t>
      </w:r>
      <w:r>
        <w:rPr>
          <w:szCs w:val="24"/>
        </w:rPr>
        <w:t>Sukyadi</w:t>
      </w:r>
      <w:r>
        <w:rPr>
          <w:szCs w:val="24"/>
        </w:rPr>
        <w:t xml:space="preserve">, D. (2023, December). The implementation of reflective assessment using Gibbs’ reflective cycle in assessing students’ writing skill. In </w:t>
      </w:r>
      <w:r>
        <w:rPr>
          <w:i/>
          <w:iCs/>
          <w:szCs w:val="24"/>
        </w:rPr>
        <w:t>AIP conference proceedings</w:t>
      </w:r>
      <w:r>
        <w:rPr>
          <w:szCs w:val="24"/>
        </w:rPr>
        <w:t xml:space="preserve"> (Vol. 2621, No. 1, p. 070006). AIP Publishing LLC. </w:t>
      </w:r>
    </w:p>
    <w:p w14:paraId="07316152">
      <w:pPr>
        <w:pStyle w:val="style0"/>
        <w:rPr>
          <w:szCs w:val="24"/>
        </w:rPr>
      </w:pPr>
      <w:r>
        <w:rPr>
          <w:szCs w:val="24"/>
        </w:rPr>
        <w:t xml:space="preserve">Praveena, K.S., </w:t>
      </w:r>
      <w:r>
        <w:rPr>
          <w:szCs w:val="24"/>
        </w:rPr>
        <w:t>Juslin</w:t>
      </w:r>
      <w:r>
        <w:rPr>
          <w:szCs w:val="24"/>
        </w:rPr>
        <w:t xml:space="preserve">, F., Patil, C.M. and Bhargavi, K., </w:t>
      </w:r>
      <w:r>
        <w:rPr>
          <w:szCs w:val="24"/>
        </w:rPr>
        <w:t>(</w:t>
      </w:r>
      <w:r>
        <w:rPr>
          <w:szCs w:val="24"/>
        </w:rPr>
        <w:t>2025</w:t>
      </w:r>
      <w:r>
        <w:rPr>
          <w:szCs w:val="24"/>
        </w:rPr>
        <w:t>)</w:t>
      </w:r>
      <w:r>
        <w:rPr>
          <w:szCs w:val="24"/>
        </w:rPr>
        <w:t xml:space="preserve">. Using </w:t>
      </w:r>
      <w:r>
        <w:rPr>
          <w:szCs w:val="24"/>
        </w:rPr>
        <w:t>gibb's</w:t>
      </w:r>
      <w:r>
        <w:rPr>
          <w:szCs w:val="24"/>
        </w:rPr>
        <w:t xml:space="preserve"> reflective model approach for enhancing project-based learning among students through reflective assessment. </w:t>
      </w:r>
      <w:r>
        <w:rPr>
          <w:i/>
          <w:iCs/>
          <w:szCs w:val="24"/>
        </w:rPr>
        <w:t>Journal of Engineering Education Transformations</w:t>
      </w:r>
      <w:r>
        <w:rPr>
          <w:szCs w:val="24"/>
        </w:rPr>
        <w:t>, pp.148-155.</w:t>
      </w:r>
    </w:p>
    <w:p w14:paraId="4ECB58A8">
      <w:pPr>
        <w:pStyle w:val="style0"/>
        <w:spacing w:lineRule="auto" w:line="259"/>
        <w:jc w:val="left"/>
        <w:rPr>
          <w:rFonts w:cs="宋体" w:eastAsia="宋体"/>
          <w:b/>
          <w:sz w:val="26"/>
          <w:szCs w:val="32"/>
        </w:rPr>
        <w:sectPr>
          <w:footerReference w:type="default" r:id="rId8"/>
          <w:pgSz w:w="11906" w:h="16838" w:orient="portrait"/>
          <w:pgMar w:top="1440" w:right="1440" w:bottom="1440" w:left="1440" w:header="709" w:footer="709" w:gutter="0"/>
          <w:cols w:space="708"/>
          <w:docGrid w:linePitch="360"/>
        </w:sectPr>
      </w:pPr>
    </w:p>
    <w:bookmarkStart w:id="24" w:name="_Toc237430346"/>
    <w:p w14:paraId="3A8AD04A">
      <w:pPr>
        <w:pStyle w:val="style1"/>
        <w:rPr/>
      </w:pPr>
      <w:r>
        <w:t>Appendix</w:t>
      </w:r>
      <w:bookmarkEnd w:id="24"/>
    </w:p>
    <w:p w14:paraId="6C9B94F6">
      <w:pPr>
        <w:pStyle w:val="style0"/>
        <w:rPr>
          <w:b/>
          <w:bCs/>
          <w:i/>
          <w:iCs/>
          <w:u w:val="single"/>
        </w:rPr>
      </w:pPr>
      <w:r>
        <w:rPr>
          <w:b/>
          <w:bCs/>
          <w:i/>
          <w:iCs/>
          <w:u w:val="single"/>
        </w:rPr>
        <w:t>VRIO Analysis</w:t>
      </w:r>
    </w:p>
    <w:p w14:paraId="0F2DA450">
      <w:pPr>
        <w:pStyle w:val="style0"/>
        <w:jc w:val="center"/>
        <w:rPr/>
      </w:pPr>
      <w:r>
        <w:rPr>
          <w:noProof/>
        </w:rPr>
        <w:drawing>
          <wp:inline distL="0" distT="0" distB="0" distR="0">
            <wp:extent cx="8845236" cy="2442092"/>
            <wp:effectExtent l="0" t="0" r="0" b="0"/>
            <wp:docPr id="103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9" cstate="print"/>
                    <a:srcRect l="0" t="0" r="0" b="0"/>
                    <a:stretch/>
                  </pic:blipFill>
                  <pic:spPr>
                    <a:xfrm rot="0">
                      <a:off x="0" y="0"/>
                      <a:ext cx="8845236" cy="2442092"/>
                    </a:xfrm>
                    <a:prstGeom prst="rect"/>
                    <a:ln>
                      <a:noFill/>
                    </a:ln>
                  </pic:spPr>
                </pic:pic>
              </a:graphicData>
            </a:graphic>
          </wp:inline>
        </w:drawing>
      </w:r>
    </w:p>
    <w:p w14:paraId="420A2FFB">
      <w:pPr>
        <w:pStyle w:val="style0"/>
        <w:spacing w:lineRule="auto" w:line="259"/>
        <w:jc w:val="left"/>
        <w:rPr/>
      </w:pPr>
      <w:r>
        <w:br w:type="page"/>
      </w:r>
    </w:p>
    <w:p w14:paraId="1BDF7DF6">
      <w:pPr>
        <w:pStyle w:val="style0"/>
        <w:rPr/>
        <w:sectPr>
          <w:pgSz w:w="16838" w:h="11906" w:orient="landscape"/>
          <w:pgMar w:top="1440" w:right="1440" w:bottom="1440" w:left="1440" w:header="709" w:footer="709" w:gutter="0"/>
          <w:cols w:space="708"/>
          <w:docGrid w:linePitch="360"/>
        </w:sectPr>
      </w:pPr>
    </w:p>
    <w:p w14:paraId="158B3D2E">
      <w:pPr>
        <w:pStyle w:val="style0"/>
        <w:rPr>
          <w:b/>
          <w:bCs/>
          <w:i/>
          <w:iCs/>
          <w:u w:val="single"/>
        </w:rPr>
      </w:pPr>
      <w:r>
        <w:rPr>
          <w:b/>
          <w:bCs/>
          <w:i/>
          <w:iCs/>
          <w:u w:val="single"/>
        </w:rPr>
        <w:t>SWOT Analysis Tables</w:t>
      </w:r>
    </w:p>
    <w:p w14:paraId="55BA8301">
      <w:pPr>
        <w:pStyle w:val="style0"/>
        <w:jc w:val="center"/>
        <w:rPr/>
      </w:pPr>
      <w:r>
        <w:rPr>
          <w:noProof/>
        </w:rPr>
        <w:drawing>
          <wp:inline distL="0" distT="0" distB="0" distR="0">
            <wp:extent cx="6273125" cy="4092167"/>
            <wp:effectExtent l="0" t="0" r="0" b="3810"/>
            <wp:docPr id="1033"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2"/>
                    <pic:cNvPicPr/>
                  </pic:nvPicPr>
                  <pic:blipFill>
                    <a:blip r:embed="rId10" cstate="print"/>
                    <a:srcRect l="0" t="0" r="0" b="0"/>
                    <a:stretch/>
                  </pic:blipFill>
                  <pic:spPr>
                    <a:xfrm rot="0">
                      <a:off x="0" y="0"/>
                      <a:ext cx="6273125" cy="4092167"/>
                    </a:xfrm>
                    <a:prstGeom prst="rect"/>
                    <a:ln>
                      <a:noFill/>
                    </a:ln>
                  </pic:spPr>
                </pic:pic>
              </a:graphicData>
            </a:graphic>
          </wp:inline>
        </w:drawing>
      </w:r>
    </w:p>
    <w:sectPr>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0030204"/>
    <w:charset w:val="00"/>
    <w:family w:val="swiss"/>
    <w:pitch w:val="variable"/>
    <w:sig w:usb0="E4002EFF" w:usb1="C200247B" w:usb2="00000009" w:usb3="00000000" w:csb0="000001FF" w:csb1="00000000"/>
  </w:font>
  <w:font w:name="Calibri Light">
    <w:altName w:val="Calibri Light"/>
    <w:panose1 w:val="020f0302020000030204"/>
    <w:charset w:val="00"/>
    <w:family w:val="swiss"/>
    <w:pitch w:val="variable"/>
    <w:sig w:usb0="E4002EFF" w:usb1="C2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Trebuchet MS">
    <w:altName w:val="Trebuchet MS"/>
    <w:panose1 w:val="020b0603020000020204"/>
    <w:charset w:val="00"/>
    <w:family w:val="swiss"/>
    <w:pitch w:val="variable"/>
    <w:sig w:usb0="00000687" w:usb1="00000000" w:usb2="00000000" w:usb3="00000000" w:csb0="000000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684065B">
    <w:pPr>
      <w:pStyle w:val="style32"/>
      <w:jc w:val="right"/>
      <w:rPr>
        <w:sz w:val="20"/>
        <w:szCs w:val="18"/>
      </w:rPr>
    </w:pPr>
    <w:r>
      <w:rPr>
        <w:sz w:val="20"/>
        <w:szCs w:val="18"/>
      </w:rPr>
      <w:fldChar w:fldCharType="begin"/>
    </w:r>
    <w:r>
      <w:rPr>
        <w:sz w:val="20"/>
        <w:szCs w:val="18"/>
      </w:rPr>
      <w:instrText xml:space="preserve"> PAGE   \* MERGEFORMAT </w:instrText>
    </w:r>
    <w:r>
      <w:rPr>
        <w:sz w:val="20"/>
        <w:szCs w:val="18"/>
      </w:rPr>
      <w:fldChar w:fldCharType="separate"/>
    </w:r>
    <w:r>
      <w:rPr>
        <w:noProof/>
        <w:sz w:val="20"/>
        <w:szCs w:val="18"/>
      </w:rPr>
      <w:t>2</w:t>
    </w:r>
    <w:r>
      <w:rPr>
        <w:noProof/>
        <w:sz w:val="20"/>
        <w:szCs w:val="18"/>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6DC8FCA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multilevel"/>
    <w:tmpl w:val="6DB092A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hybridMultilevel"/>
    <w:tmpl w:val="00000000"/>
    <w:lvl w:ilvl="0" w:tplc="610A1200">
      <w:start w:val="1"/>
      <w:numFmt w:val="decimal"/>
      <w:lvlText w:val="%1."/>
      <w:lvlJc w:val="left"/>
      <w:pPr>
        <w:ind w:left="720" w:hanging="360"/>
      </w:pPr>
      <w:rPr>
        <w:u w:val="none"/>
      </w:rPr>
    </w:lvl>
    <w:lvl w:ilvl="1" w:tplc="F4DE7E12">
      <w:start w:val="1"/>
      <w:numFmt w:val="lowerLetter"/>
      <w:lvlText w:val="%2."/>
      <w:lvlJc w:val="left"/>
      <w:pPr>
        <w:ind w:left="1440" w:hanging="360"/>
      </w:pPr>
      <w:rPr>
        <w:u w:val="none"/>
      </w:rPr>
    </w:lvl>
    <w:lvl w:ilvl="2" w:tplc="F9246222">
      <w:start w:val="1"/>
      <w:numFmt w:val="lowerRoman"/>
      <w:lvlText w:val="%3."/>
      <w:lvlJc w:val="right"/>
      <w:pPr>
        <w:ind w:left="2160" w:hanging="360"/>
      </w:pPr>
      <w:rPr>
        <w:u w:val="none"/>
      </w:rPr>
    </w:lvl>
    <w:lvl w:ilvl="3" w:tplc="42D0A984">
      <w:start w:val="1"/>
      <w:numFmt w:val="decimal"/>
      <w:lvlText w:val="%4."/>
      <w:lvlJc w:val="left"/>
      <w:pPr>
        <w:ind w:left="2880" w:hanging="360"/>
      </w:pPr>
      <w:rPr>
        <w:u w:val="none"/>
      </w:rPr>
    </w:lvl>
    <w:lvl w:ilvl="4" w:tplc="AFBE8C7C">
      <w:start w:val="1"/>
      <w:numFmt w:val="lowerLetter"/>
      <w:lvlText w:val="%5."/>
      <w:lvlJc w:val="left"/>
      <w:pPr>
        <w:ind w:left="3600" w:hanging="360"/>
      </w:pPr>
      <w:rPr>
        <w:u w:val="none"/>
      </w:rPr>
    </w:lvl>
    <w:lvl w:ilvl="5" w:tplc="0C6AA942">
      <w:start w:val="1"/>
      <w:numFmt w:val="lowerRoman"/>
      <w:lvlText w:val="%6."/>
      <w:lvlJc w:val="right"/>
      <w:pPr>
        <w:ind w:left="4320" w:hanging="360"/>
      </w:pPr>
      <w:rPr>
        <w:u w:val="none"/>
      </w:rPr>
    </w:lvl>
    <w:lvl w:ilvl="6" w:tplc="F8102994">
      <w:start w:val="1"/>
      <w:numFmt w:val="decimal"/>
      <w:lvlText w:val="%7."/>
      <w:lvlJc w:val="left"/>
      <w:pPr>
        <w:ind w:left="5040" w:hanging="360"/>
      </w:pPr>
      <w:rPr>
        <w:u w:val="none"/>
      </w:rPr>
    </w:lvl>
    <w:lvl w:ilvl="7" w:tplc="6B946892">
      <w:start w:val="1"/>
      <w:numFmt w:val="lowerLetter"/>
      <w:lvlText w:val="%8."/>
      <w:lvlJc w:val="left"/>
      <w:pPr>
        <w:ind w:left="5760" w:hanging="360"/>
      </w:pPr>
      <w:rPr>
        <w:u w:val="none"/>
      </w:rPr>
    </w:lvl>
    <w:lvl w:ilvl="8" w:tplc="38B4B330">
      <w:start w:val="1"/>
      <w:numFmt w:val="lowerRoman"/>
      <w:lvlText w:val="%9."/>
      <w:lvlJc w:val="right"/>
      <w:pPr>
        <w:ind w:left="6480" w:hanging="360"/>
      </w:pPr>
      <w:rPr>
        <w:u w:val="none"/>
      </w:rPr>
    </w:lvl>
  </w:abstractNum>
  <w:abstractNum w:abstractNumId="3">
    <w:nsid w:val="00000003"/>
    <w:multiLevelType w:val="multilevel"/>
    <w:tmpl w:val="869818C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multilevel"/>
    <w:tmpl w:val="D63E7FB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5">
    <w:nsid w:val="00000005"/>
    <w:multiLevelType w:val="hybridMultilevel"/>
    <w:tmpl w:val="00000000"/>
    <w:lvl w:ilvl="0" w:tplc="8E28FED8">
      <w:start w:val="1"/>
      <w:numFmt w:val="decimal"/>
      <w:lvlText w:val="%1."/>
      <w:lvlJc w:val="left"/>
      <w:pPr>
        <w:ind w:left="720" w:hanging="360"/>
      </w:pPr>
      <w:rPr>
        <w:u w:val="none"/>
      </w:rPr>
    </w:lvl>
    <w:lvl w:ilvl="1" w:tplc="3F9CBDE8">
      <w:start w:val="1"/>
      <w:numFmt w:val="lowerLetter"/>
      <w:lvlText w:val="%2."/>
      <w:lvlJc w:val="left"/>
      <w:pPr>
        <w:ind w:left="1440" w:hanging="360"/>
      </w:pPr>
      <w:rPr>
        <w:u w:val="none"/>
      </w:rPr>
    </w:lvl>
    <w:lvl w:ilvl="2" w:tplc="05CE322A">
      <w:start w:val="1"/>
      <w:numFmt w:val="lowerRoman"/>
      <w:lvlText w:val="%3."/>
      <w:lvlJc w:val="right"/>
      <w:pPr>
        <w:ind w:left="2160" w:hanging="360"/>
      </w:pPr>
      <w:rPr>
        <w:u w:val="none"/>
      </w:rPr>
    </w:lvl>
    <w:lvl w:ilvl="3" w:tplc="CCA8D1CA">
      <w:start w:val="1"/>
      <w:numFmt w:val="decimal"/>
      <w:lvlText w:val="%4."/>
      <w:lvlJc w:val="left"/>
      <w:pPr>
        <w:ind w:left="2880" w:hanging="360"/>
      </w:pPr>
      <w:rPr>
        <w:u w:val="none"/>
      </w:rPr>
    </w:lvl>
    <w:lvl w:ilvl="4" w:tplc="B736108E">
      <w:start w:val="1"/>
      <w:numFmt w:val="lowerLetter"/>
      <w:lvlText w:val="%5."/>
      <w:lvlJc w:val="left"/>
      <w:pPr>
        <w:ind w:left="3600" w:hanging="360"/>
      </w:pPr>
      <w:rPr>
        <w:u w:val="none"/>
      </w:rPr>
    </w:lvl>
    <w:lvl w:ilvl="5" w:tplc="6BC28A1C">
      <w:start w:val="1"/>
      <w:numFmt w:val="lowerRoman"/>
      <w:lvlText w:val="%6."/>
      <w:lvlJc w:val="right"/>
      <w:pPr>
        <w:ind w:left="4320" w:hanging="360"/>
      </w:pPr>
      <w:rPr>
        <w:u w:val="none"/>
      </w:rPr>
    </w:lvl>
    <w:lvl w:ilvl="6" w:tplc="DA14C2A0">
      <w:start w:val="1"/>
      <w:numFmt w:val="decimal"/>
      <w:lvlText w:val="%7."/>
      <w:lvlJc w:val="left"/>
      <w:pPr>
        <w:ind w:left="5040" w:hanging="360"/>
      </w:pPr>
      <w:rPr>
        <w:u w:val="none"/>
      </w:rPr>
    </w:lvl>
    <w:lvl w:ilvl="7" w:tplc="0B7CEC90">
      <w:start w:val="1"/>
      <w:numFmt w:val="lowerLetter"/>
      <w:lvlText w:val="%8."/>
      <w:lvlJc w:val="left"/>
      <w:pPr>
        <w:ind w:left="5760" w:hanging="360"/>
      </w:pPr>
      <w:rPr>
        <w:u w:val="none"/>
      </w:rPr>
    </w:lvl>
    <w:lvl w:ilvl="8" w:tplc="F392BFCA">
      <w:start w:val="1"/>
      <w:numFmt w:val="lowerRoman"/>
      <w:lvlText w:val="%9."/>
      <w:lvlJc w:val="right"/>
      <w:pPr>
        <w:ind w:left="6480" w:hanging="360"/>
      </w:pPr>
      <w:rPr>
        <w:u w:val="none"/>
      </w:rPr>
    </w:lvl>
  </w:abstractNum>
  <w:abstractNum w:abstractNumId="6">
    <w:nsid w:val="00000006"/>
    <w:multiLevelType w:val="hybridMultilevel"/>
    <w:tmpl w:val="9B56D64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00000007"/>
    <w:multiLevelType w:val="multilevel"/>
    <w:tmpl w:val="FD1249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2ECCAC5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73805B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AFFCE16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8"/>
  </w:num>
  <w:num w:numId="2">
    <w:abstractNumId w:val="0"/>
  </w:num>
  <w:num w:numId="3">
    <w:abstractNumId w:val="1"/>
  </w:num>
  <w:num w:numId="4">
    <w:abstractNumId w:val="4"/>
  </w:num>
  <w:num w:numId="5">
    <w:abstractNumId w:val="3"/>
  </w:num>
  <w:num w:numId="6">
    <w:abstractNumId w:val="10"/>
  </w:num>
  <w:num w:numId="7">
    <w:abstractNumId w:val="9"/>
  </w:num>
  <w:num w:numId="8">
    <w:abstractNumId w:val="7"/>
  </w:num>
  <w:num w:numId="9">
    <w:abstractNumId w:val="6"/>
  </w:num>
  <w:num w:numId="10">
    <w:abstractNumId w:val="2"/>
  </w:num>
  <w:num w:numId="11">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IN"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before="240" w:after="240" w:lineRule="auto" w:line="360"/>
      <w:jc w:val="both"/>
    </w:pPr>
    <w:rPr>
      <w:rFonts w:ascii="Times New Roman" w:hAnsi="Times New Roman"/>
      <w:sz w:val="24"/>
    </w:rPr>
  </w:style>
  <w:style w:type="paragraph" w:styleId="style1">
    <w:name w:val="heading 1"/>
    <w:basedOn w:val="style0"/>
    <w:next w:val="style0"/>
    <w:link w:val="style4097"/>
    <w:qFormat/>
    <w:uiPriority w:val="9"/>
    <w:pPr>
      <w:keepNext/>
      <w:keepLines/>
      <w:outlineLvl w:val="0"/>
    </w:pPr>
    <w:rPr>
      <w:rFonts w:cs="宋体" w:eastAsia="宋体"/>
      <w:b/>
      <w:sz w:val="28"/>
      <w:szCs w:val="40"/>
    </w:rPr>
  </w:style>
  <w:style w:type="paragraph" w:styleId="style2">
    <w:name w:val="heading 2"/>
    <w:basedOn w:val="style0"/>
    <w:next w:val="style0"/>
    <w:link w:val="style4098"/>
    <w:qFormat/>
    <w:uiPriority w:val="9"/>
    <w:pPr>
      <w:keepNext/>
      <w:keepLines/>
      <w:outlineLvl w:val="1"/>
    </w:pPr>
    <w:rPr>
      <w:rFonts w:cs="宋体" w:eastAsia="宋体"/>
      <w:b/>
      <w:sz w:val="26"/>
      <w:szCs w:val="32"/>
    </w:rPr>
  </w:style>
  <w:style w:type="paragraph" w:styleId="style3">
    <w:name w:val="heading 3"/>
    <w:basedOn w:val="style0"/>
    <w:next w:val="style0"/>
    <w:link w:val="style4099"/>
    <w:qFormat/>
    <w:uiPriority w:val="9"/>
    <w:pPr>
      <w:keepNext/>
      <w:keepLines/>
      <w:outlineLvl w:val="2"/>
    </w:pPr>
    <w:rPr>
      <w:rFonts w:cs="宋体" w:eastAsia="宋体"/>
      <w:b/>
      <w:i/>
      <w:szCs w:val="28"/>
    </w:rPr>
  </w:style>
  <w:style w:type="paragraph" w:styleId="style4">
    <w:name w:val="heading 4"/>
    <w:basedOn w:val="style0"/>
    <w:next w:val="style0"/>
    <w:link w:val="style4100"/>
    <w:qFormat/>
    <w:uiPriority w:val="9"/>
    <w:pPr>
      <w:keepNext/>
      <w:keepLines/>
      <w:outlineLvl w:val="3"/>
    </w:pPr>
    <w:rPr>
      <w:rFonts w:cs="宋体" w:eastAsia="宋体"/>
      <w:b/>
      <w:iCs/>
      <w:color w:val="000000"/>
    </w:rPr>
  </w:style>
  <w:style w:type="paragraph" w:styleId="style5">
    <w:name w:val="heading 5"/>
    <w:basedOn w:val="style0"/>
    <w:next w:val="style0"/>
    <w:link w:val="style4101"/>
    <w:qFormat/>
    <w:uiPriority w:val="9"/>
    <w:pPr>
      <w:keepNext/>
      <w:keepLines/>
      <w:spacing w:before="80" w:after="40"/>
      <w:outlineLvl w:val="4"/>
    </w:pPr>
    <w:rPr>
      <w:rFonts w:ascii="Calibri" w:cs="宋体" w:eastAsia="宋体" w:hAnsi="Calibri"/>
      <w:color w:val="2f5496"/>
    </w:rPr>
  </w:style>
  <w:style w:type="paragraph" w:styleId="style6">
    <w:name w:val="heading 6"/>
    <w:basedOn w:val="style0"/>
    <w:next w:val="style0"/>
    <w:link w:val="style4102"/>
    <w:qFormat/>
    <w:uiPriority w:val="9"/>
    <w:pPr>
      <w:keepNext/>
      <w:keepLines/>
      <w:spacing w:before="40" w:after="0"/>
      <w:outlineLvl w:val="5"/>
    </w:pPr>
    <w:rPr>
      <w:rFonts w:ascii="Calibri" w:cs="宋体" w:eastAsia="宋体" w:hAnsi="Calibri"/>
      <w:i/>
      <w:iCs/>
      <w:color w:val="595959"/>
    </w:rPr>
  </w:style>
  <w:style w:type="paragraph" w:styleId="style7">
    <w:name w:val="heading 7"/>
    <w:basedOn w:val="style0"/>
    <w:next w:val="style0"/>
    <w:link w:val="style4103"/>
    <w:qFormat/>
    <w:uiPriority w:val="9"/>
    <w:pPr>
      <w:keepNext/>
      <w:keepLines/>
      <w:spacing w:before="40" w:after="0"/>
      <w:outlineLvl w:val="6"/>
    </w:pPr>
    <w:rPr>
      <w:rFonts w:ascii="Calibri" w:cs="宋体" w:eastAsia="宋体" w:hAnsi="Calibri"/>
      <w:color w:val="595959"/>
    </w:rPr>
  </w:style>
  <w:style w:type="paragraph" w:styleId="style8">
    <w:name w:val="heading 8"/>
    <w:basedOn w:val="style0"/>
    <w:next w:val="style0"/>
    <w:link w:val="style4104"/>
    <w:qFormat/>
    <w:uiPriority w:val="9"/>
    <w:pPr>
      <w:keepNext/>
      <w:keepLines/>
      <w:spacing w:after="0"/>
      <w:outlineLvl w:val="7"/>
    </w:pPr>
    <w:rPr>
      <w:rFonts w:ascii="Calibri" w:cs="宋体" w:eastAsia="宋体" w:hAnsi="Calibri"/>
      <w:i/>
      <w:iCs/>
      <w:color w:val="272727"/>
    </w:rPr>
  </w:style>
  <w:style w:type="paragraph" w:styleId="style9">
    <w:name w:val="heading 9"/>
    <w:basedOn w:val="style0"/>
    <w:next w:val="style0"/>
    <w:link w:val="style4105"/>
    <w:qFormat/>
    <w:uiPriority w:val="9"/>
    <w:pPr>
      <w:keepNext/>
      <w:keepLines/>
      <w:spacing w:after="0"/>
      <w:outlineLvl w:val="8"/>
    </w:pPr>
    <w:rPr>
      <w:rFonts w:ascii="Calibri" w:cs="宋体"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62af07d7-8b11-4349-b3f9-f027c27f03d8"/>
    <w:basedOn w:val="style65"/>
    <w:next w:val="style4097"/>
    <w:link w:val="style1"/>
    <w:uiPriority w:val="9"/>
    <w:rPr>
      <w:rFonts w:ascii="Times New Roman" w:cs="宋体" w:eastAsia="宋体" w:hAnsi="Times New Roman"/>
      <w:b/>
      <w:sz w:val="28"/>
      <w:szCs w:val="40"/>
    </w:rPr>
  </w:style>
  <w:style w:type="character" w:customStyle="1" w:styleId="style4098">
    <w:name w:val="Heading 2 Char_73c6b515-09fc-4ada-ba8e-696e2131ec28"/>
    <w:basedOn w:val="style65"/>
    <w:next w:val="style4098"/>
    <w:link w:val="style2"/>
    <w:uiPriority w:val="9"/>
    <w:rPr>
      <w:rFonts w:ascii="Times New Roman" w:cs="宋体" w:eastAsia="宋体" w:hAnsi="Times New Roman"/>
      <w:b/>
      <w:sz w:val="26"/>
      <w:szCs w:val="32"/>
    </w:rPr>
  </w:style>
  <w:style w:type="character" w:customStyle="1" w:styleId="style4099">
    <w:name w:val="Heading 3 Char_e32320ff-14d7-4725-a644-4ed0c83fbaeb"/>
    <w:basedOn w:val="style65"/>
    <w:next w:val="style4099"/>
    <w:link w:val="style3"/>
    <w:uiPriority w:val="9"/>
    <w:rPr>
      <w:rFonts w:ascii="Times New Roman" w:cs="宋体" w:eastAsia="宋体" w:hAnsi="Times New Roman"/>
      <w:b/>
      <w:i/>
      <w:sz w:val="24"/>
      <w:szCs w:val="28"/>
    </w:rPr>
  </w:style>
  <w:style w:type="character" w:customStyle="1" w:styleId="style4100">
    <w:name w:val="Heading 4 Char_3d2b37d7-d5da-4d7e-b9d8-ad7dd91b9c7a"/>
    <w:basedOn w:val="style65"/>
    <w:next w:val="style4100"/>
    <w:link w:val="style4"/>
    <w:uiPriority w:val="9"/>
    <w:rPr>
      <w:rFonts w:ascii="Times New Roman" w:cs="宋体" w:eastAsia="宋体" w:hAnsi="Times New Roman"/>
      <w:b/>
      <w:iCs/>
      <w:color w:val="000000"/>
      <w:sz w:val="24"/>
    </w:rPr>
  </w:style>
  <w:style w:type="character" w:customStyle="1" w:styleId="style4101">
    <w:name w:val="Heading 5 Char_acc67b52-8398-4347-ada1-8d3430a050bd"/>
    <w:basedOn w:val="style65"/>
    <w:next w:val="style4101"/>
    <w:link w:val="style5"/>
    <w:uiPriority w:val="9"/>
    <w:rPr>
      <w:rFonts w:cs="宋体" w:eastAsia="宋体"/>
      <w:color w:val="2f5496"/>
      <w:sz w:val="24"/>
    </w:rPr>
  </w:style>
  <w:style w:type="character" w:customStyle="1" w:styleId="style4102">
    <w:name w:val="Heading 6 Char_a99632d1-5923-4182-8f8a-23a2e3cf7005"/>
    <w:basedOn w:val="style65"/>
    <w:next w:val="style4102"/>
    <w:link w:val="style6"/>
    <w:uiPriority w:val="9"/>
    <w:rPr>
      <w:rFonts w:cs="宋体" w:eastAsia="宋体"/>
      <w:i/>
      <w:iCs/>
      <w:color w:val="595959"/>
      <w:sz w:val="24"/>
    </w:rPr>
  </w:style>
  <w:style w:type="character" w:customStyle="1" w:styleId="style4103">
    <w:name w:val="Heading 7 Char_eaf8c6ae-2f16-4dbd-a192-49e7f94640db"/>
    <w:basedOn w:val="style65"/>
    <w:next w:val="style4103"/>
    <w:link w:val="style7"/>
    <w:uiPriority w:val="9"/>
    <w:rPr>
      <w:rFonts w:cs="宋体" w:eastAsia="宋体"/>
      <w:color w:val="595959"/>
      <w:sz w:val="24"/>
    </w:rPr>
  </w:style>
  <w:style w:type="character" w:customStyle="1" w:styleId="style4104">
    <w:name w:val="Heading 8 Char_02341a28-837c-4f06-b557-d7b50aedbab9"/>
    <w:basedOn w:val="style65"/>
    <w:next w:val="style4104"/>
    <w:link w:val="style8"/>
    <w:uiPriority w:val="9"/>
    <w:rPr>
      <w:rFonts w:cs="宋体" w:eastAsia="宋体"/>
      <w:i/>
      <w:iCs/>
      <w:color w:val="272727"/>
      <w:sz w:val="24"/>
    </w:rPr>
  </w:style>
  <w:style w:type="character" w:customStyle="1" w:styleId="style4105">
    <w:name w:val="Heading 9 Char_a4370a75-d1cf-4c25-852e-ac059457fdbf"/>
    <w:basedOn w:val="style65"/>
    <w:next w:val="style4105"/>
    <w:link w:val="style9"/>
    <w:uiPriority w:val="9"/>
    <w:rPr>
      <w:rFonts w:cs="宋体" w:eastAsia="宋体"/>
      <w:color w:val="272727"/>
      <w:sz w:val="24"/>
    </w:rPr>
  </w:style>
  <w:style w:type="paragraph" w:styleId="style62">
    <w:name w:val="Title"/>
    <w:basedOn w:val="style0"/>
    <w:next w:val="style0"/>
    <w:link w:val="style4106"/>
    <w:uiPriority w:val="10"/>
    <w:pPr>
      <w:spacing w:after="80" w:lineRule="auto" w:line="240"/>
      <w:contextualSpacing/>
    </w:pPr>
    <w:rPr>
      <w:rFonts w:ascii="Calibri Light" w:cs="宋体" w:eastAsia="宋体" w:hAnsi="Calibri Light"/>
      <w:spacing w:val="-10"/>
      <w:kern w:val="28"/>
      <w:sz w:val="56"/>
      <w:szCs w:val="56"/>
    </w:rPr>
  </w:style>
  <w:style w:type="character" w:customStyle="1" w:styleId="style4106">
    <w:name w:val="Title Char_9c4bae5d-b18c-4f8d-b165-cea3c137a6d6"/>
    <w:basedOn w:val="style65"/>
    <w:next w:val="style4106"/>
    <w:link w:val="style62"/>
    <w:uiPriority w:val="10"/>
    <w:rPr>
      <w:rFonts w:ascii="Calibri Light" w:cs="宋体"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ascii="Calibri" w:cs="宋体" w:eastAsia="宋体" w:hAnsi="Calibri"/>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uiPriority w:val="29"/>
    <w:pPr>
      <w:spacing w:before="160"/>
      <w:jc w:val="center"/>
    </w:pPr>
    <w:rPr>
      <w:i/>
      <w:iCs/>
      <w:color w:val="404040"/>
    </w:rPr>
  </w:style>
  <w:style w:type="character" w:customStyle="1" w:styleId="style4108">
    <w:name w:val="Quote Char_0e9ad884-44ff-485f-adc3-79ac7f577504"/>
    <w:basedOn w:val="style65"/>
    <w:next w:val="style4108"/>
    <w:link w:val="style180"/>
    <w:uiPriority w:val="29"/>
    <w:rPr>
      <w:rFonts w:ascii="Times New Roman" w:hAnsi="Times New Roman"/>
      <w:i/>
      <w:iCs/>
      <w:color w:val="404040"/>
      <w:sz w:val="24"/>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12df1dbe-cab5-4ef6-80b5-289f6d64ed8e"/>
    <w:basedOn w:val="style65"/>
    <w:next w:val="style4109"/>
    <w:link w:val="style181"/>
    <w:uiPriority w:val="30"/>
    <w:rPr>
      <w:rFonts w:ascii="Times New Roman" w:hAnsi="Times New Roman"/>
      <w:i/>
      <w:iCs/>
      <w:color w:val="2f5496"/>
      <w:sz w:val="24"/>
    </w:rPr>
  </w:style>
  <w:style w:type="character" w:styleId="style263">
    <w:name w:val="Intense Reference"/>
    <w:basedOn w:val="style65"/>
    <w:next w:val="style263"/>
    <w:qFormat/>
    <w:uiPriority w:val="32"/>
    <w:rPr>
      <w:b/>
      <w:bCs/>
      <w:smallCaps/>
      <w:color w:val="2f5496"/>
      <w:spacing w:val="5"/>
    </w:rPr>
  </w:style>
  <w:style w:type="character" w:styleId="style85">
    <w:name w:val="Hyperlink"/>
    <w:basedOn w:val="style65"/>
    <w:next w:val="style85"/>
    <w:uiPriority w:val="99"/>
    <w:rPr>
      <w:color w:val="0563c1"/>
      <w:u w:val="single"/>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8cf79e4d-c4ae-484e-8322-15f538399b83"/>
    <w:basedOn w:val="style65"/>
    <w:next w:val="style4110"/>
    <w:link w:val="style31"/>
    <w:uiPriority w:val="99"/>
    <w:rPr>
      <w:rFonts w:ascii="Times New Roman" w:hAnsi="Times New Roman"/>
      <w:sz w:val="24"/>
    </w:rPr>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195c697a-332a-4537-bc67-c9f553bd5cd9"/>
    <w:basedOn w:val="style65"/>
    <w:next w:val="style4111"/>
    <w:link w:val="style32"/>
    <w:uiPriority w:val="99"/>
    <w:rPr>
      <w:rFonts w:ascii="Times New Roman" w:hAnsi="Times New Roman"/>
      <w:sz w:val="24"/>
    </w:rPr>
  </w:style>
  <w:style w:type="paragraph" w:styleId="style266">
    <w:name w:val="TOC Heading"/>
    <w:basedOn w:val="style1"/>
    <w:next w:val="style0"/>
    <w:uiPriority w:val="39"/>
    <w:pPr>
      <w:spacing w:after="0" w:lineRule="auto" w:line="259"/>
      <w:jc w:val="left"/>
      <w:outlineLvl w:val="9"/>
    </w:pPr>
    <w:rPr>
      <w:rFonts w:ascii="Calibri Light" w:hAnsi="Calibri Light"/>
      <w:b w:val="false"/>
      <w:color w:val="2f5496"/>
      <w:kern w:val="0"/>
      <w:sz w:val="32"/>
      <w:szCs w:val="32"/>
      <w:lang w:val="en-US"/>
      <w14:ligatures xmlns:w14="http://schemas.microsoft.com/office/word/2010/wordml" w14:val="none"/>
    </w:rPr>
  </w:style>
  <w:style w:type="paragraph" w:styleId="style19">
    <w:name w:val="toc 1"/>
    <w:basedOn w:val="style0"/>
    <w:next w:val="style0"/>
    <w:uiPriority w:val="39"/>
    <w:pPr>
      <w:tabs>
        <w:tab w:val="right" w:leader="dot" w:pos="9016"/>
      </w:tabs>
      <w:spacing w:before="120" w:after="120"/>
    </w:pPr>
    <w:rPr>
      <w:b/>
      <w:bCs/>
      <w:noProof/>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table" w:customStyle="1" w:styleId="style4112">
    <w:name w:val="Grid Table Light"/>
    <w:basedOn w:val="style105"/>
    <w:next w:val="style4112"/>
    <w:uiPriority w:val="40"/>
    <w:pPr>
      <w:spacing w:after="0" w:lineRule="auto" w:line="240"/>
    </w:pP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table" w:customStyle="1" w:styleId="style4113">
    <w:name w:val="Grid Table 6 Colorful Accent 1"/>
    <w:basedOn w:val="style105"/>
    <w:next w:val="style4113"/>
    <w:uiPriority w:val="51"/>
    <w:pPr>
      <w:spacing w:after="0" w:lineRule="auto" w:line="240"/>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pPr/>
      <w:rPr>
        <w:b/>
        <w:bCs/>
      </w:rPr>
      <w:tblPr/>
      <w:tcPr>
        <w:tcBorders>
          <w:bottom w:val="single" w:sz="12" w:space="0" w:color="8eaadb"/>
        </w:tcBorders>
      </w:tcPr>
    </w:tblStylePr>
    <w:tblStylePr w:type="lastRow">
      <w:pPr/>
      <w:rPr>
        <w:b/>
        <w:bCs/>
      </w:rPr>
      <w:tblPr/>
      <w:tcPr>
        <w:tcBorders>
          <w:top w:val="double" w:sz="4" w:space="0" w:color="8eaadb"/>
        </w:tcBorders>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table" w:customStyle="1" w:styleId="style4114">
    <w:name w:val="Table1"/>
    <w:basedOn w:val="style105"/>
    <w:next w:val="style4114"/>
    <w:pPr>
      <w:spacing w:after="0" w:lineRule="auto" w:line="276"/>
    </w:pPr>
    <w:rPr>
      <w:rFonts w:ascii="Arial" w:cs="Arial" w:eastAsia="Arial" w:hAnsi="Arial"/>
      <w:kern w:val="0"/>
      <w14:ligatures xmlns:w14="http://schemas.microsoft.com/office/word/2010/wordml" w14:val="none"/>
    </w:rPr>
    <w:tblPr>
      <w:tblStyleRowBandSize w:val="1"/>
      <w:tblStyleColBandSize w:val="1"/>
      <w:tblInd w:w="0" w:type="nil"/>
      <w:tblCellMar>
        <w:top w:w="100" w:type="dxa"/>
        <w:left w:w="100" w:type="dxa"/>
        <w:bottom w:w="100" w:type="dxa"/>
        <w:right w:w="100" w:type="dxa"/>
      </w:tblCellMar>
    </w:tblPr>
    <w:tcPr>
      <w:tcBorders/>
    </w:tcPr>
  </w:style>
  <w:style w:type="paragraph" w:styleId="style157">
    <w:name w:val="No Spacing"/>
    <w:next w:val="style157"/>
    <w:qFormat/>
    <w:uiPriority w:val="1"/>
    <w:pPr>
      <w:spacing w:before="240" w:after="240" w:lineRule="auto" w:line="360"/>
      <w:jc w:val="both"/>
    </w:pPr>
    <w:rPr>
      <w:rFonts w:ascii="Times New Roman" w:hAnsi="Times New Roman"/>
      <w:sz w:val="24"/>
    </w:rPr>
  </w:style>
  <w:style w:type="character" w:customStyle="1" w:styleId="style4115">
    <w:name w:val="Unresolved Mention"/>
    <w:basedOn w:val="style65"/>
    <w:next w:val="style4115"/>
    <w:uiPriority w:val="99"/>
    <w:rPr>
      <w:color w:val="605e5c"/>
      <w:shd w:val="clear" w:color="auto" w:fill="e1dfdd"/>
    </w:rPr>
  </w:style>
  <w:style w:type="paragraph" w:styleId="style66">
    <w:name w:val="Body Text"/>
    <w:basedOn w:val="style0"/>
    <w:next w:val="style66"/>
    <w:link w:val="style4116"/>
    <w:qFormat/>
    <w:uiPriority w:val="1"/>
    <w:pPr>
      <w:widowControl w:val="false"/>
      <w:autoSpaceDE w:val="false"/>
      <w:autoSpaceDN w:val="false"/>
      <w:spacing w:before="0" w:after="0" w:lineRule="auto" w:line="240"/>
      <w:jc w:val="left"/>
    </w:pPr>
    <w:rPr>
      <w:rFonts w:ascii="Trebuchet MS" w:cs="Trebuchet MS" w:eastAsia="Trebuchet MS" w:hAnsi="Trebuchet MS"/>
      <w:kern w:val="0"/>
      <w:szCs w:val="24"/>
      <w:lang w:val="en-US"/>
      <w14:ligatures xmlns:w14="http://schemas.microsoft.com/office/word/2010/wordml" w14:val="none"/>
    </w:rPr>
  </w:style>
  <w:style w:type="character" w:customStyle="1" w:styleId="style4116">
    <w:name w:val="Body Text Char"/>
    <w:basedOn w:val="style65"/>
    <w:next w:val="style4116"/>
    <w:link w:val="style66"/>
    <w:uiPriority w:val="1"/>
    <w:rPr>
      <w:rFonts w:ascii="Trebuchet MS" w:cs="Trebuchet MS" w:eastAsia="Trebuchet MS" w:hAnsi="Trebuchet MS"/>
      <w:kern w:val="0"/>
      <w:sz w:val="24"/>
      <w:szCs w:val="24"/>
      <w:lang w:val="en-US"/>
      <w14:ligatures xmlns:w14="http://schemas.microsoft.com/office/word/2010/wordml" w14:val="none"/>
    </w:r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image" Target="media/image3.emf"/><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png"/><Relationship Id="rId9" Type="http://schemas.openxmlformats.org/officeDocument/2006/relationships/image" Target="media/image2.emf"/><Relationship Id="rId15" Type="http://schemas.openxmlformats.org/officeDocument/2006/relationships/customXml" Target="../customXml/item1.xml"/><Relationship Id="rId14" Type="http://schemas.openxmlformats.org/officeDocument/2006/relationships/theme" Target="theme/theme1.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E94CC9C-AAC5-437B-928B-3B4DB9F90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Words>6372</Words>
  <Pages>31</Pages>
  <Characters>38975</Characters>
  <Application>WPS Office</Application>
  <DocSecurity>0</DocSecurity>
  <Paragraphs>278</Paragraphs>
  <ScaleCrop>false</ScaleCrop>
  <LinksUpToDate>false</LinksUpToDate>
  <CharactersWithSpaces>45173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2026-08-07T08:59:00Z</dcterms:created>
  <dc:creator>User .</dc:creator>
  <lastModifiedBy>CPH2569</lastModifiedBy>
  <dcterms:modified xsi:type="dcterms:W3CDTF">2026-08-12T12:01:23Z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c192fd995ee44d2db68cc22196059c42_23</vt:lpwstr>
  </property>
</Properties>
</file>