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4F3EE0F" w:rsidR="000264A1" w:rsidRDefault="000264A1" w:rsidP="000264A1">
      <w:r>
        <w:fldChar w:fldCharType="begin"/>
      </w:r>
      <w:r w:rsidR="000A31AA">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195602A5" w14:textId="1473614C" w:rsidR="00722ABC" w:rsidRPr="0041458A" w:rsidRDefault="000264A1" w:rsidP="005E05A5">
      <w:pPr>
        <w:rPr>
          <w:rStyle w:val="Strong"/>
          <w:rFonts w:ascii="Arial" w:hAnsi="Arial" w:cs="Arial"/>
          <w:color w:val="1D2125"/>
          <w:sz w:val="22"/>
          <w:szCs w:val="22"/>
        </w:rPr>
      </w:pPr>
      <w:r w:rsidRPr="0041458A">
        <w:rPr>
          <w:rStyle w:val="Strong"/>
          <w:rFonts w:ascii="Arial" w:hAnsi="Arial" w:cs="Arial"/>
          <w:color w:val="1D2125"/>
          <w:sz w:val="22"/>
          <w:szCs w:val="22"/>
        </w:rPr>
        <w:t>BMHP6029-Psychopathological Classifications and Provisions</w:t>
      </w:r>
    </w:p>
    <w:p w14:paraId="6B7946A7" w14:textId="2C20404C" w:rsidR="00271B6E" w:rsidRPr="0041458A" w:rsidRDefault="000264A1" w:rsidP="000264A1">
      <w:pPr>
        <w:rPr>
          <w:rStyle w:val="Strong"/>
          <w:rFonts w:ascii="Arial" w:hAnsi="Arial" w:cs="Arial"/>
          <w:b w:val="0"/>
          <w:bCs w:val="0"/>
          <w:color w:val="1D2125"/>
          <w:sz w:val="22"/>
          <w:szCs w:val="22"/>
        </w:rPr>
      </w:pPr>
      <w:r w:rsidRPr="0041458A">
        <w:rPr>
          <w:rFonts w:ascii="Arial" w:hAnsi="Arial" w:cs="Arial"/>
          <w:b/>
          <w:bCs/>
          <w:color w:val="000000"/>
          <w:sz w:val="22"/>
          <w:szCs w:val="22"/>
        </w:rPr>
        <w:t xml:space="preserve"> Assignment </w:t>
      </w:r>
      <w:r w:rsidR="00255FF6">
        <w:rPr>
          <w:rFonts w:ascii="Arial" w:hAnsi="Arial" w:cs="Arial"/>
          <w:b/>
          <w:bCs/>
          <w:color w:val="000000"/>
          <w:sz w:val="22"/>
          <w:szCs w:val="22"/>
        </w:rPr>
        <w:t>2</w:t>
      </w:r>
      <w:r w:rsidRPr="0041458A">
        <w:rPr>
          <w:rStyle w:val="Strong"/>
          <w:rFonts w:ascii="Arial" w:hAnsi="Arial" w:cs="Arial"/>
          <w:b w:val="0"/>
          <w:bCs w:val="0"/>
          <w:color w:val="1D2125"/>
          <w:sz w:val="22"/>
          <w:szCs w:val="22"/>
        </w:rPr>
        <w:t xml:space="preserve"> </w:t>
      </w:r>
    </w:p>
    <w:p w14:paraId="3DB89340" w14:textId="2752DB92" w:rsidR="000264A1" w:rsidRPr="00887634" w:rsidRDefault="000264A1" w:rsidP="000264A1">
      <w:pPr>
        <w:rPr>
          <w:rStyle w:val="Strong"/>
          <w:rFonts w:ascii="Arial" w:hAnsi="Arial" w:cs="Arial"/>
          <w:b w:val="0"/>
          <w:bCs w:val="0"/>
          <w:color w:val="1D2125"/>
          <w:sz w:val="22"/>
          <w:szCs w:val="22"/>
        </w:rPr>
      </w:pPr>
      <w:r w:rsidRPr="0041458A">
        <w:rPr>
          <w:rStyle w:val="Strong"/>
          <w:rFonts w:ascii="Arial" w:hAnsi="Arial" w:cs="Arial"/>
          <w:color w:val="1D2125"/>
          <w:sz w:val="22"/>
          <w:szCs w:val="22"/>
        </w:rPr>
        <w:t xml:space="preserve">Student </w:t>
      </w:r>
      <w:r w:rsidR="003661E0" w:rsidRPr="0041458A">
        <w:rPr>
          <w:rStyle w:val="Strong"/>
          <w:rFonts w:ascii="Arial" w:hAnsi="Arial" w:cs="Arial"/>
          <w:color w:val="1D2125"/>
          <w:sz w:val="22"/>
          <w:szCs w:val="22"/>
        </w:rPr>
        <w:t>name:</w:t>
      </w:r>
      <w:r w:rsidR="00FA4F53" w:rsidRPr="0041458A">
        <w:rPr>
          <w:rStyle w:val="Strong"/>
          <w:rFonts w:ascii="Arial" w:hAnsi="Arial" w:cs="Arial"/>
          <w:color w:val="1D2125"/>
          <w:sz w:val="22"/>
          <w:szCs w:val="22"/>
        </w:rPr>
        <w:t xml:space="preserve"> </w:t>
      </w:r>
      <w:r w:rsidR="00FA4F53" w:rsidRPr="00887634">
        <w:rPr>
          <w:rStyle w:val="Strong"/>
          <w:rFonts w:ascii="Arial" w:hAnsi="Arial" w:cs="Arial"/>
          <w:b w:val="0"/>
          <w:bCs w:val="0"/>
          <w:color w:val="1D2125"/>
          <w:sz w:val="22"/>
          <w:szCs w:val="22"/>
        </w:rPr>
        <w:t>Florence Mirembe</w:t>
      </w:r>
    </w:p>
    <w:p w14:paraId="3F25C99D" w14:textId="68E3770B" w:rsidR="000264A1" w:rsidRPr="0041458A" w:rsidRDefault="000264A1" w:rsidP="000264A1">
      <w:pPr>
        <w:rPr>
          <w:rStyle w:val="Strong"/>
          <w:rFonts w:ascii="Arial" w:hAnsi="Arial" w:cs="Arial"/>
          <w:color w:val="1D2125"/>
          <w:sz w:val="22"/>
          <w:szCs w:val="22"/>
        </w:rPr>
      </w:pPr>
      <w:r w:rsidRPr="0041458A">
        <w:rPr>
          <w:rStyle w:val="Strong"/>
          <w:rFonts w:ascii="Arial" w:hAnsi="Arial" w:cs="Arial"/>
          <w:color w:val="1D2125"/>
          <w:sz w:val="22"/>
          <w:szCs w:val="22"/>
        </w:rPr>
        <w:t>Student number</w:t>
      </w:r>
      <w:r w:rsidR="00205076" w:rsidRPr="0041458A">
        <w:rPr>
          <w:rStyle w:val="Strong"/>
          <w:rFonts w:ascii="Arial" w:hAnsi="Arial" w:cs="Arial"/>
          <w:color w:val="1D2125"/>
          <w:sz w:val="22"/>
          <w:szCs w:val="22"/>
        </w:rPr>
        <w:t xml:space="preserve">: </w:t>
      </w:r>
      <w:r w:rsidR="008668C8" w:rsidRPr="00887634">
        <w:rPr>
          <w:rStyle w:val="Strong"/>
          <w:rFonts w:ascii="Arial" w:hAnsi="Arial" w:cs="Arial"/>
          <w:b w:val="0"/>
          <w:bCs w:val="0"/>
          <w:color w:val="1D2125"/>
          <w:sz w:val="22"/>
          <w:szCs w:val="22"/>
        </w:rPr>
        <w:t>2313074</w:t>
      </w:r>
      <w:r w:rsidRPr="0041458A">
        <w:rPr>
          <w:rStyle w:val="Strong"/>
          <w:rFonts w:ascii="Arial" w:hAnsi="Arial" w:cs="Arial"/>
          <w:color w:val="1D2125"/>
          <w:sz w:val="22"/>
          <w:szCs w:val="22"/>
        </w:rPr>
        <w:t xml:space="preserve"> </w:t>
      </w:r>
    </w:p>
    <w:p w14:paraId="08CC0262" w14:textId="7C21E4AA" w:rsidR="00221871" w:rsidRDefault="004C4451" w:rsidP="000264A1">
      <w:pPr>
        <w:rPr>
          <w:rStyle w:val="Strong"/>
          <w:rFonts w:ascii="Arial" w:hAnsi="Arial" w:cs="Arial"/>
          <w:color w:val="1D2125"/>
          <w:sz w:val="22"/>
          <w:szCs w:val="22"/>
        </w:rPr>
      </w:pPr>
      <w:r w:rsidRPr="0041458A">
        <w:rPr>
          <w:rStyle w:val="Strong"/>
          <w:rFonts w:ascii="Arial" w:hAnsi="Arial" w:cs="Arial"/>
          <w:color w:val="1D2125"/>
          <w:sz w:val="22"/>
          <w:szCs w:val="22"/>
        </w:rPr>
        <w:t xml:space="preserve">Lecturer:  </w:t>
      </w:r>
      <w:r w:rsidRPr="00887634">
        <w:rPr>
          <w:rStyle w:val="Strong"/>
          <w:rFonts w:ascii="Arial" w:hAnsi="Arial" w:cs="Arial"/>
          <w:b w:val="0"/>
          <w:bCs w:val="0"/>
          <w:color w:val="1D2125"/>
          <w:sz w:val="22"/>
          <w:szCs w:val="22"/>
        </w:rPr>
        <w:t>Dr Farah W</w:t>
      </w:r>
      <w:r w:rsidR="00A30533">
        <w:rPr>
          <w:rStyle w:val="Strong"/>
          <w:rFonts w:ascii="Arial" w:hAnsi="Arial" w:cs="Arial"/>
          <w:b w:val="0"/>
          <w:bCs w:val="0"/>
          <w:color w:val="1D2125"/>
          <w:sz w:val="22"/>
          <w:szCs w:val="22"/>
        </w:rPr>
        <w:t>iita</w:t>
      </w:r>
    </w:p>
    <w:p w14:paraId="361E9256" w14:textId="6B9A3334" w:rsidR="00E263C7" w:rsidRDefault="00E263C7" w:rsidP="000264A1">
      <w:pPr>
        <w:rPr>
          <w:rFonts w:ascii="Arial" w:eastAsia="Times New Roman" w:hAnsi="Arial" w:cs="Arial"/>
          <w:kern w:val="0"/>
          <w:sz w:val="22"/>
          <w:szCs w:val="22"/>
          <w:lang w:eastAsia="en-GB"/>
          <w14:ligatures w14:val="none"/>
        </w:rPr>
      </w:pPr>
      <w:r>
        <w:rPr>
          <w:rStyle w:val="Strong"/>
          <w:rFonts w:ascii="Arial" w:hAnsi="Arial" w:cs="Arial"/>
          <w:color w:val="1D2125"/>
          <w:sz w:val="22"/>
          <w:szCs w:val="22"/>
        </w:rPr>
        <w:t>Topic:</w:t>
      </w:r>
      <w:r w:rsidR="002B1BCF">
        <w:rPr>
          <w:rStyle w:val="Strong"/>
          <w:rFonts w:ascii="Arial" w:hAnsi="Arial" w:cs="Arial"/>
          <w:color w:val="1D2125"/>
          <w:sz w:val="22"/>
          <w:szCs w:val="22"/>
        </w:rPr>
        <w:t xml:space="preserve"> </w:t>
      </w:r>
      <w:r w:rsidR="007B3BCD" w:rsidRPr="00760AC9">
        <w:rPr>
          <w:rStyle w:val="Strong"/>
          <w:rFonts w:ascii="Arial" w:hAnsi="Arial" w:cs="Arial"/>
          <w:b w:val="0"/>
          <w:bCs w:val="0"/>
          <w:color w:val="1D2125"/>
          <w:sz w:val="22"/>
          <w:szCs w:val="22"/>
        </w:rPr>
        <w:t>N</w:t>
      </w:r>
      <w:r w:rsidR="002B1BCF" w:rsidRPr="00760AC9">
        <w:rPr>
          <w:rStyle w:val="Strong"/>
          <w:rFonts w:ascii="Arial" w:hAnsi="Arial" w:cs="Arial"/>
          <w:b w:val="0"/>
          <w:bCs w:val="0"/>
          <w:color w:val="1D2125"/>
          <w:sz w:val="22"/>
          <w:szCs w:val="22"/>
        </w:rPr>
        <w:t>eurodevelopmental disorders</w:t>
      </w:r>
      <w:r w:rsidR="0070703C">
        <w:rPr>
          <w:rStyle w:val="Strong"/>
          <w:rFonts w:ascii="Arial" w:hAnsi="Arial" w:cs="Arial"/>
          <w:b w:val="0"/>
          <w:bCs w:val="0"/>
          <w:color w:val="1D2125"/>
          <w:sz w:val="22"/>
          <w:szCs w:val="22"/>
        </w:rPr>
        <w:t xml:space="preserve"> </w:t>
      </w:r>
      <w:r w:rsidR="008D71F9">
        <w:rPr>
          <w:rStyle w:val="Strong"/>
          <w:rFonts w:ascii="Arial" w:hAnsi="Arial" w:cs="Arial"/>
          <w:b w:val="0"/>
          <w:bCs w:val="0"/>
          <w:color w:val="1D2125"/>
          <w:sz w:val="22"/>
          <w:szCs w:val="22"/>
        </w:rPr>
        <w:t>-</w:t>
      </w:r>
      <w:r w:rsidR="001F3261" w:rsidRPr="00760AC9">
        <w:rPr>
          <w:rStyle w:val="Strong"/>
          <w:rFonts w:ascii="Arial" w:hAnsi="Arial" w:cs="Arial"/>
          <w:b w:val="0"/>
          <w:bCs w:val="0"/>
          <w:color w:val="1D2125"/>
          <w:sz w:val="22"/>
          <w:szCs w:val="22"/>
        </w:rPr>
        <w:t xml:space="preserve"> 6A</w:t>
      </w:r>
      <w:r w:rsidR="00DA28CF" w:rsidRPr="00760AC9">
        <w:rPr>
          <w:rStyle w:val="Strong"/>
          <w:rFonts w:ascii="Arial" w:hAnsi="Arial" w:cs="Arial"/>
          <w:b w:val="0"/>
          <w:bCs w:val="0"/>
          <w:color w:val="1D2125"/>
          <w:sz w:val="22"/>
          <w:szCs w:val="22"/>
        </w:rPr>
        <w:t>02</w:t>
      </w:r>
      <w:r w:rsidR="00DA28CF">
        <w:rPr>
          <w:rStyle w:val="Strong"/>
          <w:rFonts w:ascii="Arial" w:hAnsi="Arial" w:cs="Arial"/>
          <w:color w:val="1D2125"/>
          <w:sz w:val="22"/>
          <w:szCs w:val="22"/>
        </w:rPr>
        <w:t xml:space="preserve"> </w:t>
      </w:r>
      <w:r w:rsidR="00136851">
        <w:rPr>
          <w:rStyle w:val="Strong"/>
          <w:rFonts w:ascii="Arial" w:hAnsi="Arial" w:cs="Arial"/>
          <w:b w:val="0"/>
          <w:bCs w:val="0"/>
          <w:color w:val="1D2125"/>
          <w:sz w:val="22"/>
          <w:szCs w:val="22"/>
        </w:rPr>
        <w:t>A</w:t>
      </w:r>
      <w:r w:rsidR="00E37C4B">
        <w:rPr>
          <w:rStyle w:val="Strong"/>
          <w:rFonts w:ascii="Arial" w:hAnsi="Arial" w:cs="Arial"/>
          <w:b w:val="0"/>
          <w:bCs w:val="0"/>
          <w:color w:val="1D2125"/>
          <w:sz w:val="22"/>
          <w:szCs w:val="22"/>
        </w:rPr>
        <w:t xml:space="preserve">utism </w:t>
      </w:r>
      <w:r w:rsidR="00136851">
        <w:rPr>
          <w:rStyle w:val="Strong"/>
          <w:rFonts w:ascii="Arial" w:hAnsi="Arial" w:cs="Arial"/>
          <w:b w:val="0"/>
          <w:bCs w:val="0"/>
          <w:color w:val="1D2125"/>
          <w:sz w:val="22"/>
          <w:szCs w:val="22"/>
        </w:rPr>
        <w:t>S</w:t>
      </w:r>
      <w:r w:rsidR="00E37C4B">
        <w:rPr>
          <w:rStyle w:val="Strong"/>
          <w:rFonts w:ascii="Arial" w:hAnsi="Arial" w:cs="Arial"/>
          <w:b w:val="0"/>
          <w:bCs w:val="0"/>
          <w:color w:val="1D2125"/>
          <w:sz w:val="22"/>
          <w:szCs w:val="22"/>
        </w:rPr>
        <w:t xml:space="preserve">pectrum </w:t>
      </w:r>
      <w:r w:rsidR="00136851">
        <w:rPr>
          <w:rStyle w:val="Strong"/>
          <w:rFonts w:ascii="Arial" w:hAnsi="Arial" w:cs="Arial"/>
          <w:b w:val="0"/>
          <w:bCs w:val="0"/>
          <w:color w:val="1D2125"/>
          <w:sz w:val="22"/>
          <w:szCs w:val="22"/>
        </w:rPr>
        <w:t>D</w:t>
      </w:r>
      <w:r w:rsidR="00E37C4B">
        <w:rPr>
          <w:rStyle w:val="Strong"/>
          <w:rFonts w:ascii="Arial" w:hAnsi="Arial" w:cs="Arial"/>
          <w:b w:val="0"/>
          <w:bCs w:val="0"/>
          <w:color w:val="1D2125"/>
          <w:sz w:val="22"/>
          <w:szCs w:val="22"/>
        </w:rPr>
        <w:t>isorder</w:t>
      </w:r>
      <w:r w:rsidR="00B47692" w:rsidRPr="00E025C5">
        <w:rPr>
          <w:rFonts w:ascii="Arial" w:eastAsia="Times New Roman" w:hAnsi="Arial" w:cs="Arial"/>
          <w:kern w:val="0"/>
          <w:sz w:val="22"/>
          <w:szCs w:val="22"/>
          <w:lang w:eastAsia="en-GB"/>
          <w14:ligatures w14:val="none"/>
        </w:rPr>
        <w:t xml:space="preserve"> (ASD)</w:t>
      </w:r>
      <w:r w:rsidR="00B47692">
        <w:rPr>
          <w:rFonts w:ascii="Arial" w:eastAsia="Times New Roman" w:hAnsi="Arial" w:cs="Arial"/>
          <w:kern w:val="0"/>
          <w:sz w:val="22"/>
          <w:szCs w:val="22"/>
          <w:lang w:eastAsia="en-GB"/>
          <w14:ligatures w14:val="none"/>
        </w:rPr>
        <w:t xml:space="preserve"> </w:t>
      </w:r>
    </w:p>
    <w:p w14:paraId="3ED6622A" w14:textId="77777777" w:rsidR="00004C47" w:rsidRDefault="00004C47" w:rsidP="000264A1">
      <w:pPr>
        <w:rPr>
          <w:rFonts w:ascii="Arial" w:eastAsia="Times New Roman" w:hAnsi="Arial" w:cs="Arial"/>
          <w:kern w:val="0"/>
          <w:sz w:val="22"/>
          <w:szCs w:val="22"/>
          <w:lang w:eastAsia="en-GB"/>
          <w14:ligatures w14:val="none"/>
        </w:rPr>
      </w:pPr>
    </w:p>
    <w:p w14:paraId="44DD493E" w14:textId="152F50A1" w:rsidR="00FC5DD2" w:rsidRPr="00765F7D" w:rsidRDefault="00004C47" w:rsidP="000264A1">
      <w:pPr>
        <w:rPr>
          <w:rFonts w:ascii="Arial" w:eastAsia="Times New Roman" w:hAnsi="Arial" w:cs="Arial"/>
          <w:b/>
          <w:bCs/>
          <w:kern w:val="0"/>
          <w:sz w:val="22"/>
          <w:szCs w:val="22"/>
          <w:lang w:eastAsia="en-GB"/>
          <w14:ligatures w14:val="none"/>
        </w:rPr>
      </w:pPr>
      <w:r w:rsidRPr="00004C47">
        <w:rPr>
          <w:rFonts w:ascii="Arial" w:eastAsia="Times New Roman" w:hAnsi="Arial" w:cs="Arial"/>
          <w:b/>
          <w:bCs/>
          <w:kern w:val="0"/>
          <w:sz w:val="22"/>
          <w:szCs w:val="22"/>
          <w:lang w:eastAsia="en-GB"/>
          <w14:ligatures w14:val="none"/>
        </w:rPr>
        <w:t>Acknowledgment of AI</w:t>
      </w:r>
    </w:p>
    <w:p w14:paraId="42BE0C08" w14:textId="1CBC59BD" w:rsidR="00F63EE4" w:rsidRPr="001771A7" w:rsidRDefault="00325393" w:rsidP="001771A7">
      <w:pPr>
        <w:spacing w:line="360" w:lineRule="auto"/>
        <w:jc w:val="both"/>
        <w:rPr>
          <w:rFonts w:ascii="Arial" w:hAnsi="Arial" w:cs="Arial"/>
          <w:sz w:val="22"/>
          <w:szCs w:val="22"/>
        </w:rPr>
      </w:pPr>
      <w:r w:rsidRPr="001771A7">
        <w:rPr>
          <w:rFonts w:ascii="Arial" w:hAnsi="Arial" w:cs="Arial"/>
          <w:sz w:val="22"/>
          <w:szCs w:val="22"/>
        </w:rPr>
        <w:t xml:space="preserve">I verify that artificial intelligence was not used in the inquiry or development of this work. I declare that I am not the </w:t>
      </w:r>
      <w:r w:rsidR="005C4254" w:rsidRPr="001771A7">
        <w:rPr>
          <w:rFonts w:ascii="Arial" w:hAnsi="Arial" w:cs="Arial"/>
          <w:sz w:val="22"/>
          <w:szCs w:val="22"/>
        </w:rPr>
        <w:t>owner</w:t>
      </w:r>
      <w:r w:rsidRPr="001771A7">
        <w:rPr>
          <w:rFonts w:ascii="Arial" w:hAnsi="Arial" w:cs="Arial"/>
          <w:sz w:val="22"/>
          <w:szCs w:val="22"/>
        </w:rPr>
        <w:t xml:space="preserve"> of any material produced by artificial intelligence.</w:t>
      </w:r>
      <w:r w:rsidR="00992D15" w:rsidRPr="001771A7">
        <w:rPr>
          <w:rFonts w:ascii="Arial" w:hAnsi="Arial" w:cs="Arial"/>
          <w:sz w:val="22"/>
          <w:szCs w:val="22"/>
        </w:rPr>
        <w:t xml:space="preserve"> It could be necessary to provide duplicates of the concepts, </w:t>
      </w:r>
      <w:r w:rsidR="001C7043" w:rsidRPr="001771A7">
        <w:rPr>
          <w:rFonts w:ascii="Arial" w:hAnsi="Arial" w:cs="Arial"/>
          <w:sz w:val="22"/>
          <w:szCs w:val="22"/>
        </w:rPr>
        <w:t xml:space="preserve">initial versions and other supporting documents </w:t>
      </w:r>
      <w:r w:rsidR="00992D15" w:rsidRPr="001771A7">
        <w:rPr>
          <w:rFonts w:ascii="Arial" w:hAnsi="Arial" w:cs="Arial"/>
          <w:sz w:val="22"/>
          <w:szCs w:val="22"/>
        </w:rPr>
        <w:t xml:space="preserve">I </w:t>
      </w:r>
      <w:r w:rsidR="004119EC" w:rsidRPr="001771A7">
        <w:rPr>
          <w:rFonts w:ascii="Arial" w:hAnsi="Arial" w:cs="Arial"/>
          <w:sz w:val="22"/>
          <w:szCs w:val="22"/>
        </w:rPr>
        <w:t>referenced</w:t>
      </w:r>
      <w:r w:rsidR="00992D15" w:rsidRPr="001771A7">
        <w:rPr>
          <w:rFonts w:ascii="Arial" w:hAnsi="Arial" w:cs="Arial"/>
          <w:sz w:val="22"/>
          <w:szCs w:val="22"/>
        </w:rPr>
        <w:t xml:space="preserve"> as proof.</w:t>
      </w:r>
    </w:p>
    <w:p w14:paraId="7DD82387" w14:textId="19164BF7" w:rsidR="000264A1" w:rsidRPr="00D34653" w:rsidRDefault="00325393" w:rsidP="00992D15">
      <w:pPr>
        <w:spacing w:line="360" w:lineRule="auto"/>
        <w:jc w:val="both"/>
        <w:rPr>
          <w:rFonts w:ascii="Arial" w:hAnsi="Arial" w:cs="Arial"/>
          <w:sz w:val="22"/>
          <w:szCs w:val="22"/>
        </w:rPr>
      </w:pPr>
      <w:r w:rsidRPr="000E095B">
        <w:rPr>
          <w:rFonts w:ascii="Arial" w:hAnsi="Arial" w:cs="Arial"/>
          <w:sz w:val="22"/>
          <w:szCs w:val="22"/>
        </w:rPr>
        <w:t xml:space="preserve"> </w:t>
      </w: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40095DC" w14:textId="77777777" w:rsidR="00CB4029" w:rsidRDefault="00CB4029"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Pr="00154FC5" w:rsidRDefault="000264A1" w:rsidP="00154FC5">
      <w:pPr>
        <w:spacing w:line="360" w:lineRule="auto"/>
        <w:rPr>
          <w:rFonts w:ascii="Arial" w:hAnsi="Arial" w:cs="Arial"/>
          <w:sz w:val="22"/>
          <w:szCs w:val="22"/>
        </w:rPr>
      </w:pPr>
    </w:p>
    <w:bookmarkStart w:id="0" w:name="_Hlk212631162" w:displacedByCustomXml="next"/>
    <w:sdt>
      <w:sdtPr>
        <w:rPr>
          <w:rFonts w:asciiTheme="minorHAnsi" w:eastAsiaTheme="minorHAnsi" w:hAnsiTheme="minorHAnsi" w:cstheme="minorBidi"/>
          <w:color w:val="auto"/>
          <w:kern w:val="2"/>
          <w:sz w:val="24"/>
          <w:szCs w:val="24"/>
          <w:lang w:val="en-GB"/>
          <w14:ligatures w14:val="standardContextual"/>
        </w:rPr>
        <w:id w:val="-1886550758"/>
        <w:docPartObj>
          <w:docPartGallery w:val="Table of Contents"/>
          <w:docPartUnique/>
        </w:docPartObj>
      </w:sdtPr>
      <w:sdtEndPr>
        <w:rPr>
          <w:b/>
          <w:bCs/>
          <w:noProof/>
        </w:rPr>
      </w:sdtEndPr>
      <w:sdtContent>
        <w:p w14:paraId="7EE74C51" w14:textId="041F81E8" w:rsidR="00CB4029" w:rsidRDefault="00CB4029">
          <w:pPr>
            <w:pStyle w:val="TOCHeading"/>
          </w:pPr>
          <w:r>
            <w:t>Contents</w:t>
          </w:r>
        </w:p>
        <w:p w14:paraId="3F11B146" w14:textId="6A9DF724" w:rsidR="003F46C1" w:rsidRPr="00B945AE" w:rsidRDefault="00CB4029" w:rsidP="008A3949">
          <w:pPr>
            <w:pStyle w:val="TOC2"/>
            <w:tabs>
              <w:tab w:val="right" w:leader="dot" w:pos="9016"/>
            </w:tabs>
            <w:spacing w:line="360" w:lineRule="auto"/>
            <w:rPr>
              <w:rFonts w:ascii="Arial" w:eastAsiaTheme="minorEastAsia" w:hAnsi="Arial" w:cs="Arial"/>
              <w:noProof/>
              <w:sz w:val="22"/>
              <w:szCs w:val="22"/>
              <w:lang w:eastAsia="en-GB"/>
            </w:rPr>
          </w:pPr>
          <w:r>
            <w:fldChar w:fldCharType="begin"/>
          </w:r>
          <w:r>
            <w:instrText xml:space="preserve"> TOC \o "1-3" \h \z \u </w:instrText>
          </w:r>
          <w:r>
            <w:fldChar w:fldCharType="separate"/>
          </w:r>
          <w:hyperlink w:anchor="_Toc215497327" w:history="1">
            <w:r w:rsidR="003F46C1" w:rsidRPr="00B945AE">
              <w:rPr>
                <w:rStyle w:val="Hyperlink"/>
                <w:rFonts w:ascii="Arial" w:eastAsia="Times New Roman" w:hAnsi="Arial" w:cs="Arial"/>
                <w:b/>
                <w:bCs/>
                <w:noProof/>
                <w:sz w:val="22"/>
                <w:szCs w:val="22"/>
                <w:lang w:eastAsia="en-GB"/>
              </w:rPr>
              <w:t>Introduction</w:t>
            </w:r>
            <w:r w:rsidR="003F46C1" w:rsidRPr="00B945AE">
              <w:rPr>
                <w:rFonts w:ascii="Arial" w:hAnsi="Arial" w:cs="Arial"/>
                <w:noProof/>
                <w:webHidden/>
                <w:sz w:val="22"/>
                <w:szCs w:val="22"/>
              </w:rPr>
              <w:tab/>
            </w:r>
            <w:r w:rsidR="003F46C1" w:rsidRPr="00B945AE">
              <w:rPr>
                <w:rFonts w:ascii="Arial" w:hAnsi="Arial" w:cs="Arial"/>
                <w:noProof/>
                <w:webHidden/>
                <w:sz w:val="22"/>
                <w:szCs w:val="22"/>
              </w:rPr>
              <w:fldChar w:fldCharType="begin"/>
            </w:r>
            <w:r w:rsidR="003F46C1" w:rsidRPr="00B945AE">
              <w:rPr>
                <w:rFonts w:ascii="Arial" w:hAnsi="Arial" w:cs="Arial"/>
                <w:noProof/>
                <w:webHidden/>
                <w:sz w:val="22"/>
                <w:szCs w:val="22"/>
              </w:rPr>
              <w:instrText xml:space="preserve"> PAGEREF _Toc215497327 \h </w:instrText>
            </w:r>
            <w:r w:rsidR="003F46C1" w:rsidRPr="00B945AE">
              <w:rPr>
                <w:rFonts w:ascii="Arial" w:hAnsi="Arial" w:cs="Arial"/>
                <w:noProof/>
                <w:webHidden/>
                <w:sz w:val="22"/>
                <w:szCs w:val="22"/>
              </w:rPr>
            </w:r>
            <w:r w:rsidR="003F46C1" w:rsidRPr="00B945AE">
              <w:rPr>
                <w:rFonts w:ascii="Arial" w:hAnsi="Arial" w:cs="Arial"/>
                <w:noProof/>
                <w:webHidden/>
                <w:sz w:val="22"/>
                <w:szCs w:val="22"/>
              </w:rPr>
              <w:fldChar w:fldCharType="separate"/>
            </w:r>
            <w:r w:rsidR="003F46C1" w:rsidRPr="00B945AE">
              <w:rPr>
                <w:rFonts w:ascii="Arial" w:hAnsi="Arial" w:cs="Arial"/>
                <w:noProof/>
                <w:webHidden/>
                <w:sz w:val="22"/>
                <w:szCs w:val="22"/>
              </w:rPr>
              <w:t>3</w:t>
            </w:r>
            <w:r w:rsidR="003F46C1" w:rsidRPr="00B945AE">
              <w:rPr>
                <w:rFonts w:ascii="Arial" w:hAnsi="Arial" w:cs="Arial"/>
                <w:noProof/>
                <w:webHidden/>
                <w:sz w:val="22"/>
                <w:szCs w:val="22"/>
              </w:rPr>
              <w:fldChar w:fldCharType="end"/>
            </w:r>
          </w:hyperlink>
        </w:p>
        <w:p w14:paraId="24CAABFD" w14:textId="450776C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28" w:history="1">
            <w:r w:rsidRPr="00B945AE">
              <w:rPr>
                <w:rStyle w:val="Hyperlink"/>
                <w:rFonts w:ascii="Arial" w:eastAsia="Times New Roman" w:hAnsi="Arial" w:cs="Arial"/>
                <w:b/>
                <w:bCs/>
                <w:noProof/>
                <w:sz w:val="22"/>
                <w:szCs w:val="22"/>
                <w:lang w:eastAsia="en-GB"/>
              </w:rPr>
              <w:t>Classification and Diagnosis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_Toc215497328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3</w:t>
            </w:r>
            <w:r w:rsidRPr="00B945AE">
              <w:rPr>
                <w:rFonts w:ascii="Arial" w:hAnsi="Arial" w:cs="Arial"/>
                <w:noProof/>
                <w:webHidden/>
                <w:sz w:val="22"/>
                <w:szCs w:val="22"/>
              </w:rPr>
              <w:fldChar w:fldCharType="end"/>
            </w:r>
          </w:hyperlink>
        </w:p>
        <w:p w14:paraId="0E34CF6C" w14:textId="306A408C"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29" w:history="1">
            <w:r w:rsidRPr="00B945AE">
              <w:rPr>
                <w:rStyle w:val="Hyperlink"/>
                <w:rFonts w:ascii="Arial" w:hAnsi="Arial" w:cs="Arial"/>
                <w:noProof/>
                <w:sz w:val="22"/>
                <w:szCs w:val="22"/>
                <w:lang w:eastAsia="en-GB"/>
              </w:rPr>
              <w:t>Structure of the ICD-11 Classification System</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_Toc215497329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3</w:t>
            </w:r>
            <w:r w:rsidRPr="00B945AE">
              <w:rPr>
                <w:rFonts w:ascii="Arial" w:hAnsi="Arial" w:cs="Arial"/>
                <w:noProof/>
                <w:webHidden/>
                <w:sz w:val="22"/>
                <w:szCs w:val="22"/>
              </w:rPr>
              <w:fldChar w:fldCharType="end"/>
            </w:r>
          </w:hyperlink>
        </w:p>
        <w:p w14:paraId="1B0612CA" w14:textId="2DAA8A5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0" w:history="1">
            <w:r w:rsidRPr="00B945AE">
              <w:rPr>
                <w:rStyle w:val="Hyperlink"/>
                <w:rFonts w:ascii="Arial" w:eastAsia="Times New Roman" w:hAnsi="Arial" w:cs="Arial"/>
                <w:noProof/>
                <w:sz w:val="22"/>
                <w:szCs w:val="22"/>
                <w:lang w:eastAsia="en-GB"/>
              </w:rPr>
              <w:t>Diagnostic Standards and Procedures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_Toc215497330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4</w:t>
            </w:r>
            <w:r w:rsidRPr="00B945AE">
              <w:rPr>
                <w:rFonts w:ascii="Arial" w:hAnsi="Arial" w:cs="Arial"/>
                <w:noProof/>
                <w:webHidden/>
                <w:sz w:val="22"/>
                <w:szCs w:val="22"/>
              </w:rPr>
              <w:fldChar w:fldCharType="end"/>
            </w:r>
          </w:hyperlink>
        </w:p>
        <w:p w14:paraId="530B9DD5" w14:textId="6C8DC61E"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1" w:history="1">
            <w:r w:rsidRPr="00B945AE">
              <w:rPr>
                <w:rStyle w:val="Hyperlink"/>
                <w:rFonts w:ascii="Arial" w:eastAsia="Times New Roman" w:hAnsi="Arial" w:cs="Arial"/>
                <w:noProof/>
                <w:sz w:val="22"/>
                <w:szCs w:val="22"/>
                <w:lang w:eastAsia="en-GB"/>
              </w:rPr>
              <w:t>Terminology and Language Use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_Toc215497331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4</w:t>
            </w:r>
            <w:r w:rsidRPr="00B945AE">
              <w:rPr>
                <w:rFonts w:ascii="Arial" w:hAnsi="Arial" w:cs="Arial"/>
                <w:noProof/>
                <w:webHidden/>
                <w:sz w:val="22"/>
                <w:szCs w:val="22"/>
              </w:rPr>
              <w:fldChar w:fldCharType="end"/>
            </w:r>
          </w:hyperlink>
        </w:p>
        <w:p w14:paraId="7FB2D508" w14:textId="25A85675"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2" w:history="1">
            <w:r w:rsidRPr="00B945AE">
              <w:rPr>
                <w:rStyle w:val="Hyperlink"/>
                <w:rFonts w:ascii="Arial" w:eastAsia="Times New Roman" w:hAnsi="Arial" w:cs="Arial"/>
                <w:b/>
                <w:bCs/>
                <w:noProof/>
                <w:sz w:val="22"/>
                <w:szCs w:val="22"/>
                <w:lang w:eastAsia="en-GB"/>
              </w:rPr>
              <w:t>Therapeutic Treatment and Rehabilitation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_Toc215497332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0AA3A040" w14:textId="74FDFF5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3" w:history="1">
            <w:r w:rsidRPr="00B945AE">
              <w:rPr>
                <w:rStyle w:val="Hyperlink"/>
                <w:rFonts w:ascii="Arial" w:eastAsia="Times New Roman" w:hAnsi="Arial" w:cs="Arial"/>
                <w:noProof/>
                <w:sz w:val="22"/>
                <w:szCs w:val="22"/>
                <w:lang w:eastAsia="en-GB"/>
              </w:rPr>
              <w:t>Evidence-Based Treatment Approaches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_Toc215497333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424772F8" w14:textId="5CF8AC99"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4" w:history="1">
            <w:r w:rsidRPr="00B945AE">
              <w:rPr>
                <w:rStyle w:val="Hyperlink"/>
                <w:rFonts w:ascii="Arial" w:eastAsia="Times New Roman" w:hAnsi="Arial" w:cs="Arial"/>
                <w:noProof/>
                <w:sz w:val="22"/>
                <w:szCs w:val="22"/>
                <w:lang w:eastAsia="en-GB"/>
              </w:rPr>
              <w:t>ICD-11 Rehabilitation Measures and Their Application in Practice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_Toc215497334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4A126504" w14:textId="334B5C1A"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5" w:history="1">
            <w:r w:rsidRPr="00B945AE">
              <w:rPr>
                <w:rStyle w:val="Hyperlink"/>
                <w:rFonts w:ascii="Arial" w:eastAsia="Times New Roman" w:hAnsi="Arial" w:cs="Arial"/>
                <w:noProof/>
                <w:sz w:val="22"/>
                <w:szCs w:val="22"/>
                <w:lang w:eastAsia="en-GB"/>
              </w:rPr>
              <w:t>Strengths and Limitations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_Toc215497335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3EBA2AE3" w14:textId="7900484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6" w:history="1">
            <w:r w:rsidRPr="00B945AE">
              <w:rPr>
                <w:rStyle w:val="Hyperlink"/>
                <w:rFonts w:ascii="Arial" w:eastAsia="Times New Roman" w:hAnsi="Arial" w:cs="Arial"/>
                <w:b/>
                <w:bCs/>
                <w:noProof/>
                <w:sz w:val="22"/>
                <w:szCs w:val="22"/>
                <w:lang w:eastAsia="en-GB"/>
              </w:rPr>
              <w:t>Contemporary Debates and Emerging Trends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_Toc215497336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070C178B" w14:textId="0544C0D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7" w:history="1">
            <w:r w:rsidRPr="00B945AE">
              <w:rPr>
                <w:rStyle w:val="Hyperlink"/>
                <w:rFonts w:ascii="Arial" w:hAnsi="Arial" w:cs="Arial"/>
                <w:noProof/>
                <w:sz w:val="22"/>
                <w:szCs w:val="22"/>
              </w:rPr>
              <w:t>Debates on Classification Practices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_Toc215497337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75EFD123" w14:textId="31AAFDD4"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8" w:history="1">
            <w:r w:rsidRPr="00B945AE">
              <w:rPr>
                <w:rStyle w:val="Hyperlink"/>
                <w:rFonts w:ascii="Arial" w:eastAsia="Times New Roman" w:hAnsi="Arial" w:cs="Arial"/>
                <w:noProof/>
                <w:sz w:val="22"/>
                <w:szCs w:val="22"/>
                <w:lang w:eastAsia="en-GB"/>
              </w:rPr>
              <w:t>The Role of Neurodivergence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_Toc215497338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0C371AE9" w14:textId="158534E7"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9" w:history="1">
            <w:r w:rsidRPr="00B945AE">
              <w:rPr>
                <w:rStyle w:val="Hyperlink"/>
                <w:rFonts w:ascii="Arial" w:eastAsia="Times New Roman" w:hAnsi="Arial" w:cs="Arial"/>
                <w:noProof/>
                <w:sz w:val="22"/>
                <w:szCs w:val="22"/>
                <w:lang w:eastAsia="en-GB"/>
              </w:rPr>
              <w:t>Challenges in Reclassification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_Toc215497339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39102567" w14:textId="0AEA4E41"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0" w:history="1">
            <w:r w:rsidRPr="00B945AE">
              <w:rPr>
                <w:rStyle w:val="Hyperlink"/>
                <w:rFonts w:ascii="Arial" w:eastAsia="Times New Roman" w:hAnsi="Arial" w:cs="Arial"/>
                <w:noProof/>
                <w:sz w:val="22"/>
                <w:szCs w:val="22"/>
                <w:lang w:eastAsia="en-GB"/>
              </w:rPr>
              <w:t>Implications for Practice and Policy</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_Toc215497340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3B77A235" w14:textId="070069BB"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1" w:history="1">
            <w:r w:rsidRPr="00B945AE">
              <w:rPr>
                <w:rStyle w:val="Hyperlink"/>
                <w:rFonts w:ascii="Arial" w:eastAsia="Times New Roman" w:hAnsi="Arial" w:cs="Arial"/>
                <w:b/>
                <w:bCs/>
                <w:noProof/>
                <w:sz w:val="22"/>
                <w:szCs w:val="22"/>
                <w:lang w:eastAsia="en-GB"/>
              </w:rPr>
              <w:t>Suggested Actions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_Toc215497341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77969129" w14:textId="25D0EF5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2" w:history="1">
            <w:r w:rsidRPr="00B945AE">
              <w:rPr>
                <w:rStyle w:val="Hyperlink"/>
                <w:rFonts w:ascii="Arial" w:eastAsia="Times New Roman" w:hAnsi="Arial" w:cs="Arial"/>
                <w:b/>
                <w:bCs/>
                <w:noProof/>
                <w:sz w:val="22"/>
                <w:szCs w:val="22"/>
                <w:lang w:eastAsia="en-GB"/>
              </w:rPr>
              <w:t>Conclusion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_Toc215497342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8</w:t>
            </w:r>
            <w:r w:rsidRPr="00B945AE">
              <w:rPr>
                <w:rFonts w:ascii="Arial" w:hAnsi="Arial" w:cs="Arial"/>
                <w:noProof/>
                <w:webHidden/>
                <w:sz w:val="22"/>
                <w:szCs w:val="22"/>
              </w:rPr>
              <w:fldChar w:fldCharType="end"/>
            </w:r>
          </w:hyperlink>
        </w:p>
        <w:p w14:paraId="664BBDCA" w14:textId="2F73E077"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3" w:history="1">
            <w:r w:rsidRPr="00B945AE">
              <w:rPr>
                <w:rStyle w:val="Hyperlink"/>
                <w:rFonts w:ascii="Arial" w:eastAsia="Times New Roman" w:hAnsi="Arial" w:cs="Arial"/>
                <w:b/>
                <w:bCs/>
                <w:noProof/>
                <w:kern w:val="0"/>
                <w:sz w:val="22"/>
                <w:szCs w:val="22"/>
                <w:lang w:eastAsia="en-GB"/>
                <w14:ligatures w14:val="none"/>
              </w:rPr>
              <w:t>References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_Toc215497343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8</w:t>
            </w:r>
            <w:r w:rsidRPr="00B945AE">
              <w:rPr>
                <w:rFonts w:ascii="Arial" w:hAnsi="Arial" w:cs="Arial"/>
                <w:noProof/>
                <w:webHidden/>
                <w:sz w:val="22"/>
                <w:szCs w:val="22"/>
              </w:rPr>
              <w:fldChar w:fldCharType="end"/>
            </w:r>
          </w:hyperlink>
        </w:p>
        <w:p w14:paraId="0A67B358" w14:textId="02BCDDCE" w:rsidR="00CB4029" w:rsidRDefault="00CB4029">
          <w:r>
            <w:rPr>
              <w:b/>
              <w:bCs/>
              <w:noProof/>
            </w:rPr>
            <w:fldChar w:fldCharType="end"/>
          </w:r>
        </w:p>
      </w:sdtContent>
    </w:sdt>
    <w:p w14:paraId="5810DE9E" w14:textId="77777777" w:rsidR="00D444A2" w:rsidRDefault="00D444A2"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EC8C579"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F3AFA5A"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F548419"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60F17F0"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1A542AF"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 w:name="_Toc215398345"/>
    </w:p>
    <w:p w14:paraId="00A6C128"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5AB7187"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9B4EE50" w14:textId="184CCEEF" w:rsidR="00E025C5" w:rsidRPr="00F609D9" w:rsidRDefault="00E025C5" w:rsidP="00F609D9">
      <w:pPr>
        <w:pStyle w:val="Heading2"/>
        <w:spacing w:line="360" w:lineRule="auto"/>
        <w:rPr>
          <w:rFonts w:ascii="Arial" w:eastAsia="Times New Roman" w:hAnsi="Arial" w:cs="Arial"/>
          <w:b/>
          <w:bCs/>
          <w:color w:val="auto"/>
          <w:sz w:val="22"/>
          <w:szCs w:val="22"/>
          <w:lang w:eastAsia="en-GB"/>
        </w:rPr>
      </w:pPr>
      <w:bookmarkStart w:id="2" w:name="_Toc215497327"/>
      <w:r w:rsidRPr="00F609D9">
        <w:rPr>
          <w:rFonts w:ascii="Arial" w:eastAsia="Times New Roman" w:hAnsi="Arial" w:cs="Arial"/>
          <w:b/>
          <w:bCs/>
          <w:color w:val="auto"/>
          <w:sz w:val="22"/>
          <w:szCs w:val="22"/>
          <w:lang w:eastAsia="en-GB"/>
        </w:rPr>
        <w:t>Introduction</w:t>
      </w:r>
      <w:bookmarkEnd w:id="1"/>
      <w:bookmarkEnd w:id="2"/>
    </w:p>
    <w:p w14:paraId="44CF6052" w14:textId="203CB6F8" w:rsidR="00644E9B" w:rsidRPr="00CC5E18" w:rsidRDefault="006E48E8"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The 11th edition of the International Classification of Diseases (ICD-11)</w:t>
      </w:r>
      <w:r w:rsidR="00644E9B" w:rsidRPr="00CC5E18">
        <w:rPr>
          <w:rFonts w:ascii="Arial" w:hAnsi="Arial" w:cs="Arial"/>
          <w:sz w:val="22"/>
          <w:szCs w:val="22"/>
          <w:lang w:eastAsia="en-GB"/>
        </w:rPr>
        <w:t xml:space="preserve"> represents a fundamental shift in how healthcare systems worldwide classify and diagnose </w:t>
      </w:r>
      <w:r w:rsidR="009658BA">
        <w:rPr>
          <w:rFonts w:ascii="Arial" w:hAnsi="Arial" w:cs="Arial"/>
          <w:sz w:val="22"/>
          <w:szCs w:val="22"/>
          <w:lang w:eastAsia="en-GB"/>
        </w:rPr>
        <w:t>psychological</w:t>
      </w:r>
      <w:r w:rsidR="00644E9B" w:rsidRPr="00CC5E18">
        <w:rPr>
          <w:rFonts w:ascii="Arial" w:hAnsi="Arial" w:cs="Arial"/>
          <w:sz w:val="22"/>
          <w:szCs w:val="22"/>
          <w:lang w:eastAsia="en-GB"/>
        </w:rPr>
        <w:t xml:space="preserve"> and behavioural disorders </w:t>
      </w:r>
      <w:r w:rsidR="00642422" w:rsidRPr="00CC5E18">
        <w:rPr>
          <w:rFonts w:ascii="Arial" w:hAnsi="Arial" w:cs="Arial"/>
          <w:sz w:val="22"/>
          <w:szCs w:val="22"/>
          <w:lang w:eastAsia="en-GB"/>
        </w:rPr>
        <w:t>(World Health Organization, 2022</w:t>
      </w:r>
      <w:r w:rsidR="00F71EC6" w:rsidRPr="00CC5E18">
        <w:rPr>
          <w:rFonts w:ascii="Arial" w:hAnsi="Arial" w:cs="Arial"/>
          <w:sz w:val="22"/>
          <w:szCs w:val="22"/>
          <w:lang w:eastAsia="en-GB"/>
        </w:rPr>
        <w:t>). This</w:t>
      </w:r>
      <w:r w:rsidR="00644E9B" w:rsidRPr="00CC5E18">
        <w:rPr>
          <w:rFonts w:ascii="Arial" w:hAnsi="Arial" w:cs="Arial"/>
          <w:sz w:val="22"/>
          <w:szCs w:val="22"/>
          <w:lang w:eastAsia="en-GB"/>
        </w:rPr>
        <w:t xml:space="preserve"> report examines autism spectrum disorder (ASD), classified as 6A02 under neurodevelopmental disorders in ICD-11. A more comprehensive, person-centred</w:t>
      </w:r>
      <w:r w:rsidR="007715D9" w:rsidRPr="00CC5E18">
        <w:rPr>
          <w:rFonts w:ascii="Arial" w:hAnsi="Arial" w:cs="Arial"/>
          <w:sz w:val="22"/>
          <w:szCs w:val="22"/>
          <w:lang w:eastAsia="en-GB"/>
        </w:rPr>
        <w:t xml:space="preserve"> </w:t>
      </w:r>
      <w:r w:rsidR="00644E9B" w:rsidRPr="00CC5E18">
        <w:rPr>
          <w:rFonts w:ascii="Arial" w:hAnsi="Arial" w:cs="Arial"/>
          <w:sz w:val="22"/>
          <w:szCs w:val="22"/>
          <w:lang w:eastAsia="en-GB"/>
        </w:rPr>
        <w:t>and broad knowledge of neurodevelopmental disorders is reflected in this classification, which represents a major improvement over the previous ICD-10 approach</w:t>
      </w:r>
      <w:r w:rsidR="000A722D" w:rsidRPr="00CC5E18">
        <w:rPr>
          <w:rFonts w:ascii="Arial" w:hAnsi="Arial" w:cs="Arial"/>
          <w:sz w:val="22"/>
          <w:szCs w:val="22"/>
        </w:rPr>
        <w:t xml:space="preserve"> (</w:t>
      </w:r>
      <w:r w:rsidR="000A722D" w:rsidRPr="00CC5E18">
        <w:rPr>
          <w:rFonts w:ascii="Arial" w:hAnsi="Arial" w:cs="Arial"/>
          <w:sz w:val="22"/>
          <w:szCs w:val="22"/>
          <w:lang w:eastAsia="en-GB"/>
        </w:rPr>
        <w:t xml:space="preserve">Zigic, et al. 2023). </w:t>
      </w:r>
      <w:r w:rsidR="00771F9B" w:rsidRPr="00CC5E18">
        <w:rPr>
          <w:rFonts w:ascii="Arial" w:hAnsi="Arial" w:cs="Arial"/>
          <w:sz w:val="22"/>
          <w:szCs w:val="22"/>
          <w:lang w:eastAsia="en-GB"/>
        </w:rPr>
        <w:t>It</w:t>
      </w:r>
      <w:r w:rsidR="00644E9B" w:rsidRPr="00CC5E18">
        <w:rPr>
          <w:rFonts w:ascii="Arial" w:hAnsi="Arial" w:cs="Arial"/>
          <w:sz w:val="22"/>
          <w:szCs w:val="22"/>
          <w:lang w:eastAsia="en-GB"/>
        </w:rPr>
        <w:t xml:space="preserve"> explores how this classification shapes diagnosis, treatment and the lived experiences of autistic individuals. ICD-11 promotes greater diagnostic accuracy and fosters approaches that are both culturally and individually sensitive by recognising the wide diversity of autistic experiences. The report draws on current research, clinical practice, and the evolving neurodiversity movement to provide actionable insights for practitioners, policymakers and researchers. This demonstrates how the ICD-11 framework affects the accessibility of care, the delivery of services, and public attitudes towards autism, while also aligning with global mental health standards</w:t>
      </w:r>
      <w:r w:rsidR="00B67E55" w:rsidRPr="00CC5E18">
        <w:rPr>
          <w:rFonts w:ascii="Arial" w:eastAsia="Times New Roman" w:hAnsi="Arial" w:cs="Arial"/>
          <w:kern w:val="0"/>
          <w:sz w:val="22"/>
          <w:szCs w:val="22"/>
          <w:lang w:eastAsia="en-GB"/>
          <w14:ligatures w14:val="none"/>
        </w:rPr>
        <w:t xml:space="preserve"> (Malik-Soni, </w:t>
      </w:r>
      <w:r w:rsidR="00B67E55" w:rsidRPr="001E7F7A">
        <w:rPr>
          <w:rFonts w:ascii="Arial" w:eastAsia="Times New Roman" w:hAnsi="Arial" w:cs="Arial"/>
          <w:kern w:val="0"/>
          <w:sz w:val="22"/>
          <w:szCs w:val="22"/>
          <w:lang w:eastAsia="en-GB"/>
          <w14:ligatures w14:val="none"/>
        </w:rPr>
        <w:t>et al</w:t>
      </w:r>
      <w:r w:rsidR="00B67E55" w:rsidRPr="00CC5E18">
        <w:rPr>
          <w:rFonts w:ascii="Arial" w:eastAsia="Times New Roman" w:hAnsi="Arial" w:cs="Arial"/>
          <w:i/>
          <w:iCs/>
          <w:kern w:val="0"/>
          <w:sz w:val="22"/>
          <w:szCs w:val="22"/>
          <w:lang w:eastAsia="en-GB"/>
          <w14:ligatures w14:val="none"/>
        </w:rPr>
        <w:t>.</w:t>
      </w:r>
      <w:r w:rsidR="00B67E55" w:rsidRPr="00CC5E18">
        <w:rPr>
          <w:rFonts w:ascii="Arial" w:eastAsia="Times New Roman" w:hAnsi="Arial" w:cs="Arial"/>
          <w:kern w:val="0"/>
          <w:sz w:val="22"/>
          <w:szCs w:val="22"/>
          <w:lang w:eastAsia="en-GB"/>
          <w14:ligatures w14:val="none"/>
        </w:rPr>
        <w:t xml:space="preserve"> 2022)</w:t>
      </w:r>
      <w:r w:rsidR="00644E9B" w:rsidRPr="00CC5E18">
        <w:rPr>
          <w:rFonts w:ascii="Arial" w:hAnsi="Arial" w:cs="Arial"/>
          <w:sz w:val="22"/>
          <w:szCs w:val="22"/>
          <w:lang w:eastAsia="en-GB"/>
        </w:rPr>
        <w:t>. To promote a more fair and compassionate approach to autism globally, this discussion highlights the significance of inclusive diagnostic systems that emphasise both lived experiences and scientific validity.</w:t>
      </w:r>
    </w:p>
    <w:p w14:paraId="72C784C0" w14:textId="77777777" w:rsidR="00E025C5" w:rsidRPr="00F609D9" w:rsidRDefault="00E025C5" w:rsidP="00F609D9">
      <w:pPr>
        <w:pStyle w:val="Heading2"/>
        <w:spacing w:line="360" w:lineRule="auto"/>
        <w:rPr>
          <w:rFonts w:ascii="Arial" w:eastAsia="Times New Roman" w:hAnsi="Arial" w:cs="Arial"/>
          <w:b/>
          <w:bCs/>
          <w:color w:val="auto"/>
          <w:sz w:val="22"/>
          <w:szCs w:val="22"/>
          <w:lang w:eastAsia="en-GB"/>
        </w:rPr>
      </w:pPr>
      <w:bookmarkStart w:id="3" w:name="_Toc215398346"/>
      <w:bookmarkStart w:id="4" w:name="_Toc215497328"/>
      <w:r w:rsidRPr="00F609D9">
        <w:rPr>
          <w:rFonts w:ascii="Arial" w:eastAsia="Times New Roman" w:hAnsi="Arial" w:cs="Arial"/>
          <w:b/>
          <w:bCs/>
          <w:color w:val="auto"/>
          <w:sz w:val="22"/>
          <w:szCs w:val="22"/>
          <w:lang w:eastAsia="en-GB"/>
        </w:rPr>
        <w:t>Classification and Diagnosis</w:t>
      </w:r>
      <w:bookmarkEnd w:id="3"/>
      <w:bookmarkEnd w:id="4"/>
    </w:p>
    <w:p w14:paraId="6B3CA592" w14:textId="6CE9DDCC" w:rsidR="00E025C5" w:rsidRPr="00F609D9" w:rsidRDefault="003D1983" w:rsidP="00F609D9">
      <w:pPr>
        <w:pStyle w:val="Heading2"/>
        <w:spacing w:line="360" w:lineRule="auto"/>
        <w:rPr>
          <w:rFonts w:ascii="Arial" w:hAnsi="Arial" w:cs="Arial"/>
          <w:color w:val="auto"/>
          <w:sz w:val="22"/>
          <w:szCs w:val="22"/>
          <w:lang w:eastAsia="en-GB"/>
        </w:rPr>
      </w:pPr>
      <w:bookmarkStart w:id="5" w:name="_Toc215497329"/>
      <w:r w:rsidRPr="00F609D9">
        <w:rPr>
          <w:rFonts w:ascii="Arial" w:hAnsi="Arial" w:cs="Arial"/>
          <w:color w:val="auto"/>
          <w:sz w:val="22"/>
          <w:szCs w:val="22"/>
          <w:lang w:eastAsia="en-GB"/>
        </w:rPr>
        <w:t>Structure of the ICD-11 Classification System</w:t>
      </w:r>
      <w:bookmarkEnd w:id="5"/>
    </w:p>
    <w:p w14:paraId="3811DB9A" w14:textId="18C097FE" w:rsidR="00223938" w:rsidRPr="00CC5E18" w:rsidRDefault="00215623" w:rsidP="0061203D">
      <w:pPr>
        <w:spacing w:line="360" w:lineRule="auto"/>
        <w:jc w:val="both"/>
        <w:rPr>
          <w:rFonts w:ascii="Arial" w:hAnsi="Arial" w:cs="Arial"/>
          <w:color w:val="000000" w:themeColor="text1"/>
          <w:sz w:val="22"/>
          <w:szCs w:val="22"/>
        </w:rPr>
      </w:pPr>
      <w:r w:rsidRPr="00CC5E18">
        <w:rPr>
          <w:rFonts w:ascii="Arial" w:hAnsi="Arial" w:cs="Arial"/>
          <w:sz w:val="22"/>
          <w:szCs w:val="22"/>
        </w:rPr>
        <w:t>ICD-11 categorises autism spectrum disorder (ASD) under code 6A02 within the broader neurodevelopmental disorders chapter</w:t>
      </w:r>
      <w:r w:rsidR="00215047" w:rsidRPr="00CC5E18">
        <w:rPr>
          <w:rFonts w:ascii="Arial" w:hAnsi="Arial" w:cs="Arial"/>
          <w:sz w:val="22"/>
          <w:szCs w:val="22"/>
        </w:rPr>
        <w:t xml:space="preserve"> </w:t>
      </w:r>
      <w:r w:rsidR="00972955" w:rsidRPr="00CC5E18">
        <w:rPr>
          <w:rFonts w:ascii="Arial" w:hAnsi="Arial" w:cs="Arial"/>
          <w:sz w:val="22"/>
          <w:szCs w:val="22"/>
          <w:lang w:eastAsia="en-GB"/>
        </w:rPr>
        <w:t xml:space="preserve">(World Health Organization, 2022). </w:t>
      </w:r>
      <w:r w:rsidR="00FA4E64" w:rsidRPr="00CC5E18">
        <w:rPr>
          <w:rFonts w:ascii="Arial" w:hAnsi="Arial" w:cs="Arial"/>
          <w:color w:val="EE0000"/>
          <w:sz w:val="22"/>
          <w:szCs w:val="22"/>
        </w:rPr>
        <w:t xml:space="preserve"> </w:t>
      </w:r>
      <w:r w:rsidRPr="00CC5E18">
        <w:rPr>
          <w:rFonts w:ascii="Arial" w:hAnsi="Arial" w:cs="Arial"/>
          <w:sz w:val="22"/>
          <w:szCs w:val="22"/>
        </w:rPr>
        <w:t>This classification marks a significant departure from ICD-10, which divided autism into distinct subcategories including childhood autism, Asperger syndrome and pervasive developmental disorder</w:t>
      </w:r>
      <w:r w:rsidR="00FA4E64" w:rsidRPr="00CC5E18">
        <w:rPr>
          <w:rFonts w:ascii="Arial" w:hAnsi="Arial" w:cs="Arial"/>
          <w:sz w:val="22"/>
          <w:szCs w:val="22"/>
        </w:rPr>
        <w:t xml:space="preserve"> </w:t>
      </w:r>
      <w:r w:rsidR="005A099B" w:rsidRPr="00CC5E18">
        <w:rPr>
          <w:rFonts w:ascii="Arial" w:hAnsi="Arial" w:cs="Arial"/>
          <w:sz w:val="22"/>
          <w:szCs w:val="22"/>
        </w:rPr>
        <w:t>(World Health Organization, 2019).</w:t>
      </w:r>
      <w:r w:rsidRPr="00CC5E18">
        <w:rPr>
          <w:rFonts w:ascii="Arial" w:hAnsi="Arial" w:cs="Arial"/>
          <w:color w:val="EE0000"/>
          <w:sz w:val="22"/>
          <w:szCs w:val="22"/>
        </w:rPr>
        <w:t xml:space="preserve"> </w:t>
      </w:r>
      <w:r w:rsidRPr="00CC5E18">
        <w:rPr>
          <w:rFonts w:ascii="Arial" w:hAnsi="Arial" w:cs="Arial"/>
          <w:sz w:val="22"/>
          <w:szCs w:val="22"/>
        </w:rPr>
        <w:t>In this revised framework, distinct diagnostic labels are replaced by a single, inclusive spectrum model that recognises autism as a condition with multiple levels of support.</w:t>
      </w:r>
      <w:r w:rsidR="00A0411B" w:rsidRPr="00CC5E18">
        <w:rPr>
          <w:rFonts w:ascii="Arial" w:hAnsi="Arial" w:cs="Arial"/>
          <w:sz w:val="22"/>
          <w:szCs w:val="22"/>
        </w:rPr>
        <w:t xml:space="preserve"> For a person to be diagnosed, they must consistently exhibit </w:t>
      </w:r>
      <w:r w:rsidR="003022F5" w:rsidRPr="00CC5E18">
        <w:rPr>
          <w:rFonts w:ascii="Arial" w:hAnsi="Arial" w:cs="Arial"/>
          <w:sz w:val="22"/>
          <w:szCs w:val="22"/>
        </w:rPr>
        <w:t xml:space="preserve">specific </w:t>
      </w:r>
      <w:r w:rsidR="008F2C7F" w:rsidRPr="00CC5E18">
        <w:rPr>
          <w:rFonts w:ascii="Arial" w:hAnsi="Arial" w:cs="Arial"/>
          <w:sz w:val="22"/>
          <w:szCs w:val="22"/>
        </w:rPr>
        <w:t xml:space="preserve">characteristics such as </w:t>
      </w:r>
      <w:r w:rsidR="00A0411B" w:rsidRPr="00CC5E18">
        <w:rPr>
          <w:rFonts w:ascii="Arial" w:hAnsi="Arial" w:cs="Arial"/>
          <w:sz w:val="22"/>
          <w:szCs w:val="22"/>
        </w:rPr>
        <w:t xml:space="preserve">social </w:t>
      </w:r>
      <w:r w:rsidR="00FB062A">
        <w:rPr>
          <w:rFonts w:ascii="Arial" w:hAnsi="Arial" w:cs="Arial"/>
          <w:sz w:val="22"/>
          <w:szCs w:val="22"/>
        </w:rPr>
        <w:t>communication</w:t>
      </w:r>
      <w:r w:rsidR="00387DDA">
        <w:rPr>
          <w:rFonts w:ascii="Arial" w:hAnsi="Arial" w:cs="Arial"/>
          <w:sz w:val="22"/>
          <w:szCs w:val="22"/>
        </w:rPr>
        <w:t xml:space="preserve"> s</w:t>
      </w:r>
      <w:r w:rsidR="00414093">
        <w:rPr>
          <w:rFonts w:ascii="Arial" w:hAnsi="Arial" w:cs="Arial"/>
          <w:sz w:val="22"/>
          <w:szCs w:val="22"/>
        </w:rPr>
        <w:t>kills</w:t>
      </w:r>
      <w:r w:rsidR="00A0411B" w:rsidRPr="00CC5E18">
        <w:rPr>
          <w:rFonts w:ascii="Arial" w:hAnsi="Arial" w:cs="Arial"/>
          <w:sz w:val="22"/>
          <w:szCs w:val="22"/>
        </w:rPr>
        <w:t xml:space="preserve"> and restrict</w:t>
      </w:r>
      <w:r w:rsidR="00087BAB">
        <w:rPr>
          <w:rFonts w:ascii="Arial" w:hAnsi="Arial" w:cs="Arial"/>
          <w:sz w:val="22"/>
          <w:szCs w:val="22"/>
        </w:rPr>
        <w:t>ed</w:t>
      </w:r>
      <w:r w:rsidR="00A0411B" w:rsidRPr="00CC5E18">
        <w:rPr>
          <w:rFonts w:ascii="Arial" w:hAnsi="Arial" w:cs="Arial"/>
          <w:sz w:val="22"/>
          <w:szCs w:val="22"/>
        </w:rPr>
        <w:t xml:space="preserve">, recurrent </w:t>
      </w:r>
      <w:r w:rsidR="000340CF">
        <w:rPr>
          <w:rFonts w:ascii="Arial" w:hAnsi="Arial" w:cs="Arial"/>
          <w:sz w:val="22"/>
          <w:szCs w:val="22"/>
        </w:rPr>
        <w:t>form</w:t>
      </w:r>
      <w:r w:rsidR="005D040D">
        <w:rPr>
          <w:rFonts w:ascii="Arial" w:hAnsi="Arial" w:cs="Arial"/>
          <w:sz w:val="22"/>
          <w:szCs w:val="22"/>
        </w:rPr>
        <w:t>s</w:t>
      </w:r>
      <w:r w:rsidR="00A0411B" w:rsidRPr="00CC5E18">
        <w:rPr>
          <w:rFonts w:ascii="Arial" w:hAnsi="Arial" w:cs="Arial"/>
          <w:sz w:val="22"/>
          <w:szCs w:val="22"/>
        </w:rPr>
        <w:t xml:space="preserve"> of behaviour, interests, or hobbies.</w:t>
      </w:r>
      <w:r w:rsidRPr="00CC5E18">
        <w:rPr>
          <w:rFonts w:ascii="Arial" w:hAnsi="Arial" w:cs="Arial"/>
          <w:sz w:val="22"/>
          <w:szCs w:val="22"/>
        </w:rPr>
        <w:t xml:space="preserve"> (Tajik-</w:t>
      </w:r>
      <w:proofErr w:type="spellStart"/>
      <w:r w:rsidRPr="00CC5E18">
        <w:rPr>
          <w:rFonts w:ascii="Arial" w:hAnsi="Arial" w:cs="Arial"/>
          <w:sz w:val="22"/>
          <w:szCs w:val="22"/>
        </w:rPr>
        <w:t>Parvinchi</w:t>
      </w:r>
      <w:proofErr w:type="spellEnd"/>
      <w:r w:rsidRPr="00CC5E18">
        <w:rPr>
          <w:rFonts w:ascii="Arial" w:hAnsi="Arial" w:cs="Arial"/>
          <w:sz w:val="22"/>
          <w:szCs w:val="22"/>
        </w:rPr>
        <w:t xml:space="preserve"> et al., 2021). These</w:t>
      </w:r>
      <w:r w:rsidR="00303103" w:rsidRPr="00CC5E18">
        <w:rPr>
          <w:rFonts w:ascii="Arial" w:hAnsi="Arial" w:cs="Arial"/>
          <w:sz w:val="22"/>
          <w:szCs w:val="22"/>
        </w:rPr>
        <w:t xml:space="preserve"> </w:t>
      </w:r>
      <w:r w:rsidR="00DC3869" w:rsidRPr="00CC5E18">
        <w:rPr>
          <w:rFonts w:ascii="Arial" w:hAnsi="Arial" w:cs="Arial"/>
          <w:sz w:val="22"/>
          <w:szCs w:val="22"/>
        </w:rPr>
        <w:t xml:space="preserve">characteristics </w:t>
      </w:r>
      <w:r w:rsidRPr="00CC5E18">
        <w:rPr>
          <w:rFonts w:ascii="Arial" w:hAnsi="Arial" w:cs="Arial"/>
          <w:sz w:val="22"/>
          <w:szCs w:val="22"/>
        </w:rPr>
        <w:t xml:space="preserve">must manifest </w:t>
      </w:r>
      <w:r w:rsidR="007F0301" w:rsidRPr="00CC5E18">
        <w:rPr>
          <w:rFonts w:ascii="Arial" w:hAnsi="Arial" w:cs="Arial"/>
          <w:sz w:val="22"/>
          <w:szCs w:val="22"/>
        </w:rPr>
        <w:t>throughout</w:t>
      </w:r>
      <w:r w:rsidRPr="00CC5E18">
        <w:rPr>
          <w:rFonts w:ascii="Arial" w:hAnsi="Arial" w:cs="Arial"/>
          <w:sz w:val="22"/>
          <w:szCs w:val="22"/>
        </w:rPr>
        <w:t xml:space="preserve"> the </w:t>
      </w:r>
      <w:r w:rsidR="007F0301" w:rsidRPr="00CC5E18">
        <w:rPr>
          <w:rFonts w:ascii="Arial" w:hAnsi="Arial" w:cs="Arial"/>
          <w:sz w:val="22"/>
          <w:szCs w:val="22"/>
        </w:rPr>
        <w:t>progressive</w:t>
      </w:r>
      <w:r w:rsidRPr="00CC5E18">
        <w:rPr>
          <w:rFonts w:ascii="Arial" w:hAnsi="Arial" w:cs="Arial"/>
          <w:sz w:val="22"/>
          <w:szCs w:val="22"/>
        </w:rPr>
        <w:t xml:space="preserve"> </w:t>
      </w:r>
      <w:r w:rsidR="00C770B4" w:rsidRPr="00CC5E18">
        <w:rPr>
          <w:rFonts w:ascii="Arial" w:hAnsi="Arial" w:cs="Arial"/>
          <w:sz w:val="22"/>
          <w:szCs w:val="22"/>
        </w:rPr>
        <w:t>stage</w:t>
      </w:r>
      <w:r w:rsidRPr="00CC5E18">
        <w:rPr>
          <w:rFonts w:ascii="Arial" w:hAnsi="Arial" w:cs="Arial"/>
          <w:sz w:val="22"/>
          <w:szCs w:val="22"/>
        </w:rPr>
        <w:t xml:space="preserve"> </w:t>
      </w:r>
      <w:r w:rsidR="00FA6B11" w:rsidRPr="00CC5E18">
        <w:rPr>
          <w:rFonts w:ascii="Arial" w:hAnsi="Arial" w:cs="Arial"/>
          <w:sz w:val="22"/>
          <w:szCs w:val="22"/>
        </w:rPr>
        <w:t>usually</w:t>
      </w:r>
      <w:r w:rsidRPr="00CC5E18">
        <w:rPr>
          <w:rFonts w:ascii="Arial" w:hAnsi="Arial" w:cs="Arial"/>
          <w:sz w:val="22"/>
          <w:szCs w:val="22"/>
        </w:rPr>
        <w:t xml:space="preserve"> becoming apparent in early </w:t>
      </w:r>
      <w:r w:rsidR="00A03F0F" w:rsidRPr="00CC5E18">
        <w:rPr>
          <w:rFonts w:ascii="Arial" w:hAnsi="Arial" w:cs="Arial"/>
          <w:sz w:val="22"/>
          <w:szCs w:val="22"/>
        </w:rPr>
        <w:t>years</w:t>
      </w:r>
      <w:r w:rsidRPr="00CC5E18">
        <w:rPr>
          <w:rFonts w:ascii="Arial" w:hAnsi="Arial" w:cs="Arial"/>
          <w:sz w:val="22"/>
          <w:szCs w:val="22"/>
        </w:rPr>
        <w:t>, though they</w:t>
      </w:r>
      <w:r w:rsidR="00FA0E25" w:rsidRPr="00CC5E18">
        <w:rPr>
          <w:rFonts w:ascii="Arial" w:hAnsi="Arial" w:cs="Arial"/>
          <w:sz w:val="22"/>
          <w:szCs w:val="22"/>
        </w:rPr>
        <w:t xml:space="preserve"> might not entirely</w:t>
      </w:r>
      <w:r w:rsidRPr="00CC5E18">
        <w:rPr>
          <w:rFonts w:ascii="Arial" w:hAnsi="Arial" w:cs="Arial"/>
          <w:sz w:val="22"/>
          <w:szCs w:val="22"/>
        </w:rPr>
        <w:t xml:space="preserve"> reveal themselves until social </w:t>
      </w:r>
      <w:r w:rsidR="00015A7F" w:rsidRPr="00CC5E18">
        <w:rPr>
          <w:rFonts w:ascii="Arial" w:hAnsi="Arial" w:cs="Arial"/>
          <w:sz w:val="22"/>
          <w:szCs w:val="22"/>
        </w:rPr>
        <w:t>expectations</w:t>
      </w:r>
      <w:r w:rsidRPr="00CC5E18">
        <w:rPr>
          <w:rFonts w:ascii="Arial" w:hAnsi="Arial" w:cs="Arial"/>
          <w:sz w:val="22"/>
          <w:szCs w:val="22"/>
        </w:rPr>
        <w:t xml:space="preserve"> exceed the person’s </w:t>
      </w:r>
      <w:r w:rsidR="00C845E0" w:rsidRPr="00CC5E18">
        <w:rPr>
          <w:rFonts w:ascii="Arial" w:hAnsi="Arial" w:cs="Arial"/>
          <w:sz w:val="22"/>
          <w:szCs w:val="22"/>
        </w:rPr>
        <w:t>abilities.</w:t>
      </w:r>
      <w:r w:rsidRPr="00CC5E18">
        <w:rPr>
          <w:rFonts w:ascii="Arial" w:hAnsi="Arial" w:cs="Arial"/>
          <w:sz w:val="22"/>
          <w:szCs w:val="22"/>
        </w:rPr>
        <w:t xml:space="preserve"> ICD-11 also introduces essential specifiers which include intellectual functioning level, language ability, and</w:t>
      </w:r>
      <w:r w:rsidR="00774383" w:rsidRPr="00CC5E18">
        <w:rPr>
          <w:rFonts w:ascii="Arial" w:hAnsi="Arial" w:cs="Arial"/>
          <w:sz w:val="22"/>
          <w:szCs w:val="22"/>
        </w:rPr>
        <w:t xml:space="preserve"> any co</w:t>
      </w:r>
      <w:r w:rsidR="002949FF" w:rsidRPr="00CC5E18">
        <w:rPr>
          <w:rFonts w:ascii="Arial" w:hAnsi="Arial" w:cs="Arial"/>
          <w:sz w:val="22"/>
          <w:szCs w:val="22"/>
        </w:rPr>
        <w:t>-</w:t>
      </w:r>
      <w:r w:rsidR="00774383" w:rsidRPr="00CC5E18">
        <w:rPr>
          <w:rFonts w:ascii="Arial" w:hAnsi="Arial" w:cs="Arial"/>
          <w:sz w:val="22"/>
          <w:szCs w:val="22"/>
        </w:rPr>
        <w:t xml:space="preserve"> exi</w:t>
      </w:r>
      <w:r w:rsidR="002949FF" w:rsidRPr="00CC5E18">
        <w:rPr>
          <w:rFonts w:ascii="Arial" w:hAnsi="Arial" w:cs="Arial"/>
          <w:sz w:val="22"/>
          <w:szCs w:val="22"/>
        </w:rPr>
        <w:t>sting conditions</w:t>
      </w:r>
      <w:r w:rsidR="00FB573F" w:rsidRPr="00CC5E18">
        <w:rPr>
          <w:rFonts w:ascii="Arial" w:hAnsi="Arial" w:cs="Arial"/>
          <w:color w:val="EE0000"/>
          <w:sz w:val="22"/>
          <w:szCs w:val="22"/>
        </w:rPr>
        <w:t xml:space="preserve"> </w:t>
      </w:r>
      <w:r w:rsidR="005A099B" w:rsidRPr="00CC5E18">
        <w:rPr>
          <w:rFonts w:ascii="Arial" w:hAnsi="Arial" w:cs="Arial"/>
          <w:sz w:val="22"/>
          <w:szCs w:val="22"/>
          <w:lang w:eastAsia="en-GB"/>
        </w:rPr>
        <w:t xml:space="preserve">(World Health Organization, 2022). </w:t>
      </w:r>
      <w:r w:rsidRPr="00CC5E18">
        <w:rPr>
          <w:rFonts w:ascii="Arial" w:hAnsi="Arial" w:cs="Arial"/>
          <w:color w:val="EE0000"/>
          <w:sz w:val="22"/>
          <w:szCs w:val="22"/>
        </w:rPr>
        <w:t xml:space="preserve"> </w:t>
      </w:r>
      <w:r w:rsidR="000960AA" w:rsidRPr="00CC5E18">
        <w:rPr>
          <w:rFonts w:ascii="Arial" w:hAnsi="Arial" w:cs="Arial"/>
          <w:color w:val="000000" w:themeColor="text1"/>
          <w:sz w:val="22"/>
          <w:szCs w:val="22"/>
        </w:rPr>
        <w:t xml:space="preserve">Autism is a spectrum which means that </w:t>
      </w:r>
      <w:r w:rsidR="0020043B" w:rsidRPr="00CC5E18">
        <w:rPr>
          <w:rFonts w:ascii="Arial" w:hAnsi="Arial" w:cs="Arial"/>
          <w:color w:val="000000" w:themeColor="text1"/>
          <w:sz w:val="22"/>
          <w:szCs w:val="22"/>
        </w:rPr>
        <w:t>it affects people in different way</w:t>
      </w:r>
      <w:r w:rsidR="004B0E81" w:rsidRPr="00CC5E18">
        <w:rPr>
          <w:rFonts w:ascii="Arial" w:hAnsi="Arial" w:cs="Arial"/>
          <w:color w:val="000000" w:themeColor="text1"/>
          <w:sz w:val="22"/>
          <w:szCs w:val="22"/>
        </w:rPr>
        <w:t>s</w:t>
      </w:r>
      <w:r w:rsidR="0020043B" w:rsidRPr="00CC5E18">
        <w:rPr>
          <w:rFonts w:ascii="Arial" w:hAnsi="Arial" w:cs="Arial"/>
          <w:color w:val="000000" w:themeColor="text1"/>
          <w:sz w:val="22"/>
          <w:szCs w:val="22"/>
        </w:rPr>
        <w:t xml:space="preserve">. </w:t>
      </w:r>
    </w:p>
    <w:p w14:paraId="1D8BB927" w14:textId="3C7AD798" w:rsidR="00DD21CC" w:rsidRPr="00D63BFA" w:rsidRDefault="00215623" w:rsidP="00607E47">
      <w:pPr>
        <w:spacing w:line="360" w:lineRule="auto"/>
        <w:jc w:val="both"/>
        <w:rPr>
          <w:rFonts w:ascii="Arial" w:hAnsi="Arial" w:cs="Arial"/>
          <w:color w:val="000000" w:themeColor="text1"/>
          <w:sz w:val="22"/>
          <w:szCs w:val="22"/>
        </w:rPr>
      </w:pPr>
      <w:r w:rsidRPr="00CC5E18">
        <w:rPr>
          <w:rFonts w:ascii="Arial" w:hAnsi="Arial" w:cs="Arial"/>
          <w:color w:val="000000" w:themeColor="text1"/>
          <w:sz w:val="22"/>
          <w:szCs w:val="22"/>
        </w:rPr>
        <w:lastRenderedPageBreak/>
        <w:t xml:space="preserve">For example, one individual may be diagnosed with autism with intellectual impairment and without functional language, while another may </w:t>
      </w:r>
      <w:r w:rsidR="007E161E">
        <w:rPr>
          <w:rFonts w:ascii="Arial" w:hAnsi="Arial" w:cs="Arial"/>
          <w:color w:val="000000" w:themeColor="text1"/>
          <w:sz w:val="22"/>
          <w:szCs w:val="22"/>
        </w:rPr>
        <w:t>have no</w:t>
      </w:r>
      <w:r w:rsidRPr="00CC5E18">
        <w:rPr>
          <w:rFonts w:ascii="Arial" w:hAnsi="Arial" w:cs="Arial"/>
          <w:color w:val="000000" w:themeColor="text1"/>
          <w:sz w:val="22"/>
          <w:szCs w:val="22"/>
        </w:rPr>
        <w:t xml:space="preserve"> intellectual impairment and with fluent language.</w:t>
      </w:r>
      <w:r w:rsidRPr="00CC5E18">
        <w:rPr>
          <w:rFonts w:ascii="Arial" w:hAnsi="Arial" w:cs="Arial"/>
          <w:b/>
          <w:bCs/>
          <w:color w:val="000000" w:themeColor="text1"/>
          <w:sz w:val="22"/>
          <w:szCs w:val="22"/>
        </w:rPr>
        <w:t xml:space="preserve"> </w:t>
      </w:r>
      <w:r w:rsidRPr="00CC5E18">
        <w:rPr>
          <w:rFonts w:ascii="Arial" w:hAnsi="Arial" w:cs="Arial"/>
          <w:color w:val="000000" w:themeColor="text1"/>
          <w:sz w:val="22"/>
          <w:szCs w:val="22"/>
        </w:rPr>
        <w:t>This level of specificity enhances diagnostic precision and supports more individualised intervention planning</w:t>
      </w:r>
      <w:r w:rsidR="00CB25AF">
        <w:rPr>
          <w:rFonts w:ascii="Arial" w:hAnsi="Arial" w:cs="Arial"/>
          <w:color w:val="000000" w:themeColor="text1"/>
          <w:sz w:val="22"/>
          <w:szCs w:val="22"/>
        </w:rPr>
        <w:t xml:space="preserve"> </w:t>
      </w:r>
      <w:r w:rsidR="00CB25AF" w:rsidRPr="00CB25AF">
        <w:rPr>
          <w:rFonts w:ascii="Arial" w:hAnsi="Arial" w:cs="Arial"/>
          <w:color w:val="000000" w:themeColor="text1"/>
          <w:sz w:val="22"/>
          <w:szCs w:val="22"/>
        </w:rPr>
        <w:t>(Sturrock et al., 2023)</w:t>
      </w:r>
      <w:r w:rsidR="00607E47">
        <w:rPr>
          <w:rFonts w:ascii="Arial" w:hAnsi="Arial" w:cs="Arial"/>
          <w:color w:val="000000" w:themeColor="text1"/>
          <w:sz w:val="22"/>
          <w:szCs w:val="22"/>
        </w:rPr>
        <w:t>.</w:t>
      </w:r>
      <w:r w:rsidR="00C231D2" w:rsidRPr="00CC5E18">
        <w:rPr>
          <w:rFonts w:ascii="Arial" w:hAnsi="Arial" w:cs="Arial"/>
          <w:sz w:val="22"/>
          <w:szCs w:val="22"/>
        </w:rPr>
        <w:t xml:space="preserve"> </w:t>
      </w:r>
    </w:p>
    <w:p w14:paraId="1AE730A1" w14:textId="5BB37934" w:rsidR="00E025C5" w:rsidRPr="00F609D9" w:rsidRDefault="00C34CFA" w:rsidP="000E2ADC">
      <w:pPr>
        <w:pStyle w:val="Heading2"/>
        <w:spacing w:line="360" w:lineRule="auto"/>
        <w:rPr>
          <w:rFonts w:ascii="Arial" w:eastAsia="Times New Roman" w:hAnsi="Arial" w:cs="Arial"/>
          <w:color w:val="auto"/>
          <w:sz w:val="22"/>
          <w:szCs w:val="22"/>
          <w:lang w:eastAsia="en-GB"/>
        </w:rPr>
      </w:pPr>
      <w:bookmarkStart w:id="6" w:name="_Toc215398347"/>
      <w:bookmarkStart w:id="7" w:name="_Toc215497330"/>
      <w:r w:rsidRPr="00F609D9">
        <w:rPr>
          <w:rFonts w:ascii="Arial" w:eastAsia="Times New Roman" w:hAnsi="Arial" w:cs="Arial"/>
          <w:color w:val="auto"/>
          <w:sz w:val="22"/>
          <w:szCs w:val="22"/>
          <w:lang w:eastAsia="en-GB"/>
        </w:rPr>
        <w:t>Diagnostic Standards and Procedures</w:t>
      </w:r>
      <w:bookmarkEnd w:id="6"/>
      <w:bookmarkEnd w:id="7"/>
    </w:p>
    <w:p w14:paraId="75DA3E8B" w14:textId="76601D66" w:rsidR="00E025C5" w:rsidRPr="00CC5E18" w:rsidRDefault="00E025C5"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The diagnostic process for ASD under ICD-11 requires comprehensive assessment across multiple settings and informants. You cannot diagnose autism from a single observation or brief clinical interview. The World Health </w:t>
      </w:r>
      <w:r w:rsidR="005B76E6" w:rsidRPr="00CC5E18">
        <w:rPr>
          <w:rFonts w:ascii="Arial" w:eastAsia="Times New Roman" w:hAnsi="Arial" w:cs="Arial"/>
          <w:kern w:val="0"/>
          <w:sz w:val="22"/>
          <w:szCs w:val="22"/>
          <w:lang w:eastAsia="en-GB"/>
          <w14:ligatures w14:val="none"/>
        </w:rPr>
        <w:t>Organisation mandates</w:t>
      </w:r>
      <w:r w:rsidRPr="00CC5E18">
        <w:rPr>
          <w:rFonts w:ascii="Arial" w:eastAsia="Times New Roman" w:hAnsi="Arial" w:cs="Arial"/>
          <w:kern w:val="0"/>
          <w:sz w:val="22"/>
          <w:szCs w:val="22"/>
          <w:lang w:eastAsia="en-GB"/>
          <w14:ligatures w14:val="none"/>
        </w:rPr>
        <w:t xml:space="preserve"> that symptoms must persist across contexts and </w:t>
      </w:r>
      <w:r w:rsidR="00A16DFA" w:rsidRPr="00CC5E18">
        <w:rPr>
          <w:rFonts w:ascii="Arial" w:eastAsia="Times New Roman" w:hAnsi="Arial" w:cs="Arial"/>
          <w:kern w:val="0"/>
          <w:sz w:val="22"/>
          <w:szCs w:val="22"/>
          <w:lang w:eastAsia="en-GB"/>
          <w14:ligatures w14:val="none"/>
        </w:rPr>
        <w:t xml:space="preserve">hinder individual, family, social, educational, occupational, or other critical domains of performance in a way that is clinically relevant </w:t>
      </w:r>
      <w:r w:rsidR="00566480" w:rsidRPr="00CC5E18">
        <w:rPr>
          <w:rFonts w:ascii="Arial" w:eastAsia="Times New Roman" w:hAnsi="Arial" w:cs="Arial"/>
          <w:kern w:val="0"/>
          <w:sz w:val="22"/>
          <w:szCs w:val="22"/>
          <w:lang w:eastAsia="en-GB"/>
          <w14:ligatures w14:val="none"/>
        </w:rPr>
        <w:t>(</w:t>
      </w:r>
      <w:r w:rsidR="00232A73" w:rsidRPr="00CC5E18">
        <w:rPr>
          <w:rFonts w:ascii="Arial" w:eastAsia="Times New Roman" w:hAnsi="Arial" w:cs="Arial"/>
          <w:kern w:val="0"/>
          <w:sz w:val="22"/>
          <w:szCs w:val="22"/>
          <w:lang w:eastAsia="en-GB"/>
          <w14:ligatures w14:val="none"/>
        </w:rPr>
        <w:t>World Health Organisation, 2025)</w:t>
      </w:r>
      <w:r w:rsidR="005A59BA" w:rsidRPr="00CC5E18">
        <w:rPr>
          <w:rFonts w:ascii="Arial" w:eastAsia="Times New Roman" w:hAnsi="Arial" w:cs="Arial"/>
          <w:kern w:val="0"/>
          <w:sz w:val="22"/>
          <w:szCs w:val="22"/>
          <w:lang w:eastAsia="en-GB"/>
          <w14:ligatures w14:val="none"/>
        </w:rPr>
        <w:t>.</w:t>
      </w:r>
      <w:r w:rsidR="00151BA3" w:rsidRPr="00CC5E18">
        <w:rPr>
          <w:rFonts w:ascii="Arial" w:eastAsia="Times New Roman" w:hAnsi="Arial" w:cs="Arial"/>
          <w:kern w:val="0"/>
          <w:sz w:val="22"/>
          <w:szCs w:val="22"/>
          <w:lang w:eastAsia="en-GB"/>
          <w14:ligatures w14:val="none"/>
        </w:rPr>
        <w:t xml:space="preserve"> Clinical</w:t>
      </w:r>
      <w:r w:rsidRPr="00CC5E18">
        <w:rPr>
          <w:rFonts w:ascii="Arial" w:eastAsia="Times New Roman" w:hAnsi="Arial" w:cs="Arial"/>
          <w:kern w:val="0"/>
          <w:sz w:val="22"/>
          <w:szCs w:val="22"/>
          <w:lang w:eastAsia="en-GB"/>
          <w14:ligatures w14:val="none"/>
        </w:rPr>
        <w:t xml:space="preserve"> practice employs standardised </w:t>
      </w:r>
      <w:r w:rsidR="0062308A" w:rsidRPr="00CC5E18">
        <w:rPr>
          <w:rFonts w:ascii="Arial" w:eastAsia="Times New Roman" w:hAnsi="Arial" w:cs="Arial"/>
          <w:kern w:val="0"/>
          <w:sz w:val="22"/>
          <w:szCs w:val="22"/>
          <w:lang w:eastAsia="en-GB"/>
          <w14:ligatures w14:val="none"/>
        </w:rPr>
        <w:t xml:space="preserve">evaluation </w:t>
      </w:r>
      <w:r w:rsidR="00FA04EF" w:rsidRPr="00CC5E18">
        <w:rPr>
          <w:rFonts w:ascii="Arial" w:eastAsia="Times New Roman" w:hAnsi="Arial" w:cs="Arial"/>
          <w:kern w:val="0"/>
          <w:sz w:val="22"/>
          <w:szCs w:val="22"/>
          <w:lang w:eastAsia="en-GB"/>
          <w14:ligatures w14:val="none"/>
        </w:rPr>
        <w:t>instruments.</w:t>
      </w:r>
      <w:r w:rsidR="00C340B6" w:rsidRPr="00CC5E18">
        <w:rPr>
          <w:rFonts w:ascii="Arial" w:eastAsia="Times New Roman" w:hAnsi="Arial" w:cs="Arial"/>
          <w:kern w:val="0"/>
          <w:sz w:val="22"/>
          <w:szCs w:val="22"/>
          <w:lang w:eastAsia="en-GB"/>
          <w14:ligatures w14:val="none"/>
        </w:rPr>
        <w:t xml:space="preserve"> </w:t>
      </w:r>
      <w:r w:rsidR="00884392" w:rsidRPr="00CC5E18">
        <w:rPr>
          <w:rFonts w:ascii="Arial" w:eastAsia="Times New Roman" w:hAnsi="Arial" w:cs="Arial"/>
          <w:kern w:val="0"/>
          <w:sz w:val="22"/>
          <w:szCs w:val="22"/>
          <w:lang w:eastAsia="en-GB"/>
          <w14:ligatures w14:val="none"/>
        </w:rPr>
        <w:t>T</w:t>
      </w:r>
      <w:r w:rsidR="00EE37F6" w:rsidRPr="00CC5E18">
        <w:rPr>
          <w:rFonts w:ascii="Arial" w:eastAsia="Times New Roman" w:hAnsi="Arial" w:cs="Arial"/>
          <w:kern w:val="0"/>
          <w:sz w:val="22"/>
          <w:szCs w:val="22"/>
          <w:lang w:eastAsia="en-GB"/>
          <w14:ligatures w14:val="none"/>
        </w:rPr>
        <w:t>he second edition of the A</w:t>
      </w:r>
      <w:r w:rsidR="00BD64BC" w:rsidRPr="00CC5E18">
        <w:rPr>
          <w:rFonts w:ascii="Arial" w:eastAsia="Times New Roman" w:hAnsi="Arial" w:cs="Arial"/>
          <w:kern w:val="0"/>
          <w:sz w:val="22"/>
          <w:szCs w:val="22"/>
          <w:lang w:eastAsia="en-GB"/>
          <w14:ligatures w14:val="none"/>
        </w:rPr>
        <w:t>utism Diagnostic Observation</w:t>
      </w:r>
      <w:r w:rsidR="00F74DC6" w:rsidRPr="00CC5E18">
        <w:rPr>
          <w:rFonts w:ascii="Arial" w:eastAsia="Times New Roman" w:hAnsi="Arial" w:cs="Arial"/>
          <w:kern w:val="0"/>
          <w:sz w:val="22"/>
          <w:szCs w:val="22"/>
          <w:lang w:eastAsia="en-GB"/>
          <w14:ligatures w14:val="none"/>
        </w:rPr>
        <w:t xml:space="preserve"> Schedule</w:t>
      </w:r>
      <w:r w:rsidRPr="00CC5E18">
        <w:rPr>
          <w:rFonts w:ascii="Arial" w:eastAsia="Times New Roman" w:hAnsi="Arial" w:cs="Arial"/>
          <w:kern w:val="0"/>
          <w:sz w:val="22"/>
          <w:szCs w:val="22"/>
          <w:lang w:eastAsia="en-GB"/>
          <w14:ligatures w14:val="none"/>
        </w:rPr>
        <w:t xml:space="preserve"> provides structured activities that elicit behaviours relevant to autism diagnosis </w:t>
      </w:r>
      <w:r w:rsidR="00582E9D" w:rsidRPr="00582E9D">
        <w:rPr>
          <w:rFonts w:ascii="Arial" w:eastAsia="Times New Roman" w:hAnsi="Arial" w:cs="Arial"/>
          <w:kern w:val="0"/>
          <w:sz w:val="22"/>
          <w:szCs w:val="22"/>
          <w:lang w:eastAsia="en-GB"/>
          <w14:ligatures w14:val="none"/>
        </w:rPr>
        <w:t>(Maddox et al., 2017)</w:t>
      </w:r>
      <w:r w:rsidR="00582E9D">
        <w:rPr>
          <w:rFonts w:ascii="Arial" w:eastAsia="Times New Roman" w:hAnsi="Arial" w:cs="Arial"/>
          <w:kern w:val="0"/>
          <w:sz w:val="22"/>
          <w:szCs w:val="22"/>
          <w:lang w:eastAsia="en-GB"/>
          <w14:ligatures w14:val="none"/>
        </w:rPr>
        <w:t>.</w:t>
      </w:r>
      <w:r w:rsidR="00582E9D" w:rsidRPr="00CC5E18">
        <w:rPr>
          <w:rFonts w:ascii="Arial" w:eastAsia="Times New Roman" w:hAnsi="Arial" w:cs="Arial"/>
          <w:kern w:val="0"/>
          <w:sz w:val="22"/>
          <w:szCs w:val="22"/>
          <w:lang w:eastAsia="en-GB"/>
          <w14:ligatures w14:val="none"/>
        </w:rPr>
        <w:t xml:space="preserve"> The</w:t>
      </w:r>
      <w:r w:rsidRPr="00CC5E18">
        <w:rPr>
          <w:rFonts w:ascii="Arial" w:eastAsia="Times New Roman" w:hAnsi="Arial" w:cs="Arial"/>
          <w:kern w:val="0"/>
          <w:sz w:val="22"/>
          <w:szCs w:val="22"/>
          <w:lang w:eastAsia="en-GB"/>
          <w14:ligatures w14:val="none"/>
        </w:rPr>
        <w:t xml:space="preserve"> Autism Diagnostic Interview-Revised (ADI-R) gathers detailed developmental history from parents or caregivers</w:t>
      </w:r>
      <w:r w:rsidR="00640E95" w:rsidRPr="00CC5E18">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These tools generate quantitative scores that inform clinical judgement.</w:t>
      </w:r>
      <w:r w:rsidR="00086B59" w:rsidRPr="00CC5E18">
        <w:rPr>
          <w:rFonts w:ascii="Arial" w:eastAsia="Times New Roman" w:hAnsi="Arial" w:cs="Arial"/>
          <w:kern w:val="0"/>
          <w:sz w:val="22"/>
          <w:szCs w:val="22"/>
          <w:lang w:eastAsia="en-GB"/>
          <w14:ligatures w14:val="none"/>
        </w:rPr>
        <w:t xml:space="preserve"> </w:t>
      </w:r>
      <w:r w:rsidR="00F8109A" w:rsidRPr="00CC5E18">
        <w:rPr>
          <w:rFonts w:ascii="Arial" w:hAnsi="Arial" w:cs="Arial"/>
          <w:sz w:val="22"/>
          <w:szCs w:val="22"/>
        </w:rPr>
        <w:t xml:space="preserve">According to recent statistics, young people and adolescents had average waiting times of about 1.4 years for autism and other neurodevelopmental examinations, whereas adults had maximum waiting times of 252 days </w:t>
      </w:r>
      <w:r w:rsidR="00B83883" w:rsidRPr="00CC5E18">
        <w:rPr>
          <w:rFonts w:ascii="Arial" w:hAnsi="Arial" w:cs="Arial"/>
          <w:sz w:val="22"/>
          <w:szCs w:val="22"/>
        </w:rPr>
        <w:t>(</w:t>
      </w:r>
      <w:proofErr w:type="spellStart"/>
      <w:r w:rsidR="00B83883" w:rsidRPr="00CC5E18">
        <w:rPr>
          <w:rFonts w:ascii="Arial" w:hAnsi="Arial" w:cs="Arial"/>
          <w:sz w:val="22"/>
          <w:szCs w:val="22"/>
        </w:rPr>
        <w:t>Maciver</w:t>
      </w:r>
      <w:proofErr w:type="spellEnd"/>
      <w:r w:rsidR="00B83883" w:rsidRPr="00CC5E18">
        <w:rPr>
          <w:rFonts w:ascii="Arial" w:hAnsi="Arial" w:cs="Arial"/>
          <w:sz w:val="22"/>
          <w:szCs w:val="22"/>
        </w:rPr>
        <w:t xml:space="preserve"> et al., 2025).</w:t>
      </w:r>
      <w:r w:rsidR="00B83883" w:rsidRPr="00CC5E18">
        <w:rPr>
          <w:rFonts w:ascii="Arial" w:eastAsia="Times New Roman" w:hAnsi="Arial" w:cs="Arial"/>
          <w:kern w:val="0"/>
          <w:sz w:val="22"/>
          <w:szCs w:val="22"/>
          <w:lang w:eastAsia="en-GB"/>
          <w14:ligatures w14:val="none"/>
        </w:rPr>
        <w:t xml:space="preserve"> This</w:t>
      </w:r>
      <w:r w:rsidRPr="00CC5E18">
        <w:rPr>
          <w:rFonts w:ascii="Arial" w:eastAsia="Times New Roman" w:hAnsi="Arial" w:cs="Arial"/>
          <w:kern w:val="0"/>
          <w:sz w:val="22"/>
          <w:szCs w:val="22"/>
          <w:lang w:eastAsia="en-GB"/>
          <w14:ligatures w14:val="none"/>
        </w:rPr>
        <w:t xml:space="preserve"> delay creates substantial distress. Families struggle without appropriate support. Adults remain undiagnosed until their thirties, forties, or fifties, missing decades of understanding and accommodation</w:t>
      </w:r>
      <w:r w:rsidR="003E3219" w:rsidRPr="00CC5E18">
        <w:rPr>
          <w:rFonts w:ascii="Arial" w:eastAsia="Times New Roman" w:hAnsi="Arial" w:cs="Arial"/>
          <w:kern w:val="0"/>
          <w:sz w:val="22"/>
          <w:szCs w:val="22"/>
          <w:lang w:eastAsia="en-GB"/>
          <w14:ligatures w14:val="none"/>
        </w:rPr>
        <w:t xml:space="preserve"> (Stagg and Belcher, 2019).</w:t>
      </w:r>
    </w:p>
    <w:p w14:paraId="509E5929" w14:textId="03D21EF4" w:rsidR="00E025C5" w:rsidRPr="000E2ADC" w:rsidRDefault="00D50634" w:rsidP="00237340">
      <w:pPr>
        <w:pStyle w:val="Heading2"/>
        <w:spacing w:line="360" w:lineRule="auto"/>
        <w:rPr>
          <w:rFonts w:ascii="Arial" w:eastAsia="Times New Roman" w:hAnsi="Arial" w:cs="Arial"/>
          <w:color w:val="auto"/>
          <w:sz w:val="22"/>
          <w:szCs w:val="22"/>
          <w:lang w:eastAsia="en-GB"/>
        </w:rPr>
      </w:pPr>
      <w:bookmarkStart w:id="8" w:name="_Toc215398348"/>
      <w:bookmarkStart w:id="9" w:name="_Toc215497331"/>
      <w:r w:rsidRPr="000E2ADC">
        <w:rPr>
          <w:rFonts w:ascii="Arial" w:eastAsia="Times New Roman" w:hAnsi="Arial" w:cs="Arial"/>
          <w:color w:val="auto"/>
          <w:sz w:val="22"/>
          <w:szCs w:val="22"/>
          <w:lang w:eastAsia="en-GB"/>
        </w:rPr>
        <w:t>Terminology and Language Use</w:t>
      </w:r>
      <w:bookmarkEnd w:id="8"/>
      <w:bookmarkEnd w:id="9"/>
    </w:p>
    <w:p w14:paraId="37F6989E" w14:textId="6E92A2A9" w:rsidR="00BD173C" w:rsidRPr="00465C3E" w:rsidRDefault="00E025C5" w:rsidP="00465C3E">
      <w:pPr>
        <w:spacing w:line="360" w:lineRule="auto"/>
        <w:jc w:val="both"/>
        <w:rPr>
          <w:rFonts w:ascii="Arial" w:hAnsi="Arial" w:cs="Arial"/>
        </w:rPr>
      </w:pPr>
      <w:r w:rsidRPr="00CC5E18">
        <w:rPr>
          <w:rFonts w:ascii="Arial" w:eastAsia="Times New Roman" w:hAnsi="Arial" w:cs="Arial"/>
          <w:kern w:val="0"/>
          <w:sz w:val="22"/>
          <w:szCs w:val="22"/>
          <w:lang w:eastAsia="en-GB"/>
          <w14:ligatures w14:val="none"/>
        </w:rPr>
        <w:t>ICD-11 employs the term "disorder" throughout its autism classification. This linguistic choice carries profound implications. The word "disorder" implies deviation from normal functioning, something broken that requires fixing</w:t>
      </w:r>
      <w:r w:rsidR="009954E5" w:rsidRPr="00CC5E18">
        <w:rPr>
          <w:rFonts w:ascii="Arial" w:eastAsia="Times New Roman" w:hAnsi="Arial" w:cs="Arial"/>
          <w:kern w:val="0"/>
          <w:sz w:val="22"/>
          <w:szCs w:val="22"/>
          <w:lang w:eastAsia="en-GB"/>
          <w14:ligatures w14:val="none"/>
        </w:rPr>
        <w:t xml:space="preserve"> (Kamp-Becker, 2024)</w:t>
      </w:r>
      <w:r w:rsidRPr="00CC5E18">
        <w:rPr>
          <w:rFonts w:ascii="Arial" w:eastAsia="Times New Roman" w:hAnsi="Arial" w:cs="Arial"/>
          <w:kern w:val="0"/>
          <w:sz w:val="22"/>
          <w:szCs w:val="22"/>
          <w:lang w:eastAsia="en-GB"/>
          <w14:ligatures w14:val="none"/>
        </w:rPr>
        <w:t>. Many autistic individuals reject this framing</w:t>
      </w:r>
      <w:r w:rsidR="008A21F0" w:rsidRPr="00CC5E18">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They argue autism represents neurological difference rather than deficit.</w:t>
      </w:r>
      <w:r w:rsidR="00826990" w:rsidRPr="00CC5E18">
        <w:rPr>
          <w:rFonts w:ascii="Arial" w:eastAsia="Times New Roman" w:hAnsi="Arial" w:cs="Arial"/>
          <w:kern w:val="0"/>
          <w:sz w:val="22"/>
          <w:szCs w:val="22"/>
          <w:lang w:eastAsia="en-GB"/>
          <w14:ligatures w14:val="none"/>
        </w:rPr>
        <w:t xml:space="preserve"> </w:t>
      </w:r>
      <w:r w:rsidR="00D43B7B" w:rsidRPr="00CC5E18">
        <w:rPr>
          <w:rFonts w:ascii="Arial" w:eastAsia="Times New Roman" w:hAnsi="Arial" w:cs="Arial"/>
          <w:kern w:val="0"/>
          <w:sz w:val="22"/>
          <w:szCs w:val="22"/>
          <w:lang w:eastAsia="en-GB"/>
          <w14:ligatures w14:val="none"/>
        </w:rPr>
        <w:t>N</w:t>
      </w:r>
      <w:r w:rsidR="00826990" w:rsidRPr="00CC5E18">
        <w:rPr>
          <w:rFonts w:ascii="Arial" w:eastAsia="Times New Roman" w:hAnsi="Arial" w:cs="Arial"/>
          <w:kern w:val="0"/>
          <w:sz w:val="22"/>
          <w:szCs w:val="22"/>
          <w:lang w:eastAsia="en-GB"/>
          <w14:ligatures w14:val="none"/>
        </w:rPr>
        <w:t xml:space="preserve">ew strong-based studies indicates that people with autism frequently exhibit improved pattern identification, keen attention to detail and increased social integrity </w:t>
      </w:r>
      <w:r w:rsidR="00D43B7B" w:rsidRPr="00CC5E18">
        <w:rPr>
          <w:rFonts w:ascii="Arial" w:eastAsia="Times New Roman" w:hAnsi="Arial" w:cs="Arial"/>
          <w:kern w:val="0"/>
          <w:sz w:val="22"/>
          <w:szCs w:val="22"/>
          <w:lang w:eastAsia="en-GB"/>
          <w14:ligatures w14:val="none"/>
        </w:rPr>
        <w:t>(Alink and Charest, 2020). Language</w:t>
      </w:r>
      <w:r w:rsidR="00826990" w:rsidRPr="00CC5E18">
        <w:rPr>
          <w:rFonts w:ascii="Arial" w:eastAsia="Times New Roman" w:hAnsi="Arial" w:cs="Arial"/>
          <w:kern w:val="0"/>
          <w:sz w:val="22"/>
          <w:szCs w:val="22"/>
          <w:lang w:eastAsia="en-GB"/>
          <w14:ligatures w14:val="none"/>
        </w:rPr>
        <w:t xml:space="preserve"> has real-world implications. When a child is described as "impaired," it might influence how parents, educators and the child themselves see their skills. On the other hand, because the language of identity acknowledges autism as a fundamental component of identity, </w:t>
      </w:r>
      <w:r w:rsidR="00465C3E" w:rsidRPr="00465C3E">
        <w:rPr>
          <w:rFonts w:ascii="Arial" w:hAnsi="Arial" w:cs="Arial"/>
          <w:sz w:val="22"/>
          <w:szCs w:val="22"/>
        </w:rPr>
        <w:t xml:space="preserve">many individuals on the autism spectrum prefer the term autistic person instead of person with autism </w:t>
      </w:r>
      <w:r w:rsidR="00BD173C" w:rsidRPr="00465C3E">
        <w:rPr>
          <w:rFonts w:ascii="Arial" w:eastAsia="Times New Roman" w:hAnsi="Arial" w:cs="Arial"/>
          <w:kern w:val="0"/>
          <w:sz w:val="22"/>
          <w:szCs w:val="22"/>
          <w:lang w:eastAsia="en-GB"/>
          <w14:ligatures w14:val="none"/>
        </w:rPr>
        <w:t>(Robertson et al., 2025).</w:t>
      </w:r>
    </w:p>
    <w:p w14:paraId="0B5BB451" w14:textId="0A49C4F0" w:rsidR="002C4F0C" w:rsidRPr="00CC5E18" w:rsidRDefault="002C4F0C"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086C2F1" w14:textId="77777777" w:rsidR="002C4F0C" w:rsidRPr="00CC5E18" w:rsidRDefault="002C4F0C"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D0B9913" w14:textId="0AC0F894" w:rsidR="00E025C5" w:rsidRPr="00237340" w:rsidRDefault="00473E4A" w:rsidP="00237340">
      <w:pPr>
        <w:pStyle w:val="Heading2"/>
        <w:spacing w:line="360" w:lineRule="auto"/>
        <w:rPr>
          <w:rFonts w:ascii="Arial" w:eastAsia="Times New Roman" w:hAnsi="Arial" w:cs="Arial"/>
          <w:b/>
          <w:bCs/>
          <w:color w:val="auto"/>
          <w:sz w:val="22"/>
          <w:szCs w:val="22"/>
          <w:lang w:eastAsia="en-GB"/>
        </w:rPr>
      </w:pPr>
      <w:bookmarkStart w:id="10" w:name="_Toc215398349"/>
      <w:bookmarkStart w:id="11" w:name="_Toc215497332"/>
      <w:r w:rsidRPr="00237340">
        <w:rPr>
          <w:rFonts w:ascii="Arial" w:eastAsia="Times New Roman" w:hAnsi="Arial" w:cs="Arial"/>
          <w:b/>
          <w:bCs/>
          <w:color w:val="auto"/>
          <w:sz w:val="22"/>
          <w:szCs w:val="22"/>
          <w:lang w:eastAsia="en-GB"/>
        </w:rPr>
        <w:t>Therapeutic Treatment and Rehabilitation</w:t>
      </w:r>
      <w:bookmarkEnd w:id="10"/>
      <w:bookmarkEnd w:id="11"/>
    </w:p>
    <w:p w14:paraId="20FC4831" w14:textId="7D35EFC8" w:rsidR="00E025C5" w:rsidRPr="00237340" w:rsidRDefault="00211CA0" w:rsidP="00237340">
      <w:pPr>
        <w:pStyle w:val="Heading2"/>
        <w:spacing w:line="360" w:lineRule="auto"/>
        <w:rPr>
          <w:rFonts w:ascii="Arial" w:eastAsia="Times New Roman" w:hAnsi="Arial" w:cs="Arial"/>
          <w:color w:val="auto"/>
          <w:sz w:val="22"/>
          <w:szCs w:val="22"/>
          <w:lang w:eastAsia="en-GB"/>
        </w:rPr>
      </w:pPr>
      <w:bookmarkStart w:id="12" w:name="_Toc215398350"/>
      <w:bookmarkStart w:id="13" w:name="_Toc215497333"/>
      <w:r w:rsidRPr="00237340">
        <w:rPr>
          <w:rFonts w:ascii="Arial" w:eastAsia="Times New Roman" w:hAnsi="Arial" w:cs="Arial"/>
          <w:color w:val="auto"/>
          <w:sz w:val="22"/>
          <w:szCs w:val="22"/>
          <w:lang w:eastAsia="en-GB"/>
        </w:rPr>
        <w:t>Evidence-Based Treatment Approaches</w:t>
      </w:r>
      <w:bookmarkEnd w:id="12"/>
      <w:bookmarkEnd w:id="13"/>
    </w:p>
    <w:p w14:paraId="5DAD5F07" w14:textId="6685054E" w:rsidR="00E025C5" w:rsidRPr="00B2609E" w:rsidRDefault="00E025C5" w:rsidP="0061203D">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Current treatment approaches for autism focus predominantly on behavioural interventions. Applied Behaviour Analysis (ABA) </w:t>
      </w:r>
      <w:r w:rsidR="001E476C" w:rsidRPr="00CC5E18">
        <w:rPr>
          <w:rFonts w:ascii="Arial" w:eastAsia="Times New Roman" w:hAnsi="Arial" w:cs="Arial"/>
          <w:kern w:val="0"/>
          <w:sz w:val="22"/>
          <w:szCs w:val="22"/>
          <w:lang w:eastAsia="en-GB"/>
          <w14:ligatures w14:val="none"/>
        </w:rPr>
        <w:t>continues to be</w:t>
      </w:r>
      <w:r w:rsidR="00277A61" w:rsidRPr="00CC5E18">
        <w:rPr>
          <w:rFonts w:ascii="Arial" w:eastAsia="Times New Roman" w:hAnsi="Arial" w:cs="Arial"/>
          <w:kern w:val="0"/>
          <w:sz w:val="22"/>
          <w:szCs w:val="22"/>
          <w:lang w:eastAsia="en-GB"/>
          <w14:ligatures w14:val="none"/>
        </w:rPr>
        <w:t xml:space="preserve"> leading</w:t>
      </w:r>
      <w:r w:rsidRPr="00CC5E18">
        <w:rPr>
          <w:rFonts w:ascii="Arial" w:eastAsia="Times New Roman" w:hAnsi="Arial" w:cs="Arial"/>
          <w:kern w:val="0"/>
          <w:sz w:val="22"/>
          <w:szCs w:val="22"/>
          <w:lang w:eastAsia="en-GB"/>
          <w14:ligatures w14:val="none"/>
        </w:rPr>
        <w:t xml:space="preserve"> widely implemented and funded </w:t>
      </w:r>
      <w:r w:rsidR="00FE6157" w:rsidRPr="00CC5E18">
        <w:rPr>
          <w:rFonts w:ascii="Arial" w:eastAsia="Times New Roman" w:hAnsi="Arial" w:cs="Arial"/>
          <w:kern w:val="0"/>
          <w:sz w:val="22"/>
          <w:szCs w:val="22"/>
          <w:lang w:eastAsia="en-GB"/>
          <w14:ligatures w14:val="none"/>
        </w:rPr>
        <w:t>program</w:t>
      </w:r>
      <w:r w:rsidR="00FD77F0" w:rsidRPr="00CC5E18">
        <w:rPr>
          <w:rFonts w:ascii="Arial" w:eastAsia="Times New Roman" w:hAnsi="Arial" w:cs="Arial"/>
          <w:kern w:val="0"/>
          <w:sz w:val="22"/>
          <w:szCs w:val="22"/>
          <w:lang w:eastAsia="en-GB"/>
          <w14:ligatures w14:val="none"/>
        </w:rPr>
        <w:t>me</w:t>
      </w:r>
      <w:r w:rsidRPr="00CC5E18">
        <w:rPr>
          <w:rFonts w:ascii="Arial" w:eastAsia="Times New Roman" w:hAnsi="Arial" w:cs="Arial"/>
          <w:kern w:val="0"/>
          <w:sz w:val="22"/>
          <w:szCs w:val="22"/>
          <w:lang w:eastAsia="en-GB"/>
          <w14:ligatures w14:val="none"/>
        </w:rPr>
        <w:t xml:space="preserve"> globally. ABA </w:t>
      </w:r>
      <w:r w:rsidR="00F34DDB" w:rsidRPr="00CC5E18">
        <w:rPr>
          <w:rFonts w:ascii="Arial" w:eastAsia="Times New Roman" w:hAnsi="Arial" w:cs="Arial"/>
          <w:kern w:val="0"/>
          <w:sz w:val="22"/>
          <w:szCs w:val="22"/>
          <w:lang w:eastAsia="en-GB"/>
          <w14:ligatures w14:val="none"/>
        </w:rPr>
        <w:t>is grounded in</w:t>
      </w:r>
      <w:r w:rsidRPr="00CC5E18">
        <w:rPr>
          <w:rFonts w:ascii="Arial" w:eastAsia="Times New Roman" w:hAnsi="Arial" w:cs="Arial"/>
          <w:kern w:val="0"/>
          <w:sz w:val="22"/>
          <w:szCs w:val="22"/>
          <w:lang w:eastAsia="en-GB"/>
          <w14:ligatures w14:val="none"/>
        </w:rPr>
        <w:t xml:space="preserve"> learning theory to increase desired behaviours and decrease un</w:t>
      </w:r>
      <w:r w:rsidR="006F310E">
        <w:rPr>
          <w:rFonts w:ascii="Arial" w:eastAsia="Times New Roman" w:hAnsi="Arial" w:cs="Arial"/>
          <w:kern w:val="0"/>
          <w:sz w:val="22"/>
          <w:szCs w:val="22"/>
          <w:lang w:eastAsia="en-GB"/>
          <w14:ligatures w14:val="none"/>
        </w:rPr>
        <w:t>w</w:t>
      </w:r>
      <w:r w:rsidRPr="00CC5E18">
        <w:rPr>
          <w:rFonts w:ascii="Arial" w:eastAsia="Times New Roman" w:hAnsi="Arial" w:cs="Arial"/>
          <w:kern w:val="0"/>
          <w:sz w:val="22"/>
          <w:szCs w:val="22"/>
          <w:lang w:eastAsia="en-GB"/>
          <w14:ligatures w14:val="none"/>
        </w:rPr>
        <w:t xml:space="preserve">anted behaviours through systematic reinforcement </w:t>
      </w:r>
      <w:r w:rsidR="00404CA4" w:rsidRPr="00CC5E18">
        <w:rPr>
          <w:rFonts w:ascii="Arial" w:eastAsia="Times New Roman" w:hAnsi="Arial" w:cs="Arial"/>
          <w:kern w:val="0"/>
          <w:sz w:val="22"/>
          <w:szCs w:val="22"/>
          <w:lang w:eastAsia="en-GB"/>
          <w14:ligatures w14:val="none"/>
        </w:rPr>
        <w:t>(Eckes et al., 2023)</w:t>
      </w:r>
      <w:r w:rsidRPr="00CC5E18">
        <w:rPr>
          <w:rFonts w:ascii="Arial" w:eastAsia="Times New Roman" w:hAnsi="Arial" w:cs="Arial"/>
          <w:kern w:val="0"/>
          <w:sz w:val="22"/>
          <w:szCs w:val="22"/>
          <w:lang w:eastAsia="en-GB"/>
          <w14:ligatures w14:val="none"/>
        </w:rPr>
        <w:t xml:space="preserve">. Research shows ABA produces measurable </w:t>
      </w:r>
      <w:r w:rsidR="00C70070" w:rsidRPr="00CC5E18">
        <w:rPr>
          <w:rFonts w:ascii="Arial" w:eastAsia="Times New Roman" w:hAnsi="Arial" w:cs="Arial"/>
          <w:kern w:val="0"/>
          <w:sz w:val="22"/>
          <w:szCs w:val="22"/>
          <w:lang w:eastAsia="en-GB"/>
          <w14:ligatures w14:val="none"/>
        </w:rPr>
        <w:t>impr</w:t>
      </w:r>
      <w:r w:rsidR="00AD0BEE" w:rsidRPr="00CC5E18">
        <w:rPr>
          <w:rFonts w:ascii="Arial" w:eastAsia="Times New Roman" w:hAnsi="Arial" w:cs="Arial"/>
          <w:kern w:val="0"/>
          <w:sz w:val="22"/>
          <w:szCs w:val="22"/>
          <w:lang w:eastAsia="en-GB"/>
          <w14:ligatures w14:val="none"/>
        </w:rPr>
        <w:t>ovements</w:t>
      </w:r>
      <w:r w:rsidRPr="00CC5E18">
        <w:rPr>
          <w:rFonts w:ascii="Arial" w:eastAsia="Times New Roman" w:hAnsi="Arial" w:cs="Arial"/>
          <w:kern w:val="0"/>
          <w:sz w:val="22"/>
          <w:szCs w:val="22"/>
          <w:lang w:eastAsia="en-GB"/>
          <w14:ligatures w14:val="none"/>
        </w:rPr>
        <w:t xml:space="preserve"> in IQ </w:t>
      </w:r>
      <w:r w:rsidR="00AB4D1D" w:rsidRPr="00CC5E18">
        <w:rPr>
          <w:rFonts w:ascii="Arial" w:eastAsia="Times New Roman" w:hAnsi="Arial" w:cs="Arial"/>
          <w:kern w:val="0"/>
          <w:sz w:val="22"/>
          <w:szCs w:val="22"/>
          <w:lang w:eastAsia="en-GB"/>
          <w14:ligatures w14:val="none"/>
        </w:rPr>
        <w:t>measures</w:t>
      </w:r>
      <w:r w:rsidRPr="00CC5E18">
        <w:rPr>
          <w:rFonts w:ascii="Arial" w:eastAsia="Times New Roman" w:hAnsi="Arial" w:cs="Arial"/>
          <w:kern w:val="0"/>
          <w:sz w:val="22"/>
          <w:szCs w:val="22"/>
          <w:lang w:eastAsia="en-GB"/>
          <w14:ligatures w14:val="none"/>
        </w:rPr>
        <w:t xml:space="preserve"> and </w:t>
      </w:r>
      <w:r w:rsidR="00BE4574" w:rsidRPr="00CC5E18">
        <w:rPr>
          <w:rFonts w:ascii="Arial" w:eastAsia="Times New Roman" w:hAnsi="Arial" w:cs="Arial"/>
          <w:kern w:val="0"/>
          <w:sz w:val="22"/>
          <w:szCs w:val="22"/>
          <w:lang w:eastAsia="en-GB"/>
          <w14:ligatures w14:val="none"/>
        </w:rPr>
        <w:t>everyday</w:t>
      </w:r>
      <w:r w:rsidRPr="00CC5E18">
        <w:rPr>
          <w:rFonts w:ascii="Arial" w:eastAsia="Times New Roman" w:hAnsi="Arial" w:cs="Arial"/>
          <w:kern w:val="0"/>
          <w:sz w:val="22"/>
          <w:szCs w:val="22"/>
          <w:lang w:eastAsia="en-GB"/>
          <w14:ligatures w14:val="none"/>
        </w:rPr>
        <w:t xml:space="preserve"> functioning </w:t>
      </w:r>
      <w:r w:rsidR="000D3955" w:rsidRPr="00CC5E18">
        <w:rPr>
          <w:rFonts w:ascii="Arial" w:eastAsia="Times New Roman" w:hAnsi="Arial" w:cs="Arial"/>
          <w:kern w:val="0"/>
          <w:sz w:val="22"/>
          <w:szCs w:val="22"/>
          <w:lang w:eastAsia="en-GB"/>
          <w14:ligatures w14:val="none"/>
        </w:rPr>
        <w:t>(Dixon et al., 2019)</w:t>
      </w:r>
      <w:r w:rsidR="007B0145" w:rsidRPr="00CC5E18">
        <w:rPr>
          <w:rFonts w:ascii="Arial" w:eastAsia="Times New Roman" w:hAnsi="Arial" w:cs="Arial"/>
          <w:kern w:val="0"/>
          <w:sz w:val="22"/>
          <w:szCs w:val="22"/>
          <w:lang w:eastAsia="en-GB"/>
          <w14:ligatures w14:val="none"/>
        </w:rPr>
        <w:t>.</w:t>
      </w:r>
      <w:r w:rsidR="009E10D9" w:rsidRPr="00CC5E18">
        <w:rPr>
          <w:rFonts w:ascii="Arial" w:hAnsi="Arial" w:cs="Arial"/>
          <w:sz w:val="22"/>
          <w:szCs w:val="22"/>
        </w:rPr>
        <w:t xml:space="preserve"> </w:t>
      </w:r>
      <w:r w:rsidR="009E10D9" w:rsidRPr="00CC5E18">
        <w:rPr>
          <w:rFonts w:ascii="Arial" w:eastAsia="Times New Roman" w:hAnsi="Arial" w:cs="Arial"/>
          <w:kern w:val="0"/>
          <w:sz w:val="22"/>
          <w:szCs w:val="22"/>
          <w:lang w:eastAsia="en-GB"/>
          <w14:ligatures w14:val="none"/>
        </w:rPr>
        <w:t xml:space="preserve">A meta-analysis of 29 research showed modest to significant gains in language development and cognitive </w:t>
      </w:r>
      <w:r w:rsidR="00AC7876" w:rsidRPr="001408B1">
        <w:rPr>
          <w:rFonts w:ascii="Arial" w:eastAsia="Times New Roman" w:hAnsi="Arial" w:cs="Arial"/>
          <w:kern w:val="0"/>
          <w:sz w:val="22"/>
          <w:szCs w:val="22"/>
          <w:lang w:eastAsia="en-GB"/>
          <w14:ligatures w14:val="none"/>
        </w:rPr>
        <w:t>function (</w:t>
      </w:r>
      <w:r w:rsidR="003B1234" w:rsidRPr="001408B1">
        <w:rPr>
          <w:rFonts w:ascii="Arial" w:eastAsia="Times New Roman" w:hAnsi="Arial" w:cs="Arial"/>
          <w:kern w:val="0"/>
          <w:sz w:val="22"/>
          <w:szCs w:val="22"/>
          <w:lang w:eastAsia="en-GB"/>
          <w14:ligatures w14:val="none"/>
        </w:rPr>
        <w:t>Pope, Light and Laubscher, 2024)</w:t>
      </w:r>
      <w:r w:rsidR="00B2609E" w:rsidRPr="001408B1">
        <w:rPr>
          <w:rFonts w:ascii="Arial" w:eastAsia="Times New Roman" w:hAnsi="Arial" w:cs="Arial"/>
          <w:kern w:val="0"/>
          <w:sz w:val="22"/>
          <w:szCs w:val="22"/>
          <w:lang w:eastAsia="en-GB"/>
          <w14:ligatures w14:val="none"/>
        </w:rPr>
        <w:t>.</w:t>
      </w:r>
      <w:r w:rsidR="00CF43F0" w:rsidRPr="001408B1">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However, these findings require critical examination. The studies predominantly measure outcomes valued by</w:t>
      </w:r>
      <w:r w:rsidR="0066297C" w:rsidRPr="00CC5E18">
        <w:rPr>
          <w:rFonts w:ascii="Arial" w:eastAsia="Times New Roman" w:hAnsi="Arial" w:cs="Arial"/>
          <w:kern w:val="0"/>
          <w:sz w:val="22"/>
          <w:szCs w:val="22"/>
          <w:lang w:eastAsia="en-GB"/>
          <w14:ligatures w14:val="none"/>
        </w:rPr>
        <w:t xml:space="preserve"> observers who are not autistic as opposed to those who </w:t>
      </w:r>
      <w:r w:rsidR="00BC777E" w:rsidRPr="00CC5E18">
        <w:rPr>
          <w:rFonts w:ascii="Arial" w:eastAsia="Times New Roman" w:hAnsi="Arial" w:cs="Arial"/>
          <w:kern w:val="0"/>
          <w:sz w:val="22"/>
          <w:szCs w:val="22"/>
          <w:lang w:eastAsia="en-GB"/>
          <w14:ligatures w14:val="none"/>
        </w:rPr>
        <w:t>are. Emerging</w:t>
      </w:r>
      <w:r w:rsidRPr="00CC5E18">
        <w:rPr>
          <w:rFonts w:ascii="Arial" w:eastAsia="Times New Roman" w:hAnsi="Arial" w:cs="Arial"/>
          <w:kern w:val="0"/>
          <w:sz w:val="22"/>
          <w:szCs w:val="22"/>
          <w:lang w:eastAsia="en-GB"/>
          <w14:ligatures w14:val="none"/>
        </w:rPr>
        <w:t xml:space="preserve"> evidence reveals significant concerns about ABA's long-term psychological impact</w:t>
      </w:r>
      <w:r w:rsidR="00317102" w:rsidRPr="00CC5E18">
        <w:rPr>
          <w:rFonts w:ascii="Arial" w:eastAsia="Times New Roman" w:hAnsi="Arial" w:cs="Arial"/>
          <w:kern w:val="0"/>
          <w:sz w:val="22"/>
          <w:szCs w:val="22"/>
          <w:lang w:eastAsia="en-GB"/>
          <w14:ligatures w14:val="none"/>
        </w:rPr>
        <w:t xml:space="preserve"> (Sandoval-Norton, </w:t>
      </w:r>
      <w:proofErr w:type="spellStart"/>
      <w:r w:rsidR="00317102" w:rsidRPr="00CC5E18">
        <w:rPr>
          <w:rFonts w:ascii="Arial" w:eastAsia="Times New Roman" w:hAnsi="Arial" w:cs="Arial"/>
          <w:kern w:val="0"/>
          <w:sz w:val="22"/>
          <w:szCs w:val="22"/>
          <w:lang w:eastAsia="en-GB"/>
          <w14:ligatures w14:val="none"/>
        </w:rPr>
        <w:t>Shkedy</w:t>
      </w:r>
      <w:proofErr w:type="spellEnd"/>
      <w:r w:rsidR="00317102" w:rsidRPr="00CC5E18">
        <w:rPr>
          <w:rFonts w:ascii="Arial" w:eastAsia="Times New Roman" w:hAnsi="Arial" w:cs="Arial"/>
          <w:kern w:val="0"/>
          <w:sz w:val="22"/>
          <w:szCs w:val="22"/>
          <w:lang w:eastAsia="en-GB"/>
          <w14:ligatures w14:val="none"/>
        </w:rPr>
        <w:t xml:space="preserve"> and </w:t>
      </w:r>
      <w:proofErr w:type="spellStart"/>
      <w:r w:rsidR="00317102" w:rsidRPr="00CC5E18">
        <w:rPr>
          <w:rFonts w:ascii="Arial" w:eastAsia="Times New Roman" w:hAnsi="Arial" w:cs="Arial"/>
          <w:kern w:val="0"/>
          <w:sz w:val="22"/>
          <w:szCs w:val="22"/>
          <w:lang w:eastAsia="en-GB"/>
          <w14:ligatures w14:val="none"/>
        </w:rPr>
        <w:t>Shkedy</w:t>
      </w:r>
      <w:proofErr w:type="spellEnd"/>
      <w:r w:rsidR="00317102" w:rsidRPr="00CC5E18">
        <w:rPr>
          <w:rFonts w:ascii="Arial" w:eastAsia="Times New Roman" w:hAnsi="Arial" w:cs="Arial"/>
          <w:kern w:val="0"/>
          <w:sz w:val="22"/>
          <w:szCs w:val="22"/>
          <w:lang w:eastAsia="en-GB"/>
          <w14:ligatures w14:val="none"/>
        </w:rPr>
        <w:t>, 2021)</w:t>
      </w:r>
      <w:r w:rsidRPr="00CC5E18">
        <w:rPr>
          <w:rFonts w:ascii="Arial" w:eastAsia="Times New Roman" w:hAnsi="Arial" w:cs="Arial"/>
          <w:kern w:val="0"/>
          <w:sz w:val="22"/>
          <w:szCs w:val="22"/>
          <w:lang w:eastAsia="en-GB"/>
          <w14:ligatures w14:val="none"/>
        </w:rPr>
        <w:t>. Those exposed to ABA showed significantly elevated</w:t>
      </w:r>
      <w:r w:rsidR="002D436A">
        <w:rPr>
          <w:rFonts w:ascii="Arial" w:eastAsia="Times New Roman" w:hAnsi="Arial" w:cs="Arial"/>
          <w:kern w:val="0"/>
          <w:sz w:val="22"/>
          <w:szCs w:val="22"/>
          <w:lang w:eastAsia="en-GB"/>
          <w14:ligatures w14:val="none"/>
        </w:rPr>
        <w:t xml:space="preserve"> Post-</w:t>
      </w:r>
      <w:r w:rsidR="00FD787F">
        <w:rPr>
          <w:rFonts w:ascii="Arial" w:eastAsia="Times New Roman" w:hAnsi="Arial" w:cs="Arial"/>
          <w:kern w:val="0"/>
          <w:sz w:val="22"/>
          <w:szCs w:val="22"/>
          <w:lang w:eastAsia="en-GB"/>
          <w14:ligatures w14:val="none"/>
        </w:rPr>
        <w:t>Traumatic Stress Disorder</w:t>
      </w:r>
      <w:r w:rsidRPr="00CC5E18">
        <w:rPr>
          <w:rFonts w:ascii="Arial" w:eastAsia="Times New Roman" w:hAnsi="Arial" w:cs="Arial"/>
          <w:kern w:val="0"/>
          <w:sz w:val="22"/>
          <w:szCs w:val="22"/>
          <w:lang w:eastAsia="en-GB"/>
          <w14:ligatures w14:val="none"/>
        </w:rPr>
        <w:t xml:space="preserve"> </w:t>
      </w:r>
      <w:r w:rsidR="000D6022">
        <w:rPr>
          <w:rFonts w:ascii="Arial" w:eastAsia="Times New Roman" w:hAnsi="Arial" w:cs="Arial"/>
          <w:kern w:val="0"/>
          <w:sz w:val="22"/>
          <w:szCs w:val="22"/>
          <w:lang w:eastAsia="en-GB"/>
          <w14:ligatures w14:val="none"/>
        </w:rPr>
        <w:t>(</w:t>
      </w:r>
      <w:r w:rsidR="00257A06" w:rsidRPr="00257A06">
        <w:rPr>
          <w:rFonts w:ascii="Arial" w:eastAsia="Times New Roman" w:hAnsi="Arial" w:cs="Arial"/>
          <w:kern w:val="0"/>
          <w:sz w:val="22"/>
          <w:szCs w:val="22"/>
          <w:lang w:eastAsia="en-GB"/>
          <w14:ligatures w14:val="none"/>
        </w:rPr>
        <w:t>PSTD</w:t>
      </w:r>
      <w:r w:rsidR="000D6022">
        <w:rPr>
          <w:rFonts w:ascii="Arial" w:eastAsia="Times New Roman" w:hAnsi="Arial" w:cs="Arial"/>
          <w:kern w:val="0"/>
          <w:sz w:val="22"/>
          <w:szCs w:val="22"/>
          <w:lang w:eastAsia="en-GB"/>
          <w14:ligatures w14:val="none"/>
        </w:rPr>
        <w:t>)</w:t>
      </w:r>
      <w:r w:rsidRPr="00257A06">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 xml:space="preserve">symptoms compared to those who received other interventions. The practice teaches autistic children to suppress natural responses to gain approval. </w:t>
      </w:r>
      <w:r w:rsidR="00CA6B58" w:rsidRPr="00CC5E18">
        <w:rPr>
          <w:rFonts w:ascii="Arial" w:eastAsia="Times New Roman" w:hAnsi="Arial" w:cs="Arial"/>
          <w:kern w:val="0"/>
          <w:sz w:val="22"/>
          <w:szCs w:val="22"/>
          <w:lang w:eastAsia="en-GB"/>
          <w14:ligatures w14:val="none"/>
        </w:rPr>
        <w:t>Patients</w:t>
      </w:r>
      <w:r w:rsidRPr="00CC5E18">
        <w:rPr>
          <w:rFonts w:ascii="Arial" w:eastAsia="Times New Roman" w:hAnsi="Arial" w:cs="Arial"/>
          <w:kern w:val="0"/>
          <w:sz w:val="22"/>
          <w:szCs w:val="22"/>
          <w:lang w:eastAsia="en-GB"/>
          <w14:ligatures w14:val="none"/>
        </w:rPr>
        <w:t xml:space="preserve"> should consider alternative approaches gaining evidence support. The Early Start Denver Model (ESDM) combines </w:t>
      </w:r>
      <w:r w:rsidR="00531001" w:rsidRPr="00CC5E18">
        <w:rPr>
          <w:rFonts w:ascii="Arial" w:eastAsia="Times New Roman" w:hAnsi="Arial" w:cs="Arial"/>
          <w:kern w:val="0"/>
          <w:sz w:val="22"/>
          <w:szCs w:val="22"/>
          <w:lang w:eastAsia="en-GB"/>
          <w14:ligatures w14:val="none"/>
        </w:rPr>
        <w:t>growth-</w:t>
      </w:r>
      <w:r w:rsidR="005B5AE9">
        <w:rPr>
          <w:rFonts w:ascii="Arial" w:eastAsia="Times New Roman" w:hAnsi="Arial" w:cs="Arial"/>
          <w:kern w:val="0"/>
          <w:sz w:val="22"/>
          <w:szCs w:val="22"/>
          <w:lang w:eastAsia="en-GB"/>
          <w14:ligatures w14:val="none"/>
        </w:rPr>
        <w:t>oriented</w:t>
      </w:r>
      <w:r w:rsidRPr="00CC5E18">
        <w:rPr>
          <w:rFonts w:ascii="Arial" w:eastAsia="Times New Roman" w:hAnsi="Arial" w:cs="Arial"/>
          <w:kern w:val="0"/>
          <w:sz w:val="22"/>
          <w:szCs w:val="22"/>
          <w:lang w:eastAsia="en-GB"/>
          <w14:ligatures w14:val="none"/>
        </w:rPr>
        <w:t xml:space="preserve"> and behavioural principles within naturalistic play contexts </w:t>
      </w:r>
      <w:r w:rsidR="0010396D" w:rsidRPr="00CC5E18">
        <w:rPr>
          <w:rFonts w:ascii="Arial" w:eastAsia="Times New Roman" w:hAnsi="Arial" w:cs="Arial"/>
          <w:kern w:val="0"/>
          <w:sz w:val="22"/>
          <w:szCs w:val="22"/>
          <w:lang w:eastAsia="en-GB"/>
          <w14:ligatures w14:val="none"/>
        </w:rPr>
        <w:t>(Rogers and Dawson, 2010)</w:t>
      </w:r>
      <w:r w:rsidRPr="00CC5E18">
        <w:rPr>
          <w:rFonts w:ascii="Arial" w:eastAsia="Times New Roman" w:hAnsi="Arial" w:cs="Arial"/>
          <w:kern w:val="0"/>
          <w:sz w:val="22"/>
          <w:szCs w:val="22"/>
          <w:lang w:eastAsia="en-GB"/>
          <w14:ligatures w14:val="none"/>
        </w:rPr>
        <w:t xml:space="preserve">. Research demonstrates ESDM improves cognitive and language outcomes while preserving the child's intrinsic motivation. </w:t>
      </w:r>
    </w:p>
    <w:p w14:paraId="5F237957" w14:textId="777A75A9" w:rsidR="00E025C5" w:rsidRPr="00237340" w:rsidRDefault="003439E4" w:rsidP="00237340">
      <w:pPr>
        <w:pStyle w:val="Heading2"/>
        <w:spacing w:line="360" w:lineRule="auto"/>
        <w:rPr>
          <w:rFonts w:ascii="Arial" w:eastAsia="Times New Roman" w:hAnsi="Arial" w:cs="Arial"/>
          <w:color w:val="auto"/>
          <w:sz w:val="22"/>
          <w:szCs w:val="22"/>
          <w:lang w:eastAsia="en-GB"/>
        </w:rPr>
      </w:pPr>
      <w:bookmarkStart w:id="14" w:name="_Toc215398351"/>
      <w:bookmarkStart w:id="15" w:name="_Toc215497334"/>
      <w:r w:rsidRPr="00237340">
        <w:rPr>
          <w:rFonts w:ascii="Arial" w:eastAsia="Times New Roman" w:hAnsi="Arial" w:cs="Arial"/>
          <w:color w:val="auto"/>
          <w:sz w:val="22"/>
          <w:szCs w:val="22"/>
          <w:lang w:eastAsia="en-GB"/>
        </w:rPr>
        <w:t>ICD-11 Rehabilitation Measures and Their Application in Practice</w:t>
      </w:r>
      <w:bookmarkEnd w:id="14"/>
      <w:bookmarkEnd w:id="15"/>
    </w:p>
    <w:p w14:paraId="2FFD7965" w14:textId="3A88B35F" w:rsidR="00397D2B" w:rsidRPr="00EC139D" w:rsidRDefault="00E025C5" w:rsidP="00EC139D">
      <w:pPr>
        <w:spacing w:line="360" w:lineRule="auto"/>
        <w:jc w:val="both"/>
        <w:rPr>
          <w:rFonts w:ascii="Arial" w:hAnsi="Arial" w:cs="Arial"/>
        </w:rPr>
      </w:pPr>
      <w:r w:rsidRPr="00CC5E18">
        <w:rPr>
          <w:rFonts w:ascii="Arial" w:eastAsia="Times New Roman" w:hAnsi="Arial" w:cs="Arial"/>
          <w:kern w:val="0"/>
          <w:sz w:val="22"/>
          <w:szCs w:val="22"/>
          <w:lang w:eastAsia="en-GB"/>
          <w14:ligatures w14:val="none"/>
        </w:rPr>
        <w:t>ICD-11 incorporates rehabilitation more comprehensively than previous versions through its integrated system linking classification with functioning assessment.</w:t>
      </w:r>
      <w:r w:rsidR="00EC139D" w:rsidRPr="00EC139D">
        <w:rPr>
          <w:rFonts w:ascii="Arial" w:hAnsi="Arial" w:cs="Arial"/>
        </w:rPr>
        <w:t xml:space="preserve"> </w:t>
      </w:r>
      <w:r w:rsidR="00EC139D" w:rsidRPr="00EC139D">
        <w:rPr>
          <w:rFonts w:ascii="Arial" w:hAnsi="Arial" w:cs="Arial"/>
          <w:sz w:val="22"/>
          <w:szCs w:val="22"/>
        </w:rPr>
        <w:t>The International Classification of Functioning, Disability and Health provides the basis for treatment (Selb et al., 2015).</w:t>
      </w:r>
      <w:r w:rsidRPr="00CC5E18">
        <w:rPr>
          <w:rFonts w:ascii="Arial" w:eastAsia="Times New Roman" w:hAnsi="Arial" w:cs="Arial"/>
          <w:kern w:val="0"/>
          <w:sz w:val="22"/>
          <w:szCs w:val="22"/>
          <w:lang w:eastAsia="en-GB"/>
          <w14:ligatures w14:val="none"/>
        </w:rPr>
        <w:t xml:space="preserve"> This system evaluates</w:t>
      </w:r>
      <w:r w:rsidR="00643AF0" w:rsidRPr="00CC5E18">
        <w:rPr>
          <w:rFonts w:ascii="Arial" w:eastAsia="Times New Roman" w:hAnsi="Arial" w:cs="Arial"/>
          <w:kern w:val="0"/>
          <w:sz w:val="22"/>
          <w:szCs w:val="22"/>
          <w:lang w:eastAsia="en-GB"/>
          <w14:ligatures w14:val="none"/>
        </w:rPr>
        <w:t xml:space="preserve"> involvement,</w:t>
      </w:r>
      <w:r w:rsidRPr="00CC5E18">
        <w:rPr>
          <w:rFonts w:ascii="Arial" w:eastAsia="Times New Roman" w:hAnsi="Arial" w:cs="Arial"/>
          <w:kern w:val="0"/>
          <w:sz w:val="22"/>
          <w:szCs w:val="22"/>
          <w:lang w:eastAsia="en-GB"/>
          <w14:ligatures w14:val="none"/>
        </w:rPr>
        <w:t xml:space="preserve"> activities, </w:t>
      </w:r>
      <w:r w:rsidR="003C716F" w:rsidRPr="00CC5E18">
        <w:rPr>
          <w:rFonts w:ascii="Arial" w:eastAsia="Times New Roman" w:hAnsi="Arial" w:cs="Arial"/>
          <w:kern w:val="0"/>
          <w:sz w:val="22"/>
          <w:szCs w:val="22"/>
          <w:lang w:eastAsia="en-GB"/>
          <w14:ligatures w14:val="none"/>
        </w:rPr>
        <w:t xml:space="preserve">bodily </w:t>
      </w:r>
      <w:r w:rsidR="003C3443" w:rsidRPr="00CC5E18">
        <w:rPr>
          <w:rFonts w:ascii="Arial" w:eastAsia="Times New Roman" w:hAnsi="Arial" w:cs="Arial"/>
          <w:kern w:val="0"/>
          <w:sz w:val="22"/>
          <w:szCs w:val="22"/>
          <w:lang w:eastAsia="en-GB"/>
          <w14:ligatures w14:val="none"/>
        </w:rPr>
        <w:t>functions and</w:t>
      </w:r>
      <w:r w:rsidRPr="00CC5E18">
        <w:rPr>
          <w:rFonts w:ascii="Arial" w:eastAsia="Times New Roman" w:hAnsi="Arial" w:cs="Arial"/>
          <w:kern w:val="0"/>
          <w:sz w:val="22"/>
          <w:szCs w:val="22"/>
          <w:lang w:eastAsia="en-GB"/>
          <w14:ligatures w14:val="none"/>
        </w:rPr>
        <w:t xml:space="preserve"> </w:t>
      </w:r>
      <w:r w:rsidR="00332771" w:rsidRPr="00CC5E18">
        <w:rPr>
          <w:rFonts w:ascii="Arial" w:eastAsia="Times New Roman" w:hAnsi="Arial" w:cs="Arial"/>
          <w:kern w:val="0"/>
          <w:sz w:val="22"/>
          <w:szCs w:val="22"/>
          <w:lang w:eastAsia="en-GB"/>
          <w14:ligatures w14:val="none"/>
        </w:rPr>
        <w:t>surrounding</w:t>
      </w:r>
      <w:r w:rsidR="003C3443" w:rsidRPr="00CC5E18">
        <w:rPr>
          <w:rFonts w:ascii="Arial" w:eastAsia="Times New Roman" w:hAnsi="Arial" w:cs="Arial"/>
          <w:kern w:val="0"/>
          <w:sz w:val="22"/>
          <w:szCs w:val="22"/>
          <w:lang w:eastAsia="en-GB"/>
          <w14:ligatures w14:val="none"/>
        </w:rPr>
        <w:t xml:space="preserve"> elements. Environmental</w:t>
      </w:r>
      <w:r w:rsidR="00C949D8" w:rsidRPr="00CC5E18">
        <w:rPr>
          <w:rFonts w:ascii="Arial" w:eastAsia="Times New Roman" w:hAnsi="Arial" w:cs="Arial"/>
          <w:kern w:val="0"/>
          <w:sz w:val="22"/>
          <w:szCs w:val="22"/>
          <w:lang w:eastAsia="en-GB"/>
          <w14:ligatures w14:val="none"/>
        </w:rPr>
        <w:t xml:space="preserve"> </w:t>
      </w:r>
      <w:r w:rsidR="00C31BCA">
        <w:rPr>
          <w:rFonts w:ascii="Arial" w:eastAsia="Times New Roman" w:hAnsi="Arial" w:cs="Arial"/>
          <w:kern w:val="0"/>
          <w:sz w:val="22"/>
          <w:szCs w:val="22"/>
          <w:lang w:eastAsia="en-GB"/>
          <w14:ligatures w14:val="none"/>
        </w:rPr>
        <w:t>f</w:t>
      </w:r>
      <w:r w:rsidR="00C949D8" w:rsidRPr="00CC5E18">
        <w:rPr>
          <w:rFonts w:ascii="Arial" w:eastAsia="Times New Roman" w:hAnsi="Arial" w:cs="Arial"/>
          <w:kern w:val="0"/>
          <w:sz w:val="22"/>
          <w:szCs w:val="22"/>
          <w:lang w:eastAsia="en-GB"/>
          <w14:ligatures w14:val="none"/>
        </w:rPr>
        <w:t>or</w:t>
      </w:r>
      <w:r w:rsidRPr="00CC5E18">
        <w:rPr>
          <w:rFonts w:ascii="Arial" w:eastAsia="Times New Roman" w:hAnsi="Arial" w:cs="Arial"/>
          <w:kern w:val="0"/>
          <w:sz w:val="22"/>
          <w:szCs w:val="22"/>
          <w:lang w:eastAsia="en-GB"/>
          <w14:ligatures w14:val="none"/>
        </w:rPr>
        <w:t xml:space="preserve"> autistic </w:t>
      </w:r>
      <w:r w:rsidR="00E13258" w:rsidRPr="00CC5E18">
        <w:rPr>
          <w:rFonts w:ascii="Arial" w:eastAsia="Times New Roman" w:hAnsi="Arial" w:cs="Arial"/>
          <w:kern w:val="0"/>
          <w:sz w:val="22"/>
          <w:szCs w:val="22"/>
          <w:lang w:eastAsia="en-GB"/>
          <w14:ligatures w14:val="none"/>
        </w:rPr>
        <w:t>individuals’</w:t>
      </w:r>
      <w:r w:rsidRPr="00CC5E18">
        <w:rPr>
          <w:rFonts w:ascii="Arial" w:eastAsia="Times New Roman" w:hAnsi="Arial" w:cs="Arial"/>
          <w:kern w:val="0"/>
          <w:sz w:val="22"/>
          <w:szCs w:val="22"/>
          <w:lang w:eastAsia="en-GB"/>
          <w14:ligatures w14:val="none"/>
        </w:rPr>
        <w:t xml:space="preserve"> rehabilitation</w:t>
      </w:r>
      <w:r w:rsidR="003B5705">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typically addresses sensory processing, motor skills, communication and daily living activities. Sensory integration therapy helps people manage overwhelming sensory input. Communication interventions include augmentative and alternative communication systems for non-speaking individuals. These technologies range from picture exchange communication systems to sophisticated speech-generating devices.</w:t>
      </w:r>
      <w:r w:rsidR="00CE16B1" w:rsidRPr="00CC5E18">
        <w:rPr>
          <w:rFonts w:ascii="Arial" w:eastAsia="Times New Roman" w:hAnsi="Arial" w:cs="Arial"/>
          <w:kern w:val="0"/>
          <w:sz w:val="22"/>
          <w:szCs w:val="22"/>
          <w:lang w:eastAsia="en-GB"/>
          <w14:ligatures w14:val="none"/>
        </w:rPr>
        <w:t xml:space="preserve"> </w:t>
      </w:r>
      <w:r w:rsidR="00271631" w:rsidRPr="00CC5E18">
        <w:rPr>
          <w:rFonts w:ascii="Arial" w:eastAsia="Times New Roman" w:hAnsi="Arial" w:cs="Arial"/>
          <w:kern w:val="0"/>
          <w:sz w:val="22"/>
          <w:szCs w:val="22"/>
          <w:lang w:eastAsia="en-GB"/>
          <w14:ligatures w14:val="none"/>
        </w:rPr>
        <w:t xml:space="preserve">However, </w:t>
      </w:r>
      <w:r w:rsidR="00397D2B" w:rsidRPr="00CC5E18">
        <w:rPr>
          <w:rFonts w:ascii="Arial" w:hAnsi="Arial" w:cs="Arial"/>
          <w:sz w:val="22"/>
          <w:szCs w:val="22"/>
        </w:rPr>
        <w:t xml:space="preserve">presently just three out of ten working-age persons with autism are employed. Because of this, seven out of 10 people </w:t>
      </w:r>
      <w:r w:rsidR="00DA5500" w:rsidRPr="00CC5E18">
        <w:rPr>
          <w:rFonts w:ascii="Arial" w:hAnsi="Arial" w:cs="Arial"/>
          <w:sz w:val="22"/>
          <w:szCs w:val="22"/>
        </w:rPr>
        <w:t>lo</w:t>
      </w:r>
      <w:r w:rsidR="00DA5500">
        <w:rPr>
          <w:rFonts w:ascii="Arial" w:hAnsi="Arial" w:cs="Arial"/>
          <w:sz w:val="22"/>
          <w:szCs w:val="22"/>
        </w:rPr>
        <w:t>s</w:t>
      </w:r>
      <w:r w:rsidR="00DA5500" w:rsidRPr="00CC5E18">
        <w:rPr>
          <w:rFonts w:ascii="Arial" w:hAnsi="Arial" w:cs="Arial"/>
          <w:sz w:val="22"/>
          <w:szCs w:val="22"/>
        </w:rPr>
        <w:t>e</w:t>
      </w:r>
      <w:r w:rsidR="00397D2B" w:rsidRPr="00CC5E18">
        <w:rPr>
          <w:rFonts w:ascii="Arial" w:hAnsi="Arial" w:cs="Arial"/>
          <w:sz w:val="22"/>
          <w:szCs w:val="22"/>
        </w:rPr>
        <w:t xml:space="preserve"> out on the freedom and sense of purpose that come with having a job. Additionally, this implies that companies and the </w:t>
      </w:r>
      <w:r w:rsidR="00397D2B" w:rsidRPr="00CC5E18">
        <w:rPr>
          <w:rFonts w:ascii="Arial" w:hAnsi="Arial" w:cs="Arial"/>
          <w:sz w:val="22"/>
          <w:szCs w:val="22"/>
        </w:rPr>
        <w:lastRenderedPageBreak/>
        <w:t xml:space="preserve">economy at large are missing out on important talents and services that individuals with autism may be providing, which eventually hurts society </w:t>
      </w:r>
      <w:r w:rsidR="00397D2B" w:rsidRPr="00CC5E18">
        <w:rPr>
          <w:rFonts w:ascii="Arial" w:eastAsia="Times New Roman" w:hAnsi="Arial" w:cs="Arial"/>
          <w:kern w:val="0"/>
          <w:sz w:val="22"/>
          <w:szCs w:val="22"/>
          <w:lang w:eastAsia="en-GB"/>
          <w14:ligatures w14:val="none"/>
        </w:rPr>
        <w:t>(Buckland, 2024).</w:t>
      </w:r>
    </w:p>
    <w:p w14:paraId="1CBCB71F" w14:textId="3E784135" w:rsidR="00E025C5" w:rsidRPr="00237340" w:rsidRDefault="006A701E" w:rsidP="00237340">
      <w:pPr>
        <w:pStyle w:val="Heading2"/>
        <w:spacing w:line="360" w:lineRule="auto"/>
        <w:rPr>
          <w:rFonts w:ascii="Arial" w:eastAsia="Times New Roman" w:hAnsi="Arial" w:cs="Arial"/>
          <w:color w:val="auto"/>
          <w:sz w:val="22"/>
          <w:szCs w:val="22"/>
          <w:lang w:eastAsia="en-GB"/>
        </w:rPr>
      </w:pPr>
      <w:bookmarkStart w:id="16" w:name="_Toc215398352"/>
      <w:bookmarkStart w:id="17" w:name="_Toc215497335"/>
      <w:r w:rsidRPr="00237340">
        <w:rPr>
          <w:rFonts w:ascii="Arial" w:eastAsia="Times New Roman" w:hAnsi="Arial" w:cs="Arial"/>
          <w:color w:val="auto"/>
          <w:sz w:val="22"/>
          <w:szCs w:val="22"/>
          <w:lang w:eastAsia="en-GB"/>
        </w:rPr>
        <w:t>Strengths</w:t>
      </w:r>
      <w:r w:rsidR="00341FC4" w:rsidRPr="00237340">
        <w:rPr>
          <w:rFonts w:ascii="Arial" w:eastAsia="Times New Roman" w:hAnsi="Arial" w:cs="Arial"/>
          <w:color w:val="auto"/>
          <w:sz w:val="22"/>
          <w:szCs w:val="22"/>
          <w:lang w:eastAsia="en-GB"/>
        </w:rPr>
        <w:t xml:space="preserve"> and Limitations</w:t>
      </w:r>
      <w:bookmarkEnd w:id="16"/>
      <w:bookmarkEnd w:id="17"/>
    </w:p>
    <w:p w14:paraId="0D1114B1" w14:textId="6E2FE38D" w:rsidR="00B13627" w:rsidRPr="00AF7CEB" w:rsidRDefault="002F0AFB" w:rsidP="0061203D">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Communication, interaction with others, and anxiousness are among the areas where present autism approaches, such as behavioural therapies, early intervention programs, cognitive behavioural therapy and social skills training, show minor to slight </w:t>
      </w:r>
      <w:r w:rsidRPr="00AF7CEB">
        <w:rPr>
          <w:rFonts w:ascii="Arial" w:eastAsia="Times New Roman" w:hAnsi="Arial" w:cs="Arial"/>
          <w:kern w:val="0"/>
          <w:sz w:val="22"/>
          <w:szCs w:val="22"/>
          <w:lang w:eastAsia="en-GB"/>
          <w14:ligatures w14:val="none"/>
        </w:rPr>
        <w:t>improvements</w:t>
      </w:r>
      <w:r w:rsidR="00A50D7A" w:rsidRPr="00AF7CEB">
        <w:rPr>
          <w:rFonts w:ascii="Times New Roman" w:eastAsia="Times New Roman" w:hAnsi="Times New Roman" w:cs="Times New Roman"/>
          <w:kern w:val="0"/>
          <w:lang w:eastAsia="en-GB"/>
          <w14:ligatures w14:val="none"/>
        </w:rPr>
        <w:t xml:space="preserve"> </w:t>
      </w:r>
      <w:r w:rsidR="00A50D7A" w:rsidRPr="00AF7CEB">
        <w:rPr>
          <w:rFonts w:ascii="Arial" w:eastAsia="Times New Roman" w:hAnsi="Arial" w:cs="Arial"/>
          <w:kern w:val="0"/>
          <w:sz w:val="22"/>
          <w:szCs w:val="22"/>
          <w:lang w:eastAsia="en-GB"/>
          <w14:ligatures w14:val="none"/>
        </w:rPr>
        <w:t>(Chung, Chung and Lee, 2024)</w:t>
      </w:r>
      <w:r w:rsidRPr="00AF7CEB">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However, their results differ greatly from person to person, they rarely translate into real-world situations, and many methods require a significant investment of time and money. The lack of uniformity in outcome measurements with research using hundreds of various tools, is a major drawback in the field that makes it challenging to evaluate results or assess true effectiveness (</w:t>
      </w:r>
      <w:proofErr w:type="spellStart"/>
      <w:r w:rsidRPr="00CC5E18">
        <w:rPr>
          <w:rFonts w:ascii="Arial" w:eastAsia="Times New Roman" w:hAnsi="Arial" w:cs="Arial"/>
          <w:kern w:val="0"/>
          <w:sz w:val="22"/>
          <w:szCs w:val="22"/>
          <w:lang w:eastAsia="en-GB"/>
          <w14:ligatures w14:val="none"/>
        </w:rPr>
        <w:t>Provenzani</w:t>
      </w:r>
      <w:proofErr w:type="spellEnd"/>
      <w:r w:rsidRPr="00CC5E18">
        <w:rPr>
          <w:rFonts w:ascii="Arial" w:eastAsia="Times New Roman" w:hAnsi="Arial" w:cs="Arial"/>
          <w:kern w:val="0"/>
          <w:sz w:val="22"/>
          <w:szCs w:val="22"/>
          <w:lang w:eastAsia="en-GB"/>
          <w14:ligatures w14:val="none"/>
        </w:rPr>
        <w:t xml:space="preserve"> et al., 2020). The necessity for more standardised and person-centred methods is highlighted by this inconsistency as well as variations in the quality of the study.</w:t>
      </w:r>
    </w:p>
    <w:p w14:paraId="02054B2E" w14:textId="41F89F67" w:rsidR="00E025C5" w:rsidRPr="006F71AA" w:rsidRDefault="00DE764D" w:rsidP="00237340">
      <w:pPr>
        <w:pStyle w:val="Heading2"/>
        <w:spacing w:line="360" w:lineRule="auto"/>
        <w:rPr>
          <w:rFonts w:ascii="Arial" w:eastAsia="Times New Roman" w:hAnsi="Arial" w:cs="Arial"/>
          <w:b/>
          <w:bCs/>
          <w:color w:val="auto"/>
          <w:sz w:val="22"/>
          <w:szCs w:val="22"/>
          <w:lang w:eastAsia="en-GB"/>
        </w:rPr>
      </w:pPr>
      <w:bookmarkStart w:id="18" w:name="_Toc215398353"/>
      <w:bookmarkStart w:id="19" w:name="_Toc215497336"/>
      <w:r w:rsidRPr="006F71AA">
        <w:rPr>
          <w:rFonts w:ascii="Arial" w:eastAsia="Times New Roman" w:hAnsi="Arial" w:cs="Arial"/>
          <w:b/>
          <w:bCs/>
          <w:color w:val="auto"/>
          <w:sz w:val="22"/>
          <w:szCs w:val="22"/>
          <w:lang w:eastAsia="en-GB"/>
        </w:rPr>
        <w:t>Contemporary Debates and Emerging Trends</w:t>
      </w:r>
      <w:bookmarkEnd w:id="18"/>
      <w:bookmarkEnd w:id="19"/>
    </w:p>
    <w:p w14:paraId="5BFE4B65" w14:textId="60E295DE" w:rsidR="00F13B97" w:rsidRPr="00237340" w:rsidRDefault="00227988" w:rsidP="00237340">
      <w:pPr>
        <w:pStyle w:val="Heading2"/>
        <w:spacing w:line="360" w:lineRule="auto"/>
        <w:rPr>
          <w:rFonts w:ascii="Arial" w:hAnsi="Arial" w:cs="Arial"/>
          <w:color w:val="auto"/>
          <w:sz w:val="22"/>
          <w:szCs w:val="22"/>
        </w:rPr>
      </w:pPr>
      <w:bookmarkStart w:id="20" w:name="_Toc215398354"/>
      <w:bookmarkStart w:id="21" w:name="_Toc215497337"/>
      <w:r w:rsidRPr="00237340">
        <w:rPr>
          <w:rFonts w:ascii="Arial" w:hAnsi="Arial" w:cs="Arial"/>
          <w:color w:val="auto"/>
          <w:sz w:val="22"/>
          <w:szCs w:val="22"/>
        </w:rPr>
        <w:t>Debates on Classification Practices</w:t>
      </w:r>
      <w:bookmarkEnd w:id="20"/>
      <w:bookmarkEnd w:id="21"/>
    </w:p>
    <w:p w14:paraId="2E70D5D0" w14:textId="3EBBCD03" w:rsidR="00671200" w:rsidRPr="005329D6" w:rsidRDefault="00671200" w:rsidP="007C2C69">
      <w:pPr>
        <w:spacing w:line="360" w:lineRule="auto"/>
        <w:jc w:val="both"/>
        <w:rPr>
          <w:rFonts w:ascii="Arial" w:hAnsi="Arial" w:cs="Arial"/>
        </w:rPr>
      </w:pPr>
      <w:bookmarkStart w:id="22" w:name="_Toc215398355"/>
      <w:r w:rsidRPr="00CB4029">
        <w:rPr>
          <w:rFonts w:ascii="Arial" w:hAnsi="Arial" w:cs="Arial"/>
          <w:sz w:val="22"/>
          <w:szCs w:val="22"/>
        </w:rPr>
        <w:t>Strong debate surrounds whether autism should appear in a classification system of diseases and disorders. The neurodiversity paradigm argues that autism represents natural variation in human neurology rather than a pathology requiring medical treatment, emphasising identity</w:t>
      </w:r>
      <w:r w:rsidR="000B5048" w:rsidRPr="000B5048">
        <w:rPr>
          <w:rFonts w:ascii="Arial" w:hAnsi="Arial" w:cs="Arial"/>
        </w:rPr>
        <w:t xml:space="preserve"> </w:t>
      </w:r>
      <w:r w:rsidR="000B5048" w:rsidRPr="005329D6">
        <w:rPr>
          <w:rFonts w:ascii="Arial" w:hAnsi="Arial" w:cs="Arial"/>
          <w:sz w:val="22"/>
          <w:szCs w:val="22"/>
        </w:rPr>
        <w:t>as central to understanding autistic experience.</w:t>
      </w:r>
      <w:r w:rsidRPr="00CB4029">
        <w:rPr>
          <w:rFonts w:ascii="Arial" w:hAnsi="Arial" w:cs="Arial"/>
          <w:sz w:val="22"/>
          <w:szCs w:val="22"/>
        </w:rPr>
        <w:t xml:space="preserve"> (Aftab and Chapman, 2024). Advocates point to historical examples of human variation once </w:t>
      </w:r>
      <w:proofErr w:type="spellStart"/>
      <w:r w:rsidRPr="00CB4029">
        <w:rPr>
          <w:rFonts w:ascii="Arial" w:hAnsi="Arial" w:cs="Arial"/>
          <w:sz w:val="22"/>
          <w:szCs w:val="22"/>
        </w:rPr>
        <w:t>pathologi</w:t>
      </w:r>
      <w:r w:rsidR="00D823EA">
        <w:rPr>
          <w:rFonts w:ascii="Arial" w:hAnsi="Arial" w:cs="Arial"/>
          <w:sz w:val="22"/>
          <w:szCs w:val="22"/>
        </w:rPr>
        <w:t>s</w:t>
      </w:r>
      <w:r w:rsidRPr="00CB4029">
        <w:rPr>
          <w:rFonts w:ascii="Arial" w:hAnsi="Arial" w:cs="Arial"/>
          <w:sz w:val="22"/>
          <w:szCs w:val="22"/>
        </w:rPr>
        <w:t>ed</w:t>
      </w:r>
      <w:proofErr w:type="spellEnd"/>
      <w:r w:rsidRPr="00CB4029">
        <w:rPr>
          <w:rFonts w:ascii="Arial" w:hAnsi="Arial" w:cs="Arial"/>
          <w:sz w:val="22"/>
          <w:szCs w:val="22"/>
        </w:rPr>
        <w:t xml:space="preserve"> and later reframed, noting that homosexuality appeared in the DSM until 1973, highlighting concerns about medicalisation (Drescher, 2015). Families need access to healthcare services, which require diagnostic codes for funding and provision, underscoring practical needs. It is important to recognise that this debate reflects different autism experiences. An autistic academic who has built a successful career faces different challenges from a non-speaking autistic person requiring twenty-four-hour support, showing the spectrum’s breadth (Kapp, 2023). ICD-11 attempts to capture this </w:t>
      </w:r>
      <w:r w:rsidR="001B2D42" w:rsidRPr="00CB4029">
        <w:rPr>
          <w:rFonts w:ascii="Arial" w:hAnsi="Arial" w:cs="Arial"/>
          <w:sz w:val="22"/>
          <w:szCs w:val="22"/>
        </w:rPr>
        <w:t>collection</w:t>
      </w:r>
      <w:r w:rsidRPr="00CB4029">
        <w:rPr>
          <w:rFonts w:ascii="Arial" w:hAnsi="Arial" w:cs="Arial"/>
          <w:sz w:val="22"/>
          <w:szCs w:val="22"/>
        </w:rPr>
        <w:t xml:space="preserve"> but cannot adequately represent such diverse presentations overall.</w:t>
      </w:r>
      <w:bookmarkEnd w:id="22"/>
    </w:p>
    <w:p w14:paraId="17C7AF45" w14:textId="0F381D0E" w:rsidR="00E025C5" w:rsidRPr="00237340" w:rsidRDefault="00E025C5" w:rsidP="00237340">
      <w:pPr>
        <w:pStyle w:val="Heading2"/>
        <w:spacing w:line="360" w:lineRule="auto"/>
        <w:rPr>
          <w:rFonts w:ascii="Arial" w:eastAsia="Times New Roman" w:hAnsi="Arial" w:cs="Arial"/>
          <w:color w:val="auto"/>
          <w:sz w:val="22"/>
          <w:szCs w:val="22"/>
          <w:lang w:eastAsia="en-GB"/>
        </w:rPr>
      </w:pPr>
      <w:bookmarkStart w:id="23" w:name="_Toc215398356"/>
      <w:bookmarkStart w:id="24" w:name="_Toc215497338"/>
      <w:r w:rsidRPr="00237340">
        <w:rPr>
          <w:rFonts w:ascii="Arial" w:eastAsia="Times New Roman" w:hAnsi="Arial" w:cs="Arial"/>
          <w:color w:val="auto"/>
          <w:sz w:val="22"/>
          <w:szCs w:val="22"/>
          <w:lang w:eastAsia="en-GB"/>
        </w:rPr>
        <w:t xml:space="preserve">The Role of </w:t>
      </w:r>
      <w:r w:rsidR="0033701E" w:rsidRPr="00237340">
        <w:rPr>
          <w:rFonts w:ascii="Arial" w:eastAsia="Times New Roman" w:hAnsi="Arial" w:cs="Arial"/>
          <w:color w:val="auto"/>
          <w:sz w:val="22"/>
          <w:szCs w:val="22"/>
          <w:lang w:eastAsia="en-GB"/>
        </w:rPr>
        <w:t>Neurodivergence</w:t>
      </w:r>
      <w:bookmarkEnd w:id="23"/>
      <w:bookmarkEnd w:id="24"/>
    </w:p>
    <w:p w14:paraId="2CB31560" w14:textId="73D0EE1B" w:rsidR="00640A19" w:rsidRPr="00B5363B" w:rsidRDefault="00185EC0" w:rsidP="00B5363B">
      <w:pPr>
        <w:spacing w:line="360" w:lineRule="auto"/>
        <w:jc w:val="both"/>
        <w:rPr>
          <w:rFonts w:ascii="Arial" w:hAnsi="Arial" w:cs="Arial"/>
        </w:rPr>
      </w:pPr>
      <w:r w:rsidRPr="00CC5E18">
        <w:rPr>
          <w:rFonts w:ascii="Arial" w:hAnsi="Arial" w:cs="Arial"/>
          <w:sz w:val="22"/>
          <w:szCs w:val="22"/>
          <w:lang w:eastAsia="en-GB"/>
        </w:rPr>
        <w:t>The neurodiversity movement has fundamentally challenged how society understands autism. Coined by sociologist Judy Singer in 1998, neurodiversity</w:t>
      </w:r>
      <w:r w:rsidR="00B12164" w:rsidRPr="00D70F03">
        <w:rPr>
          <w:rFonts w:ascii="Arial" w:hAnsi="Arial" w:cs="Arial"/>
        </w:rPr>
        <w:t xml:space="preserve"> </w:t>
      </w:r>
      <w:r w:rsidR="00B12164" w:rsidRPr="00B12164">
        <w:rPr>
          <w:rFonts w:ascii="Arial" w:hAnsi="Arial" w:cs="Arial"/>
          <w:sz w:val="22"/>
          <w:szCs w:val="22"/>
        </w:rPr>
        <w:t>stresses that variations in brain function and behaviour are a normal aspect of human diversity.</w:t>
      </w:r>
      <w:r w:rsidRPr="00CC5E18">
        <w:rPr>
          <w:rFonts w:ascii="Arial" w:hAnsi="Arial" w:cs="Arial"/>
          <w:sz w:val="22"/>
          <w:szCs w:val="22"/>
          <w:lang w:eastAsia="en-GB"/>
        </w:rPr>
        <w:t xml:space="preserve"> (Botha et al., 2024).</w:t>
      </w:r>
      <w:r w:rsidR="001F1F33" w:rsidRPr="001F1F33">
        <w:rPr>
          <w:rFonts w:ascii="Arial" w:hAnsi="Arial" w:cs="Arial"/>
        </w:rPr>
        <w:t xml:space="preserve"> </w:t>
      </w:r>
      <w:r w:rsidR="001F1F33" w:rsidRPr="001F1F33">
        <w:rPr>
          <w:rFonts w:ascii="Arial" w:hAnsi="Arial" w:cs="Arial"/>
          <w:sz w:val="22"/>
          <w:szCs w:val="22"/>
        </w:rPr>
        <w:t xml:space="preserve">This approach considers neurodevelopmental conditions, including attention deficit hyperactivity disorder (ADHD), autism, and dyslexia, as valuable forms of human diversity rather than </w:t>
      </w:r>
      <w:r w:rsidR="001F1F33" w:rsidRPr="001F1F33">
        <w:rPr>
          <w:rFonts w:ascii="Arial" w:hAnsi="Arial" w:cs="Arial"/>
          <w:sz w:val="22"/>
          <w:szCs w:val="22"/>
        </w:rPr>
        <w:lastRenderedPageBreak/>
        <w:t>deficits.</w:t>
      </w:r>
      <w:r w:rsidRPr="00B5363B">
        <w:rPr>
          <w:rFonts w:ascii="Arial" w:hAnsi="Arial" w:cs="Arial"/>
          <w:sz w:val="22"/>
          <w:szCs w:val="22"/>
          <w:lang w:eastAsia="en-GB"/>
        </w:rPr>
        <w:t xml:space="preserve"> Studies show autistic individuals excel at pattern recognition and local processing tasks, offering advantages in certain contexts. Historical analysis suggests many scientific and artistic innovations came from likely autistic minds (Baron-Cohen, 2022). Clinicians increasingly adopt neurodiversity-affirming approaches, celebrating autistic strengths while addressing challenges (Lerner, Gurba, and Gassner, 2023). However, some argue the movement ignores the need for therapeutic support (Srinivasan, 2025). The clinician shifts to becoming a collaborator, helping the autistic person thrive as themselves rather than teaching them to appear less autistic.</w:t>
      </w:r>
    </w:p>
    <w:p w14:paraId="2BD89E6F" w14:textId="577EA980" w:rsidR="00E025C5" w:rsidRPr="00237340" w:rsidRDefault="002709F9" w:rsidP="00237340">
      <w:pPr>
        <w:pStyle w:val="Heading2"/>
        <w:spacing w:line="360" w:lineRule="auto"/>
        <w:rPr>
          <w:rFonts w:ascii="Arial" w:eastAsia="Times New Roman" w:hAnsi="Arial" w:cs="Arial"/>
          <w:color w:val="auto"/>
          <w:sz w:val="22"/>
          <w:szCs w:val="22"/>
          <w:lang w:eastAsia="en-GB"/>
        </w:rPr>
      </w:pPr>
      <w:bookmarkStart w:id="25" w:name="_Toc215398357"/>
      <w:bookmarkStart w:id="26" w:name="_Toc215497339"/>
      <w:r w:rsidRPr="00237340">
        <w:rPr>
          <w:rFonts w:ascii="Arial" w:eastAsia="Times New Roman" w:hAnsi="Arial" w:cs="Arial"/>
          <w:color w:val="auto"/>
          <w:sz w:val="22"/>
          <w:szCs w:val="22"/>
          <w:lang w:eastAsia="en-GB"/>
        </w:rPr>
        <w:t>Challenges in Reclassification</w:t>
      </w:r>
      <w:bookmarkEnd w:id="25"/>
      <w:bookmarkEnd w:id="26"/>
    </w:p>
    <w:p w14:paraId="358985C8" w14:textId="3C4DF32A" w:rsidR="00606F02" w:rsidRPr="00CC5E18" w:rsidRDefault="00606F02"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 xml:space="preserve">Some advocates propose removing autism from classification systems, arguing it should follow the social model of disability, which locates disability in societal barriers </w:t>
      </w:r>
      <w:r w:rsidR="00B00158">
        <w:rPr>
          <w:rFonts w:ascii="Arial" w:hAnsi="Arial" w:cs="Arial"/>
          <w:sz w:val="22"/>
          <w:szCs w:val="22"/>
          <w:lang w:eastAsia="en-GB"/>
        </w:rPr>
        <w:t xml:space="preserve">instead of </w:t>
      </w:r>
      <w:r w:rsidRPr="00CC5E18">
        <w:rPr>
          <w:rFonts w:ascii="Arial" w:hAnsi="Arial" w:cs="Arial"/>
          <w:sz w:val="22"/>
          <w:szCs w:val="22"/>
          <w:lang w:eastAsia="en-GB"/>
        </w:rPr>
        <w:t>individual impairment (Woods, 2017). Under this model, an autistic person struggles because society fails to accommodate their processing differences. Some critics warn that reframing autism specially in terms of difference may accidentally downplay the important support needs many autistic people still experience. However, healthcare systems rely on diagnostic codes for eligibility, so removing autism from ICD would jeopardi</w:t>
      </w:r>
      <w:r w:rsidR="005B43FA">
        <w:rPr>
          <w:rFonts w:ascii="Arial" w:hAnsi="Arial" w:cs="Arial"/>
          <w:sz w:val="22"/>
          <w:szCs w:val="22"/>
          <w:lang w:eastAsia="en-GB"/>
        </w:rPr>
        <w:t>s</w:t>
      </w:r>
      <w:r w:rsidRPr="00CC5E18">
        <w:rPr>
          <w:rFonts w:ascii="Arial" w:hAnsi="Arial" w:cs="Arial"/>
          <w:sz w:val="22"/>
          <w:szCs w:val="22"/>
          <w:lang w:eastAsia="en-GB"/>
        </w:rPr>
        <w:t>e access to supports. This middle path retains classification while carefully modifying its overall framing to acknowledge neurological differences and identify support needs (Kincaid et al., 2021).</w:t>
      </w:r>
    </w:p>
    <w:p w14:paraId="2A3DFC7A" w14:textId="105418A7" w:rsidR="00E025C5" w:rsidRPr="00237340" w:rsidRDefault="0057626B" w:rsidP="00237340">
      <w:pPr>
        <w:pStyle w:val="Heading2"/>
        <w:spacing w:line="360" w:lineRule="auto"/>
        <w:rPr>
          <w:rFonts w:ascii="Arial" w:eastAsia="Times New Roman" w:hAnsi="Arial" w:cs="Arial"/>
          <w:color w:val="auto"/>
          <w:sz w:val="22"/>
          <w:szCs w:val="22"/>
          <w:lang w:eastAsia="en-GB"/>
        </w:rPr>
      </w:pPr>
      <w:bookmarkStart w:id="27" w:name="_Toc215398358"/>
      <w:bookmarkStart w:id="28" w:name="_Toc215497340"/>
      <w:r w:rsidRPr="00237340">
        <w:rPr>
          <w:rFonts w:ascii="Arial" w:eastAsia="Times New Roman" w:hAnsi="Arial" w:cs="Arial"/>
          <w:color w:val="auto"/>
          <w:sz w:val="22"/>
          <w:szCs w:val="22"/>
          <w:lang w:eastAsia="en-GB"/>
        </w:rPr>
        <w:t>Implications for Practice and Policy</w:t>
      </w:r>
      <w:bookmarkEnd w:id="27"/>
      <w:bookmarkEnd w:id="28"/>
    </w:p>
    <w:p w14:paraId="738B750C" w14:textId="3E9BF5C7" w:rsidR="00961799" w:rsidRPr="00CC5E18" w:rsidRDefault="00961799"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 xml:space="preserve">These debates shape professional approaches and influence how clinicians work with autistic people. Traditional healthcare often focuses on reducing autistic traits, celebrating increased eye contact or decreased </w:t>
      </w:r>
      <w:r w:rsidR="000F1E55" w:rsidRPr="00ED2FB4">
        <w:rPr>
          <w:rFonts w:ascii="Arial" w:hAnsi="Arial" w:cs="Arial"/>
          <w:sz w:val="22"/>
          <w:szCs w:val="22"/>
          <w:lang w:eastAsia="en-GB"/>
        </w:rPr>
        <w:t>stimming</w:t>
      </w:r>
      <w:r w:rsidR="000F1E55" w:rsidRPr="00CC5E18">
        <w:rPr>
          <w:rFonts w:ascii="Arial" w:hAnsi="Arial" w:cs="Arial"/>
          <w:sz w:val="22"/>
          <w:szCs w:val="22"/>
          <w:lang w:eastAsia="en-GB"/>
        </w:rPr>
        <w:t xml:space="preserve"> (Johnson, 2025)</w:t>
      </w:r>
      <w:r w:rsidRPr="00CC5E18">
        <w:rPr>
          <w:rFonts w:ascii="Arial" w:hAnsi="Arial" w:cs="Arial"/>
          <w:sz w:val="22"/>
          <w:szCs w:val="22"/>
          <w:lang w:eastAsia="en-GB"/>
        </w:rPr>
        <w:t xml:space="preserve">. Neurodiversity-informed practitioners question whether such goals benefit the autistic person or simply comfort </w:t>
      </w:r>
      <w:r w:rsidR="00486046" w:rsidRPr="00CC5E18">
        <w:rPr>
          <w:rFonts w:ascii="Arial" w:hAnsi="Arial" w:cs="Arial"/>
          <w:sz w:val="22"/>
          <w:szCs w:val="22"/>
          <w:lang w:eastAsia="en-GB"/>
        </w:rPr>
        <w:t>others.</w:t>
      </w:r>
      <w:r w:rsidRPr="00CC5E18">
        <w:rPr>
          <w:rFonts w:ascii="Arial" w:hAnsi="Arial" w:cs="Arial"/>
          <w:sz w:val="22"/>
          <w:szCs w:val="22"/>
          <w:lang w:eastAsia="en-GB"/>
        </w:rPr>
        <w:t xml:space="preserve"> In terms of broader policy, education increasingly recognises that mainstream schools must accommodate neurodivergent learners (Department for Education, 2025). Similarly, employment policy explores how workplaces can adapt recruitment to access autistic talent (Buckland, 2024). Legal frameworks evolve too. </w:t>
      </w:r>
      <w:r w:rsidR="00371A21" w:rsidRPr="00CC5E18">
        <w:rPr>
          <w:rFonts w:ascii="Arial" w:hAnsi="Arial" w:cs="Arial"/>
          <w:sz w:val="22"/>
          <w:szCs w:val="22"/>
          <w:lang w:eastAsia="en-GB"/>
        </w:rPr>
        <w:t>Autistic people</w:t>
      </w:r>
      <w:r w:rsidR="004B41F6" w:rsidRPr="00CC5E18">
        <w:rPr>
          <w:rFonts w:ascii="Arial" w:hAnsi="Arial" w:cs="Arial"/>
          <w:sz w:val="22"/>
          <w:szCs w:val="22"/>
          <w:lang w:eastAsia="en-GB"/>
        </w:rPr>
        <w:t xml:space="preserve"> are </w:t>
      </w:r>
      <w:r w:rsidR="00DA7F6F">
        <w:rPr>
          <w:rFonts w:ascii="Arial" w:hAnsi="Arial" w:cs="Arial"/>
          <w:sz w:val="22"/>
          <w:szCs w:val="22"/>
          <w:lang w:eastAsia="en-GB"/>
        </w:rPr>
        <w:t xml:space="preserve">safeguarded against </w:t>
      </w:r>
      <w:r w:rsidR="00AF2030">
        <w:rPr>
          <w:rFonts w:ascii="Arial" w:hAnsi="Arial" w:cs="Arial"/>
          <w:sz w:val="22"/>
          <w:szCs w:val="22"/>
          <w:lang w:eastAsia="en-GB"/>
        </w:rPr>
        <w:t xml:space="preserve">discrimination under </w:t>
      </w:r>
      <w:r w:rsidR="004B41F6" w:rsidRPr="00CC5E18">
        <w:rPr>
          <w:rFonts w:ascii="Arial" w:hAnsi="Arial" w:cs="Arial"/>
          <w:sz w:val="22"/>
          <w:szCs w:val="22"/>
          <w:lang w:eastAsia="en-GB"/>
        </w:rPr>
        <w:t xml:space="preserve">the </w:t>
      </w:r>
      <w:r w:rsidR="001B31CB" w:rsidRPr="00CC5E18">
        <w:rPr>
          <w:rFonts w:ascii="Arial" w:hAnsi="Arial" w:cs="Arial"/>
          <w:sz w:val="22"/>
          <w:szCs w:val="22"/>
          <w:lang w:eastAsia="en-GB"/>
        </w:rPr>
        <w:t>UK Equality Act 2010</w:t>
      </w:r>
      <w:r w:rsidR="009F09A9" w:rsidRPr="00CC5E18">
        <w:rPr>
          <w:rFonts w:ascii="Arial" w:hAnsi="Arial" w:cs="Arial"/>
          <w:sz w:val="22"/>
          <w:szCs w:val="22"/>
          <w:lang w:eastAsia="en-GB"/>
        </w:rPr>
        <w:t>,</w:t>
      </w:r>
      <w:r w:rsidRPr="00CC5E18">
        <w:rPr>
          <w:rFonts w:ascii="Arial" w:hAnsi="Arial" w:cs="Arial"/>
          <w:sz w:val="22"/>
          <w:szCs w:val="22"/>
          <w:lang w:eastAsia="en-GB"/>
        </w:rPr>
        <w:t xml:space="preserve"> but enforcement requires clear classification, making the debate a civil rights issue.</w:t>
      </w:r>
    </w:p>
    <w:p w14:paraId="74045F06" w14:textId="79DE718C" w:rsidR="00E025C5" w:rsidRPr="00237340" w:rsidRDefault="008E5F0B" w:rsidP="00CB4029">
      <w:pPr>
        <w:pStyle w:val="Heading2"/>
        <w:spacing w:line="360" w:lineRule="auto"/>
        <w:rPr>
          <w:rFonts w:ascii="Arial" w:eastAsia="Times New Roman" w:hAnsi="Arial" w:cs="Arial"/>
          <w:b/>
          <w:bCs/>
          <w:color w:val="auto"/>
          <w:sz w:val="22"/>
          <w:szCs w:val="22"/>
          <w:lang w:eastAsia="en-GB"/>
        </w:rPr>
      </w:pPr>
      <w:bookmarkStart w:id="29" w:name="_Toc215398359"/>
      <w:bookmarkStart w:id="30" w:name="_Toc215497341"/>
      <w:r w:rsidRPr="00237340">
        <w:rPr>
          <w:rFonts w:ascii="Arial" w:eastAsia="Times New Roman" w:hAnsi="Arial" w:cs="Arial"/>
          <w:b/>
          <w:bCs/>
          <w:color w:val="auto"/>
          <w:sz w:val="22"/>
          <w:szCs w:val="22"/>
          <w:lang w:eastAsia="en-GB"/>
        </w:rPr>
        <w:t>Suggested Actions</w:t>
      </w:r>
      <w:bookmarkEnd w:id="29"/>
      <w:bookmarkEnd w:id="30"/>
    </w:p>
    <w:p w14:paraId="30AAC704" w14:textId="1D5FDAC8" w:rsidR="00053BA0" w:rsidRPr="00CB4029" w:rsidRDefault="00053BA0" w:rsidP="0049408B">
      <w:pPr>
        <w:spacing w:line="360" w:lineRule="auto"/>
        <w:jc w:val="both"/>
        <w:rPr>
          <w:rFonts w:ascii="Arial" w:hAnsi="Arial" w:cs="Arial"/>
          <w:sz w:val="22"/>
          <w:szCs w:val="22"/>
          <w:lang w:eastAsia="en-GB"/>
        </w:rPr>
      </w:pPr>
      <w:bookmarkStart w:id="31" w:name="_Toc215398360"/>
      <w:r w:rsidRPr="00CB4029">
        <w:rPr>
          <w:rFonts w:ascii="Arial" w:hAnsi="Arial" w:cs="Arial"/>
          <w:sz w:val="22"/>
          <w:szCs w:val="22"/>
          <w:lang w:eastAsia="en-GB"/>
        </w:rPr>
        <w:t xml:space="preserve">ICD revisions should actively involve autistic people, making sure that system structure and diagnostic criteria are informed by actual life experiences (Huang et al., 2022). Strength-based approaches should combine recognition of challenges with autistic strengths including the ability to recognise patterns, pay attention to details and communicate authentically. Clear guidance is needed for diagnosing women, girls and culturally diverse populations. Diagnostic </w:t>
      </w:r>
      <w:r w:rsidRPr="00CB4029">
        <w:rPr>
          <w:rFonts w:ascii="Arial" w:hAnsi="Arial" w:cs="Arial"/>
          <w:sz w:val="22"/>
          <w:szCs w:val="22"/>
          <w:lang w:eastAsia="en-GB"/>
        </w:rPr>
        <w:lastRenderedPageBreak/>
        <w:t xml:space="preserve">services must reduce waiting times using digital tools and tiered evaluations, thorough post-diagnostic assistance, such as resource referrals and follow-up appointments. Clinicians require training to recognise diverse presentations, understand cultural differences and acknowledge prejudices in standard tools toward white male children. Treatments should prioritise outcomes meaningful to autistic </w:t>
      </w:r>
      <w:r w:rsidR="00156650" w:rsidRPr="00CB4029">
        <w:rPr>
          <w:rFonts w:ascii="Arial" w:hAnsi="Arial" w:cs="Arial"/>
          <w:sz w:val="22"/>
          <w:szCs w:val="22"/>
          <w:lang w:eastAsia="en-GB"/>
        </w:rPr>
        <w:t>individuals</w:t>
      </w:r>
      <w:r w:rsidRPr="00CB4029">
        <w:rPr>
          <w:rFonts w:ascii="Arial" w:hAnsi="Arial" w:cs="Arial"/>
          <w:sz w:val="22"/>
          <w:szCs w:val="22"/>
          <w:lang w:eastAsia="en-GB"/>
        </w:rPr>
        <w:t xml:space="preserve">, including </w:t>
      </w:r>
      <w:r w:rsidR="00C10858" w:rsidRPr="00CB4029">
        <w:rPr>
          <w:rFonts w:ascii="Arial" w:hAnsi="Arial" w:cs="Arial"/>
          <w:sz w:val="22"/>
          <w:szCs w:val="22"/>
          <w:lang w:eastAsia="en-GB"/>
        </w:rPr>
        <w:t>well</w:t>
      </w:r>
      <w:r w:rsidR="00C56377" w:rsidRPr="00CB4029">
        <w:rPr>
          <w:rFonts w:ascii="Arial" w:hAnsi="Arial" w:cs="Arial"/>
          <w:sz w:val="22"/>
          <w:szCs w:val="22"/>
          <w:lang w:eastAsia="en-GB"/>
        </w:rPr>
        <w:t>-being</w:t>
      </w:r>
      <w:r w:rsidRPr="00CB4029">
        <w:rPr>
          <w:rFonts w:ascii="Arial" w:hAnsi="Arial" w:cs="Arial"/>
          <w:sz w:val="22"/>
          <w:szCs w:val="22"/>
          <w:lang w:eastAsia="en-GB"/>
        </w:rPr>
        <w:t>, independence, acceptance of oneself, and honouring communication choices, while mental health interventions align with autistic thinking styles (Cooper et al., 2018). Employment, education, and social care should adapt environments to neurodivergent needs, emphasising supported decision-making. Tiered, individuali</w:t>
      </w:r>
      <w:r w:rsidR="00083076">
        <w:rPr>
          <w:rFonts w:ascii="Arial" w:hAnsi="Arial" w:cs="Arial"/>
          <w:sz w:val="22"/>
          <w:szCs w:val="22"/>
          <w:lang w:eastAsia="en-GB"/>
        </w:rPr>
        <w:t>s</w:t>
      </w:r>
      <w:r w:rsidRPr="00CB4029">
        <w:rPr>
          <w:rFonts w:ascii="Arial" w:hAnsi="Arial" w:cs="Arial"/>
          <w:sz w:val="22"/>
          <w:szCs w:val="22"/>
          <w:lang w:eastAsia="en-GB"/>
        </w:rPr>
        <w:t>ed interventions, combined with strengths-based approaches, efficiently reduce stigma without sacrificing medical value, ensuring services address both challenges and capabilities.</w:t>
      </w:r>
      <w:bookmarkEnd w:id="31"/>
    </w:p>
    <w:p w14:paraId="55869AD5" w14:textId="77777777" w:rsidR="00E025C5" w:rsidRPr="00CB4029" w:rsidRDefault="00E025C5" w:rsidP="00CB4029">
      <w:pPr>
        <w:pStyle w:val="Heading2"/>
        <w:spacing w:line="360" w:lineRule="auto"/>
        <w:rPr>
          <w:rFonts w:ascii="Arial" w:eastAsia="Times New Roman" w:hAnsi="Arial" w:cs="Arial"/>
          <w:b/>
          <w:bCs/>
          <w:color w:val="auto"/>
          <w:sz w:val="22"/>
          <w:szCs w:val="22"/>
          <w:lang w:eastAsia="en-GB"/>
        </w:rPr>
      </w:pPr>
      <w:bookmarkStart w:id="32" w:name="_Toc215398361"/>
      <w:bookmarkStart w:id="33" w:name="_Toc215497342"/>
      <w:r w:rsidRPr="00CB4029">
        <w:rPr>
          <w:rFonts w:ascii="Arial" w:eastAsia="Times New Roman" w:hAnsi="Arial" w:cs="Arial"/>
          <w:b/>
          <w:bCs/>
          <w:color w:val="auto"/>
          <w:sz w:val="22"/>
          <w:szCs w:val="22"/>
          <w:lang w:eastAsia="en-GB"/>
        </w:rPr>
        <w:t>Conclusion</w:t>
      </w:r>
      <w:bookmarkEnd w:id="32"/>
      <w:bookmarkEnd w:id="33"/>
    </w:p>
    <w:p w14:paraId="53BD8B8D" w14:textId="2F432270" w:rsidR="005E4031" w:rsidRDefault="00BB075B" w:rsidP="0061203D">
      <w:pPr>
        <w:spacing w:line="360" w:lineRule="auto"/>
        <w:jc w:val="both"/>
        <w:rPr>
          <w:rFonts w:ascii="Arial" w:hAnsi="Arial" w:cs="Arial"/>
          <w:sz w:val="22"/>
          <w:szCs w:val="22"/>
          <w:lang w:eastAsia="en-GB"/>
        </w:rPr>
      </w:pPr>
      <w:r w:rsidRPr="00BB075B">
        <w:rPr>
          <w:rFonts w:ascii="Arial" w:hAnsi="Arial" w:cs="Arial"/>
          <w:sz w:val="22"/>
          <w:szCs w:val="22"/>
          <w:lang w:eastAsia="en-GB"/>
        </w:rPr>
        <w:t>ICD-11's classification of autism spectrum disorder represents both progress and ongoing challenges. The dimensional approach improves upon ICD-10's rigid categories, and the added specifiers allow for more precise descriptions of individual presentations. However, deficit-focused language and medical model framing increasingly conflict with autistic people's self-understanding and the neurodiversity movement, creating a fundamental tension. Medical classification systems are essential for healthcare, research, and resource allocation, but many autistic people reject being defined as disordered. Resolving this tension requires moving beyond false divisions. Autism can be both a valued form of human diversity and a focus for medical support when individuals experience suffering or functional challenges. Current treatments and rehabilitation approaches are limited, sometimes harming long-term wellbeing and services remain fragmented. Sincere cooperation between autistic individuals, physicians, researchers and legislators is necessary for the future. Society can lessen stigma, change perceptions, provide opportunity for all autistic people to flourish by embracing neurodiversity, incorporating lived experience and adhering to person-centred equitable ways. To make sure that systems adapt to the various demands of the community, ongoing lobbying, research, and cross-sector collaboration are crucial.</w:t>
      </w:r>
    </w:p>
    <w:p w14:paraId="2BBABD55"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34" w:name="_Toc215398362"/>
      <w:bookmarkStart w:id="35" w:name="_Toc215497343"/>
    </w:p>
    <w:p w14:paraId="762CE405"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3A0AFAC"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C1C6C6C"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3CB10164" w14:textId="3B350563" w:rsidR="00515D81" w:rsidRPr="002E08B7" w:rsidRDefault="00E025C5"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61203D">
        <w:rPr>
          <w:rFonts w:ascii="Arial" w:eastAsia="Times New Roman" w:hAnsi="Arial" w:cs="Arial"/>
          <w:b/>
          <w:bCs/>
          <w:kern w:val="0"/>
          <w:sz w:val="22"/>
          <w:szCs w:val="22"/>
          <w:lang w:eastAsia="en-GB"/>
          <w14:ligatures w14:val="none"/>
        </w:rPr>
        <w:lastRenderedPageBreak/>
        <w:t>References</w:t>
      </w:r>
      <w:bookmarkEnd w:id="0"/>
      <w:bookmarkEnd w:id="34"/>
      <w:bookmarkEnd w:id="35"/>
    </w:p>
    <w:p w14:paraId="6D8F2F5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Aftab, A. and Chapman, R. (2024) ‘The Neurodiversity Paradigm in Psychiatry’, </w:t>
      </w:r>
      <w:r w:rsidRPr="0061203D">
        <w:rPr>
          <w:rFonts w:ascii="Arial" w:hAnsi="Arial" w:cs="Arial"/>
          <w:i/>
          <w:iCs/>
          <w:sz w:val="22"/>
          <w:szCs w:val="22"/>
          <w:lang w:eastAsia="en-GB"/>
        </w:rPr>
        <w:t>Oxford University Press eBooks</w:t>
      </w:r>
      <w:r w:rsidRPr="0061203D">
        <w:rPr>
          <w:rFonts w:ascii="Arial" w:hAnsi="Arial" w:cs="Arial"/>
          <w:sz w:val="22"/>
          <w:szCs w:val="22"/>
          <w:lang w:eastAsia="en-GB"/>
        </w:rPr>
        <w:t xml:space="preserve">, pp.85–98. Available at </w:t>
      </w:r>
      <w:hyperlink r:id="rId8" w:history="1">
        <w:r w:rsidRPr="0061203D">
          <w:rPr>
            <w:rStyle w:val="Hyperlink"/>
            <w:rFonts w:ascii="Arial" w:eastAsia="Times New Roman" w:hAnsi="Arial" w:cs="Arial"/>
            <w:kern w:val="0"/>
            <w:sz w:val="22"/>
            <w:szCs w:val="22"/>
            <w:lang w:eastAsia="en-GB"/>
            <w14:ligatures w14:val="none"/>
          </w:rPr>
          <w:t>https://doi.org/10.1093/med/9780192870322.003.0008</w:t>
        </w:r>
      </w:hyperlink>
      <w:r w:rsidRPr="0061203D">
        <w:rPr>
          <w:rFonts w:ascii="Arial" w:hAnsi="Arial" w:cs="Arial"/>
          <w:sz w:val="22"/>
          <w:szCs w:val="22"/>
          <w:lang w:eastAsia="en-GB"/>
        </w:rPr>
        <w:t xml:space="preserve">. </w:t>
      </w:r>
    </w:p>
    <w:p w14:paraId="291830E4"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Alink, A. and Charest, I. (2020) ‘Clinically Relevant Autistic Traits Predict Greater Reliance on Detail for Image Recognition’, </w:t>
      </w:r>
      <w:r w:rsidRPr="0061203D">
        <w:rPr>
          <w:rFonts w:ascii="Arial" w:hAnsi="Arial" w:cs="Arial"/>
          <w:i/>
          <w:iCs/>
          <w:sz w:val="22"/>
          <w:szCs w:val="22"/>
          <w:lang w:eastAsia="en-GB"/>
        </w:rPr>
        <w:t>Scientific Reports</w:t>
      </w:r>
      <w:r w:rsidRPr="0061203D">
        <w:rPr>
          <w:rFonts w:ascii="Arial" w:hAnsi="Arial" w:cs="Arial"/>
          <w:sz w:val="22"/>
          <w:szCs w:val="22"/>
          <w:lang w:eastAsia="en-GB"/>
        </w:rPr>
        <w:t xml:space="preserve">, 10(1). Available at </w:t>
      </w:r>
      <w:hyperlink r:id="rId9" w:history="1">
        <w:r w:rsidRPr="0061203D">
          <w:rPr>
            <w:rStyle w:val="Hyperlink"/>
            <w:rFonts w:ascii="Arial" w:eastAsia="Times New Roman" w:hAnsi="Arial" w:cs="Arial"/>
            <w:kern w:val="0"/>
            <w:sz w:val="22"/>
            <w:szCs w:val="22"/>
            <w:lang w:eastAsia="en-GB"/>
            <w14:ligatures w14:val="none"/>
          </w:rPr>
          <w:t>https://doi.org/10.1038/s41598-020-70953-8</w:t>
        </w:r>
      </w:hyperlink>
      <w:r w:rsidRPr="0061203D">
        <w:rPr>
          <w:rFonts w:ascii="Arial" w:hAnsi="Arial" w:cs="Arial"/>
          <w:sz w:val="22"/>
          <w:szCs w:val="22"/>
          <w:lang w:eastAsia="en-GB"/>
        </w:rPr>
        <w:t xml:space="preserve">. </w:t>
      </w:r>
    </w:p>
    <w:p w14:paraId="2018604A"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Baron-Cohen, S. (2022) </w:t>
      </w:r>
      <w:r w:rsidRPr="0061203D">
        <w:rPr>
          <w:rFonts w:ascii="Arial" w:hAnsi="Arial" w:cs="Arial"/>
          <w:i/>
          <w:iCs/>
          <w:sz w:val="22"/>
          <w:szCs w:val="22"/>
          <w:lang w:eastAsia="en-GB"/>
        </w:rPr>
        <w:t>The Pattern Seekers : a New Theory of Human Invention</w:t>
      </w:r>
      <w:r w:rsidRPr="0061203D">
        <w:rPr>
          <w:rFonts w:ascii="Arial" w:hAnsi="Arial" w:cs="Arial"/>
          <w:sz w:val="22"/>
          <w:szCs w:val="22"/>
          <w:lang w:eastAsia="en-GB"/>
        </w:rPr>
        <w:t>. London: Penguin Books.</w:t>
      </w:r>
    </w:p>
    <w:p w14:paraId="6232B8F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Botha, M., Chapman, R., </w:t>
      </w:r>
      <w:proofErr w:type="spellStart"/>
      <w:r w:rsidRPr="0061203D">
        <w:rPr>
          <w:rFonts w:ascii="Arial" w:hAnsi="Arial" w:cs="Arial"/>
          <w:sz w:val="22"/>
          <w:szCs w:val="22"/>
          <w:lang w:eastAsia="en-GB"/>
        </w:rPr>
        <w:t>Onaiwu</w:t>
      </w:r>
      <w:proofErr w:type="spellEnd"/>
      <w:r w:rsidRPr="0061203D">
        <w:rPr>
          <w:rFonts w:ascii="Arial" w:hAnsi="Arial" w:cs="Arial"/>
          <w:sz w:val="22"/>
          <w:szCs w:val="22"/>
          <w:lang w:eastAsia="en-GB"/>
        </w:rPr>
        <w:t xml:space="preserve">, M.G., Kapp, S.K., Ashley, A.S. and Walker, N. (2024) ‘The neurodiversity concept was developed collectively: An overdue correction on the origins of neurodiversity theory’, </w:t>
      </w:r>
      <w:r w:rsidRPr="0061203D">
        <w:rPr>
          <w:rFonts w:ascii="Arial" w:hAnsi="Arial" w:cs="Arial"/>
          <w:i/>
          <w:iCs/>
          <w:sz w:val="22"/>
          <w:szCs w:val="22"/>
          <w:lang w:eastAsia="en-GB"/>
        </w:rPr>
        <w:t>Autism</w:t>
      </w:r>
      <w:r w:rsidRPr="0061203D">
        <w:rPr>
          <w:rFonts w:ascii="Arial" w:hAnsi="Arial" w:cs="Arial"/>
          <w:sz w:val="22"/>
          <w:szCs w:val="22"/>
          <w:lang w:eastAsia="en-GB"/>
        </w:rPr>
        <w:t xml:space="preserve">, 28(6). Available at </w:t>
      </w:r>
      <w:hyperlink r:id="rId10" w:history="1">
        <w:r w:rsidRPr="0061203D">
          <w:rPr>
            <w:rStyle w:val="Hyperlink"/>
            <w:rFonts w:ascii="Arial" w:eastAsia="Times New Roman" w:hAnsi="Arial" w:cs="Arial"/>
            <w:kern w:val="0"/>
            <w:sz w:val="22"/>
            <w:szCs w:val="22"/>
            <w:lang w:eastAsia="en-GB"/>
            <w14:ligatures w14:val="none"/>
          </w:rPr>
          <w:t>https://doi.org/10.1177/13623613241237871</w:t>
        </w:r>
      </w:hyperlink>
      <w:r w:rsidRPr="0061203D">
        <w:rPr>
          <w:rFonts w:ascii="Arial" w:hAnsi="Arial" w:cs="Arial"/>
          <w:sz w:val="22"/>
          <w:szCs w:val="22"/>
          <w:lang w:eastAsia="en-GB"/>
        </w:rPr>
        <w:t xml:space="preserve">. </w:t>
      </w:r>
    </w:p>
    <w:p w14:paraId="4DC8E269" w14:textId="33BBD768" w:rsidR="00C82EB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Buckland, R. (2024) </w:t>
      </w:r>
      <w:r w:rsidRPr="0061203D">
        <w:rPr>
          <w:rFonts w:ascii="Arial" w:hAnsi="Arial" w:cs="Arial"/>
          <w:i/>
          <w:iCs/>
          <w:sz w:val="22"/>
          <w:szCs w:val="22"/>
          <w:lang w:eastAsia="en-GB"/>
        </w:rPr>
        <w:t>The Buckland Review of Autism Employment: Report and Recommendations</w:t>
      </w:r>
      <w:r w:rsidRPr="0061203D">
        <w:rPr>
          <w:rFonts w:ascii="Arial" w:hAnsi="Arial" w:cs="Arial"/>
          <w:sz w:val="22"/>
          <w:szCs w:val="22"/>
          <w:lang w:eastAsia="en-GB"/>
        </w:rPr>
        <w:t xml:space="preserve">. Available at: </w:t>
      </w:r>
      <w:hyperlink r:id="rId11" w:history="1">
        <w:r w:rsidRPr="0061203D">
          <w:rPr>
            <w:rStyle w:val="Hyperlink"/>
            <w:rFonts w:ascii="Arial" w:eastAsia="Times New Roman" w:hAnsi="Arial" w:cs="Arial"/>
            <w:kern w:val="0"/>
            <w:sz w:val="22"/>
            <w:szCs w:val="22"/>
            <w:lang w:eastAsia="en-GB"/>
            <w14:ligatures w14:val="none"/>
          </w:rPr>
          <w:t>https://www.gov.uk/government/publications/the-buckland-review-of-autism-employment-report-and-recommendations/the-buckland-review-of-autism-employment-report-and-recommendations</w:t>
        </w:r>
      </w:hyperlink>
      <w:r w:rsidRPr="0061203D">
        <w:rPr>
          <w:rFonts w:ascii="Arial" w:hAnsi="Arial" w:cs="Arial"/>
          <w:sz w:val="22"/>
          <w:szCs w:val="22"/>
          <w:lang w:eastAsia="en-GB"/>
        </w:rPr>
        <w:t xml:space="preserve">  (Accessed 18 November. 2025)</w:t>
      </w:r>
      <w:r w:rsidR="00C82EB1">
        <w:rPr>
          <w:rFonts w:ascii="Arial" w:hAnsi="Arial" w:cs="Arial"/>
          <w:sz w:val="22"/>
          <w:szCs w:val="22"/>
          <w:lang w:eastAsia="en-GB"/>
        </w:rPr>
        <w:t>.</w:t>
      </w:r>
      <w:r w:rsidR="009E0085">
        <w:rPr>
          <w:rFonts w:ascii="Arial" w:hAnsi="Arial" w:cs="Arial"/>
          <w:sz w:val="22"/>
          <w:szCs w:val="22"/>
          <w:lang w:eastAsia="en-GB"/>
        </w:rPr>
        <w:t xml:space="preserve"> </w:t>
      </w:r>
    </w:p>
    <w:p w14:paraId="3DA8E3CA" w14:textId="70AA3BE6"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Cameron, C. and Townend, A. (2021) ‘How Might We Best Support the Effective and Meaningful Employment of Autistic People and Improve outcomes’, </w:t>
      </w:r>
      <w:r w:rsidRPr="0061203D">
        <w:rPr>
          <w:rFonts w:ascii="Arial" w:hAnsi="Arial" w:cs="Arial"/>
          <w:i/>
          <w:iCs/>
          <w:sz w:val="22"/>
          <w:szCs w:val="22"/>
          <w:lang w:eastAsia="en-GB"/>
        </w:rPr>
        <w:t>Advances in Autism</w:t>
      </w:r>
      <w:r w:rsidRPr="0061203D">
        <w:rPr>
          <w:rFonts w:ascii="Arial" w:hAnsi="Arial" w:cs="Arial"/>
          <w:sz w:val="22"/>
          <w:szCs w:val="22"/>
          <w:lang w:eastAsia="en-GB"/>
        </w:rPr>
        <w:t xml:space="preserve">, 7(1), pp.41–48. Available at </w:t>
      </w:r>
      <w:hyperlink r:id="rId12" w:history="1">
        <w:r w:rsidRPr="0061203D">
          <w:rPr>
            <w:rStyle w:val="Hyperlink"/>
            <w:rFonts w:ascii="Arial" w:eastAsia="Times New Roman" w:hAnsi="Arial" w:cs="Arial"/>
            <w:kern w:val="0"/>
            <w:sz w:val="22"/>
            <w:szCs w:val="22"/>
            <w:lang w:eastAsia="en-GB"/>
            <w14:ligatures w14:val="none"/>
          </w:rPr>
          <w:t>https://doi.org/10.1108/aia-08-2020-0046</w:t>
        </w:r>
      </w:hyperlink>
      <w:r w:rsidRPr="0061203D">
        <w:rPr>
          <w:rFonts w:ascii="Arial" w:hAnsi="Arial" w:cs="Arial"/>
          <w:sz w:val="22"/>
          <w:szCs w:val="22"/>
          <w:lang w:eastAsia="en-GB"/>
        </w:rPr>
        <w:t xml:space="preserve">. </w:t>
      </w:r>
    </w:p>
    <w:p w14:paraId="133786F1"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Cooper, K., Loades, M.E. and Russell, A. (2018) ‘Adapting Psychological Therapies for Autism’, </w:t>
      </w:r>
      <w:r w:rsidRPr="0061203D">
        <w:rPr>
          <w:rFonts w:ascii="Arial" w:hAnsi="Arial" w:cs="Arial"/>
          <w:i/>
          <w:iCs/>
          <w:sz w:val="22"/>
          <w:szCs w:val="22"/>
          <w:lang w:eastAsia="en-GB"/>
        </w:rPr>
        <w:t>Research in Autism Spectrum Disorders</w:t>
      </w:r>
      <w:r w:rsidRPr="0061203D">
        <w:rPr>
          <w:rFonts w:ascii="Arial" w:hAnsi="Arial" w:cs="Arial"/>
          <w:sz w:val="22"/>
          <w:szCs w:val="22"/>
          <w:lang w:eastAsia="en-GB"/>
        </w:rPr>
        <w:t xml:space="preserve">, 45(45), pp.43–50. Available at </w:t>
      </w:r>
      <w:hyperlink r:id="rId13" w:history="1">
        <w:r w:rsidRPr="0061203D">
          <w:rPr>
            <w:rStyle w:val="Hyperlink"/>
            <w:rFonts w:ascii="Arial" w:eastAsia="Times New Roman" w:hAnsi="Arial" w:cs="Arial"/>
            <w:kern w:val="0"/>
            <w:sz w:val="22"/>
            <w:szCs w:val="22"/>
            <w:lang w:eastAsia="en-GB"/>
            <w14:ligatures w14:val="none"/>
          </w:rPr>
          <w:t>https://doi.org/10.1016/j.rasd.2017.11.002</w:t>
        </w:r>
      </w:hyperlink>
      <w:r w:rsidRPr="0061203D">
        <w:rPr>
          <w:rFonts w:ascii="Arial" w:hAnsi="Arial" w:cs="Arial"/>
          <w:sz w:val="22"/>
          <w:szCs w:val="22"/>
          <w:lang w:eastAsia="en-GB"/>
        </w:rPr>
        <w:t xml:space="preserve">. </w:t>
      </w:r>
    </w:p>
    <w:p w14:paraId="3EA22B74" w14:textId="068AAE1B" w:rsidR="00C66ECF" w:rsidRPr="00C66ECF" w:rsidRDefault="00C66ECF" w:rsidP="00C66ECF">
      <w:pPr>
        <w:spacing w:line="360" w:lineRule="auto"/>
        <w:jc w:val="both"/>
        <w:rPr>
          <w:rFonts w:ascii="Arial" w:hAnsi="Arial" w:cs="Arial"/>
          <w:sz w:val="22"/>
          <w:szCs w:val="22"/>
          <w:lang w:eastAsia="en-GB"/>
        </w:rPr>
      </w:pPr>
      <w:r w:rsidRPr="00C66ECF">
        <w:rPr>
          <w:rFonts w:ascii="Arial" w:hAnsi="Arial" w:cs="Arial"/>
          <w:sz w:val="22"/>
          <w:szCs w:val="22"/>
          <w:lang w:eastAsia="en-GB"/>
        </w:rPr>
        <w:t>Chung, K.-M., Chung, E. and Lee, H. (2024) ‘</w:t>
      </w:r>
      <w:proofErr w:type="spellStart"/>
      <w:r w:rsidRPr="00C66ECF">
        <w:rPr>
          <w:rFonts w:ascii="Arial" w:hAnsi="Arial" w:cs="Arial"/>
          <w:sz w:val="22"/>
          <w:szCs w:val="22"/>
          <w:lang w:eastAsia="en-GB"/>
        </w:rPr>
        <w:t>Behavioral</w:t>
      </w:r>
      <w:proofErr w:type="spellEnd"/>
      <w:r w:rsidRPr="00C66ECF">
        <w:rPr>
          <w:rFonts w:ascii="Arial" w:hAnsi="Arial" w:cs="Arial"/>
          <w:sz w:val="22"/>
          <w:szCs w:val="22"/>
          <w:lang w:eastAsia="en-GB"/>
        </w:rPr>
        <w:t xml:space="preserve"> Interventions for Autism Spectrum Disorder: A Brief Review and Guidelines With a Specific Focus on Applied </w:t>
      </w:r>
      <w:proofErr w:type="spellStart"/>
      <w:r w:rsidRPr="00C66ECF">
        <w:rPr>
          <w:rFonts w:ascii="Arial" w:hAnsi="Arial" w:cs="Arial"/>
          <w:sz w:val="22"/>
          <w:szCs w:val="22"/>
          <w:lang w:eastAsia="en-GB"/>
        </w:rPr>
        <w:t>Behavior</w:t>
      </w:r>
      <w:proofErr w:type="spellEnd"/>
      <w:r w:rsidRPr="00C66ECF">
        <w:rPr>
          <w:rFonts w:ascii="Arial" w:hAnsi="Arial" w:cs="Arial"/>
          <w:sz w:val="22"/>
          <w:szCs w:val="22"/>
          <w:lang w:eastAsia="en-GB"/>
        </w:rPr>
        <w:t xml:space="preserve"> Analysis’, </w:t>
      </w:r>
      <w:r w:rsidRPr="00C66ECF">
        <w:rPr>
          <w:rFonts w:ascii="Arial" w:hAnsi="Arial" w:cs="Arial"/>
          <w:i/>
          <w:iCs/>
          <w:sz w:val="22"/>
          <w:szCs w:val="22"/>
          <w:lang w:eastAsia="en-GB"/>
        </w:rPr>
        <w:t xml:space="preserve">Journal of </w:t>
      </w:r>
      <w:proofErr w:type="spellStart"/>
      <w:r w:rsidRPr="00C66ECF">
        <w:rPr>
          <w:rFonts w:ascii="Arial" w:hAnsi="Arial" w:cs="Arial"/>
          <w:i/>
          <w:iCs/>
          <w:sz w:val="22"/>
          <w:szCs w:val="22"/>
          <w:lang w:eastAsia="en-GB"/>
        </w:rPr>
        <w:t>korean</w:t>
      </w:r>
      <w:proofErr w:type="spellEnd"/>
      <w:r w:rsidRPr="00C66ECF">
        <w:rPr>
          <w:rFonts w:ascii="Arial" w:hAnsi="Arial" w:cs="Arial"/>
          <w:i/>
          <w:iCs/>
          <w:sz w:val="22"/>
          <w:szCs w:val="22"/>
          <w:lang w:eastAsia="en-GB"/>
        </w:rPr>
        <w:t xml:space="preserve"> Academy of Child and Adolescent Psychiatry</w:t>
      </w:r>
      <w:r w:rsidRPr="00C66ECF">
        <w:rPr>
          <w:rFonts w:ascii="Arial" w:hAnsi="Arial" w:cs="Arial"/>
          <w:sz w:val="22"/>
          <w:szCs w:val="22"/>
          <w:lang w:eastAsia="en-GB"/>
        </w:rPr>
        <w:t xml:space="preserve">, 35(1), pp. 29–38. Available at: </w:t>
      </w:r>
      <w:hyperlink r:id="rId14" w:history="1">
        <w:r w:rsidRPr="00C66ECF">
          <w:rPr>
            <w:rStyle w:val="Hyperlink"/>
            <w:rFonts w:ascii="Arial" w:hAnsi="Arial" w:cs="Arial"/>
            <w:sz w:val="22"/>
            <w:szCs w:val="22"/>
            <w:lang w:eastAsia="en-GB"/>
          </w:rPr>
          <w:t>https://doi.org/10.5765/jkacap.230019</w:t>
        </w:r>
      </w:hyperlink>
      <w:r w:rsidRPr="00C66ECF">
        <w:rPr>
          <w:rFonts w:ascii="Arial" w:hAnsi="Arial" w:cs="Arial"/>
          <w:sz w:val="22"/>
          <w:szCs w:val="22"/>
          <w:lang w:eastAsia="en-GB"/>
        </w:rPr>
        <w:t>.</w:t>
      </w:r>
      <w:r>
        <w:rPr>
          <w:rFonts w:ascii="Arial" w:hAnsi="Arial" w:cs="Arial"/>
          <w:sz w:val="22"/>
          <w:szCs w:val="22"/>
          <w:lang w:eastAsia="en-GB"/>
        </w:rPr>
        <w:t xml:space="preserve"> </w:t>
      </w:r>
    </w:p>
    <w:p w14:paraId="544074C3"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Department for Education (2025) </w:t>
      </w:r>
      <w:r w:rsidRPr="0061203D">
        <w:rPr>
          <w:rFonts w:ascii="Arial" w:hAnsi="Arial" w:cs="Arial"/>
          <w:i/>
          <w:iCs/>
          <w:sz w:val="22"/>
          <w:szCs w:val="22"/>
          <w:lang w:eastAsia="en-GB"/>
        </w:rPr>
        <w:t>More Support for Neurodivergent Children in Mainstream Schools</w:t>
      </w:r>
      <w:r w:rsidRPr="0061203D">
        <w:rPr>
          <w:rFonts w:ascii="Arial" w:hAnsi="Arial" w:cs="Arial"/>
          <w:sz w:val="22"/>
          <w:szCs w:val="22"/>
          <w:lang w:eastAsia="en-GB"/>
        </w:rPr>
        <w:t>.</w:t>
      </w:r>
      <w:r>
        <w:rPr>
          <w:rFonts w:ascii="Arial" w:hAnsi="Arial" w:cs="Arial"/>
          <w:sz w:val="22"/>
          <w:szCs w:val="22"/>
          <w:lang w:eastAsia="en-GB"/>
        </w:rPr>
        <w:t xml:space="preserve"> </w:t>
      </w:r>
      <w:r w:rsidRPr="0061203D">
        <w:rPr>
          <w:rFonts w:ascii="Arial" w:hAnsi="Arial" w:cs="Arial"/>
          <w:sz w:val="22"/>
          <w:szCs w:val="22"/>
          <w:lang w:eastAsia="en-GB"/>
        </w:rPr>
        <w:t xml:space="preserve">Available at: </w:t>
      </w:r>
      <w:hyperlink r:id="rId15" w:history="1">
        <w:r w:rsidRPr="0061203D">
          <w:rPr>
            <w:rStyle w:val="Hyperlink"/>
            <w:rFonts w:ascii="Arial" w:eastAsia="Times New Roman" w:hAnsi="Arial" w:cs="Arial"/>
            <w:kern w:val="0"/>
            <w:sz w:val="22"/>
            <w:szCs w:val="22"/>
            <w:lang w:eastAsia="en-GB"/>
            <w14:ligatures w14:val="none"/>
          </w:rPr>
          <w:t>https://www.gov.uk/government/news/more-support-for-neurodivergent-children-in-mainstream-schools</w:t>
        </w:r>
      </w:hyperlink>
      <w:r w:rsidRPr="0061203D">
        <w:rPr>
          <w:rFonts w:ascii="Arial" w:hAnsi="Arial" w:cs="Arial"/>
          <w:sz w:val="22"/>
          <w:szCs w:val="22"/>
          <w:lang w:eastAsia="en-GB"/>
        </w:rPr>
        <w:t xml:space="preserve">  (Accessed 23 November. 2025).</w:t>
      </w:r>
    </w:p>
    <w:p w14:paraId="47CC32EF"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lastRenderedPageBreak/>
        <w:t xml:space="preserve">Dixon, M.R., </w:t>
      </w:r>
      <w:proofErr w:type="spellStart"/>
      <w:r w:rsidRPr="0061203D">
        <w:rPr>
          <w:rFonts w:ascii="Arial" w:hAnsi="Arial" w:cs="Arial"/>
          <w:sz w:val="22"/>
          <w:szCs w:val="22"/>
          <w:lang w:eastAsia="en-GB"/>
        </w:rPr>
        <w:t>Paliliunas</w:t>
      </w:r>
      <w:proofErr w:type="spellEnd"/>
      <w:r w:rsidRPr="0061203D">
        <w:rPr>
          <w:rFonts w:ascii="Arial" w:hAnsi="Arial" w:cs="Arial"/>
          <w:sz w:val="22"/>
          <w:szCs w:val="22"/>
          <w:lang w:eastAsia="en-GB"/>
        </w:rPr>
        <w:t xml:space="preserve">, D., Barron, B.F., Schmick, A.M. and Stanley, C.R. (2019) ‘Randomized Controlled Trial Evaluation of ABA Content on IQ Gains in Children with Autism’, </w:t>
      </w:r>
      <w:r w:rsidRPr="0061203D">
        <w:rPr>
          <w:rFonts w:ascii="Arial" w:hAnsi="Arial" w:cs="Arial"/>
          <w:i/>
          <w:iCs/>
          <w:sz w:val="22"/>
          <w:szCs w:val="22"/>
          <w:lang w:eastAsia="en-GB"/>
        </w:rPr>
        <w:t xml:space="preserve">Journal of </w:t>
      </w:r>
      <w:proofErr w:type="spellStart"/>
      <w:r w:rsidRPr="0061203D">
        <w:rPr>
          <w:rFonts w:ascii="Arial" w:hAnsi="Arial" w:cs="Arial"/>
          <w:i/>
          <w:iCs/>
          <w:sz w:val="22"/>
          <w:szCs w:val="22"/>
          <w:lang w:eastAsia="en-GB"/>
        </w:rPr>
        <w:t>Behavioral</w:t>
      </w:r>
      <w:proofErr w:type="spellEnd"/>
      <w:r w:rsidRPr="0061203D">
        <w:rPr>
          <w:rFonts w:ascii="Arial" w:hAnsi="Arial" w:cs="Arial"/>
          <w:i/>
          <w:iCs/>
          <w:sz w:val="22"/>
          <w:szCs w:val="22"/>
          <w:lang w:eastAsia="en-GB"/>
        </w:rPr>
        <w:t xml:space="preserve"> Education</w:t>
      </w:r>
      <w:r w:rsidRPr="0061203D">
        <w:rPr>
          <w:rFonts w:ascii="Arial" w:hAnsi="Arial" w:cs="Arial"/>
          <w:sz w:val="22"/>
          <w:szCs w:val="22"/>
          <w:lang w:eastAsia="en-GB"/>
        </w:rPr>
        <w:t xml:space="preserve">, 30(3). Available at </w:t>
      </w:r>
      <w:hyperlink r:id="rId16" w:history="1">
        <w:r w:rsidRPr="0061203D">
          <w:rPr>
            <w:rStyle w:val="Hyperlink"/>
            <w:rFonts w:ascii="Arial" w:eastAsia="Times New Roman" w:hAnsi="Arial" w:cs="Arial"/>
            <w:kern w:val="0"/>
            <w:sz w:val="22"/>
            <w:szCs w:val="22"/>
            <w:lang w:eastAsia="en-GB"/>
            <w14:ligatures w14:val="none"/>
          </w:rPr>
          <w:t>https://doi.org/10.1007/s10864-019-09344-7</w:t>
        </w:r>
      </w:hyperlink>
      <w:r w:rsidRPr="0061203D">
        <w:rPr>
          <w:rFonts w:ascii="Arial" w:hAnsi="Arial" w:cs="Arial"/>
          <w:sz w:val="22"/>
          <w:szCs w:val="22"/>
          <w:lang w:eastAsia="en-GB"/>
        </w:rPr>
        <w:t xml:space="preserve">. </w:t>
      </w:r>
    </w:p>
    <w:p w14:paraId="3F239532" w14:textId="39A88689" w:rsidR="005C4CDB" w:rsidRPr="005C4CDB" w:rsidRDefault="005C4CDB" w:rsidP="005C4CDB">
      <w:pPr>
        <w:spacing w:line="360" w:lineRule="auto"/>
        <w:jc w:val="both"/>
        <w:rPr>
          <w:rFonts w:ascii="Arial" w:hAnsi="Arial" w:cs="Arial"/>
          <w:sz w:val="22"/>
          <w:szCs w:val="22"/>
          <w:lang w:eastAsia="en-GB"/>
        </w:rPr>
      </w:pPr>
      <w:r w:rsidRPr="005C4CDB">
        <w:rPr>
          <w:rFonts w:ascii="Arial" w:hAnsi="Arial" w:cs="Arial"/>
          <w:sz w:val="22"/>
          <w:szCs w:val="22"/>
          <w:lang w:eastAsia="en-GB"/>
        </w:rPr>
        <w:t xml:space="preserve">Drescher, J. (2015) ‘Out of DSM: </w:t>
      </w:r>
      <w:proofErr w:type="spellStart"/>
      <w:r w:rsidRPr="005C4CDB">
        <w:rPr>
          <w:rFonts w:ascii="Arial" w:hAnsi="Arial" w:cs="Arial"/>
          <w:sz w:val="22"/>
          <w:szCs w:val="22"/>
          <w:lang w:eastAsia="en-GB"/>
        </w:rPr>
        <w:t>Depathologizing</w:t>
      </w:r>
      <w:proofErr w:type="spellEnd"/>
      <w:r w:rsidRPr="005C4CDB">
        <w:rPr>
          <w:rFonts w:ascii="Arial" w:hAnsi="Arial" w:cs="Arial"/>
          <w:sz w:val="22"/>
          <w:szCs w:val="22"/>
          <w:lang w:eastAsia="en-GB"/>
        </w:rPr>
        <w:t xml:space="preserve"> Homosexuality’, </w:t>
      </w:r>
      <w:proofErr w:type="spellStart"/>
      <w:r w:rsidRPr="005C4CDB">
        <w:rPr>
          <w:rFonts w:ascii="Arial" w:hAnsi="Arial" w:cs="Arial"/>
          <w:i/>
          <w:iCs/>
          <w:sz w:val="22"/>
          <w:szCs w:val="22"/>
          <w:lang w:eastAsia="en-GB"/>
        </w:rPr>
        <w:t>Behavioral</w:t>
      </w:r>
      <w:proofErr w:type="spellEnd"/>
      <w:r w:rsidRPr="005C4CDB">
        <w:rPr>
          <w:rFonts w:ascii="Arial" w:hAnsi="Arial" w:cs="Arial"/>
          <w:i/>
          <w:iCs/>
          <w:sz w:val="22"/>
          <w:szCs w:val="22"/>
          <w:lang w:eastAsia="en-GB"/>
        </w:rPr>
        <w:t xml:space="preserve"> sciences</w:t>
      </w:r>
      <w:r w:rsidRPr="005C4CDB">
        <w:rPr>
          <w:rFonts w:ascii="Arial" w:hAnsi="Arial" w:cs="Arial"/>
          <w:sz w:val="22"/>
          <w:szCs w:val="22"/>
          <w:lang w:eastAsia="en-GB"/>
        </w:rPr>
        <w:t xml:space="preserve">, 5(4), pp. 565–575. Available at: </w:t>
      </w:r>
      <w:hyperlink r:id="rId17" w:history="1">
        <w:r w:rsidRPr="005C4CDB">
          <w:rPr>
            <w:rStyle w:val="Hyperlink"/>
            <w:rFonts w:ascii="Arial" w:hAnsi="Arial" w:cs="Arial"/>
            <w:sz w:val="22"/>
            <w:szCs w:val="22"/>
            <w:lang w:eastAsia="en-GB"/>
          </w:rPr>
          <w:t>https://doi.org/10.3390/bs5040565</w:t>
        </w:r>
      </w:hyperlink>
      <w:r w:rsidRPr="005C4CDB">
        <w:rPr>
          <w:rFonts w:ascii="Arial" w:hAnsi="Arial" w:cs="Arial"/>
          <w:sz w:val="22"/>
          <w:szCs w:val="22"/>
          <w:lang w:eastAsia="en-GB"/>
        </w:rPr>
        <w:t>.</w:t>
      </w:r>
      <w:r>
        <w:rPr>
          <w:rFonts w:ascii="Arial" w:hAnsi="Arial" w:cs="Arial"/>
          <w:sz w:val="22"/>
          <w:szCs w:val="22"/>
          <w:lang w:eastAsia="en-GB"/>
        </w:rPr>
        <w:t xml:space="preserve"> </w:t>
      </w:r>
    </w:p>
    <w:p w14:paraId="1FEA50FB" w14:textId="77777777" w:rsidR="005C4CDB" w:rsidRPr="0061203D" w:rsidRDefault="005C4CDB" w:rsidP="0061203D">
      <w:pPr>
        <w:spacing w:line="360" w:lineRule="auto"/>
        <w:jc w:val="both"/>
        <w:rPr>
          <w:rFonts w:ascii="Arial" w:hAnsi="Arial" w:cs="Arial"/>
          <w:sz w:val="22"/>
          <w:szCs w:val="22"/>
          <w:lang w:eastAsia="en-GB"/>
        </w:rPr>
      </w:pPr>
    </w:p>
    <w:p w14:paraId="7FCAC95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Eckes, T., Buhlmann, U., Holling, H.-D. and </w:t>
      </w:r>
      <w:proofErr w:type="spellStart"/>
      <w:r w:rsidRPr="0061203D">
        <w:rPr>
          <w:rFonts w:ascii="Arial" w:hAnsi="Arial" w:cs="Arial"/>
          <w:sz w:val="22"/>
          <w:szCs w:val="22"/>
          <w:lang w:eastAsia="en-GB"/>
        </w:rPr>
        <w:t>Möllmann</w:t>
      </w:r>
      <w:proofErr w:type="spellEnd"/>
      <w:r w:rsidRPr="0061203D">
        <w:rPr>
          <w:rFonts w:ascii="Arial" w:hAnsi="Arial" w:cs="Arial"/>
          <w:sz w:val="22"/>
          <w:szCs w:val="22"/>
          <w:lang w:eastAsia="en-GB"/>
        </w:rPr>
        <w:t xml:space="preserve">, A. (2023) ‘Comprehensive ABA-based Interventions in the Treatment of Children with Autism Spectrum Disorder – a meta-analysis’, </w:t>
      </w:r>
      <w:r w:rsidRPr="0061203D">
        <w:rPr>
          <w:rFonts w:ascii="Arial" w:hAnsi="Arial" w:cs="Arial"/>
          <w:i/>
          <w:iCs/>
          <w:sz w:val="22"/>
          <w:szCs w:val="22"/>
          <w:lang w:eastAsia="en-GB"/>
        </w:rPr>
        <w:t>BMC Psychiatry</w:t>
      </w:r>
      <w:r w:rsidRPr="0061203D">
        <w:rPr>
          <w:rFonts w:ascii="Arial" w:hAnsi="Arial" w:cs="Arial"/>
          <w:sz w:val="22"/>
          <w:szCs w:val="22"/>
          <w:lang w:eastAsia="en-GB"/>
        </w:rPr>
        <w:t xml:space="preserve">, 23(1). Available at </w:t>
      </w:r>
      <w:hyperlink r:id="rId18" w:history="1">
        <w:r w:rsidRPr="0061203D">
          <w:rPr>
            <w:rStyle w:val="Hyperlink"/>
            <w:rFonts w:ascii="Arial" w:eastAsia="Times New Roman" w:hAnsi="Arial" w:cs="Arial"/>
            <w:kern w:val="0"/>
            <w:sz w:val="22"/>
            <w:szCs w:val="22"/>
            <w:lang w:eastAsia="en-GB"/>
            <w14:ligatures w14:val="none"/>
          </w:rPr>
          <w:t>https://doi.org/10.1186/s12888-022-04412-1</w:t>
        </w:r>
      </w:hyperlink>
      <w:r w:rsidRPr="0061203D">
        <w:rPr>
          <w:rFonts w:ascii="Arial" w:hAnsi="Arial" w:cs="Arial"/>
          <w:sz w:val="22"/>
          <w:szCs w:val="22"/>
          <w:lang w:eastAsia="en-GB"/>
        </w:rPr>
        <w:t xml:space="preserve">. </w:t>
      </w:r>
    </w:p>
    <w:p w14:paraId="219B42F6"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Huang, Y., Arnold, S.R.C., Foley, K.-R. and </w:t>
      </w:r>
      <w:proofErr w:type="spellStart"/>
      <w:r w:rsidRPr="0061203D">
        <w:rPr>
          <w:rFonts w:ascii="Arial" w:hAnsi="Arial" w:cs="Arial"/>
          <w:sz w:val="22"/>
          <w:szCs w:val="22"/>
          <w:lang w:eastAsia="en-GB"/>
        </w:rPr>
        <w:t>Trollor</w:t>
      </w:r>
      <w:proofErr w:type="spellEnd"/>
      <w:r w:rsidRPr="0061203D">
        <w:rPr>
          <w:rFonts w:ascii="Arial" w:hAnsi="Arial" w:cs="Arial"/>
          <w:sz w:val="22"/>
          <w:szCs w:val="22"/>
          <w:lang w:eastAsia="en-GB"/>
        </w:rPr>
        <w:t xml:space="preserve">, J.N. (2022) ‘Experiences of Support following Autism Diagnosis in Adulthood’, </w:t>
      </w:r>
      <w:r w:rsidRPr="0061203D">
        <w:rPr>
          <w:rFonts w:ascii="Arial" w:hAnsi="Arial" w:cs="Arial"/>
          <w:i/>
          <w:iCs/>
          <w:sz w:val="22"/>
          <w:szCs w:val="22"/>
          <w:lang w:eastAsia="en-GB"/>
        </w:rPr>
        <w:t>Journal of Autism and Developmental Disorders</w:t>
      </w:r>
      <w:r w:rsidRPr="0061203D">
        <w:rPr>
          <w:rFonts w:ascii="Arial" w:hAnsi="Arial" w:cs="Arial"/>
          <w:sz w:val="22"/>
          <w:szCs w:val="22"/>
          <w:lang w:eastAsia="en-GB"/>
        </w:rPr>
        <w:t xml:space="preserve">. Available at </w:t>
      </w:r>
      <w:hyperlink r:id="rId19" w:history="1">
        <w:r w:rsidRPr="0061203D">
          <w:rPr>
            <w:rStyle w:val="Hyperlink"/>
            <w:rFonts w:ascii="Arial" w:eastAsia="Times New Roman" w:hAnsi="Arial" w:cs="Arial"/>
            <w:kern w:val="0"/>
            <w:sz w:val="22"/>
            <w:szCs w:val="22"/>
            <w:lang w:eastAsia="en-GB"/>
            <w14:ligatures w14:val="none"/>
          </w:rPr>
          <w:t>https://doi.org/10.1007/s10803-022-05811-9</w:t>
        </w:r>
      </w:hyperlink>
      <w:r w:rsidRPr="0061203D">
        <w:rPr>
          <w:rFonts w:ascii="Arial" w:hAnsi="Arial" w:cs="Arial"/>
          <w:sz w:val="22"/>
          <w:szCs w:val="22"/>
          <w:lang w:eastAsia="en-GB"/>
        </w:rPr>
        <w:t xml:space="preserve">. </w:t>
      </w:r>
    </w:p>
    <w:p w14:paraId="5C6492EF"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Johnson, J.F. (2025) ‘From Harm to Healing: Building the Future of ABA with Autistic Voices’, </w:t>
      </w:r>
      <w:r w:rsidRPr="0061203D">
        <w:rPr>
          <w:rFonts w:ascii="Arial" w:hAnsi="Arial" w:cs="Arial"/>
          <w:i/>
          <w:iCs/>
          <w:sz w:val="22"/>
          <w:szCs w:val="22"/>
          <w:lang w:eastAsia="en-GB"/>
        </w:rPr>
        <w:t>Societies</w:t>
      </w:r>
      <w:r w:rsidRPr="0061203D">
        <w:rPr>
          <w:rFonts w:ascii="Arial" w:hAnsi="Arial" w:cs="Arial"/>
          <w:sz w:val="22"/>
          <w:szCs w:val="22"/>
          <w:lang w:eastAsia="en-GB"/>
        </w:rPr>
        <w:t xml:space="preserve">, 15(3), p.72. Available at </w:t>
      </w:r>
      <w:hyperlink r:id="rId20" w:history="1">
        <w:r w:rsidRPr="0061203D">
          <w:rPr>
            <w:rStyle w:val="Hyperlink"/>
            <w:rFonts w:ascii="Arial" w:eastAsia="Times New Roman" w:hAnsi="Arial" w:cs="Arial"/>
            <w:kern w:val="0"/>
            <w:sz w:val="22"/>
            <w:szCs w:val="22"/>
            <w:lang w:eastAsia="en-GB"/>
            <w14:ligatures w14:val="none"/>
          </w:rPr>
          <w:t>https://doi.org/10.3390/soc15030072</w:t>
        </w:r>
      </w:hyperlink>
      <w:r w:rsidRPr="0061203D">
        <w:rPr>
          <w:rFonts w:ascii="Arial" w:hAnsi="Arial" w:cs="Arial"/>
          <w:sz w:val="22"/>
          <w:szCs w:val="22"/>
          <w:lang w:eastAsia="en-GB"/>
        </w:rPr>
        <w:t xml:space="preserve">. </w:t>
      </w:r>
    </w:p>
    <w:p w14:paraId="1965C42D"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Kamp-Becker, I. (2024) ‘Autism Spectrum Disorder in ICD-11—a Critical Reflection of Its Possible Impact on Clinical Practice and Research’, </w:t>
      </w:r>
      <w:r w:rsidRPr="0061203D">
        <w:rPr>
          <w:rFonts w:ascii="Arial" w:hAnsi="Arial" w:cs="Arial"/>
          <w:i/>
          <w:iCs/>
          <w:sz w:val="22"/>
          <w:szCs w:val="22"/>
          <w:lang w:eastAsia="en-GB"/>
        </w:rPr>
        <w:t>Molecular Psychiatry</w:t>
      </w:r>
      <w:r w:rsidRPr="0061203D">
        <w:rPr>
          <w:rFonts w:ascii="Arial" w:hAnsi="Arial" w:cs="Arial"/>
          <w:sz w:val="22"/>
          <w:szCs w:val="22"/>
          <w:lang w:eastAsia="en-GB"/>
        </w:rPr>
        <w:t xml:space="preserve">, 29. Available at </w:t>
      </w:r>
      <w:hyperlink r:id="rId21" w:history="1">
        <w:r w:rsidRPr="0061203D">
          <w:rPr>
            <w:rStyle w:val="Hyperlink"/>
            <w:rFonts w:ascii="Arial" w:eastAsia="Times New Roman" w:hAnsi="Arial" w:cs="Arial"/>
            <w:kern w:val="0"/>
            <w:sz w:val="22"/>
            <w:szCs w:val="22"/>
            <w:lang w:eastAsia="en-GB"/>
            <w14:ligatures w14:val="none"/>
          </w:rPr>
          <w:t>https://doi.org/10.1038/s41380-023-02354-y</w:t>
        </w:r>
      </w:hyperlink>
      <w:r w:rsidRPr="0061203D">
        <w:rPr>
          <w:rFonts w:ascii="Arial" w:hAnsi="Arial" w:cs="Arial"/>
          <w:sz w:val="22"/>
          <w:szCs w:val="22"/>
          <w:lang w:eastAsia="en-GB"/>
        </w:rPr>
        <w:t xml:space="preserve">. </w:t>
      </w:r>
    </w:p>
    <w:p w14:paraId="7023B4A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Kapp, S.K. (2023) ‘Profound Concerns about ‘Profound Autism’: Dangers of Severity Scales and Functioning Labels for Support Needs’, </w:t>
      </w:r>
      <w:r w:rsidRPr="0061203D">
        <w:rPr>
          <w:rFonts w:ascii="Arial" w:hAnsi="Arial" w:cs="Arial"/>
          <w:i/>
          <w:iCs/>
          <w:sz w:val="22"/>
          <w:szCs w:val="22"/>
          <w:lang w:eastAsia="en-GB"/>
        </w:rPr>
        <w:t>Education Sciences</w:t>
      </w:r>
      <w:r w:rsidRPr="0061203D">
        <w:rPr>
          <w:rFonts w:ascii="Arial" w:hAnsi="Arial" w:cs="Arial"/>
          <w:sz w:val="22"/>
          <w:szCs w:val="22"/>
          <w:lang w:eastAsia="en-GB"/>
        </w:rPr>
        <w:t xml:space="preserve">, 13(2), p.106. Available at </w:t>
      </w:r>
      <w:hyperlink r:id="rId22" w:history="1">
        <w:r w:rsidRPr="0061203D">
          <w:rPr>
            <w:rStyle w:val="Hyperlink"/>
            <w:rFonts w:ascii="Arial" w:eastAsia="Times New Roman" w:hAnsi="Arial" w:cs="Arial"/>
            <w:kern w:val="0"/>
            <w:sz w:val="22"/>
            <w:szCs w:val="22"/>
            <w:lang w:eastAsia="en-GB"/>
            <w14:ligatures w14:val="none"/>
          </w:rPr>
          <w:t>https://doi.org/10.3390/educsci13020106</w:t>
        </w:r>
      </w:hyperlink>
      <w:r w:rsidRPr="0061203D">
        <w:rPr>
          <w:rFonts w:ascii="Arial" w:hAnsi="Arial" w:cs="Arial"/>
          <w:sz w:val="22"/>
          <w:szCs w:val="22"/>
          <w:lang w:eastAsia="en-GB"/>
        </w:rPr>
        <w:t xml:space="preserve">. </w:t>
      </w:r>
    </w:p>
    <w:p w14:paraId="24D687B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Kincaid, H., Zachar, P., Murphy, D., Garson, J., Gerrans, P., Cooper, R., </w:t>
      </w:r>
      <w:proofErr w:type="spellStart"/>
      <w:r w:rsidRPr="0061203D">
        <w:rPr>
          <w:rFonts w:ascii="Arial" w:hAnsi="Arial" w:cs="Arial"/>
          <w:sz w:val="22"/>
          <w:szCs w:val="22"/>
          <w:lang w:eastAsia="en-GB"/>
        </w:rPr>
        <w:t>Demazeux</w:t>
      </w:r>
      <w:proofErr w:type="spellEnd"/>
      <w:r w:rsidRPr="0061203D">
        <w:rPr>
          <w:rFonts w:ascii="Arial" w:hAnsi="Arial" w:cs="Arial"/>
          <w:sz w:val="22"/>
          <w:szCs w:val="22"/>
          <w:lang w:eastAsia="en-GB"/>
        </w:rPr>
        <w:t>, S., De Vreese, L., Lemoine, M., Thornton, T., De Block, A. and Sholl, J. (2021) ‘</w:t>
      </w:r>
      <w:r w:rsidRPr="0061203D">
        <w:rPr>
          <w:rFonts w:ascii="Arial" w:hAnsi="Arial" w:cs="Arial"/>
          <w:i/>
          <w:iCs/>
          <w:sz w:val="22"/>
          <w:szCs w:val="22"/>
          <w:lang w:eastAsia="en-GB"/>
        </w:rPr>
        <w:t>Defining Mental Disorder</w:t>
      </w:r>
      <w:r w:rsidRPr="0061203D">
        <w:rPr>
          <w:rFonts w:ascii="Arial" w:hAnsi="Arial" w:cs="Arial"/>
          <w:sz w:val="22"/>
          <w:szCs w:val="22"/>
          <w:lang w:eastAsia="en-GB"/>
        </w:rPr>
        <w:t xml:space="preserve">’, The MIT Press. Available at </w:t>
      </w:r>
      <w:hyperlink r:id="rId23" w:history="1">
        <w:r w:rsidRPr="0061203D">
          <w:rPr>
            <w:rStyle w:val="Hyperlink"/>
            <w:rFonts w:ascii="Arial" w:eastAsia="Times New Roman" w:hAnsi="Arial" w:cs="Arial"/>
            <w:kern w:val="0"/>
            <w:sz w:val="22"/>
            <w:szCs w:val="22"/>
            <w:lang w:eastAsia="en-GB"/>
            <w14:ligatures w14:val="none"/>
          </w:rPr>
          <w:t>https://doi.org/10.7551/mitpress/9949.001.0001</w:t>
        </w:r>
      </w:hyperlink>
      <w:r w:rsidRPr="0061203D">
        <w:rPr>
          <w:rFonts w:ascii="Arial" w:hAnsi="Arial" w:cs="Arial"/>
          <w:sz w:val="22"/>
          <w:szCs w:val="22"/>
          <w:lang w:eastAsia="en-GB"/>
        </w:rPr>
        <w:t xml:space="preserve">. </w:t>
      </w:r>
    </w:p>
    <w:p w14:paraId="55216CE4"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Lerner, M.D., Gurba, A. and Gassner, D.L. (2023) ‘A Framework for neurodiversity-affirming Interventions for Autistic individuals’, </w:t>
      </w:r>
      <w:r w:rsidRPr="0061203D">
        <w:rPr>
          <w:rFonts w:ascii="Arial" w:hAnsi="Arial" w:cs="Arial"/>
          <w:i/>
          <w:iCs/>
          <w:sz w:val="22"/>
          <w:szCs w:val="22"/>
          <w:lang w:eastAsia="en-GB"/>
        </w:rPr>
        <w:t>Journal of Consulting and Clinical Psychology</w:t>
      </w:r>
      <w:r w:rsidRPr="0061203D">
        <w:rPr>
          <w:rFonts w:ascii="Arial" w:hAnsi="Arial" w:cs="Arial"/>
          <w:sz w:val="22"/>
          <w:szCs w:val="22"/>
          <w:lang w:eastAsia="en-GB"/>
        </w:rPr>
        <w:t xml:space="preserve">, 91(9), pp.503–504. Available at </w:t>
      </w:r>
      <w:hyperlink r:id="rId24" w:history="1">
        <w:r w:rsidRPr="0061203D">
          <w:rPr>
            <w:rStyle w:val="Hyperlink"/>
            <w:rFonts w:ascii="Arial" w:eastAsia="Times New Roman" w:hAnsi="Arial" w:cs="Arial"/>
            <w:kern w:val="0"/>
            <w:sz w:val="22"/>
            <w:szCs w:val="22"/>
            <w:lang w:eastAsia="en-GB"/>
            <w14:ligatures w14:val="none"/>
          </w:rPr>
          <w:t>https://doi.org/10.1037/ccp0000839</w:t>
        </w:r>
      </w:hyperlink>
      <w:r w:rsidRPr="0061203D">
        <w:rPr>
          <w:rFonts w:ascii="Arial" w:hAnsi="Arial" w:cs="Arial"/>
          <w:sz w:val="22"/>
          <w:szCs w:val="22"/>
          <w:lang w:eastAsia="en-GB"/>
        </w:rPr>
        <w:t xml:space="preserve">.   </w:t>
      </w:r>
    </w:p>
    <w:p w14:paraId="4A98251F" w14:textId="4CEABA09" w:rsidR="004F1A96" w:rsidRPr="0061203D" w:rsidRDefault="004F1A96" w:rsidP="0061203D">
      <w:pPr>
        <w:spacing w:line="360" w:lineRule="auto"/>
        <w:jc w:val="both"/>
        <w:rPr>
          <w:rFonts w:ascii="Arial" w:hAnsi="Arial" w:cs="Arial"/>
          <w:sz w:val="22"/>
          <w:szCs w:val="22"/>
          <w:lang w:eastAsia="en-GB"/>
        </w:rPr>
      </w:pPr>
      <w:r w:rsidRPr="004F1A96">
        <w:rPr>
          <w:rFonts w:ascii="Arial" w:hAnsi="Arial" w:cs="Arial"/>
          <w:sz w:val="22"/>
          <w:szCs w:val="22"/>
          <w:lang w:eastAsia="en-GB"/>
        </w:rPr>
        <w:t xml:space="preserve">Maddox, B.B. </w:t>
      </w:r>
      <w:r w:rsidRPr="004F1A96">
        <w:rPr>
          <w:rFonts w:ascii="Arial" w:hAnsi="Arial" w:cs="Arial"/>
          <w:i/>
          <w:iCs/>
          <w:sz w:val="22"/>
          <w:szCs w:val="22"/>
          <w:lang w:eastAsia="en-GB"/>
        </w:rPr>
        <w:t>et al.</w:t>
      </w:r>
      <w:r w:rsidRPr="004F1A96">
        <w:rPr>
          <w:rFonts w:ascii="Arial" w:hAnsi="Arial" w:cs="Arial"/>
          <w:sz w:val="22"/>
          <w:szCs w:val="22"/>
          <w:lang w:eastAsia="en-GB"/>
        </w:rPr>
        <w:t xml:space="preserve"> (2017) ‘The Accuracy of the ADOS-2 in Identifying Autism among Adults with Complex Psychiatric Conditions’, </w:t>
      </w:r>
      <w:r w:rsidRPr="004F1A96">
        <w:rPr>
          <w:rFonts w:ascii="Arial" w:hAnsi="Arial" w:cs="Arial"/>
          <w:i/>
          <w:iCs/>
          <w:sz w:val="22"/>
          <w:szCs w:val="22"/>
          <w:lang w:eastAsia="en-GB"/>
        </w:rPr>
        <w:t>Journal of autism and developmental disorders</w:t>
      </w:r>
      <w:r w:rsidRPr="004F1A96">
        <w:rPr>
          <w:rFonts w:ascii="Arial" w:hAnsi="Arial" w:cs="Arial"/>
          <w:sz w:val="22"/>
          <w:szCs w:val="22"/>
          <w:lang w:eastAsia="en-GB"/>
        </w:rPr>
        <w:t xml:space="preserve">, 47(9), pp. 2703–2709. Available at: </w:t>
      </w:r>
      <w:hyperlink r:id="rId25" w:history="1">
        <w:r w:rsidRPr="004F1A96">
          <w:rPr>
            <w:rStyle w:val="Hyperlink"/>
            <w:rFonts w:ascii="Arial" w:hAnsi="Arial" w:cs="Arial"/>
            <w:sz w:val="22"/>
            <w:szCs w:val="22"/>
            <w:lang w:eastAsia="en-GB"/>
          </w:rPr>
          <w:t>https://doi.org/10.1007/s10803-017-3188-z</w:t>
        </w:r>
      </w:hyperlink>
      <w:r w:rsidRPr="004F1A96">
        <w:rPr>
          <w:rFonts w:ascii="Arial" w:hAnsi="Arial" w:cs="Arial"/>
          <w:sz w:val="22"/>
          <w:szCs w:val="22"/>
          <w:lang w:eastAsia="en-GB"/>
        </w:rPr>
        <w:t>.</w:t>
      </w:r>
      <w:r>
        <w:rPr>
          <w:rFonts w:ascii="Arial" w:hAnsi="Arial" w:cs="Arial"/>
          <w:sz w:val="22"/>
          <w:szCs w:val="22"/>
          <w:lang w:eastAsia="en-GB"/>
        </w:rPr>
        <w:t xml:space="preserve"> </w:t>
      </w:r>
    </w:p>
    <w:p w14:paraId="7E5B58DE" w14:textId="77777777" w:rsidR="00515D81" w:rsidRPr="0061203D" w:rsidRDefault="00515D81" w:rsidP="0061203D">
      <w:pPr>
        <w:spacing w:line="360" w:lineRule="auto"/>
        <w:jc w:val="both"/>
        <w:rPr>
          <w:rFonts w:ascii="Arial" w:hAnsi="Arial" w:cs="Arial"/>
          <w:sz w:val="22"/>
          <w:szCs w:val="22"/>
          <w:lang w:eastAsia="en-GB"/>
        </w:rPr>
      </w:pPr>
      <w:proofErr w:type="spellStart"/>
      <w:r w:rsidRPr="0061203D">
        <w:rPr>
          <w:rFonts w:ascii="Arial" w:hAnsi="Arial" w:cs="Arial"/>
          <w:sz w:val="22"/>
          <w:szCs w:val="22"/>
          <w:lang w:eastAsia="en-GB"/>
        </w:rPr>
        <w:t>Maciver</w:t>
      </w:r>
      <w:proofErr w:type="spellEnd"/>
      <w:r w:rsidRPr="0061203D">
        <w:rPr>
          <w:rFonts w:ascii="Arial" w:hAnsi="Arial" w:cs="Arial"/>
          <w:sz w:val="22"/>
          <w:szCs w:val="22"/>
          <w:lang w:eastAsia="en-GB"/>
        </w:rPr>
        <w:t xml:space="preserve">, D., Roy, A.S., Johnston, L., </w:t>
      </w:r>
      <w:proofErr w:type="spellStart"/>
      <w:r w:rsidRPr="0061203D">
        <w:rPr>
          <w:rFonts w:ascii="Arial" w:hAnsi="Arial" w:cs="Arial"/>
          <w:sz w:val="22"/>
          <w:szCs w:val="22"/>
          <w:lang w:eastAsia="en-GB"/>
        </w:rPr>
        <w:t>Boilson</w:t>
      </w:r>
      <w:proofErr w:type="spellEnd"/>
      <w:r w:rsidRPr="0061203D">
        <w:rPr>
          <w:rFonts w:ascii="Arial" w:hAnsi="Arial" w:cs="Arial"/>
          <w:sz w:val="22"/>
          <w:szCs w:val="22"/>
          <w:lang w:eastAsia="en-GB"/>
        </w:rPr>
        <w:t>, M., Curnow, E., Johnstone</w:t>
      </w:r>
      <w:r w:rsidRPr="0061203D">
        <w:rPr>
          <w:rFonts w:ascii="Cambria Math" w:hAnsi="Cambria Math" w:cs="Cambria Math"/>
          <w:sz w:val="22"/>
          <w:szCs w:val="22"/>
          <w:lang w:eastAsia="en-GB"/>
        </w:rPr>
        <w:t>‐</w:t>
      </w:r>
      <w:r w:rsidRPr="0061203D">
        <w:rPr>
          <w:rFonts w:ascii="Arial" w:hAnsi="Arial" w:cs="Arial"/>
          <w:sz w:val="22"/>
          <w:szCs w:val="22"/>
          <w:lang w:eastAsia="en-GB"/>
        </w:rPr>
        <w:t xml:space="preserve">Cooke, V. and Rutherford, M. (2025) ‘Waiting Times and Influencing Factors in Children and Adults </w:t>
      </w:r>
      <w:r w:rsidRPr="0061203D">
        <w:rPr>
          <w:rFonts w:ascii="Arial" w:hAnsi="Arial" w:cs="Arial"/>
          <w:sz w:val="22"/>
          <w:szCs w:val="22"/>
          <w:lang w:eastAsia="en-GB"/>
        </w:rPr>
        <w:lastRenderedPageBreak/>
        <w:t xml:space="preserve">Undergoing Assessment for Autism, ADHD, and Other Neurodevelopmental Differences’, </w:t>
      </w:r>
      <w:r w:rsidRPr="0061203D">
        <w:rPr>
          <w:rFonts w:ascii="Arial" w:hAnsi="Arial" w:cs="Arial"/>
          <w:i/>
          <w:iCs/>
          <w:sz w:val="22"/>
          <w:szCs w:val="22"/>
          <w:lang w:eastAsia="en-GB"/>
        </w:rPr>
        <w:t>Autism Research</w:t>
      </w:r>
      <w:r w:rsidRPr="0061203D">
        <w:rPr>
          <w:rFonts w:ascii="Arial" w:hAnsi="Arial" w:cs="Arial"/>
          <w:sz w:val="22"/>
          <w:szCs w:val="22"/>
          <w:lang w:eastAsia="en-GB"/>
        </w:rPr>
        <w:t xml:space="preserve">, 18(4). Available at </w:t>
      </w:r>
      <w:hyperlink r:id="rId26" w:history="1">
        <w:r w:rsidRPr="0061203D">
          <w:rPr>
            <w:rStyle w:val="Hyperlink"/>
            <w:rFonts w:ascii="Arial" w:eastAsia="Times New Roman" w:hAnsi="Arial" w:cs="Arial"/>
            <w:kern w:val="0"/>
            <w:sz w:val="22"/>
            <w:szCs w:val="22"/>
            <w:lang w:eastAsia="en-GB"/>
            <w14:ligatures w14:val="none"/>
          </w:rPr>
          <w:t>https://doi.org/10.1002/aur.70011</w:t>
        </w:r>
      </w:hyperlink>
      <w:r w:rsidRPr="0061203D">
        <w:rPr>
          <w:rFonts w:ascii="Arial" w:hAnsi="Arial" w:cs="Arial"/>
          <w:sz w:val="22"/>
          <w:szCs w:val="22"/>
          <w:lang w:eastAsia="en-GB"/>
        </w:rPr>
        <w:t xml:space="preserve">. </w:t>
      </w:r>
    </w:p>
    <w:p w14:paraId="06767E8A" w14:textId="77777777" w:rsidR="0009410B" w:rsidRDefault="00515D81" w:rsidP="00225E7C">
      <w:pPr>
        <w:spacing w:after="0" w:line="360" w:lineRule="auto"/>
        <w:rPr>
          <w:rFonts w:ascii="Arial" w:eastAsia="Times New Roman" w:hAnsi="Arial" w:cs="Arial"/>
          <w:kern w:val="0"/>
          <w:sz w:val="22"/>
          <w:szCs w:val="22"/>
          <w:lang w:eastAsia="en-GB"/>
          <w14:ligatures w14:val="none"/>
        </w:rPr>
      </w:pPr>
      <w:r w:rsidRPr="005C4B47">
        <w:rPr>
          <w:rFonts w:ascii="Arial" w:eastAsia="Times New Roman" w:hAnsi="Arial" w:cs="Arial"/>
          <w:kern w:val="0"/>
          <w:sz w:val="22"/>
          <w:szCs w:val="22"/>
          <w:lang w:eastAsia="en-GB"/>
          <w14:ligatures w14:val="none"/>
        </w:rPr>
        <w:t xml:space="preserve">Malik-Soni, N. </w:t>
      </w:r>
      <w:r w:rsidRPr="005C4B47">
        <w:rPr>
          <w:rFonts w:ascii="Arial" w:eastAsia="Times New Roman" w:hAnsi="Arial" w:cs="Arial"/>
          <w:i/>
          <w:iCs/>
          <w:kern w:val="0"/>
          <w:sz w:val="22"/>
          <w:szCs w:val="22"/>
          <w:lang w:eastAsia="en-GB"/>
          <w14:ligatures w14:val="none"/>
        </w:rPr>
        <w:t>et al.</w:t>
      </w:r>
      <w:r w:rsidRPr="005C4B47">
        <w:rPr>
          <w:rFonts w:ascii="Arial" w:eastAsia="Times New Roman" w:hAnsi="Arial" w:cs="Arial"/>
          <w:kern w:val="0"/>
          <w:sz w:val="22"/>
          <w:szCs w:val="22"/>
          <w:lang w:eastAsia="en-GB"/>
          <w14:ligatures w14:val="none"/>
        </w:rPr>
        <w:t xml:space="preserve"> (2022) ‘Tackling healthcare access barriers for individuals with autism from diagnosis to adulthood’, </w:t>
      </w:r>
      <w:proofErr w:type="spellStart"/>
      <w:r w:rsidRPr="005C4B47">
        <w:rPr>
          <w:rFonts w:ascii="Arial" w:eastAsia="Times New Roman" w:hAnsi="Arial" w:cs="Arial"/>
          <w:i/>
          <w:iCs/>
          <w:kern w:val="0"/>
          <w:sz w:val="22"/>
          <w:szCs w:val="22"/>
          <w:lang w:eastAsia="en-GB"/>
          <w14:ligatures w14:val="none"/>
        </w:rPr>
        <w:t>Pediatric</w:t>
      </w:r>
      <w:proofErr w:type="spellEnd"/>
      <w:r w:rsidRPr="005C4B47">
        <w:rPr>
          <w:rFonts w:ascii="Arial" w:eastAsia="Times New Roman" w:hAnsi="Arial" w:cs="Arial"/>
          <w:i/>
          <w:iCs/>
          <w:kern w:val="0"/>
          <w:sz w:val="22"/>
          <w:szCs w:val="22"/>
          <w:lang w:eastAsia="en-GB"/>
          <w14:ligatures w14:val="none"/>
        </w:rPr>
        <w:t xml:space="preserve"> research</w:t>
      </w:r>
      <w:r w:rsidRPr="005C4B47">
        <w:rPr>
          <w:rFonts w:ascii="Arial" w:eastAsia="Times New Roman" w:hAnsi="Arial" w:cs="Arial"/>
          <w:kern w:val="0"/>
          <w:sz w:val="22"/>
          <w:szCs w:val="22"/>
          <w:lang w:eastAsia="en-GB"/>
          <w14:ligatures w14:val="none"/>
        </w:rPr>
        <w:t xml:space="preserve">, 91(5), pp. 1028–1035. Available at: </w:t>
      </w:r>
      <w:r w:rsidRPr="008F4129">
        <w:rPr>
          <w:rFonts w:ascii="Arial" w:eastAsia="Times New Roman" w:hAnsi="Arial" w:cs="Arial"/>
          <w:kern w:val="0"/>
          <w:sz w:val="22"/>
          <w:szCs w:val="22"/>
          <w:lang w:eastAsia="en-GB"/>
          <w14:ligatures w14:val="none"/>
        </w:rPr>
        <w:t xml:space="preserve">Available at </w:t>
      </w:r>
      <w:hyperlink r:id="rId27" w:history="1">
        <w:r w:rsidRPr="005C4B47">
          <w:rPr>
            <w:rStyle w:val="Hyperlink"/>
            <w:rFonts w:ascii="Arial" w:eastAsia="Times New Roman" w:hAnsi="Arial" w:cs="Arial"/>
            <w:kern w:val="0"/>
            <w:sz w:val="22"/>
            <w:szCs w:val="22"/>
            <w:lang w:eastAsia="en-GB"/>
            <w14:ligatures w14:val="none"/>
          </w:rPr>
          <w:t>https://doi.org/10.1038/s41390-021-01465-y</w:t>
        </w:r>
      </w:hyperlink>
      <w:r w:rsidRPr="005C4B47">
        <w:rPr>
          <w:rFonts w:ascii="Arial" w:eastAsia="Times New Roman" w:hAnsi="Arial" w:cs="Arial"/>
          <w:kern w:val="0"/>
          <w:sz w:val="22"/>
          <w:szCs w:val="22"/>
          <w:lang w:eastAsia="en-GB"/>
          <w14:ligatures w14:val="none"/>
        </w:rPr>
        <w:t>.</w:t>
      </w:r>
    </w:p>
    <w:p w14:paraId="116D2806" w14:textId="0F212AE0" w:rsidR="00515D81" w:rsidRDefault="00515D81" w:rsidP="00225E7C">
      <w:pPr>
        <w:spacing w:after="0" w:line="360" w:lineRule="auto"/>
        <w:rPr>
          <w:rFonts w:ascii="Arial" w:eastAsia="Times New Roman" w:hAnsi="Arial" w:cs="Arial"/>
          <w:kern w:val="0"/>
          <w:sz w:val="22"/>
          <w:szCs w:val="22"/>
          <w:lang w:eastAsia="en-GB"/>
          <w14:ligatures w14:val="none"/>
        </w:rPr>
      </w:pPr>
      <w:r w:rsidRPr="008F4129">
        <w:rPr>
          <w:rFonts w:ascii="Arial" w:eastAsia="Times New Roman" w:hAnsi="Arial" w:cs="Arial"/>
          <w:kern w:val="0"/>
          <w:sz w:val="22"/>
          <w:szCs w:val="22"/>
          <w:lang w:eastAsia="en-GB"/>
          <w14:ligatures w14:val="none"/>
        </w:rPr>
        <w:t xml:space="preserve"> </w:t>
      </w:r>
    </w:p>
    <w:p w14:paraId="52B1BEBE" w14:textId="340E0B27" w:rsidR="0009410B" w:rsidRPr="0009410B" w:rsidRDefault="0009410B" w:rsidP="0009410B">
      <w:pPr>
        <w:spacing w:after="0" w:line="360" w:lineRule="auto"/>
        <w:rPr>
          <w:rFonts w:ascii="Arial" w:eastAsia="Times New Roman" w:hAnsi="Arial" w:cs="Arial"/>
          <w:kern w:val="0"/>
          <w:sz w:val="22"/>
          <w:szCs w:val="22"/>
          <w:lang w:eastAsia="en-GB"/>
          <w14:ligatures w14:val="none"/>
        </w:rPr>
      </w:pPr>
      <w:r w:rsidRPr="0009410B">
        <w:rPr>
          <w:rFonts w:ascii="Arial" w:eastAsia="Times New Roman" w:hAnsi="Arial" w:cs="Arial"/>
          <w:kern w:val="0"/>
          <w:sz w:val="22"/>
          <w:szCs w:val="22"/>
          <w:lang w:eastAsia="en-GB"/>
          <w14:ligatures w14:val="none"/>
        </w:rPr>
        <w:t xml:space="preserve">Pope, L., Light, J. and Laubscher, E. (2025) ‘The Effect of Naturalistic Developmental </w:t>
      </w:r>
      <w:proofErr w:type="spellStart"/>
      <w:r w:rsidRPr="0009410B">
        <w:rPr>
          <w:rFonts w:ascii="Arial" w:eastAsia="Times New Roman" w:hAnsi="Arial" w:cs="Arial"/>
          <w:kern w:val="0"/>
          <w:sz w:val="22"/>
          <w:szCs w:val="22"/>
          <w:lang w:eastAsia="en-GB"/>
          <w14:ligatures w14:val="none"/>
        </w:rPr>
        <w:t>Behavioral</w:t>
      </w:r>
      <w:proofErr w:type="spellEnd"/>
      <w:r w:rsidRPr="0009410B">
        <w:rPr>
          <w:rFonts w:ascii="Arial" w:eastAsia="Times New Roman" w:hAnsi="Arial" w:cs="Arial"/>
          <w:kern w:val="0"/>
          <w:sz w:val="22"/>
          <w:szCs w:val="22"/>
          <w:lang w:eastAsia="en-GB"/>
          <w14:ligatures w14:val="none"/>
        </w:rPr>
        <w:t xml:space="preserve"> Interventions and Aided AAC on the Language Development of Children on the Autism Spectrum with Minimal Speech: A Systematic Review and Meta-analysis’, </w:t>
      </w:r>
      <w:r w:rsidRPr="0009410B">
        <w:rPr>
          <w:rFonts w:ascii="Arial" w:eastAsia="Times New Roman" w:hAnsi="Arial" w:cs="Arial"/>
          <w:i/>
          <w:iCs/>
          <w:kern w:val="0"/>
          <w:sz w:val="22"/>
          <w:szCs w:val="22"/>
          <w:lang w:eastAsia="en-GB"/>
          <w14:ligatures w14:val="none"/>
        </w:rPr>
        <w:t>Journal of autism and developmental disorders</w:t>
      </w:r>
      <w:r w:rsidRPr="0009410B">
        <w:rPr>
          <w:rFonts w:ascii="Arial" w:eastAsia="Times New Roman" w:hAnsi="Arial" w:cs="Arial"/>
          <w:kern w:val="0"/>
          <w:sz w:val="22"/>
          <w:szCs w:val="22"/>
          <w:lang w:eastAsia="en-GB"/>
          <w14:ligatures w14:val="none"/>
        </w:rPr>
        <w:t xml:space="preserve">, 55(9), pp. 3078–3099. Available at: </w:t>
      </w:r>
      <w:hyperlink r:id="rId28" w:history="1">
        <w:r w:rsidRPr="0009410B">
          <w:rPr>
            <w:rStyle w:val="Hyperlink"/>
            <w:rFonts w:ascii="Arial" w:eastAsia="Times New Roman" w:hAnsi="Arial" w:cs="Arial"/>
            <w:kern w:val="0"/>
            <w:sz w:val="22"/>
            <w:szCs w:val="22"/>
            <w:lang w:eastAsia="en-GB"/>
            <w14:ligatures w14:val="none"/>
          </w:rPr>
          <w:t>https://doi.org/10.1007/s10803-024-06382-7</w:t>
        </w:r>
      </w:hyperlink>
      <w:r w:rsidRPr="0009410B">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p>
    <w:p w14:paraId="5AA6F887" w14:textId="77777777" w:rsidR="0009410B" w:rsidRPr="005C4B47" w:rsidRDefault="0009410B" w:rsidP="00225E7C">
      <w:pPr>
        <w:spacing w:after="0" w:line="360" w:lineRule="auto"/>
        <w:rPr>
          <w:rFonts w:ascii="Arial" w:eastAsia="Times New Roman" w:hAnsi="Arial" w:cs="Arial"/>
          <w:kern w:val="0"/>
          <w:sz w:val="22"/>
          <w:szCs w:val="22"/>
          <w:lang w:eastAsia="en-GB"/>
          <w14:ligatures w14:val="none"/>
        </w:rPr>
      </w:pPr>
    </w:p>
    <w:p w14:paraId="23A52CE6" w14:textId="77777777" w:rsidR="00515D81" w:rsidRPr="0061203D" w:rsidRDefault="00515D81" w:rsidP="0061203D">
      <w:pPr>
        <w:spacing w:line="360" w:lineRule="auto"/>
        <w:jc w:val="both"/>
        <w:rPr>
          <w:rFonts w:ascii="Arial" w:hAnsi="Arial" w:cs="Arial"/>
          <w:sz w:val="22"/>
          <w:szCs w:val="22"/>
          <w:lang w:eastAsia="en-GB"/>
        </w:rPr>
      </w:pPr>
      <w:proofErr w:type="spellStart"/>
      <w:r w:rsidRPr="0061203D">
        <w:rPr>
          <w:rFonts w:ascii="Arial" w:hAnsi="Arial" w:cs="Arial"/>
          <w:sz w:val="22"/>
          <w:szCs w:val="22"/>
          <w:lang w:eastAsia="en-GB"/>
        </w:rPr>
        <w:t>Provenzani</w:t>
      </w:r>
      <w:proofErr w:type="spellEnd"/>
      <w:r w:rsidRPr="0061203D">
        <w:rPr>
          <w:rFonts w:ascii="Arial" w:hAnsi="Arial" w:cs="Arial"/>
          <w:sz w:val="22"/>
          <w:szCs w:val="22"/>
          <w:lang w:eastAsia="en-GB"/>
        </w:rPr>
        <w:t xml:space="preserve">, U., </w:t>
      </w:r>
      <w:proofErr w:type="spellStart"/>
      <w:r w:rsidRPr="0061203D">
        <w:rPr>
          <w:rFonts w:ascii="Arial" w:hAnsi="Arial" w:cs="Arial"/>
          <w:sz w:val="22"/>
          <w:szCs w:val="22"/>
          <w:lang w:eastAsia="en-GB"/>
        </w:rPr>
        <w:t>Fusar</w:t>
      </w:r>
      <w:proofErr w:type="spellEnd"/>
      <w:r w:rsidRPr="0061203D">
        <w:rPr>
          <w:rFonts w:ascii="Arial" w:hAnsi="Arial" w:cs="Arial"/>
          <w:sz w:val="22"/>
          <w:szCs w:val="22"/>
          <w:lang w:eastAsia="en-GB"/>
        </w:rPr>
        <w:t xml:space="preserve">-Poli, L., </w:t>
      </w:r>
      <w:proofErr w:type="spellStart"/>
      <w:r w:rsidRPr="0061203D">
        <w:rPr>
          <w:rFonts w:ascii="Arial" w:hAnsi="Arial" w:cs="Arial"/>
          <w:sz w:val="22"/>
          <w:szCs w:val="22"/>
          <w:lang w:eastAsia="en-GB"/>
        </w:rPr>
        <w:t>Brondino</w:t>
      </w:r>
      <w:proofErr w:type="spellEnd"/>
      <w:r w:rsidRPr="0061203D">
        <w:rPr>
          <w:rFonts w:ascii="Arial" w:hAnsi="Arial" w:cs="Arial"/>
          <w:sz w:val="22"/>
          <w:szCs w:val="22"/>
          <w:lang w:eastAsia="en-GB"/>
        </w:rPr>
        <w:t xml:space="preserve">, N., Damiani, S., </w:t>
      </w:r>
      <w:proofErr w:type="spellStart"/>
      <w:r w:rsidRPr="0061203D">
        <w:rPr>
          <w:rFonts w:ascii="Arial" w:hAnsi="Arial" w:cs="Arial"/>
          <w:sz w:val="22"/>
          <w:szCs w:val="22"/>
          <w:lang w:eastAsia="en-GB"/>
        </w:rPr>
        <w:t>Vercesi</w:t>
      </w:r>
      <w:proofErr w:type="spellEnd"/>
      <w:r w:rsidRPr="0061203D">
        <w:rPr>
          <w:rFonts w:ascii="Arial" w:hAnsi="Arial" w:cs="Arial"/>
          <w:sz w:val="22"/>
          <w:szCs w:val="22"/>
          <w:lang w:eastAsia="en-GB"/>
        </w:rPr>
        <w:t xml:space="preserve">, M., Meyer, N., </w:t>
      </w:r>
      <w:proofErr w:type="spellStart"/>
      <w:r w:rsidRPr="0061203D">
        <w:rPr>
          <w:rFonts w:ascii="Arial" w:hAnsi="Arial" w:cs="Arial"/>
          <w:sz w:val="22"/>
          <w:szCs w:val="22"/>
          <w:lang w:eastAsia="en-GB"/>
        </w:rPr>
        <w:t>Rocchetti</w:t>
      </w:r>
      <w:proofErr w:type="spellEnd"/>
      <w:r w:rsidRPr="0061203D">
        <w:rPr>
          <w:rFonts w:ascii="Arial" w:hAnsi="Arial" w:cs="Arial"/>
          <w:sz w:val="22"/>
          <w:szCs w:val="22"/>
          <w:lang w:eastAsia="en-GB"/>
        </w:rPr>
        <w:t xml:space="preserve">, M. and Politi, P. (2019) ‘What Are We Targeting When We Treat Autism Spectrum disorder? a Systematic Review of 406 Clinical Trials’, </w:t>
      </w:r>
      <w:r w:rsidRPr="0061203D">
        <w:rPr>
          <w:rFonts w:ascii="Arial" w:hAnsi="Arial" w:cs="Arial"/>
          <w:i/>
          <w:iCs/>
          <w:sz w:val="22"/>
          <w:szCs w:val="22"/>
          <w:lang w:eastAsia="en-GB"/>
        </w:rPr>
        <w:t>Autism</w:t>
      </w:r>
      <w:r w:rsidRPr="0061203D">
        <w:rPr>
          <w:rFonts w:ascii="Arial" w:hAnsi="Arial" w:cs="Arial"/>
          <w:sz w:val="22"/>
          <w:szCs w:val="22"/>
          <w:lang w:eastAsia="en-GB"/>
        </w:rPr>
        <w:t xml:space="preserve">, 24(2), pp.274–284. Available at </w:t>
      </w:r>
      <w:hyperlink r:id="rId29" w:history="1">
        <w:r w:rsidRPr="0061203D">
          <w:rPr>
            <w:rStyle w:val="Hyperlink"/>
            <w:rFonts w:ascii="Arial" w:eastAsia="Times New Roman" w:hAnsi="Arial" w:cs="Arial"/>
            <w:kern w:val="0"/>
            <w:sz w:val="22"/>
            <w:szCs w:val="22"/>
            <w:lang w:eastAsia="en-GB"/>
            <w14:ligatures w14:val="none"/>
          </w:rPr>
          <w:t>https://doi.org/10.1177/1362361319854641</w:t>
        </w:r>
      </w:hyperlink>
      <w:r w:rsidRPr="0061203D">
        <w:rPr>
          <w:rFonts w:ascii="Arial" w:hAnsi="Arial" w:cs="Arial"/>
          <w:sz w:val="22"/>
          <w:szCs w:val="22"/>
          <w:lang w:eastAsia="en-GB"/>
        </w:rPr>
        <w:t xml:space="preserve">. </w:t>
      </w:r>
    </w:p>
    <w:p w14:paraId="12B8284F"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Robertson, Z.S., Stockwell, K.M., Lampi, A.J. and Jaswal, V.K. (2025) ‘Autism Terminology Preferences among Autistic and Non-Autistic Adults in North America’, </w:t>
      </w:r>
      <w:r w:rsidRPr="0061203D">
        <w:rPr>
          <w:rFonts w:ascii="Arial" w:hAnsi="Arial" w:cs="Arial"/>
          <w:i/>
          <w:iCs/>
          <w:sz w:val="22"/>
          <w:szCs w:val="22"/>
          <w:lang w:eastAsia="en-GB"/>
        </w:rPr>
        <w:t>Autism in Adulthood</w:t>
      </w:r>
      <w:r w:rsidRPr="0061203D">
        <w:rPr>
          <w:rFonts w:ascii="Arial" w:hAnsi="Arial" w:cs="Arial"/>
          <w:sz w:val="22"/>
          <w:szCs w:val="22"/>
          <w:lang w:eastAsia="en-GB"/>
        </w:rPr>
        <w:t xml:space="preserve">. Available at </w:t>
      </w:r>
      <w:hyperlink r:id="rId30" w:history="1">
        <w:r w:rsidRPr="0061203D">
          <w:rPr>
            <w:rStyle w:val="Hyperlink"/>
            <w:rFonts w:ascii="Arial" w:eastAsia="Times New Roman" w:hAnsi="Arial" w:cs="Arial"/>
            <w:kern w:val="0"/>
            <w:sz w:val="22"/>
            <w:szCs w:val="22"/>
            <w:lang w:eastAsia="en-GB"/>
            <w14:ligatures w14:val="none"/>
          </w:rPr>
          <w:t>https://doi.org/10.1089/aut.2023.0175</w:t>
        </w:r>
      </w:hyperlink>
      <w:r w:rsidRPr="0061203D">
        <w:rPr>
          <w:rFonts w:ascii="Arial" w:hAnsi="Arial" w:cs="Arial"/>
          <w:sz w:val="22"/>
          <w:szCs w:val="22"/>
          <w:lang w:eastAsia="en-GB"/>
        </w:rPr>
        <w:t xml:space="preserve">. </w:t>
      </w:r>
    </w:p>
    <w:p w14:paraId="3DEF0D61"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Rogers, S.J. and Dawson, G. (2010) ‘</w:t>
      </w:r>
      <w:r w:rsidRPr="0061203D">
        <w:rPr>
          <w:rFonts w:ascii="Arial" w:hAnsi="Arial" w:cs="Arial"/>
          <w:i/>
          <w:iCs/>
          <w:sz w:val="22"/>
          <w:szCs w:val="22"/>
          <w:lang w:eastAsia="en-GB"/>
        </w:rPr>
        <w:t>Early Start Denver Model for Young Children with Autism: Promoting language, learning, and Engagement</w:t>
      </w:r>
      <w:r w:rsidRPr="0061203D">
        <w:rPr>
          <w:rFonts w:ascii="Arial" w:hAnsi="Arial" w:cs="Arial"/>
          <w:sz w:val="22"/>
          <w:szCs w:val="22"/>
          <w:lang w:eastAsia="en-GB"/>
        </w:rPr>
        <w:t>’, New York: Guilford Press.</w:t>
      </w:r>
    </w:p>
    <w:p w14:paraId="16E1224D"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Sandoval-Norton, A.H., </w:t>
      </w:r>
      <w:proofErr w:type="spellStart"/>
      <w:r w:rsidRPr="0061203D">
        <w:rPr>
          <w:rFonts w:ascii="Arial" w:hAnsi="Arial" w:cs="Arial"/>
          <w:sz w:val="22"/>
          <w:szCs w:val="22"/>
          <w:lang w:eastAsia="en-GB"/>
        </w:rPr>
        <w:t>Shkedy</w:t>
      </w:r>
      <w:proofErr w:type="spellEnd"/>
      <w:r w:rsidRPr="0061203D">
        <w:rPr>
          <w:rFonts w:ascii="Arial" w:hAnsi="Arial" w:cs="Arial"/>
          <w:sz w:val="22"/>
          <w:szCs w:val="22"/>
          <w:lang w:eastAsia="en-GB"/>
        </w:rPr>
        <w:t xml:space="preserve">, G. and </w:t>
      </w:r>
      <w:proofErr w:type="spellStart"/>
      <w:r w:rsidRPr="0061203D">
        <w:rPr>
          <w:rFonts w:ascii="Arial" w:hAnsi="Arial" w:cs="Arial"/>
          <w:sz w:val="22"/>
          <w:szCs w:val="22"/>
          <w:lang w:eastAsia="en-GB"/>
        </w:rPr>
        <w:t>Shkedy</w:t>
      </w:r>
      <w:proofErr w:type="spellEnd"/>
      <w:r w:rsidRPr="0061203D">
        <w:rPr>
          <w:rFonts w:ascii="Arial" w:hAnsi="Arial" w:cs="Arial"/>
          <w:sz w:val="22"/>
          <w:szCs w:val="22"/>
          <w:lang w:eastAsia="en-GB"/>
        </w:rPr>
        <w:t xml:space="preserve">, D. (2021) ‘Long-term ABA Therapy Is Abusive: A Response to </w:t>
      </w:r>
      <w:proofErr w:type="spellStart"/>
      <w:r w:rsidRPr="0061203D">
        <w:rPr>
          <w:rFonts w:ascii="Arial" w:hAnsi="Arial" w:cs="Arial"/>
          <w:sz w:val="22"/>
          <w:szCs w:val="22"/>
          <w:lang w:eastAsia="en-GB"/>
        </w:rPr>
        <w:t>Gorycki</w:t>
      </w:r>
      <w:proofErr w:type="spellEnd"/>
      <w:r w:rsidRPr="0061203D">
        <w:rPr>
          <w:rFonts w:ascii="Arial" w:hAnsi="Arial" w:cs="Arial"/>
          <w:sz w:val="22"/>
          <w:szCs w:val="22"/>
          <w:lang w:eastAsia="en-GB"/>
        </w:rPr>
        <w:t xml:space="preserve">, Ruppel, and Zane’, </w:t>
      </w:r>
      <w:r w:rsidRPr="0061203D">
        <w:rPr>
          <w:rFonts w:ascii="Arial" w:hAnsi="Arial" w:cs="Arial"/>
          <w:i/>
          <w:iCs/>
          <w:sz w:val="22"/>
          <w:szCs w:val="22"/>
          <w:lang w:eastAsia="en-GB"/>
        </w:rPr>
        <w:t>Advances in Neurodevelopmental Disorders</w:t>
      </w:r>
      <w:r w:rsidRPr="0061203D">
        <w:rPr>
          <w:rFonts w:ascii="Arial" w:hAnsi="Arial" w:cs="Arial"/>
          <w:sz w:val="22"/>
          <w:szCs w:val="22"/>
          <w:lang w:eastAsia="en-GB"/>
        </w:rPr>
        <w:t xml:space="preserve">, 5(2), pp.126–134. Available at </w:t>
      </w:r>
      <w:hyperlink r:id="rId31" w:history="1">
        <w:r w:rsidRPr="0061203D">
          <w:rPr>
            <w:rStyle w:val="Hyperlink"/>
            <w:rFonts w:ascii="Arial" w:eastAsia="Times New Roman" w:hAnsi="Arial" w:cs="Arial"/>
            <w:kern w:val="0"/>
            <w:sz w:val="22"/>
            <w:szCs w:val="22"/>
            <w:lang w:eastAsia="en-GB"/>
            <w14:ligatures w14:val="none"/>
          </w:rPr>
          <w:t>https://doi.org/10.1007/s41252-021-00201-1</w:t>
        </w:r>
      </w:hyperlink>
      <w:r w:rsidRPr="0061203D">
        <w:rPr>
          <w:rFonts w:ascii="Arial" w:hAnsi="Arial" w:cs="Arial"/>
          <w:sz w:val="22"/>
          <w:szCs w:val="22"/>
          <w:lang w:eastAsia="en-GB"/>
        </w:rPr>
        <w:t xml:space="preserve">. </w:t>
      </w:r>
    </w:p>
    <w:p w14:paraId="160EB181"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Selb, M., Kohler, F., Nicol, M., Riberto, M., Stucki, G., Kennedy, C. and Üstün, B. (2015) ‘ICD-11: a Comprehensive Picture of health, an Update on the ICD–ICF Joint Use Initiative’, </w:t>
      </w:r>
      <w:r w:rsidRPr="0061203D">
        <w:rPr>
          <w:rFonts w:ascii="Arial" w:hAnsi="Arial" w:cs="Arial"/>
          <w:i/>
          <w:iCs/>
          <w:sz w:val="22"/>
          <w:szCs w:val="22"/>
          <w:lang w:eastAsia="en-GB"/>
        </w:rPr>
        <w:t>Journal of Rehabilitation Medicine</w:t>
      </w:r>
      <w:r w:rsidRPr="0061203D">
        <w:rPr>
          <w:rFonts w:ascii="Arial" w:hAnsi="Arial" w:cs="Arial"/>
          <w:sz w:val="22"/>
          <w:szCs w:val="22"/>
          <w:lang w:eastAsia="en-GB"/>
        </w:rPr>
        <w:t xml:space="preserve">, 47(1), pp.2–8. Available at </w:t>
      </w:r>
      <w:hyperlink r:id="rId32" w:history="1">
        <w:r w:rsidRPr="0061203D">
          <w:rPr>
            <w:rStyle w:val="Hyperlink"/>
            <w:rFonts w:ascii="Arial" w:eastAsia="Times New Roman" w:hAnsi="Arial" w:cs="Arial"/>
            <w:kern w:val="0"/>
            <w:sz w:val="22"/>
            <w:szCs w:val="22"/>
            <w:lang w:eastAsia="en-GB"/>
            <w14:ligatures w14:val="none"/>
          </w:rPr>
          <w:t>https://doi.org/10.2340/16501977-1928</w:t>
        </w:r>
      </w:hyperlink>
      <w:r w:rsidRPr="0061203D">
        <w:rPr>
          <w:rFonts w:ascii="Arial" w:hAnsi="Arial" w:cs="Arial"/>
          <w:sz w:val="22"/>
          <w:szCs w:val="22"/>
          <w:lang w:eastAsia="en-GB"/>
        </w:rPr>
        <w:t xml:space="preserve">. </w:t>
      </w:r>
    </w:p>
    <w:p w14:paraId="4CBC68D2"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Srinivasan, H. (2025) ‘Neurodiversity 2.0 - Harnessing cross-disciplinary Disability Insights’, </w:t>
      </w:r>
      <w:r w:rsidRPr="0061203D">
        <w:rPr>
          <w:rFonts w:ascii="Arial" w:hAnsi="Arial" w:cs="Arial"/>
          <w:i/>
          <w:iCs/>
          <w:sz w:val="22"/>
          <w:szCs w:val="22"/>
          <w:lang w:eastAsia="en-GB"/>
        </w:rPr>
        <w:t>Research in Autism</w:t>
      </w:r>
      <w:r w:rsidRPr="0061203D">
        <w:rPr>
          <w:rFonts w:ascii="Arial" w:hAnsi="Arial" w:cs="Arial"/>
          <w:sz w:val="22"/>
          <w:szCs w:val="22"/>
          <w:lang w:eastAsia="en-GB"/>
        </w:rPr>
        <w:t xml:space="preserve">, 127, p.202652. Available at </w:t>
      </w:r>
      <w:hyperlink r:id="rId33" w:history="1">
        <w:r w:rsidRPr="0061203D">
          <w:rPr>
            <w:rStyle w:val="Hyperlink"/>
            <w:rFonts w:ascii="Arial" w:eastAsia="Times New Roman" w:hAnsi="Arial" w:cs="Arial"/>
            <w:kern w:val="0"/>
            <w:sz w:val="22"/>
            <w:szCs w:val="22"/>
            <w:lang w:eastAsia="en-GB"/>
            <w14:ligatures w14:val="none"/>
          </w:rPr>
          <w:t>https://doi.org/10.1016/j.reia.2025.202652</w:t>
        </w:r>
      </w:hyperlink>
      <w:r w:rsidRPr="0061203D">
        <w:rPr>
          <w:rFonts w:ascii="Arial" w:hAnsi="Arial" w:cs="Arial"/>
          <w:sz w:val="22"/>
          <w:szCs w:val="22"/>
          <w:lang w:eastAsia="en-GB"/>
        </w:rPr>
        <w:t xml:space="preserve">. </w:t>
      </w:r>
    </w:p>
    <w:p w14:paraId="730E1AA6" w14:textId="77777777" w:rsidR="00515D81" w:rsidRDefault="00515D81" w:rsidP="00CC7F74">
      <w:pPr>
        <w:spacing w:after="0" w:line="360" w:lineRule="auto"/>
        <w:rPr>
          <w:rFonts w:ascii="Arial" w:eastAsia="Times New Roman" w:hAnsi="Arial" w:cs="Arial"/>
          <w:kern w:val="0"/>
          <w:lang w:eastAsia="en-GB"/>
          <w14:ligatures w14:val="none"/>
        </w:rPr>
      </w:pPr>
      <w:r w:rsidRPr="00CC7F74">
        <w:rPr>
          <w:rFonts w:ascii="Arial" w:eastAsia="Times New Roman" w:hAnsi="Arial" w:cs="Arial"/>
          <w:kern w:val="0"/>
          <w:lang w:eastAsia="en-GB"/>
          <w14:ligatures w14:val="none"/>
        </w:rPr>
        <w:t xml:space="preserve">Stagg, S.D. and Belcher, H. (2019) ‘Living with autism without knowing: receiving a diagnosis in later life’, </w:t>
      </w:r>
      <w:r w:rsidRPr="00CC7F74">
        <w:rPr>
          <w:rFonts w:ascii="Arial" w:eastAsia="Times New Roman" w:hAnsi="Arial" w:cs="Arial"/>
          <w:i/>
          <w:iCs/>
          <w:kern w:val="0"/>
          <w:lang w:eastAsia="en-GB"/>
          <w14:ligatures w14:val="none"/>
        </w:rPr>
        <w:t xml:space="preserve">Health psychology &amp; </w:t>
      </w:r>
      <w:proofErr w:type="spellStart"/>
      <w:r w:rsidRPr="00CC7F74">
        <w:rPr>
          <w:rFonts w:ascii="Arial" w:eastAsia="Times New Roman" w:hAnsi="Arial" w:cs="Arial"/>
          <w:i/>
          <w:iCs/>
          <w:kern w:val="0"/>
          <w:lang w:eastAsia="en-GB"/>
          <w14:ligatures w14:val="none"/>
        </w:rPr>
        <w:t>behavioral</w:t>
      </w:r>
      <w:proofErr w:type="spellEnd"/>
      <w:r w:rsidRPr="00CC7F74">
        <w:rPr>
          <w:rFonts w:ascii="Arial" w:eastAsia="Times New Roman" w:hAnsi="Arial" w:cs="Arial"/>
          <w:i/>
          <w:iCs/>
          <w:kern w:val="0"/>
          <w:lang w:eastAsia="en-GB"/>
          <w14:ligatures w14:val="none"/>
        </w:rPr>
        <w:t xml:space="preserve"> medicine</w:t>
      </w:r>
      <w:r w:rsidRPr="00CC7F74">
        <w:rPr>
          <w:rFonts w:ascii="Arial" w:eastAsia="Times New Roman" w:hAnsi="Arial" w:cs="Arial"/>
          <w:kern w:val="0"/>
          <w:lang w:eastAsia="en-GB"/>
          <w14:ligatures w14:val="none"/>
        </w:rPr>
        <w:t xml:space="preserve">, 7(1), pp. 348–361. Available at: </w:t>
      </w:r>
      <w:hyperlink r:id="rId34" w:history="1">
        <w:r w:rsidRPr="00CC7F74">
          <w:rPr>
            <w:rStyle w:val="Hyperlink"/>
            <w:rFonts w:ascii="Arial" w:eastAsia="Times New Roman" w:hAnsi="Arial" w:cs="Arial"/>
            <w:kern w:val="0"/>
            <w:lang w:eastAsia="en-GB"/>
            <w14:ligatures w14:val="none"/>
          </w:rPr>
          <w:t>https://doi.org/10.1080/21642850.2019.1684920</w:t>
        </w:r>
      </w:hyperlink>
      <w:r w:rsidRPr="00CC7F7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
    <w:p w14:paraId="18EEEDBB" w14:textId="77777777" w:rsidR="008053E4" w:rsidRDefault="008053E4" w:rsidP="00CC7F74">
      <w:pPr>
        <w:spacing w:after="0" w:line="360" w:lineRule="auto"/>
        <w:rPr>
          <w:rFonts w:ascii="Arial" w:eastAsia="Times New Roman" w:hAnsi="Arial" w:cs="Arial"/>
          <w:kern w:val="0"/>
          <w:lang w:eastAsia="en-GB"/>
          <w14:ligatures w14:val="none"/>
        </w:rPr>
      </w:pPr>
    </w:p>
    <w:p w14:paraId="0577E15B" w14:textId="2122D974" w:rsidR="00FB62AF" w:rsidRPr="00A05DB3" w:rsidRDefault="00FB62AF" w:rsidP="00A05DB3">
      <w:pPr>
        <w:spacing w:after="0" w:line="360" w:lineRule="auto"/>
        <w:jc w:val="both"/>
        <w:rPr>
          <w:rFonts w:ascii="Arial" w:eastAsia="Times New Roman" w:hAnsi="Arial" w:cs="Arial"/>
          <w:kern w:val="0"/>
          <w:sz w:val="22"/>
          <w:szCs w:val="22"/>
          <w:lang w:eastAsia="en-GB"/>
          <w14:ligatures w14:val="none"/>
        </w:rPr>
      </w:pPr>
      <w:r w:rsidRPr="00A05DB3">
        <w:rPr>
          <w:rFonts w:ascii="Arial" w:eastAsia="Times New Roman" w:hAnsi="Arial" w:cs="Arial"/>
          <w:kern w:val="0"/>
          <w:sz w:val="22"/>
          <w:szCs w:val="22"/>
          <w:lang w:eastAsia="en-GB"/>
          <w14:ligatures w14:val="none"/>
        </w:rPr>
        <w:lastRenderedPageBreak/>
        <w:t xml:space="preserve">Sturrock, A. et al. (2023) ‘The impact of subtle language and communication difficulties on the daily lives of autistic children without intellectual disability: Parent perspectives’, International journal of language &amp; communication disorders, 58(4), pp. 1232–1250. Available at: </w:t>
      </w:r>
      <w:hyperlink r:id="rId35" w:history="1">
        <w:r w:rsidR="00A05DB3" w:rsidRPr="0028663C">
          <w:rPr>
            <w:rStyle w:val="Hyperlink"/>
            <w:rFonts w:ascii="Arial" w:eastAsia="Times New Roman" w:hAnsi="Arial" w:cs="Arial"/>
            <w:kern w:val="0"/>
            <w:sz w:val="22"/>
            <w:szCs w:val="22"/>
            <w:lang w:eastAsia="en-GB"/>
            <w14:ligatures w14:val="none"/>
          </w:rPr>
          <w:t>https://doi.org/10.1111/1460-6984.12859</w:t>
        </w:r>
      </w:hyperlink>
      <w:r w:rsidRPr="00A05DB3">
        <w:rPr>
          <w:rFonts w:ascii="Arial" w:eastAsia="Times New Roman" w:hAnsi="Arial" w:cs="Arial"/>
          <w:kern w:val="0"/>
          <w:sz w:val="22"/>
          <w:szCs w:val="22"/>
          <w:lang w:eastAsia="en-GB"/>
          <w14:ligatures w14:val="none"/>
        </w:rPr>
        <w:t>.</w:t>
      </w:r>
      <w:r w:rsidR="00A05DB3">
        <w:rPr>
          <w:rFonts w:ascii="Arial" w:eastAsia="Times New Roman" w:hAnsi="Arial" w:cs="Arial"/>
          <w:kern w:val="0"/>
          <w:sz w:val="22"/>
          <w:szCs w:val="22"/>
          <w:lang w:eastAsia="en-GB"/>
          <w14:ligatures w14:val="none"/>
        </w:rPr>
        <w:t xml:space="preserve"> </w:t>
      </w:r>
    </w:p>
    <w:p w14:paraId="2FBCD100" w14:textId="77777777" w:rsidR="00FC5B63" w:rsidRPr="00CC7F74" w:rsidRDefault="00FC5B63" w:rsidP="00CC7F74">
      <w:pPr>
        <w:spacing w:after="0" w:line="360" w:lineRule="auto"/>
        <w:rPr>
          <w:rFonts w:ascii="Arial" w:eastAsia="Times New Roman" w:hAnsi="Arial" w:cs="Arial"/>
          <w:kern w:val="0"/>
          <w:lang w:eastAsia="en-GB"/>
          <w14:ligatures w14:val="none"/>
        </w:rPr>
      </w:pPr>
    </w:p>
    <w:p w14:paraId="7F2154C0"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Tajik-</w:t>
      </w:r>
      <w:proofErr w:type="spellStart"/>
      <w:r w:rsidRPr="0061203D">
        <w:rPr>
          <w:rFonts w:ascii="Arial" w:hAnsi="Arial" w:cs="Arial"/>
          <w:sz w:val="22"/>
          <w:szCs w:val="22"/>
          <w:lang w:eastAsia="en-GB"/>
        </w:rPr>
        <w:t>Parvinchi</w:t>
      </w:r>
      <w:proofErr w:type="spellEnd"/>
      <w:r w:rsidRPr="0061203D">
        <w:rPr>
          <w:rFonts w:ascii="Arial" w:hAnsi="Arial" w:cs="Arial"/>
          <w:sz w:val="22"/>
          <w:szCs w:val="22"/>
          <w:lang w:eastAsia="en-GB"/>
        </w:rPr>
        <w:t xml:space="preserve">, D., </w:t>
      </w:r>
      <w:proofErr w:type="spellStart"/>
      <w:r w:rsidRPr="0061203D">
        <w:rPr>
          <w:rFonts w:ascii="Arial" w:hAnsi="Arial" w:cs="Arial"/>
          <w:sz w:val="22"/>
          <w:szCs w:val="22"/>
          <w:lang w:eastAsia="en-GB"/>
        </w:rPr>
        <w:t>Hidecker</w:t>
      </w:r>
      <w:proofErr w:type="spellEnd"/>
      <w:r w:rsidRPr="0061203D">
        <w:rPr>
          <w:rFonts w:ascii="Arial" w:hAnsi="Arial" w:cs="Arial"/>
          <w:sz w:val="22"/>
          <w:szCs w:val="22"/>
          <w:lang w:eastAsia="en-GB"/>
        </w:rPr>
        <w:t xml:space="preserve">, M.J.C., Selvakumaran, S., Fan, L., Batth, S., Fang, H., Ross, B., Stone, A.C., Reed, B., Kunitz, C., Ostlund, A., Snyder, H., McMillan, L., Adams, H., </w:t>
      </w:r>
      <w:proofErr w:type="spellStart"/>
      <w:r w:rsidRPr="0061203D">
        <w:rPr>
          <w:rFonts w:ascii="Arial" w:hAnsi="Arial" w:cs="Arial"/>
          <w:sz w:val="22"/>
          <w:szCs w:val="22"/>
          <w:lang w:eastAsia="en-GB"/>
        </w:rPr>
        <w:t>Verosky</w:t>
      </w:r>
      <w:proofErr w:type="spellEnd"/>
      <w:r w:rsidRPr="0061203D">
        <w:rPr>
          <w:rFonts w:ascii="Arial" w:hAnsi="Arial" w:cs="Arial"/>
          <w:sz w:val="22"/>
          <w:szCs w:val="22"/>
          <w:lang w:eastAsia="en-GB"/>
        </w:rPr>
        <w:t xml:space="preserve">, V. and Di </w:t>
      </w:r>
      <w:proofErr w:type="spellStart"/>
      <w:r w:rsidRPr="0061203D">
        <w:rPr>
          <w:rFonts w:ascii="Arial" w:hAnsi="Arial" w:cs="Arial"/>
          <w:sz w:val="22"/>
          <w:szCs w:val="22"/>
          <w:lang w:eastAsia="en-GB"/>
        </w:rPr>
        <w:t>Rezze</w:t>
      </w:r>
      <w:proofErr w:type="spellEnd"/>
      <w:r w:rsidRPr="0061203D">
        <w:rPr>
          <w:rFonts w:ascii="Arial" w:hAnsi="Arial" w:cs="Arial"/>
          <w:sz w:val="22"/>
          <w:szCs w:val="22"/>
          <w:lang w:eastAsia="en-GB"/>
        </w:rPr>
        <w:t xml:space="preserve">, B. (2021) ‘Operationalizing Social Communication in Autism and Related Neurodevelopmental Research: a Scoping Review over 20 Years’, </w:t>
      </w:r>
      <w:r w:rsidRPr="0061203D">
        <w:rPr>
          <w:rFonts w:ascii="Arial" w:hAnsi="Arial" w:cs="Arial"/>
          <w:i/>
          <w:iCs/>
          <w:sz w:val="22"/>
          <w:szCs w:val="22"/>
          <w:lang w:eastAsia="en-GB"/>
        </w:rPr>
        <w:t>Current Developmental Disorders Reports</w:t>
      </w:r>
      <w:r w:rsidRPr="0061203D">
        <w:rPr>
          <w:rFonts w:ascii="Arial" w:hAnsi="Arial" w:cs="Arial"/>
          <w:sz w:val="22"/>
          <w:szCs w:val="22"/>
          <w:lang w:eastAsia="en-GB"/>
        </w:rPr>
        <w:t xml:space="preserve">. Available at </w:t>
      </w:r>
      <w:hyperlink r:id="rId36" w:history="1">
        <w:r w:rsidRPr="0061203D">
          <w:rPr>
            <w:rStyle w:val="Hyperlink"/>
            <w:rFonts w:ascii="Arial" w:eastAsia="Times New Roman" w:hAnsi="Arial" w:cs="Arial"/>
            <w:kern w:val="0"/>
            <w:sz w:val="22"/>
            <w:szCs w:val="22"/>
            <w:lang w:eastAsia="en-GB"/>
            <w14:ligatures w14:val="none"/>
          </w:rPr>
          <w:t>https://doi.org/10.1007/s40474-021-00224-2</w:t>
        </w:r>
      </w:hyperlink>
      <w:r w:rsidRPr="0061203D">
        <w:rPr>
          <w:rFonts w:ascii="Arial" w:hAnsi="Arial" w:cs="Arial"/>
          <w:sz w:val="22"/>
          <w:szCs w:val="22"/>
          <w:lang w:eastAsia="en-GB"/>
        </w:rPr>
        <w:t xml:space="preserve">. </w:t>
      </w:r>
    </w:p>
    <w:p w14:paraId="3CBD531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Woods, R. (2017) ‘Exploring How the Social Model of Disability Can Be re-invigorated for autism: in Response to Jonathan Levitt’, </w:t>
      </w:r>
      <w:r w:rsidRPr="0061203D">
        <w:rPr>
          <w:rFonts w:ascii="Arial" w:hAnsi="Arial" w:cs="Arial"/>
          <w:i/>
          <w:iCs/>
          <w:sz w:val="22"/>
          <w:szCs w:val="22"/>
          <w:lang w:eastAsia="en-GB"/>
        </w:rPr>
        <w:t>Disability &amp; Society</w:t>
      </w:r>
      <w:r w:rsidRPr="0061203D">
        <w:rPr>
          <w:rFonts w:ascii="Arial" w:hAnsi="Arial" w:cs="Arial"/>
          <w:sz w:val="22"/>
          <w:szCs w:val="22"/>
          <w:lang w:eastAsia="en-GB"/>
        </w:rPr>
        <w:t xml:space="preserve">, 32(7), pp.1090–1095. Available at </w:t>
      </w:r>
      <w:hyperlink r:id="rId37" w:history="1">
        <w:r w:rsidRPr="0061203D">
          <w:rPr>
            <w:rStyle w:val="Hyperlink"/>
            <w:rFonts w:ascii="Arial" w:eastAsia="Times New Roman" w:hAnsi="Arial" w:cs="Arial"/>
            <w:kern w:val="0"/>
            <w:sz w:val="22"/>
            <w:szCs w:val="22"/>
            <w:lang w:eastAsia="en-GB"/>
            <w14:ligatures w14:val="none"/>
          </w:rPr>
          <w:t>https://doi.org/10.1080/09687599.2017.1328157</w:t>
        </w:r>
      </w:hyperlink>
      <w:r w:rsidRPr="0061203D">
        <w:rPr>
          <w:rFonts w:ascii="Arial" w:hAnsi="Arial" w:cs="Arial"/>
          <w:sz w:val="22"/>
          <w:szCs w:val="22"/>
          <w:lang w:eastAsia="en-GB"/>
        </w:rPr>
        <w:t xml:space="preserve">. </w:t>
      </w:r>
    </w:p>
    <w:p w14:paraId="4629979C"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World Health Organisation (2025). </w:t>
      </w:r>
      <w:r w:rsidRPr="0061203D">
        <w:rPr>
          <w:rFonts w:ascii="Arial" w:hAnsi="Arial" w:cs="Arial"/>
          <w:i/>
          <w:iCs/>
          <w:sz w:val="22"/>
          <w:szCs w:val="22"/>
          <w:lang w:eastAsia="en-GB"/>
        </w:rPr>
        <w:t>ICD-11 for Mortality and Morbidity Statistics</w:t>
      </w:r>
      <w:r w:rsidRPr="0061203D">
        <w:rPr>
          <w:rFonts w:ascii="Arial" w:hAnsi="Arial" w:cs="Arial"/>
          <w:sz w:val="22"/>
          <w:szCs w:val="22"/>
          <w:lang w:eastAsia="en-GB"/>
        </w:rPr>
        <w:t xml:space="preserve">. Who.int. Available at: </w:t>
      </w:r>
      <w:hyperlink r:id="rId38" w:anchor="437815624" w:history="1">
        <w:r w:rsidRPr="0061203D">
          <w:rPr>
            <w:rStyle w:val="Hyperlink"/>
            <w:rFonts w:ascii="Arial" w:eastAsia="Times New Roman" w:hAnsi="Arial" w:cs="Arial"/>
            <w:kern w:val="0"/>
            <w:sz w:val="22"/>
            <w:szCs w:val="22"/>
            <w:lang w:eastAsia="en-GB"/>
            <w14:ligatures w14:val="none"/>
          </w:rPr>
          <w:t>https://icd.who.int/browse/2025-01/mms/en#437815624</w:t>
        </w:r>
      </w:hyperlink>
      <w:r w:rsidRPr="0061203D">
        <w:rPr>
          <w:rFonts w:ascii="Arial" w:hAnsi="Arial" w:cs="Arial"/>
          <w:sz w:val="22"/>
          <w:szCs w:val="22"/>
          <w:lang w:eastAsia="en-GB"/>
        </w:rPr>
        <w:t xml:space="preserve">  (Accessed 5 November. 2025).</w:t>
      </w:r>
    </w:p>
    <w:p w14:paraId="44AA17FC" w14:textId="77777777" w:rsidR="00515D81" w:rsidRPr="004576F9" w:rsidRDefault="00515D81" w:rsidP="001D4A68">
      <w:pPr>
        <w:spacing w:after="0" w:line="360" w:lineRule="auto"/>
        <w:rPr>
          <w:rFonts w:ascii="Arial" w:eastAsia="Times New Roman" w:hAnsi="Arial" w:cs="Arial"/>
          <w:kern w:val="0"/>
          <w:sz w:val="22"/>
          <w:szCs w:val="22"/>
          <w:lang w:eastAsia="en-GB"/>
          <w14:ligatures w14:val="none"/>
        </w:rPr>
      </w:pPr>
      <w:r w:rsidRPr="004576F9">
        <w:rPr>
          <w:rFonts w:ascii="Arial" w:eastAsia="Times New Roman" w:hAnsi="Arial" w:cs="Arial"/>
          <w:kern w:val="0"/>
          <w:sz w:val="22"/>
          <w:szCs w:val="22"/>
          <w:lang w:eastAsia="en-GB"/>
          <w14:ligatures w14:val="none"/>
        </w:rPr>
        <w:t xml:space="preserve">World Health Organization (2019). </w:t>
      </w:r>
      <w:r w:rsidRPr="004576F9">
        <w:rPr>
          <w:rFonts w:ascii="Arial" w:eastAsia="Times New Roman" w:hAnsi="Arial" w:cs="Arial"/>
          <w:i/>
          <w:iCs/>
          <w:kern w:val="0"/>
          <w:sz w:val="22"/>
          <w:szCs w:val="22"/>
          <w:lang w:eastAsia="en-GB"/>
          <w14:ligatures w14:val="none"/>
        </w:rPr>
        <w:t>ICD-10 Version:2019</w:t>
      </w:r>
      <w:r w:rsidRPr="004576F9">
        <w:rPr>
          <w:rFonts w:ascii="Arial" w:eastAsia="Times New Roman" w:hAnsi="Arial" w:cs="Arial"/>
          <w:kern w:val="0"/>
          <w:sz w:val="22"/>
          <w:szCs w:val="22"/>
          <w:lang w:eastAsia="en-GB"/>
          <w14:ligatures w14:val="none"/>
        </w:rPr>
        <w:t xml:space="preserve">. [online] ICD-10 Version:2019. Available at: </w:t>
      </w:r>
      <w:hyperlink r:id="rId39" w:history="1">
        <w:r w:rsidRPr="004576F9">
          <w:rPr>
            <w:rStyle w:val="Hyperlink"/>
            <w:rFonts w:ascii="Arial" w:eastAsia="Times New Roman" w:hAnsi="Arial" w:cs="Arial"/>
            <w:kern w:val="0"/>
            <w:sz w:val="22"/>
            <w:szCs w:val="22"/>
            <w:lang w:eastAsia="en-GB"/>
            <w14:ligatures w14:val="none"/>
          </w:rPr>
          <w:t>https://icd.who.int/browse10/2019/en</w:t>
        </w:r>
      </w:hyperlink>
      <w:r w:rsidRPr="004576F9">
        <w:rPr>
          <w:rFonts w:ascii="Arial" w:eastAsia="Times New Roman" w:hAnsi="Arial" w:cs="Arial"/>
          <w:kern w:val="0"/>
          <w:sz w:val="22"/>
          <w:szCs w:val="22"/>
          <w:lang w:eastAsia="en-GB"/>
          <w14:ligatures w14:val="none"/>
        </w:rPr>
        <w:t xml:space="preserve">  (Accessed 24 November. 2025).</w:t>
      </w:r>
    </w:p>
    <w:p w14:paraId="4C66EFFE"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World Health Organization (2022). </w:t>
      </w:r>
      <w:r w:rsidRPr="0061203D">
        <w:rPr>
          <w:rFonts w:ascii="Arial" w:hAnsi="Arial" w:cs="Arial"/>
          <w:i/>
          <w:iCs/>
          <w:sz w:val="22"/>
          <w:szCs w:val="22"/>
          <w:lang w:eastAsia="en-GB"/>
        </w:rPr>
        <w:t>International Classification of Diseases (ICD)</w:t>
      </w:r>
      <w:r w:rsidRPr="0061203D">
        <w:rPr>
          <w:rFonts w:ascii="Arial" w:hAnsi="Arial" w:cs="Arial"/>
          <w:sz w:val="22"/>
          <w:szCs w:val="22"/>
          <w:lang w:eastAsia="en-GB"/>
        </w:rPr>
        <w:t xml:space="preserve">. www.who.int. Available at: </w:t>
      </w:r>
      <w:hyperlink r:id="rId40" w:history="1">
        <w:r w:rsidRPr="0061203D">
          <w:rPr>
            <w:rStyle w:val="Hyperlink"/>
            <w:rFonts w:ascii="Arial" w:eastAsia="Times New Roman" w:hAnsi="Arial" w:cs="Arial"/>
            <w:kern w:val="0"/>
            <w:sz w:val="22"/>
            <w:szCs w:val="22"/>
            <w:lang w:eastAsia="en-GB"/>
            <w14:ligatures w14:val="none"/>
          </w:rPr>
          <w:t>https://www.who.int/standards/classifications/classification-of-diseases</w:t>
        </w:r>
      </w:hyperlink>
      <w:r w:rsidRPr="0061203D">
        <w:rPr>
          <w:rFonts w:ascii="Arial" w:hAnsi="Arial" w:cs="Arial"/>
          <w:sz w:val="22"/>
          <w:szCs w:val="22"/>
          <w:lang w:eastAsia="en-GB"/>
        </w:rPr>
        <w:t xml:space="preserve">  (Accessed 5 November. 2025).</w:t>
      </w:r>
    </w:p>
    <w:p w14:paraId="2411CE20" w14:textId="77777777" w:rsidR="00515D81" w:rsidRPr="007D208F" w:rsidRDefault="00515D81" w:rsidP="007D208F">
      <w:pPr>
        <w:spacing w:after="0" w:line="360" w:lineRule="auto"/>
        <w:rPr>
          <w:rFonts w:ascii="Arial" w:eastAsia="Times New Roman" w:hAnsi="Arial" w:cs="Arial"/>
          <w:kern w:val="0"/>
          <w:sz w:val="22"/>
          <w:szCs w:val="22"/>
          <w:lang w:eastAsia="en-GB"/>
          <w14:ligatures w14:val="none"/>
        </w:rPr>
      </w:pPr>
      <w:r w:rsidRPr="0049307A">
        <w:rPr>
          <w:rFonts w:ascii="Arial" w:eastAsia="Times New Roman" w:hAnsi="Arial" w:cs="Arial"/>
          <w:kern w:val="0"/>
          <w:sz w:val="22"/>
          <w:szCs w:val="22"/>
          <w:lang w:eastAsia="en-GB"/>
          <w14:ligatures w14:val="none"/>
        </w:rPr>
        <w:t xml:space="preserve">Zigic, N. </w:t>
      </w:r>
      <w:r w:rsidRPr="0049307A">
        <w:rPr>
          <w:rFonts w:ascii="Arial" w:eastAsia="Times New Roman" w:hAnsi="Arial" w:cs="Arial"/>
          <w:i/>
          <w:iCs/>
          <w:kern w:val="0"/>
          <w:sz w:val="22"/>
          <w:szCs w:val="22"/>
          <w:lang w:eastAsia="en-GB"/>
          <w14:ligatures w14:val="none"/>
        </w:rPr>
        <w:t>et al.</w:t>
      </w:r>
      <w:r w:rsidRPr="0049307A">
        <w:rPr>
          <w:rFonts w:ascii="Arial" w:eastAsia="Times New Roman" w:hAnsi="Arial" w:cs="Arial"/>
          <w:kern w:val="0"/>
          <w:sz w:val="22"/>
          <w:szCs w:val="22"/>
          <w:lang w:eastAsia="en-GB"/>
          <w14:ligatures w14:val="none"/>
        </w:rPr>
        <w:t xml:space="preserve"> (2023) ‘Neurodevelopmental disorders in ICD-11 classification’, </w:t>
      </w:r>
      <w:r w:rsidRPr="0049307A">
        <w:rPr>
          <w:rFonts w:ascii="Arial" w:eastAsia="Times New Roman" w:hAnsi="Arial" w:cs="Arial"/>
          <w:i/>
          <w:iCs/>
          <w:kern w:val="0"/>
          <w:sz w:val="22"/>
          <w:szCs w:val="22"/>
          <w:lang w:eastAsia="en-GB"/>
          <w14:ligatures w14:val="none"/>
        </w:rPr>
        <w:t>European psychiatry</w:t>
      </w:r>
      <w:r w:rsidRPr="0049307A">
        <w:rPr>
          <w:rFonts w:ascii="Arial" w:eastAsia="Times New Roman" w:hAnsi="Arial" w:cs="Arial"/>
          <w:kern w:val="0"/>
          <w:sz w:val="22"/>
          <w:szCs w:val="22"/>
          <w:lang w:eastAsia="en-GB"/>
          <w14:ligatures w14:val="none"/>
        </w:rPr>
        <w:t xml:space="preserve">, 66(S1), pp. S737–S737. Available at: </w:t>
      </w:r>
      <w:hyperlink r:id="rId41" w:history="1">
        <w:r w:rsidRPr="0049307A">
          <w:rPr>
            <w:rStyle w:val="Hyperlink"/>
            <w:rFonts w:ascii="Arial" w:eastAsia="Times New Roman" w:hAnsi="Arial" w:cs="Arial"/>
            <w:kern w:val="0"/>
            <w:sz w:val="22"/>
            <w:szCs w:val="22"/>
            <w:lang w:eastAsia="en-GB"/>
            <w14:ligatures w14:val="none"/>
          </w:rPr>
          <w:t>https://doi.org/10.1192/j.eurpsy.2023.1547</w:t>
        </w:r>
      </w:hyperlink>
      <w:r w:rsidRPr="0049307A">
        <w:rPr>
          <w:rFonts w:ascii="Arial" w:eastAsia="Times New Roman" w:hAnsi="Arial" w:cs="Arial"/>
          <w:kern w:val="0"/>
          <w:sz w:val="22"/>
          <w:szCs w:val="22"/>
          <w:lang w:eastAsia="en-GB"/>
          <w14:ligatures w14:val="none"/>
        </w:rPr>
        <w:t>.</w:t>
      </w:r>
    </w:p>
    <w:sectPr w:rsidR="00515D81" w:rsidRPr="007D208F">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CC185" w14:textId="77777777" w:rsidR="00A06A7C" w:rsidRDefault="00A06A7C" w:rsidP="000264A1">
      <w:pPr>
        <w:spacing w:after="0" w:line="240" w:lineRule="auto"/>
      </w:pPr>
      <w:r>
        <w:separator/>
      </w:r>
    </w:p>
  </w:endnote>
  <w:endnote w:type="continuationSeparator" w:id="0">
    <w:p w14:paraId="07D85E7E" w14:textId="77777777" w:rsidR="00A06A7C" w:rsidRDefault="00A06A7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CDFFE" w14:textId="77777777" w:rsidR="00A06A7C" w:rsidRDefault="00A06A7C" w:rsidP="000264A1">
      <w:pPr>
        <w:spacing w:after="0" w:line="240" w:lineRule="auto"/>
      </w:pPr>
      <w:r>
        <w:separator/>
      </w:r>
    </w:p>
  </w:footnote>
  <w:footnote w:type="continuationSeparator" w:id="0">
    <w:p w14:paraId="6ABC3F46" w14:textId="77777777" w:rsidR="00A06A7C" w:rsidRDefault="00A06A7C"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4C47"/>
    <w:rsid w:val="00011398"/>
    <w:rsid w:val="00015194"/>
    <w:rsid w:val="00015A7F"/>
    <w:rsid w:val="00021046"/>
    <w:rsid w:val="000264A1"/>
    <w:rsid w:val="00030A8C"/>
    <w:rsid w:val="0003369F"/>
    <w:rsid w:val="000337AE"/>
    <w:rsid w:val="000340CF"/>
    <w:rsid w:val="0003650F"/>
    <w:rsid w:val="0004274C"/>
    <w:rsid w:val="00044403"/>
    <w:rsid w:val="00047657"/>
    <w:rsid w:val="00050514"/>
    <w:rsid w:val="00053BA0"/>
    <w:rsid w:val="00053FAC"/>
    <w:rsid w:val="00060FB4"/>
    <w:rsid w:val="00062D5B"/>
    <w:rsid w:val="00064656"/>
    <w:rsid w:val="0007263F"/>
    <w:rsid w:val="00075B77"/>
    <w:rsid w:val="000763AF"/>
    <w:rsid w:val="00077C23"/>
    <w:rsid w:val="00083076"/>
    <w:rsid w:val="00085041"/>
    <w:rsid w:val="00086A87"/>
    <w:rsid w:val="00086B59"/>
    <w:rsid w:val="00086B9B"/>
    <w:rsid w:val="00087BAB"/>
    <w:rsid w:val="0009410B"/>
    <w:rsid w:val="000960A5"/>
    <w:rsid w:val="000960AA"/>
    <w:rsid w:val="00097CB7"/>
    <w:rsid w:val="000A31AA"/>
    <w:rsid w:val="000A722D"/>
    <w:rsid w:val="000B0D61"/>
    <w:rsid w:val="000B4DA5"/>
    <w:rsid w:val="000B5048"/>
    <w:rsid w:val="000B5BD0"/>
    <w:rsid w:val="000B67F4"/>
    <w:rsid w:val="000C15A6"/>
    <w:rsid w:val="000C2A36"/>
    <w:rsid w:val="000D3955"/>
    <w:rsid w:val="000D6022"/>
    <w:rsid w:val="000E2ADC"/>
    <w:rsid w:val="000E58ED"/>
    <w:rsid w:val="000F1E55"/>
    <w:rsid w:val="000F22CE"/>
    <w:rsid w:val="000F6594"/>
    <w:rsid w:val="00100772"/>
    <w:rsid w:val="00102087"/>
    <w:rsid w:val="0010243B"/>
    <w:rsid w:val="0010396D"/>
    <w:rsid w:val="00105909"/>
    <w:rsid w:val="00106EDE"/>
    <w:rsid w:val="0010767B"/>
    <w:rsid w:val="00114DA4"/>
    <w:rsid w:val="0011626A"/>
    <w:rsid w:val="00133FF0"/>
    <w:rsid w:val="00136851"/>
    <w:rsid w:val="001408B1"/>
    <w:rsid w:val="001443E2"/>
    <w:rsid w:val="00151BA3"/>
    <w:rsid w:val="00152A86"/>
    <w:rsid w:val="00154FC5"/>
    <w:rsid w:val="001553D1"/>
    <w:rsid w:val="00156650"/>
    <w:rsid w:val="00157D35"/>
    <w:rsid w:val="00167656"/>
    <w:rsid w:val="001771A7"/>
    <w:rsid w:val="00185EC0"/>
    <w:rsid w:val="00186F51"/>
    <w:rsid w:val="001B2D42"/>
    <w:rsid w:val="001B31CB"/>
    <w:rsid w:val="001B5026"/>
    <w:rsid w:val="001B53D5"/>
    <w:rsid w:val="001B71C7"/>
    <w:rsid w:val="001C0421"/>
    <w:rsid w:val="001C7043"/>
    <w:rsid w:val="001D05AF"/>
    <w:rsid w:val="001D0652"/>
    <w:rsid w:val="001D2DD7"/>
    <w:rsid w:val="001D4A68"/>
    <w:rsid w:val="001E476C"/>
    <w:rsid w:val="001E6D39"/>
    <w:rsid w:val="001E7F7A"/>
    <w:rsid w:val="001F1F33"/>
    <w:rsid w:val="001F3261"/>
    <w:rsid w:val="001F4938"/>
    <w:rsid w:val="001F6F0C"/>
    <w:rsid w:val="0020001C"/>
    <w:rsid w:val="0020043B"/>
    <w:rsid w:val="00205076"/>
    <w:rsid w:val="002070DC"/>
    <w:rsid w:val="00207BE7"/>
    <w:rsid w:val="00211CA0"/>
    <w:rsid w:val="00215047"/>
    <w:rsid w:val="00215623"/>
    <w:rsid w:val="00215E18"/>
    <w:rsid w:val="00221871"/>
    <w:rsid w:val="00223938"/>
    <w:rsid w:val="00225E7C"/>
    <w:rsid w:val="00227988"/>
    <w:rsid w:val="00231C61"/>
    <w:rsid w:val="00232A73"/>
    <w:rsid w:val="00236FA0"/>
    <w:rsid w:val="00237340"/>
    <w:rsid w:val="002543FE"/>
    <w:rsid w:val="00255FF6"/>
    <w:rsid w:val="00257A06"/>
    <w:rsid w:val="002709F9"/>
    <w:rsid w:val="00271631"/>
    <w:rsid w:val="00271B6E"/>
    <w:rsid w:val="002743DD"/>
    <w:rsid w:val="00277A61"/>
    <w:rsid w:val="00281BC1"/>
    <w:rsid w:val="002925D7"/>
    <w:rsid w:val="002949FF"/>
    <w:rsid w:val="00295EBF"/>
    <w:rsid w:val="002A050D"/>
    <w:rsid w:val="002A4470"/>
    <w:rsid w:val="002A6795"/>
    <w:rsid w:val="002B073B"/>
    <w:rsid w:val="002B1BCF"/>
    <w:rsid w:val="002B390F"/>
    <w:rsid w:val="002B4A49"/>
    <w:rsid w:val="002B634A"/>
    <w:rsid w:val="002C17AA"/>
    <w:rsid w:val="002C4F0C"/>
    <w:rsid w:val="002D436A"/>
    <w:rsid w:val="002E08B7"/>
    <w:rsid w:val="002E6E52"/>
    <w:rsid w:val="002E7A73"/>
    <w:rsid w:val="002F0AFB"/>
    <w:rsid w:val="002F3CF8"/>
    <w:rsid w:val="002F4B22"/>
    <w:rsid w:val="002F5608"/>
    <w:rsid w:val="003022F5"/>
    <w:rsid w:val="00303103"/>
    <w:rsid w:val="0030509D"/>
    <w:rsid w:val="00310D12"/>
    <w:rsid w:val="00317102"/>
    <w:rsid w:val="00320A7C"/>
    <w:rsid w:val="003226A0"/>
    <w:rsid w:val="00325393"/>
    <w:rsid w:val="003317EC"/>
    <w:rsid w:val="00332771"/>
    <w:rsid w:val="0033701E"/>
    <w:rsid w:val="00337DBE"/>
    <w:rsid w:val="00341FC4"/>
    <w:rsid w:val="003438A2"/>
    <w:rsid w:val="003439E4"/>
    <w:rsid w:val="00350FF1"/>
    <w:rsid w:val="0035375E"/>
    <w:rsid w:val="003623BD"/>
    <w:rsid w:val="003661E0"/>
    <w:rsid w:val="00370186"/>
    <w:rsid w:val="00371A21"/>
    <w:rsid w:val="00372836"/>
    <w:rsid w:val="00386242"/>
    <w:rsid w:val="00387C90"/>
    <w:rsid w:val="00387DDA"/>
    <w:rsid w:val="00393637"/>
    <w:rsid w:val="003977FD"/>
    <w:rsid w:val="00397D2B"/>
    <w:rsid w:val="003B1234"/>
    <w:rsid w:val="003B5705"/>
    <w:rsid w:val="003C3443"/>
    <w:rsid w:val="003C716F"/>
    <w:rsid w:val="003D0AB2"/>
    <w:rsid w:val="003D1983"/>
    <w:rsid w:val="003D4EEE"/>
    <w:rsid w:val="003D6F9A"/>
    <w:rsid w:val="003D7C16"/>
    <w:rsid w:val="003E197D"/>
    <w:rsid w:val="003E3219"/>
    <w:rsid w:val="003E5D9B"/>
    <w:rsid w:val="003E6743"/>
    <w:rsid w:val="003F46C1"/>
    <w:rsid w:val="003F50EA"/>
    <w:rsid w:val="0040029F"/>
    <w:rsid w:val="00400A95"/>
    <w:rsid w:val="00400B7B"/>
    <w:rsid w:val="00400F76"/>
    <w:rsid w:val="00404CA4"/>
    <w:rsid w:val="004119EC"/>
    <w:rsid w:val="00414093"/>
    <w:rsid w:val="0041458A"/>
    <w:rsid w:val="00414C1B"/>
    <w:rsid w:val="004162D9"/>
    <w:rsid w:val="00421B45"/>
    <w:rsid w:val="0042242A"/>
    <w:rsid w:val="004244FE"/>
    <w:rsid w:val="004373C1"/>
    <w:rsid w:val="00444C7D"/>
    <w:rsid w:val="004576F9"/>
    <w:rsid w:val="00465C3E"/>
    <w:rsid w:val="00471780"/>
    <w:rsid w:val="004730B3"/>
    <w:rsid w:val="00473E4A"/>
    <w:rsid w:val="00474FE1"/>
    <w:rsid w:val="00476C59"/>
    <w:rsid w:val="00486046"/>
    <w:rsid w:val="00491D88"/>
    <w:rsid w:val="0049307A"/>
    <w:rsid w:val="0049408B"/>
    <w:rsid w:val="004B0E81"/>
    <w:rsid w:val="004B1C98"/>
    <w:rsid w:val="004B41F6"/>
    <w:rsid w:val="004C2B75"/>
    <w:rsid w:val="004C4451"/>
    <w:rsid w:val="004D0F63"/>
    <w:rsid w:val="004D50BF"/>
    <w:rsid w:val="004E1CA7"/>
    <w:rsid w:val="004F1A96"/>
    <w:rsid w:val="00505EFC"/>
    <w:rsid w:val="005062F6"/>
    <w:rsid w:val="00515B52"/>
    <w:rsid w:val="00515D81"/>
    <w:rsid w:val="0052298C"/>
    <w:rsid w:val="00531001"/>
    <w:rsid w:val="005329D6"/>
    <w:rsid w:val="00537F3D"/>
    <w:rsid w:val="0054495D"/>
    <w:rsid w:val="00554CA8"/>
    <w:rsid w:val="00556503"/>
    <w:rsid w:val="00561DDB"/>
    <w:rsid w:val="00566480"/>
    <w:rsid w:val="00570FFA"/>
    <w:rsid w:val="005730F1"/>
    <w:rsid w:val="00574C8D"/>
    <w:rsid w:val="0057626B"/>
    <w:rsid w:val="005805D4"/>
    <w:rsid w:val="00582E9D"/>
    <w:rsid w:val="005A099B"/>
    <w:rsid w:val="005A1036"/>
    <w:rsid w:val="005A59BA"/>
    <w:rsid w:val="005B43FA"/>
    <w:rsid w:val="005B5AE9"/>
    <w:rsid w:val="005B6BDB"/>
    <w:rsid w:val="005B76E6"/>
    <w:rsid w:val="005C4254"/>
    <w:rsid w:val="005C4B47"/>
    <w:rsid w:val="005C4CDB"/>
    <w:rsid w:val="005C615C"/>
    <w:rsid w:val="005D040D"/>
    <w:rsid w:val="005D1A38"/>
    <w:rsid w:val="005D48CE"/>
    <w:rsid w:val="005E05A5"/>
    <w:rsid w:val="005E1538"/>
    <w:rsid w:val="005E3564"/>
    <w:rsid w:val="005E4031"/>
    <w:rsid w:val="005E532D"/>
    <w:rsid w:val="005E5831"/>
    <w:rsid w:val="005E77CF"/>
    <w:rsid w:val="00600B09"/>
    <w:rsid w:val="00606F02"/>
    <w:rsid w:val="00607E47"/>
    <w:rsid w:val="0061203D"/>
    <w:rsid w:val="0062308A"/>
    <w:rsid w:val="00627E93"/>
    <w:rsid w:val="006343C4"/>
    <w:rsid w:val="00634DA2"/>
    <w:rsid w:val="00637171"/>
    <w:rsid w:val="00640A19"/>
    <w:rsid w:val="00640E95"/>
    <w:rsid w:val="00642422"/>
    <w:rsid w:val="00643AF0"/>
    <w:rsid w:val="00644E9B"/>
    <w:rsid w:val="0066297C"/>
    <w:rsid w:val="006647FB"/>
    <w:rsid w:val="00671200"/>
    <w:rsid w:val="0067281D"/>
    <w:rsid w:val="00680BCB"/>
    <w:rsid w:val="0068625B"/>
    <w:rsid w:val="00690056"/>
    <w:rsid w:val="00690F35"/>
    <w:rsid w:val="00692948"/>
    <w:rsid w:val="00694ADF"/>
    <w:rsid w:val="006A3839"/>
    <w:rsid w:val="006A701E"/>
    <w:rsid w:val="006A75E5"/>
    <w:rsid w:val="006B25E0"/>
    <w:rsid w:val="006D592E"/>
    <w:rsid w:val="006E2032"/>
    <w:rsid w:val="006E48E8"/>
    <w:rsid w:val="006E608A"/>
    <w:rsid w:val="006E76C3"/>
    <w:rsid w:val="006F13BB"/>
    <w:rsid w:val="006F310E"/>
    <w:rsid w:val="006F3497"/>
    <w:rsid w:val="006F71AA"/>
    <w:rsid w:val="007013F2"/>
    <w:rsid w:val="00703914"/>
    <w:rsid w:val="0070703C"/>
    <w:rsid w:val="00714D7B"/>
    <w:rsid w:val="00715FBE"/>
    <w:rsid w:val="00722ABC"/>
    <w:rsid w:val="0072380E"/>
    <w:rsid w:val="00725872"/>
    <w:rsid w:val="007360E4"/>
    <w:rsid w:val="00740526"/>
    <w:rsid w:val="00756E6B"/>
    <w:rsid w:val="00760AC9"/>
    <w:rsid w:val="00760FB7"/>
    <w:rsid w:val="00765F7D"/>
    <w:rsid w:val="007715D9"/>
    <w:rsid w:val="00771F9B"/>
    <w:rsid w:val="00774383"/>
    <w:rsid w:val="00774C5D"/>
    <w:rsid w:val="00777432"/>
    <w:rsid w:val="00791B1E"/>
    <w:rsid w:val="00793220"/>
    <w:rsid w:val="00794936"/>
    <w:rsid w:val="007A129F"/>
    <w:rsid w:val="007A58C6"/>
    <w:rsid w:val="007B0145"/>
    <w:rsid w:val="007B2957"/>
    <w:rsid w:val="007B3BCD"/>
    <w:rsid w:val="007B5369"/>
    <w:rsid w:val="007B6B43"/>
    <w:rsid w:val="007C2C69"/>
    <w:rsid w:val="007C50A1"/>
    <w:rsid w:val="007C71C3"/>
    <w:rsid w:val="007D0E24"/>
    <w:rsid w:val="007D208F"/>
    <w:rsid w:val="007D4370"/>
    <w:rsid w:val="007E161E"/>
    <w:rsid w:val="007F0301"/>
    <w:rsid w:val="007F11D8"/>
    <w:rsid w:val="007F56B4"/>
    <w:rsid w:val="008053E4"/>
    <w:rsid w:val="008058D2"/>
    <w:rsid w:val="0080695F"/>
    <w:rsid w:val="00811478"/>
    <w:rsid w:val="00813208"/>
    <w:rsid w:val="00815371"/>
    <w:rsid w:val="00826990"/>
    <w:rsid w:val="00826EAD"/>
    <w:rsid w:val="0083030D"/>
    <w:rsid w:val="00830412"/>
    <w:rsid w:val="008304D1"/>
    <w:rsid w:val="00841CE8"/>
    <w:rsid w:val="00843325"/>
    <w:rsid w:val="008448B6"/>
    <w:rsid w:val="00845385"/>
    <w:rsid w:val="0084541C"/>
    <w:rsid w:val="00851A36"/>
    <w:rsid w:val="00853CFE"/>
    <w:rsid w:val="00865D97"/>
    <w:rsid w:val="008668C8"/>
    <w:rsid w:val="0087603A"/>
    <w:rsid w:val="008840FF"/>
    <w:rsid w:val="00884392"/>
    <w:rsid w:val="00887634"/>
    <w:rsid w:val="00893E66"/>
    <w:rsid w:val="00897016"/>
    <w:rsid w:val="008A0CA8"/>
    <w:rsid w:val="008A119B"/>
    <w:rsid w:val="008A21F0"/>
    <w:rsid w:val="008A3701"/>
    <w:rsid w:val="008A3949"/>
    <w:rsid w:val="008A6D32"/>
    <w:rsid w:val="008B5CD2"/>
    <w:rsid w:val="008D0BB3"/>
    <w:rsid w:val="008D3A18"/>
    <w:rsid w:val="008D71F9"/>
    <w:rsid w:val="008E5F0B"/>
    <w:rsid w:val="008F2C7F"/>
    <w:rsid w:val="008F4129"/>
    <w:rsid w:val="009121B2"/>
    <w:rsid w:val="00921068"/>
    <w:rsid w:val="00923083"/>
    <w:rsid w:val="00924AB8"/>
    <w:rsid w:val="00941BC7"/>
    <w:rsid w:val="00961799"/>
    <w:rsid w:val="00961B79"/>
    <w:rsid w:val="009658BA"/>
    <w:rsid w:val="00972955"/>
    <w:rsid w:val="00974103"/>
    <w:rsid w:val="00992D15"/>
    <w:rsid w:val="009938F0"/>
    <w:rsid w:val="009954E5"/>
    <w:rsid w:val="009A114D"/>
    <w:rsid w:val="009A68A8"/>
    <w:rsid w:val="009D154E"/>
    <w:rsid w:val="009D39B6"/>
    <w:rsid w:val="009D5EF8"/>
    <w:rsid w:val="009D62EA"/>
    <w:rsid w:val="009E0085"/>
    <w:rsid w:val="009E10D9"/>
    <w:rsid w:val="009E3096"/>
    <w:rsid w:val="009E64A0"/>
    <w:rsid w:val="009F09A9"/>
    <w:rsid w:val="009F4DBB"/>
    <w:rsid w:val="00A03F0F"/>
    <w:rsid w:val="00A0411B"/>
    <w:rsid w:val="00A057D5"/>
    <w:rsid w:val="00A05DB3"/>
    <w:rsid w:val="00A06A7C"/>
    <w:rsid w:val="00A10352"/>
    <w:rsid w:val="00A11E26"/>
    <w:rsid w:val="00A16DFA"/>
    <w:rsid w:val="00A17487"/>
    <w:rsid w:val="00A22E09"/>
    <w:rsid w:val="00A30533"/>
    <w:rsid w:val="00A36C83"/>
    <w:rsid w:val="00A404BA"/>
    <w:rsid w:val="00A41E2A"/>
    <w:rsid w:val="00A477ED"/>
    <w:rsid w:val="00A50D7A"/>
    <w:rsid w:val="00A50ED8"/>
    <w:rsid w:val="00A527FD"/>
    <w:rsid w:val="00A62C4C"/>
    <w:rsid w:val="00A63B5B"/>
    <w:rsid w:val="00A82F4E"/>
    <w:rsid w:val="00A90D23"/>
    <w:rsid w:val="00AA6168"/>
    <w:rsid w:val="00AB0E97"/>
    <w:rsid w:val="00AB221B"/>
    <w:rsid w:val="00AB4D1D"/>
    <w:rsid w:val="00AB51AE"/>
    <w:rsid w:val="00AC0861"/>
    <w:rsid w:val="00AC32C1"/>
    <w:rsid w:val="00AC3C0A"/>
    <w:rsid w:val="00AC56E8"/>
    <w:rsid w:val="00AC7876"/>
    <w:rsid w:val="00AD0BEE"/>
    <w:rsid w:val="00AD3FD7"/>
    <w:rsid w:val="00AD5EB6"/>
    <w:rsid w:val="00AE6DC5"/>
    <w:rsid w:val="00AF2030"/>
    <w:rsid w:val="00AF7CEB"/>
    <w:rsid w:val="00B00158"/>
    <w:rsid w:val="00B12164"/>
    <w:rsid w:val="00B121F7"/>
    <w:rsid w:val="00B13627"/>
    <w:rsid w:val="00B211C6"/>
    <w:rsid w:val="00B2609E"/>
    <w:rsid w:val="00B31DC0"/>
    <w:rsid w:val="00B3360D"/>
    <w:rsid w:val="00B369B7"/>
    <w:rsid w:val="00B473C1"/>
    <w:rsid w:val="00B47692"/>
    <w:rsid w:val="00B5363B"/>
    <w:rsid w:val="00B64B85"/>
    <w:rsid w:val="00B65FEE"/>
    <w:rsid w:val="00B67E55"/>
    <w:rsid w:val="00B75B1D"/>
    <w:rsid w:val="00B83883"/>
    <w:rsid w:val="00B87737"/>
    <w:rsid w:val="00B945AE"/>
    <w:rsid w:val="00BB075B"/>
    <w:rsid w:val="00BB3668"/>
    <w:rsid w:val="00BC777E"/>
    <w:rsid w:val="00BD0F4C"/>
    <w:rsid w:val="00BD173C"/>
    <w:rsid w:val="00BD2DA3"/>
    <w:rsid w:val="00BD5D18"/>
    <w:rsid w:val="00BD64BC"/>
    <w:rsid w:val="00BE0229"/>
    <w:rsid w:val="00BE4574"/>
    <w:rsid w:val="00BF040F"/>
    <w:rsid w:val="00C00978"/>
    <w:rsid w:val="00C10858"/>
    <w:rsid w:val="00C14224"/>
    <w:rsid w:val="00C219A6"/>
    <w:rsid w:val="00C231D2"/>
    <w:rsid w:val="00C26624"/>
    <w:rsid w:val="00C31BCA"/>
    <w:rsid w:val="00C33E34"/>
    <w:rsid w:val="00C340B6"/>
    <w:rsid w:val="00C34CFA"/>
    <w:rsid w:val="00C46852"/>
    <w:rsid w:val="00C54E3B"/>
    <w:rsid w:val="00C56377"/>
    <w:rsid w:val="00C61496"/>
    <w:rsid w:val="00C6474F"/>
    <w:rsid w:val="00C6487F"/>
    <w:rsid w:val="00C66ECF"/>
    <w:rsid w:val="00C70070"/>
    <w:rsid w:val="00C770B4"/>
    <w:rsid w:val="00C80808"/>
    <w:rsid w:val="00C82EB1"/>
    <w:rsid w:val="00C83D6B"/>
    <w:rsid w:val="00C845E0"/>
    <w:rsid w:val="00C9091E"/>
    <w:rsid w:val="00C949D8"/>
    <w:rsid w:val="00CA2CD4"/>
    <w:rsid w:val="00CA6B58"/>
    <w:rsid w:val="00CB25AF"/>
    <w:rsid w:val="00CB33ED"/>
    <w:rsid w:val="00CB4029"/>
    <w:rsid w:val="00CB422C"/>
    <w:rsid w:val="00CC0C80"/>
    <w:rsid w:val="00CC5E18"/>
    <w:rsid w:val="00CC62E0"/>
    <w:rsid w:val="00CC6CB6"/>
    <w:rsid w:val="00CC7F74"/>
    <w:rsid w:val="00CD316F"/>
    <w:rsid w:val="00CE0A26"/>
    <w:rsid w:val="00CE137C"/>
    <w:rsid w:val="00CE16B1"/>
    <w:rsid w:val="00CE2F24"/>
    <w:rsid w:val="00CE74C8"/>
    <w:rsid w:val="00CF43F0"/>
    <w:rsid w:val="00D12550"/>
    <w:rsid w:val="00D1514A"/>
    <w:rsid w:val="00D17F53"/>
    <w:rsid w:val="00D20209"/>
    <w:rsid w:val="00D328AD"/>
    <w:rsid w:val="00D34653"/>
    <w:rsid w:val="00D34881"/>
    <w:rsid w:val="00D43B7B"/>
    <w:rsid w:val="00D444A2"/>
    <w:rsid w:val="00D44AF9"/>
    <w:rsid w:val="00D50634"/>
    <w:rsid w:val="00D57E2A"/>
    <w:rsid w:val="00D6198B"/>
    <w:rsid w:val="00D63629"/>
    <w:rsid w:val="00D63BFA"/>
    <w:rsid w:val="00D64166"/>
    <w:rsid w:val="00D74B86"/>
    <w:rsid w:val="00D823EA"/>
    <w:rsid w:val="00DA1AEE"/>
    <w:rsid w:val="00DA28CF"/>
    <w:rsid w:val="00DA5500"/>
    <w:rsid w:val="00DA7F6F"/>
    <w:rsid w:val="00DB5DA0"/>
    <w:rsid w:val="00DC3869"/>
    <w:rsid w:val="00DD21CC"/>
    <w:rsid w:val="00DE39B5"/>
    <w:rsid w:val="00DE4BF0"/>
    <w:rsid w:val="00DE5E7B"/>
    <w:rsid w:val="00DE764D"/>
    <w:rsid w:val="00DF7268"/>
    <w:rsid w:val="00DF7ECD"/>
    <w:rsid w:val="00E01950"/>
    <w:rsid w:val="00E025C5"/>
    <w:rsid w:val="00E06194"/>
    <w:rsid w:val="00E07983"/>
    <w:rsid w:val="00E130BC"/>
    <w:rsid w:val="00E13258"/>
    <w:rsid w:val="00E21C37"/>
    <w:rsid w:val="00E229AE"/>
    <w:rsid w:val="00E263C7"/>
    <w:rsid w:val="00E329A8"/>
    <w:rsid w:val="00E37C4B"/>
    <w:rsid w:val="00E70E35"/>
    <w:rsid w:val="00E76EBE"/>
    <w:rsid w:val="00E7788D"/>
    <w:rsid w:val="00E846AC"/>
    <w:rsid w:val="00E92742"/>
    <w:rsid w:val="00EB3DC3"/>
    <w:rsid w:val="00EB7E81"/>
    <w:rsid w:val="00EC12EB"/>
    <w:rsid w:val="00EC139D"/>
    <w:rsid w:val="00ED2FB4"/>
    <w:rsid w:val="00ED452D"/>
    <w:rsid w:val="00ED4569"/>
    <w:rsid w:val="00ED503C"/>
    <w:rsid w:val="00EE37F6"/>
    <w:rsid w:val="00EE5D09"/>
    <w:rsid w:val="00EE635C"/>
    <w:rsid w:val="00F12747"/>
    <w:rsid w:val="00F13B97"/>
    <w:rsid w:val="00F2269D"/>
    <w:rsid w:val="00F34DDB"/>
    <w:rsid w:val="00F365FC"/>
    <w:rsid w:val="00F47DD5"/>
    <w:rsid w:val="00F609D9"/>
    <w:rsid w:val="00F6328E"/>
    <w:rsid w:val="00F63EE4"/>
    <w:rsid w:val="00F71EC6"/>
    <w:rsid w:val="00F74DC6"/>
    <w:rsid w:val="00F76B30"/>
    <w:rsid w:val="00F8109A"/>
    <w:rsid w:val="00F84C93"/>
    <w:rsid w:val="00F93B1F"/>
    <w:rsid w:val="00F94B16"/>
    <w:rsid w:val="00F96484"/>
    <w:rsid w:val="00FA04EF"/>
    <w:rsid w:val="00FA0E25"/>
    <w:rsid w:val="00FA4E64"/>
    <w:rsid w:val="00FA4F53"/>
    <w:rsid w:val="00FA6B11"/>
    <w:rsid w:val="00FB062A"/>
    <w:rsid w:val="00FB573F"/>
    <w:rsid w:val="00FB62AF"/>
    <w:rsid w:val="00FC5B63"/>
    <w:rsid w:val="00FC5DD2"/>
    <w:rsid w:val="00FC7F3F"/>
    <w:rsid w:val="00FD3062"/>
    <w:rsid w:val="00FD70F0"/>
    <w:rsid w:val="00FD77F0"/>
    <w:rsid w:val="00FD787F"/>
    <w:rsid w:val="00FE427C"/>
    <w:rsid w:val="00FE6157"/>
    <w:rsid w:val="00FF2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600B0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00B09"/>
    <w:pPr>
      <w:spacing w:after="100"/>
    </w:pPr>
  </w:style>
  <w:style w:type="paragraph" w:styleId="TOC2">
    <w:name w:val="toc 2"/>
    <w:basedOn w:val="Normal"/>
    <w:next w:val="Normal"/>
    <w:autoRedefine/>
    <w:uiPriority w:val="39"/>
    <w:unhideWhenUsed/>
    <w:rsid w:val="00600B09"/>
    <w:pPr>
      <w:spacing w:after="100"/>
      <w:ind w:left="240"/>
    </w:pPr>
  </w:style>
  <w:style w:type="paragraph" w:styleId="TOC3">
    <w:name w:val="toc 3"/>
    <w:basedOn w:val="Normal"/>
    <w:next w:val="Normal"/>
    <w:autoRedefine/>
    <w:uiPriority w:val="39"/>
    <w:unhideWhenUsed/>
    <w:rsid w:val="00600B09"/>
    <w:pPr>
      <w:spacing w:after="100"/>
      <w:ind w:left="480"/>
    </w:pPr>
  </w:style>
  <w:style w:type="character" w:styleId="Hyperlink">
    <w:name w:val="Hyperlink"/>
    <w:basedOn w:val="DefaultParagraphFont"/>
    <w:uiPriority w:val="99"/>
    <w:unhideWhenUsed/>
    <w:rsid w:val="00600B09"/>
    <w:rPr>
      <w:color w:val="467886" w:themeColor="hyperlink"/>
      <w:u w:val="single"/>
    </w:rPr>
  </w:style>
  <w:style w:type="character" w:styleId="UnresolvedMention">
    <w:name w:val="Unresolved Mention"/>
    <w:basedOn w:val="DefaultParagraphFont"/>
    <w:uiPriority w:val="99"/>
    <w:semiHidden/>
    <w:unhideWhenUsed/>
    <w:rsid w:val="00CB33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rasd.2017.11.002" TargetMode="External"/><Relationship Id="rId18" Type="http://schemas.openxmlformats.org/officeDocument/2006/relationships/hyperlink" Target="https://doi.org/10.1186/s12888-022-04412-1" TargetMode="External"/><Relationship Id="rId26" Type="http://schemas.openxmlformats.org/officeDocument/2006/relationships/hyperlink" Target="https://doi.org/10.1002/aur.70011" TargetMode="External"/><Relationship Id="rId39" Type="http://schemas.openxmlformats.org/officeDocument/2006/relationships/hyperlink" Target="https://icd.who.int/browse10/2019/en" TargetMode="External"/><Relationship Id="rId21" Type="http://schemas.openxmlformats.org/officeDocument/2006/relationships/hyperlink" Target="https://doi.org/10.1038/s41380-023-02354-y" TargetMode="External"/><Relationship Id="rId34" Type="http://schemas.openxmlformats.org/officeDocument/2006/relationships/hyperlink" Target="https://doi.org/10.1080/21642850.2019.1684920" TargetMode="External"/><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07/s10864-019-09344-7" TargetMode="External"/><Relationship Id="rId29" Type="http://schemas.openxmlformats.org/officeDocument/2006/relationships/hyperlink" Target="https://doi.org/10.1177/136236131985464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the-buckland-review-of-autism-employment-report-and-recommendations/the-buckland-review-of-autism-employment-report-and-recommendations" TargetMode="External"/><Relationship Id="rId24" Type="http://schemas.openxmlformats.org/officeDocument/2006/relationships/hyperlink" Target="https://doi.org/10.1037/ccp0000839" TargetMode="External"/><Relationship Id="rId32" Type="http://schemas.openxmlformats.org/officeDocument/2006/relationships/hyperlink" Target="https://doi.org/10.2340/16501977-1928" TargetMode="External"/><Relationship Id="rId37" Type="http://schemas.openxmlformats.org/officeDocument/2006/relationships/hyperlink" Target="https://doi.org/10.1080/09687599.2017.1328157" TargetMode="External"/><Relationship Id="rId40" Type="http://schemas.openxmlformats.org/officeDocument/2006/relationships/hyperlink" Target="https://www.who.int/standards/classifications/classification-of-diseas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news/more-support-for-neurodivergent-children-in-mainstream-schools" TargetMode="External"/><Relationship Id="rId23" Type="http://schemas.openxmlformats.org/officeDocument/2006/relationships/hyperlink" Target="https://doi.org/10.7551/mitpress/9949.001.0001" TargetMode="External"/><Relationship Id="rId28" Type="http://schemas.openxmlformats.org/officeDocument/2006/relationships/hyperlink" Target="https://doi.org/10.1007/s10803-024-06382-7" TargetMode="External"/><Relationship Id="rId36" Type="http://schemas.openxmlformats.org/officeDocument/2006/relationships/hyperlink" Target="https://doi.org/10.1007/s40474-021-00224-2" TargetMode="External"/><Relationship Id="rId10" Type="http://schemas.openxmlformats.org/officeDocument/2006/relationships/hyperlink" Target="https://doi.org/10.1177/13623613241237871" TargetMode="External"/><Relationship Id="rId19" Type="http://schemas.openxmlformats.org/officeDocument/2006/relationships/hyperlink" Target="https://doi.org/10.1007/s10803-022-05811-9" TargetMode="External"/><Relationship Id="rId31" Type="http://schemas.openxmlformats.org/officeDocument/2006/relationships/hyperlink" Target="https://doi.org/10.1007/s41252-021-00201-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8/s41598-020-70953-8" TargetMode="External"/><Relationship Id="rId14" Type="http://schemas.openxmlformats.org/officeDocument/2006/relationships/hyperlink" Target="https://doi.org/10.5765/jkacap.230019" TargetMode="External"/><Relationship Id="rId22" Type="http://schemas.openxmlformats.org/officeDocument/2006/relationships/hyperlink" Target="https://doi.org/10.3390/educsci13020106" TargetMode="External"/><Relationship Id="rId27" Type="http://schemas.openxmlformats.org/officeDocument/2006/relationships/hyperlink" Target="https://doi.org/10.1038/s41390-021-01465-y" TargetMode="External"/><Relationship Id="rId30" Type="http://schemas.openxmlformats.org/officeDocument/2006/relationships/hyperlink" Target="https://doi.org/10.1089/aut.2023.0175" TargetMode="External"/><Relationship Id="rId35" Type="http://schemas.openxmlformats.org/officeDocument/2006/relationships/hyperlink" Target="https://doi.org/10.1111/1460-6984.12859" TargetMode="External"/><Relationship Id="rId43" Type="http://schemas.openxmlformats.org/officeDocument/2006/relationships/footer" Target="footer2.xml"/><Relationship Id="rId8" Type="http://schemas.openxmlformats.org/officeDocument/2006/relationships/hyperlink" Target="https://doi.org/10.1093/med/9780192870322.003.0008" TargetMode="External"/><Relationship Id="rId3" Type="http://schemas.openxmlformats.org/officeDocument/2006/relationships/settings" Target="settings.xml"/><Relationship Id="rId12" Type="http://schemas.openxmlformats.org/officeDocument/2006/relationships/hyperlink" Target="https://doi.org/10.1108/aia-08-2020-0046" TargetMode="External"/><Relationship Id="rId17" Type="http://schemas.openxmlformats.org/officeDocument/2006/relationships/hyperlink" Target="https://doi.org/10.3390/bs5040565" TargetMode="External"/><Relationship Id="rId25" Type="http://schemas.openxmlformats.org/officeDocument/2006/relationships/hyperlink" Target="https://doi.org/10.1007/s10803-017-3188-z" TargetMode="External"/><Relationship Id="rId33" Type="http://schemas.openxmlformats.org/officeDocument/2006/relationships/hyperlink" Target="https://doi.org/10.1016/j.reia.2025.202652" TargetMode="External"/><Relationship Id="rId38" Type="http://schemas.openxmlformats.org/officeDocument/2006/relationships/hyperlink" Target="https://icd.who.int/browse/2025-01/mms/en" TargetMode="External"/><Relationship Id="rId20" Type="http://schemas.openxmlformats.org/officeDocument/2006/relationships/hyperlink" Target="https://doi.org/10.3390/soc15030072" TargetMode="External"/><Relationship Id="rId41" Type="http://schemas.openxmlformats.org/officeDocument/2006/relationships/hyperlink" Target="https://doi.org/10.1192/j.eurpsy.2023.1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1B285-E3C9-4EBF-AF0C-967EC0B9A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12</Pages>
  <Words>4412</Words>
  <Characters>25152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Florence Mirembe (2313074)</cp:lastModifiedBy>
  <cp:revision>543</cp:revision>
  <dcterms:created xsi:type="dcterms:W3CDTF">2025-11-03T21:00:00Z</dcterms:created>
  <dcterms:modified xsi:type="dcterms:W3CDTF">2025-12-04T21:44:00Z</dcterms:modified>
</cp:coreProperties>
</file>