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15DF87" w14:textId="38D9E582" w:rsidR="000B3B5D" w:rsidRDefault="000B3B5D" w:rsidP="000B3B5D">
      <w:pPr>
        <w:rPr>
          <w:lang w:val="en-US"/>
        </w:rPr>
      </w:pPr>
      <w:r>
        <w:rPr>
          <w:lang w:val="en-US"/>
        </w:rPr>
        <w:t>Ashley Mc Fee</w:t>
      </w:r>
    </w:p>
    <w:p w14:paraId="1D41BAFB" w14:textId="4555BDFE" w:rsidR="000B3B5D" w:rsidRDefault="00423BBA" w:rsidP="000B3B5D">
      <w:pPr>
        <w:rPr>
          <w:lang w:val="en-US"/>
        </w:rPr>
      </w:pPr>
      <w:r>
        <w:rPr>
          <w:lang w:val="en-US"/>
        </w:rPr>
        <w:t>Gender, Sex and Sexuality: Historical and Critical Perspective</w:t>
      </w:r>
    </w:p>
    <w:p w14:paraId="484F51ED" w14:textId="0A37788D" w:rsidR="00423BBA" w:rsidRDefault="00423BBA" w:rsidP="000B3B5D">
      <w:pPr>
        <w:rPr>
          <w:lang w:val="en-US"/>
        </w:rPr>
      </w:pPr>
      <w:r>
        <w:rPr>
          <w:lang w:val="en-US"/>
        </w:rPr>
        <w:t>Dr. Angus Slater</w:t>
      </w:r>
    </w:p>
    <w:p w14:paraId="7F11698C" w14:textId="6D48E977" w:rsidR="00423BBA" w:rsidRDefault="00423BBA" w:rsidP="000B3B5D">
      <w:pPr>
        <w:rPr>
          <w:lang w:val="en-US"/>
        </w:rPr>
      </w:pPr>
      <w:r>
        <w:rPr>
          <w:lang w:val="en-US"/>
        </w:rPr>
        <w:t xml:space="preserve">31 </w:t>
      </w:r>
      <w:r w:rsidR="00EC3DB7">
        <w:rPr>
          <w:lang w:val="en-US"/>
        </w:rPr>
        <w:t>May 2022</w:t>
      </w:r>
    </w:p>
    <w:p w14:paraId="7E7E30BF" w14:textId="04438486" w:rsidR="00EC3DB7" w:rsidRPr="00786BB3" w:rsidRDefault="00786BB3" w:rsidP="000B3B5D">
      <w:pPr>
        <w:rPr>
          <w:b/>
          <w:bCs/>
          <w:lang w:val="en-US"/>
        </w:rPr>
      </w:pPr>
      <w:r>
        <w:rPr>
          <w:b/>
          <w:bCs/>
          <w:lang w:val="en-US"/>
        </w:rPr>
        <w:t xml:space="preserve">Simone de Beauvoir wrote that </w:t>
      </w:r>
      <w:r w:rsidR="00931BD9">
        <w:rPr>
          <w:b/>
          <w:bCs/>
          <w:lang w:val="en-US"/>
        </w:rPr>
        <w:t>“One is not born, but rather becomes, a woman</w:t>
      </w:r>
      <w:r w:rsidR="00FB7FF1">
        <w:rPr>
          <w:b/>
          <w:bCs/>
          <w:lang w:val="en-US"/>
        </w:rPr>
        <w:t>.” Drawing on the work you have undertaken so far in the module</w:t>
      </w:r>
      <w:r w:rsidR="00151C8B">
        <w:rPr>
          <w:b/>
          <w:bCs/>
          <w:lang w:val="en-US"/>
        </w:rPr>
        <w:t>, delineate the meaning of this quotation and how a variety of gender theorists have seen it function</w:t>
      </w:r>
      <w:r w:rsidR="009A7CB2">
        <w:rPr>
          <w:b/>
          <w:bCs/>
          <w:lang w:val="en-US"/>
        </w:rPr>
        <w:t>.</w:t>
      </w:r>
    </w:p>
    <w:p w14:paraId="596C76D7" w14:textId="1615504E" w:rsidR="0005644E" w:rsidRPr="00B32D72" w:rsidRDefault="00FE1054" w:rsidP="00FA48DC">
      <w:pPr>
        <w:ind w:firstLine="720"/>
        <w:rPr>
          <w:lang w:val="en-US"/>
        </w:rPr>
      </w:pPr>
      <w:r w:rsidRPr="00B32D72">
        <w:rPr>
          <w:lang w:val="en-US"/>
        </w:rPr>
        <w:t>Feminism has been a fundamental movement within our society for decades without being labelled as such. It is a way of bridging the gap of disparities between men and women, providing a system of equality and justice to create a common ground. The feminist movement is a growing ideology, moving from wave to wave with the evolution of societal structures. The ideological belief of feminism is sometimes seen as a</w:t>
      </w:r>
      <w:r w:rsidR="000546CE" w:rsidRPr="00B32D72">
        <w:rPr>
          <w:lang w:val="en-US"/>
        </w:rPr>
        <w:t xml:space="preserve"> movement which disrupts the social scales on which men and women are valued. There is often the belief that gender equality is a farce to challenge the grounded social construct in which we live. Gender theorists, philosophers and feminists alike have often sought to create their own theories in which to understand and promote feminism. Simone de Beauvoir, an outright feminist states in her book, </w:t>
      </w:r>
      <w:r w:rsidR="00E75782">
        <w:rPr>
          <w:lang w:val="en-US"/>
        </w:rPr>
        <w:t>‘</w:t>
      </w:r>
      <w:r w:rsidR="000546CE" w:rsidRPr="00B32D72">
        <w:rPr>
          <w:i/>
          <w:iCs/>
          <w:lang w:val="en-US"/>
        </w:rPr>
        <w:t>The Second Sex</w:t>
      </w:r>
      <w:r w:rsidR="006B1394" w:rsidRPr="00B32D72">
        <w:rPr>
          <w:i/>
          <w:iCs/>
          <w:lang w:val="en-US"/>
        </w:rPr>
        <w:t>,</w:t>
      </w:r>
      <w:r w:rsidR="00E75782">
        <w:rPr>
          <w:i/>
          <w:iCs/>
          <w:lang w:val="en-US"/>
        </w:rPr>
        <w:t>’</w:t>
      </w:r>
      <w:r w:rsidR="006B1394" w:rsidRPr="00B32D72">
        <w:rPr>
          <w:i/>
          <w:iCs/>
          <w:lang w:val="en-US"/>
        </w:rPr>
        <w:t xml:space="preserve"> </w:t>
      </w:r>
      <w:r w:rsidR="006B1394" w:rsidRPr="00B32D72">
        <w:rPr>
          <w:lang w:val="en-US"/>
        </w:rPr>
        <w:t xml:space="preserve">“One is not born, but rather becomes, a woman.” Her quotation can be interpreted as a nature versus nurture scenario.  The ‘nature’ of a woman, meaning her biology does not or should not define her as what is considered a woman. However, its is her ‘nurture’ that makes her woman; the environment and circumstances of life </w:t>
      </w:r>
      <w:r w:rsidR="0005644E" w:rsidRPr="00B32D72">
        <w:rPr>
          <w:lang w:val="en-US"/>
        </w:rPr>
        <w:t>Beauvoir emphasizes her quote by stating:</w:t>
      </w:r>
    </w:p>
    <w:p w14:paraId="6BA1E116" w14:textId="387F86D5" w:rsidR="00FE150D" w:rsidRDefault="0005644E" w:rsidP="00654B59">
      <w:pPr>
        <w:ind w:left="720"/>
        <w:rPr>
          <w:lang w:val="en-US"/>
        </w:rPr>
      </w:pPr>
      <w:r w:rsidRPr="00B32D72">
        <w:rPr>
          <w:lang w:val="en-US"/>
        </w:rPr>
        <w:t xml:space="preserve">No biological, psychical or economical destiny defines the figure that </w:t>
      </w:r>
      <w:r w:rsidR="00A06785" w:rsidRPr="00B32D72">
        <w:rPr>
          <w:lang w:val="en-US"/>
        </w:rPr>
        <w:t>the human</w:t>
      </w:r>
      <w:r w:rsidR="006B1394" w:rsidRPr="00B32D72">
        <w:rPr>
          <w:lang w:val="en-US"/>
        </w:rPr>
        <w:t xml:space="preserve"> </w:t>
      </w:r>
      <w:r w:rsidRPr="00B32D72">
        <w:rPr>
          <w:lang w:val="en-US"/>
        </w:rPr>
        <w:t>female takes on in society; it is civilization as a whole that elaborates this intermediary product between the male and the eunuch that is called feminine.</w:t>
      </w:r>
      <w:r w:rsidR="00FE150D" w:rsidRPr="00B32D72">
        <w:rPr>
          <w:lang w:val="en-US"/>
        </w:rPr>
        <w:t xml:space="preserve"> </w:t>
      </w:r>
    </w:p>
    <w:p w14:paraId="5D6E3B1E" w14:textId="7A8020F2" w:rsidR="00AA1EC8" w:rsidRPr="00B32D72" w:rsidRDefault="003456C3" w:rsidP="003456C3">
      <w:pPr>
        <w:ind w:left="720"/>
        <w:jc w:val="right"/>
        <w:rPr>
          <w:lang w:val="en-US"/>
        </w:rPr>
      </w:pPr>
      <w:r>
        <w:rPr>
          <w:lang w:val="en-US"/>
        </w:rPr>
        <w:t xml:space="preserve">(Beauvoir, 2011, </w:t>
      </w:r>
      <w:r w:rsidR="00270CBF">
        <w:rPr>
          <w:lang w:val="en-US"/>
        </w:rPr>
        <w:t>p</w:t>
      </w:r>
      <w:r w:rsidR="009106EB">
        <w:rPr>
          <w:lang w:val="en-US"/>
        </w:rPr>
        <w:t>.</w:t>
      </w:r>
      <w:r w:rsidR="00270CBF">
        <w:rPr>
          <w:lang w:val="en-US"/>
        </w:rPr>
        <w:t>293)</w:t>
      </w:r>
    </w:p>
    <w:p w14:paraId="1999EEBC" w14:textId="74300576" w:rsidR="001E26B0" w:rsidRDefault="00A06785" w:rsidP="00A3656B">
      <w:pPr>
        <w:rPr>
          <w:lang w:val="en-US"/>
        </w:rPr>
      </w:pPr>
      <w:r w:rsidRPr="00B32D72">
        <w:rPr>
          <w:lang w:val="en-US"/>
        </w:rPr>
        <w:t>Her preoccupation throughout the book is to point out the distinct differences between what a woman claims to be and what a woman is perceived to be, as well as the way men are viewed in comparison, with the determining factor being social construction and the social status quo.</w:t>
      </w:r>
      <w:r w:rsidR="00E848B6" w:rsidRPr="00B32D72">
        <w:rPr>
          <w:lang w:val="en-US"/>
        </w:rPr>
        <w:t xml:space="preserve"> </w:t>
      </w:r>
      <w:r w:rsidR="00A3656B" w:rsidRPr="00B32D72">
        <w:rPr>
          <w:lang w:val="en-US"/>
        </w:rPr>
        <w:t xml:space="preserve">She prided herself in speaking out against the patriarchal society in which was born into, and we continue to live in. Her theory focused </w:t>
      </w:r>
      <w:r w:rsidR="001F4CE7" w:rsidRPr="00B32D72">
        <w:rPr>
          <w:lang w:val="en-US"/>
        </w:rPr>
        <w:t>on</w:t>
      </w:r>
      <w:r w:rsidR="00A3656B" w:rsidRPr="00B32D72">
        <w:rPr>
          <w:lang w:val="en-US"/>
        </w:rPr>
        <w:t xml:space="preserve"> the idea “that women have been prevented from taking active control of their lives” (Vintges,</w:t>
      </w:r>
      <w:r w:rsidR="000079CF" w:rsidRPr="00B32D72">
        <w:rPr>
          <w:lang w:val="en-US"/>
        </w:rPr>
        <w:t xml:space="preserve"> </w:t>
      </w:r>
      <w:r w:rsidR="00A3656B" w:rsidRPr="00B32D72">
        <w:rPr>
          <w:lang w:val="en-US"/>
        </w:rPr>
        <w:t xml:space="preserve">1999). </w:t>
      </w:r>
      <w:r w:rsidR="00A3656B" w:rsidRPr="00B32D72">
        <w:rPr>
          <w:lang w:val="en-US"/>
        </w:rPr>
        <w:lastRenderedPageBreak/>
        <w:t>Historically, women are seen merely as an extension of the man and sometimes just the background figure or according to Beauvoir, the Other.</w:t>
      </w:r>
      <w:r w:rsidR="006C2951">
        <w:rPr>
          <w:lang w:val="en-US"/>
        </w:rPr>
        <w:t xml:space="preserve"> </w:t>
      </w:r>
      <w:r w:rsidR="00A21848">
        <w:rPr>
          <w:lang w:val="en-US"/>
        </w:rPr>
        <w:t>She states:</w:t>
      </w:r>
    </w:p>
    <w:p w14:paraId="11D6A632" w14:textId="72467FF4" w:rsidR="00A21848" w:rsidRDefault="00A21848" w:rsidP="005C4E8E">
      <w:pPr>
        <w:ind w:left="720"/>
        <w:rPr>
          <w:lang w:val="en-US"/>
        </w:rPr>
      </w:pPr>
      <w:r>
        <w:rPr>
          <w:lang w:val="en-US"/>
        </w:rPr>
        <w:t>…</w:t>
      </w:r>
      <w:r w:rsidR="0063634F">
        <w:rPr>
          <w:lang w:val="en-US"/>
        </w:rPr>
        <w:t xml:space="preserve"> she is nothing other than what man decides; she is thus called </w:t>
      </w:r>
      <w:r w:rsidR="005C4E8E">
        <w:rPr>
          <w:lang w:val="en-US"/>
        </w:rPr>
        <w:t>‘the sex’, meaning that the male sees her</w:t>
      </w:r>
      <w:r w:rsidR="0040254F">
        <w:rPr>
          <w:lang w:val="en-US"/>
        </w:rPr>
        <w:t xml:space="preserve"> essentially as a sexed being; for him she is sex</w:t>
      </w:r>
      <w:r w:rsidR="00EC003C">
        <w:rPr>
          <w:lang w:val="en-US"/>
        </w:rPr>
        <w:t xml:space="preserve">, so she is it in the absolute. She determines and differentiates herself in relation </w:t>
      </w:r>
      <w:r w:rsidR="00DD7E0E">
        <w:rPr>
          <w:lang w:val="en-US"/>
        </w:rPr>
        <w:t xml:space="preserve">to man, and he does not in relation to her; she is the inessential in front of </w:t>
      </w:r>
      <w:r w:rsidR="00280FB3">
        <w:rPr>
          <w:lang w:val="en-US"/>
        </w:rPr>
        <w:t>the essential. He is the Subject; he is the Absolute</w:t>
      </w:r>
      <w:r w:rsidR="000B29F5">
        <w:rPr>
          <w:lang w:val="en-US"/>
        </w:rPr>
        <w:t>. She is the Other.</w:t>
      </w:r>
    </w:p>
    <w:p w14:paraId="7E9319DA" w14:textId="4C4EE9FA" w:rsidR="00AD1185" w:rsidRDefault="001256E9" w:rsidP="00AD1185">
      <w:pPr>
        <w:ind w:left="720"/>
        <w:jc w:val="right"/>
        <w:rPr>
          <w:lang w:val="en-US"/>
        </w:rPr>
      </w:pPr>
      <w:r>
        <w:rPr>
          <w:lang w:val="en-US"/>
        </w:rPr>
        <w:t>(</w:t>
      </w:r>
      <w:r w:rsidR="005A7DFE">
        <w:rPr>
          <w:lang w:val="en-US"/>
        </w:rPr>
        <w:t xml:space="preserve">Beauvoir, 2011, </w:t>
      </w:r>
      <w:r w:rsidR="00B11DBE">
        <w:rPr>
          <w:lang w:val="en-US"/>
        </w:rPr>
        <w:t>p</w:t>
      </w:r>
      <w:r w:rsidR="009106EB">
        <w:rPr>
          <w:lang w:val="en-US"/>
        </w:rPr>
        <w:t>.</w:t>
      </w:r>
      <w:r w:rsidR="00B11DBE">
        <w:rPr>
          <w:lang w:val="en-US"/>
        </w:rPr>
        <w:t>6)</w:t>
      </w:r>
    </w:p>
    <w:p w14:paraId="73F86A1E" w14:textId="5BC64DF0" w:rsidR="00911876" w:rsidRPr="00B32D72" w:rsidRDefault="00911876" w:rsidP="00A3656B">
      <w:pPr>
        <w:rPr>
          <w:lang w:val="en-US"/>
        </w:rPr>
      </w:pPr>
      <w:r>
        <w:rPr>
          <w:lang w:val="en-US"/>
        </w:rPr>
        <w:t>Furthermore, she addresses that it has always been that way throughout history</w:t>
      </w:r>
      <w:r w:rsidR="006A6C80">
        <w:rPr>
          <w:lang w:val="en-US"/>
        </w:rPr>
        <w:t>.</w:t>
      </w:r>
      <w:r w:rsidR="005F51BD">
        <w:rPr>
          <w:lang w:val="en-US"/>
        </w:rPr>
        <w:t xml:space="preserve"> It is known that men and women were treated differently during different periods of history.</w:t>
      </w:r>
    </w:p>
    <w:p w14:paraId="7115D47E" w14:textId="77777777" w:rsidR="00A3656B" w:rsidRDefault="00A3656B" w:rsidP="00A3656B">
      <w:pPr>
        <w:ind w:left="720"/>
        <w:rPr>
          <w:lang w:val="en-US"/>
        </w:rPr>
      </w:pPr>
      <w:r w:rsidRPr="00B32D72">
        <w:rPr>
          <w:lang w:val="en-US"/>
        </w:rPr>
        <w:t>History has shown that men have always held all the concrete powers; from patriarchy’s earliest times they have deemed it useful to keep woman in a state of dependence; their codes were set up against her; she was thus concretely established as the Other.</w:t>
      </w:r>
    </w:p>
    <w:p w14:paraId="13B42D34" w14:textId="7106467F" w:rsidR="00AD5AC1" w:rsidRPr="00B32D72" w:rsidRDefault="000D42BD" w:rsidP="00C750BB">
      <w:pPr>
        <w:ind w:left="720"/>
        <w:jc w:val="right"/>
        <w:rPr>
          <w:lang w:val="en-US"/>
        </w:rPr>
      </w:pPr>
      <w:r>
        <w:rPr>
          <w:lang w:val="en-US"/>
        </w:rPr>
        <w:t xml:space="preserve">(Beauvoir, </w:t>
      </w:r>
      <w:r w:rsidR="00373AA7">
        <w:rPr>
          <w:lang w:val="en-US"/>
        </w:rPr>
        <w:t>2011, p</w:t>
      </w:r>
      <w:r w:rsidR="009106EB">
        <w:rPr>
          <w:lang w:val="en-US"/>
        </w:rPr>
        <w:t>.</w:t>
      </w:r>
      <w:r w:rsidR="00373AA7">
        <w:rPr>
          <w:lang w:val="en-US"/>
        </w:rPr>
        <w:t>163)</w:t>
      </w:r>
    </w:p>
    <w:p w14:paraId="13BA9CB5" w14:textId="6026CB77" w:rsidR="00A06785" w:rsidRPr="006844BF" w:rsidRDefault="00A3656B" w:rsidP="00A06785">
      <w:r w:rsidRPr="00B32D72">
        <w:rPr>
          <w:lang w:val="en-US"/>
        </w:rPr>
        <w:t xml:space="preserve">Beauvoir’s quote “One is not born, but rather becomes a woman” stems from her frustration with society’s notion that women should not have a sense of self; they are merely an object to be utilized in the man’s world for their own purposes. Beauvoir’s entire theory was to create a culture where women had an identity outside of the confines of a man. </w:t>
      </w:r>
      <w:r w:rsidR="008F6A9A" w:rsidRPr="00B32D72">
        <w:rPr>
          <w:lang w:val="en-US"/>
        </w:rPr>
        <w:t>Her</w:t>
      </w:r>
      <w:r w:rsidR="00E848B6" w:rsidRPr="00B32D72">
        <w:rPr>
          <w:lang w:val="en-US"/>
        </w:rPr>
        <w:t xml:space="preserve"> quote is a catalyst for many feminist theories and the feminist movement. </w:t>
      </w:r>
      <w:r w:rsidR="009344E5" w:rsidRPr="00B32D72">
        <w:rPr>
          <w:lang w:val="en-US"/>
        </w:rPr>
        <w:t>I</w:t>
      </w:r>
      <w:r w:rsidR="00E848B6" w:rsidRPr="00B32D72">
        <w:rPr>
          <w:lang w:val="en-US"/>
        </w:rPr>
        <w:t xml:space="preserve">t </w:t>
      </w:r>
      <w:r w:rsidR="00707C57" w:rsidRPr="00B32D72">
        <w:rPr>
          <w:lang w:val="en-US"/>
        </w:rPr>
        <w:t xml:space="preserve">functions as </w:t>
      </w:r>
      <w:r w:rsidR="00D46C2C" w:rsidRPr="00B32D72">
        <w:rPr>
          <w:lang w:val="en-US"/>
        </w:rPr>
        <w:t>a framework</w:t>
      </w:r>
      <w:r w:rsidR="00E848B6" w:rsidRPr="00B32D72">
        <w:rPr>
          <w:lang w:val="en-US"/>
        </w:rPr>
        <w:t xml:space="preserve"> used to formulate the theories of gender theorist and philosopher</w:t>
      </w:r>
      <w:r w:rsidR="00140264" w:rsidRPr="00B32D72">
        <w:rPr>
          <w:lang w:val="en-US"/>
        </w:rPr>
        <w:t xml:space="preserve"> </w:t>
      </w:r>
      <w:r w:rsidR="0087577F">
        <w:rPr>
          <w:lang w:val="en-US"/>
        </w:rPr>
        <w:t xml:space="preserve">Judith Butler and </w:t>
      </w:r>
      <w:r w:rsidR="007A2E38">
        <w:rPr>
          <w:lang w:val="en-US"/>
        </w:rPr>
        <w:t>Luce Irigaray</w:t>
      </w:r>
      <w:r w:rsidR="00FA48DC" w:rsidRPr="00B32D72">
        <w:rPr>
          <w:lang w:val="en-US"/>
        </w:rPr>
        <w:t xml:space="preserve"> to create a nuanced perspective on the subject of feminism</w:t>
      </w:r>
      <w:r w:rsidR="00B6335A" w:rsidRPr="00B32D72">
        <w:rPr>
          <w:lang w:val="en-US"/>
        </w:rPr>
        <w:t xml:space="preserve"> and gender theor</w:t>
      </w:r>
      <w:r w:rsidR="005478D0" w:rsidRPr="00B32D72">
        <w:rPr>
          <w:lang w:val="en-US"/>
        </w:rPr>
        <w:t>y.</w:t>
      </w:r>
      <w:r w:rsidR="00602CFA" w:rsidRPr="00B32D72">
        <w:rPr>
          <w:lang w:val="en-US"/>
        </w:rPr>
        <w:t xml:space="preserve"> </w:t>
      </w:r>
    </w:p>
    <w:p w14:paraId="1E9EDEFC" w14:textId="39424EB9" w:rsidR="007E762B" w:rsidRDefault="007E762B" w:rsidP="00A06785">
      <w:pPr>
        <w:rPr>
          <w:lang w:val="en-US"/>
        </w:rPr>
      </w:pPr>
      <w:r>
        <w:rPr>
          <w:lang w:val="en-US"/>
        </w:rPr>
        <w:tab/>
        <w:t>Judith Butler is an American philosopher and gender theor</w:t>
      </w:r>
      <w:r w:rsidR="00100600">
        <w:rPr>
          <w:lang w:val="en-US"/>
        </w:rPr>
        <w:t xml:space="preserve">ist, who for many years has crafted their </w:t>
      </w:r>
      <w:r w:rsidR="00890469">
        <w:rPr>
          <w:lang w:val="en-US"/>
        </w:rPr>
        <w:t xml:space="preserve">theory of gender and sex under the banner, Gender Performativity. Butler </w:t>
      </w:r>
      <w:r w:rsidR="00F13271">
        <w:rPr>
          <w:lang w:val="en-US"/>
        </w:rPr>
        <w:t xml:space="preserve">believes that gender is performative with no biological </w:t>
      </w:r>
      <w:r w:rsidR="007F7D12">
        <w:rPr>
          <w:lang w:val="en-US"/>
        </w:rPr>
        <w:t>factors to determine an individual’s gender.</w:t>
      </w:r>
      <w:r w:rsidR="00E269C8">
        <w:rPr>
          <w:lang w:val="en-US"/>
        </w:rPr>
        <w:t xml:space="preserve"> </w:t>
      </w:r>
      <w:r w:rsidR="003C057A">
        <w:rPr>
          <w:lang w:val="en-US"/>
        </w:rPr>
        <w:t>Butler sees it</w:t>
      </w:r>
      <w:r w:rsidR="00E269C8">
        <w:rPr>
          <w:lang w:val="en-US"/>
        </w:rPr>
        <w:t xml:space="preserve"> as merely a social construction:</w:t>
      </w:r>
    </w:p>
    <w:p w14:paraId="2BA9B78A" w14:textId="0344EB75" w:rsidR="00A21E6B" w:rsidRDefault="00A21E6B" w:rsidP="00A21E6B">
      <w:pPr>
        <w:ind w:left="720"/>
        <w:rPr>
          <w:lang w:val="en-US"/>
        </w:rPr>
      </w:pPr>
      <w:r w:rsidRPr="00541F8D">
        <w:rPr>
          <w:lang w:val="en-US"/>
        </w:rPr>
        <w:t xml:space="preserve">If gender is the cultural meaning that the sexed body assumes, then the gender cannot be said to follow from a sex in any one way. Taken to its logical limit, the sex/gender distinction suggests a radical discontinuity between sexed bodies and culturally constructed genders. Assuming for the moment stability of binary sex, it does not follow that the construction </w:t>
      </w:r>
      <w:r w:rsidRPr="00541F8D">
        <w:rPr>
          <w:lang w:val="en-US"/>
        </w:rPr>
        <w:lastRenderedPageBreak/>
        <w:t>of “men” will accrue exclusively to the bodies of males or that “women” will interpret only female bodies.</w:t>
      </w:r>
    </w:p>
    <w:p w14:paraId="46D6EA75" w14:textId="2D2802A1" w:rsidR="00457FB0" w:rsidRDefault="00457FB0" w:rsidP="00457FB0">
      <w:pPr>
        <w:ind w:left="720"/>
        <w:jc w:val="right"/>
        <w:rPr>
          <w:lang w:val="en-US"/>
        </w:rPr>
      </w:pPr>
      <w:r>
        <w:rPr>
          <w:lang w:val="en-US"/>
        </w:rPr>
        <w:t>(Butler, 2006, p</w:t>
      </w:r>
      <w:r w:rsidR="009106EB">
        <w:rPr>
          <w:lang w:val="en-US"/>
        </w:rPr>
        <w:t>.</w:t>
      </w:r>
      <w:r>
        <w:rPr>
          <w:lang w:val="en-US"/>
        </w:rPr>
        <w:t>9)</w:t>
      </w:r>
    </w:p>
    <w:p w14:paraId="37D95463" w14:textId="3E3A46F8" w:rsidR="00A21E6B" w:rsidRDefault="002E5A18" w:rsidP="00A21E6B">
      <w:pPr>
        <w:rPr>
          <w:lang w:val="en-US"/>
        </w:rPr>
      </w:pPr>
      <w:r>
        <w:rPr>
          <w:lang w:val="en-US"/>
        </w:rPr>
        <w:t xml:space="preserve">Butler describes gender as “unnatural” and </w:t>
      </w:r>
      <w:r w:rsidR="00E23033">
        <w:rPr>
          <w:lang w:val="en-US"/>
        </w:rPr>
        <w:t xml:space="preserve">“not something </w:t>
      </w:r>
      <w:r w:rsidR="00E23033">
        <w:rPr>
          <w:i/>
          <w:iCs/>
          <w:lang w:val="en-US"/>
        </w:rPr>
        <w:t xml:space="preserve">one </w:t>
      </w:r>
      <w:r w:rsidR="00E23033">
        <w:rPr>
          <w:lang w:val="en-US"/>
        </w:rPr>
        <w:t xml:space="preserve">is” but rather </w:t>
      </w:r>
      <w:r w:rsidR="00FF4355">
        <w:rPr>
          <w:lang w:val="en-US"/>
        </w:rPr>
        <w:t xml:space="preserve">“something </w:t>
      </w:r>
      <w:r w:rsidR="00FF4355">
        <w:rPr>
          <w:i/>
          <w:iCs/>
          <w:lang w:val="en-US"/>
        </w:rPr>
        <w:t xml:space="preserve">one </w:t>
      </w:r>
      <w:r w:rsidR="00FF4355">
        <w:rPr>
          <w:lang w:val="en-US"/>
        </w:rPr>
        <w:t>does</w:t>
      </w:r>
      <w:r w:rsidR="00260289">
        <w:rPr>
          <w:lang w:val="en-US"/>
        </w:rPr>
        <w:t>.”</w:t>
      </w:r>
      <w:r w:rsidR="009E32EF">
        <w:rPr>
          <w:lang w:val="en-US"/>
        </w:rPr>
        <w:t xml:space="preserve"> According to Salih, Butler believes that: </w:t>
      </w:r>
    </w:p>
    <w:p w14:paraId="5D8569CA" w14:textId="160017DC" w:rsidR="009E32EF" w:rsidRDefault="009E32EF" w:rsidP="00673666">
      <w:pPr>
        <w:ind w:left="720"/>
        <w:rPr>
          <w:lang w:val="en-US"/>
        </w:rPr>
      </w:pPr>
      <w:r>
        <w:rPr>
          <w:lang w:val="en-US"/>
        </w:rPr>
        <w:t>Gender is the repeated</w:t>
      </w:r>
      <w:r w:rsidR="00986E99">
        <w:rPr>
          <w:lang w:val="en-US"/>
        </w:rPr>
        <w:t xml:space="preserve"> stylization of the body, a set of repeated </w:t>
      </w:r>
      <w:r w:rsidR="00CB70B7">
        <w:rPr>
          <w:lang w:val="en-US"/>
        </w:rPr>
        <w:t>acts within</w:t>
      </w:r>
      <w:r w:rsidR="00986E99">
        <w:rPr>
          <w:lang w:val="en-US"/>
        </w:rPr>
        <w:t xml:space="preserve"> a highly rigid regulatory </w:t>
      </w:r>
      <w:r w:rsidR="00673666">
        <w:rPr>
          <w:lang w:val="en-US"/>
        </w:rPr>
        <w:t xml:space="preserve">frame that congeal over time to produce the appearance of substance </w:t>
      </w:r>
      <w:r w:rsidR="00CB70B7">
        <w:rPr>
          <w:lang w:val="en-US"/>
        </w:rPr>
        <w:t xml:space="preserve">of a natural sort of being. A political </w:t>
      </w:r>
      <w:r w:rsidR="00D74F16">
        <w:rPr>
          <w:lang w:val="en-US"/>
        </w:rPr>
        <w:t>genealogy of gender ontologies, if it is successful, will deconstruct the substantive appearance of gender into its constitu</w:t>
      </w:r>
      <w:r w:rsidR="002B1C0E">
        <w:rPr>
          <w:lang w:val="en-US"/>
        </w:rPr>
        <w:t>tive acts and locate and account for those various forces that police the social appearance of gender.</w:t>
      </w:r>
    </w:p>
    <w:p w14:paraId="2CDE8C67" w14:textId="6D700CBC" w:rsidR="00D66963" w:rsidRDefault="002A0A33" w:rsidP="00D66963">
      <w:pPr>
        <w:ind w:left="720"/>
        <w:jc w:val="right"/>
        <w:rPr>
          <w:lang w:val="en-US"/>
        </w:rPr>
      </w:pPr>
      <w:r>
        <w:rPr>
          <w:lang w:val="en-US"/>
        </w:rPr>
        <w:t>(Salih,</w:t>
      </w:r>
      <w:r w:rsidR="000E14C7">
        <w:rPr>
          <w:lang w:val="en-US"/>
        </w:rPr>
        <w:t xml:space="preserve"> 2002</w:t>
      </w:r>
      <w:r w:rsidR="00066CDD">
        <w:rPr>
          <w:lang w:val="en-US"/>
        </w:rPr>
        <w:t>,</w:t>
      </w:r>
      <w:r w:rsidR="000E14C7">
        <w:rPr>
          <w:lang w:val="en-US"/>
        </w:rPr>
        <w:t xml:space="preserve"> </w:t>
      </w:r>
      <w:r w:rsidR="00066CDD">
        <w:rPr>
          <w:lang w:val="en-US"/>
        </w:rPr>
        <w:t>p</w:t>
      </w:r>
      <w:r w:rsidR="009106EB">
        <w:rPr>
          <w:lang w:val="en-US"/>
        </w:rPr>
        <w:t>.</w:t>
      </w:r>
      <w:r w:rsidR="00066CDD">
        <w:rPr>
          <w:lang w:val="en-US"/>
        </w:rPr>
        <w:t>62)</w:t>
      </w:r>
    </w:p>
    <w:p w14:paraId="64174242" w14:textId="1969113A" w:rsidR="000479CE" w:rsidRDefault="00662B16" w:rsidP="00662B16">
      <w:pPr>
        <w:rPr>
          <w:lang w:val="en-US"/>
        </w:rPr>
      </w:pPr>
      <w:r>
        <w:rPr>
          <w:lang w:val="en-US"/>
        </w:rPr>
        <w:t xml:space="preserve">This notion that </w:t>
      </w:r>
      <w:r w:rsidR="004A0B50">
        <w:rPr>
          <w:lang w:val="en-US"/>
        </w:rPr>
        <w:t>gender</w:t>
      </w:r>
      <w:r w:rsidR="00B31AE6">
        <w:rPr>
          <w:lang w:val="en-US"/>
        </w:rPr>
        <w:t xml:space="preserve"> is a performance is reaffirmed by Butler</w:t>
      </w:r>
      <w:r w:rsidR="004A0B50">
        <w:rPr>
          <w:lang w:val="en-US"/>
        </w:rPr>
        <w:t xml:space="preserve">, who </w:t>
      </w:r>
      <w:r w:rsidR="002E43C1">
        <w:rPr>
          <w:lang w:val="en-US"/>
        </w:rPr>
        <w:t>once again uses Beauvoir’s quote to emphasize their point of view</w:t>
      </w:r>
      <w:r w:rsidR="00F6543E">
        <w:rPr>
          <w:lang w:val="en-US"/>
        </w:rPr>
        <w:t>.</w:t>
      </w:r>
    </w:p>
    <w:p w14:paraId="56CCAB5C" w14:textId="4B5D4D53" w:rsidR="00F6543E" w:rsidRDefault="00F6543E" w:rsidP="00980B44">
      <w:pPr>
        <w:ind w:left="720"/>
        <w:rPr>
          <w:lang w:val="en-US"/>
        </w:rPr>
      </w:pPr>
      <w:r>
        <w:rPr>
          <w:lang w:val="en-US"/>
        </w:rPr>
        <w:t>When Simone de Beauvoir claims, “one is not born</w:t>
      </w:r>
      <w:r w:rsidR="00980B44">
        <w:rPr>
          <w:lang w:val="en-US"/>
        </w:rPr>
        <w:t>, but, rather, becomes a woman</w:t>
      </w:r>
      <w:r w:rsidR="001C646E">
        <w:rPr>
          <w:lang w:val="en-US"/>
        </w:rPr>
        <w:t>,” she is appropriating and reinterpreting</w:t>
      </w:r>
      <w:r w:rsidR="00AF5C03">
        <w:rPr>
          <w:lang w:val="en-US"/>
        </w:rPr>
        <w:t xml:space="preserve"> this doctrine of constituting acts from the phenomenological tradition. In this sense</w:t>
      </w:r>
      <w:r w:rsidR="00B47BCF">
        <w:rPr>
          <w:lang w:val="en-US"/>
        </w:rPr>
        <w:t>, gender is in no way a stable identity or locus of agency from which various acts proceed</w:t>
      </w:r>
      <w:r w:rsidR="00F50ED9">
        <w:rPr>
          <w:lang w:val="en-US"/>
        </w:rPr>
        <w:t>e; rather, it is an identity tenuously constitu</w:t>
      </w:r>
      <w:r w:rsidR="00B414D3">
        <w:rPr>
          <w:lang w:val="en-US"/>
        </w:rPr>
        <w:t>ted in time – an identity insti</w:t>
      </w:r>
      <w:r w:rsidR="00570E4A">
        <w:rPr>
          <w:lang w:val="en-US"/>
        </w:rPr>
        <w:t xml:space="preserve">tuted through a </w:t>
      </w:r>
      <w:r w:rsidR="00570E4A">
        <w:rPr>
          <w:i/>
          <w:iCs/>
          <w:lang w:val="en-US"/>
        </w:rPr>
        <w:t xml:space="preserve">stylized repetition of acts. </w:t>
      </w:r>
      <w:r w:rsidR="00570E4A">
        <w:rPr>
          <w:lang w:val="en-US"/>
        </w:rPr>
        <w:t>Further</w:t>
      </w:r>
      <w:r w:rsidR="00971387">
        <w:rPr>
          <w:lang w:val="en-US"/>
        </w:rPr>
        <w:t xml:space="preserve">, gender is </w:t>
      </w:r>
      <w:r w:rsidR="007433D9">
        <w:rPr>
          <w:lang w:val="en-US"/>
        </w:rPr>
        <w:t>instituted</w:t>
      </w:r>
      <w:r w:rsidR="00971387">
        <w:rPr>
          <w:lang w:val="en-US"/>
        </w:rPr>
        <w:t xml:space="preserve"> through stylization</w:t>
      </w:r>
      <w:r w:rsidR="007433D9">
        <w:rPr>
          <w:lang w:val="en-US"/>
        </w:rPr>
        <w:t xml:space="preserve"> of the body and, hence, must be </w:t>
      </w:r>
      <w:r w:rsidR="004E329B">
        <w:rPr>
          <w:lang w:val="en-US"/>
        </w:rPr>
        <w:t>understood as the mundane way in which bodily gestures, movements and enactments of various kinds constitute the illusion of and abiding gendered self</w:t>
      </w:r>
      <w:r w:rsidR="0039020D">
        <w:rPr>
          <w:lang w:val="en-US"/>
        </w:rPr>
        <w:t>.</w:t>
      </w:r>
    </w:p>
    <w:p w14:paraId="22145F92" w14:textId="61088CEE" w:rsidR="008C1EEC" w:rsidRPr="00570E4A" w:rsidRDefault="00A05938" w:rsidP="008C1EEC">
      <w:pPr>
        <w:ind w:left="720"/>
        <w:jc w:val="right"/>
        <w:rPr>
          <w:lang w:val="en-US"/>
        </w:rPr>
      </w:pPr>
      <w:r>
        <w:rPr>
          <w:lang w:val="en-US"/>
        </w:rPr>
        <w:t>(Butler, 1988, p.519)</w:t>
      </w:r>
    </w:p>
    <w:p w14:paraId="44CE69F2" w14:textId="1EC317D4" w:rsidR="002B1C0E" w:rsidRPr="00FF4355" w:rsidRDefault="00EB398E" w:rsidP="00D4709A">
      <w:pPr>
        <w:rPr>
          <w:lang w:val="en-US"/>
        </w:rPr>
      </w:pPr>
      <w:r>
        <w:rPr>
          <w:lang w:val="en-US"/>
        </w:rPr>
        <w:t xml:space="preserve">Butler is saying that gender is </w:t>
      </w:r>
      <w:r w:rsidR="005220D1">
        <w:rPr>
          <w:lang w:val="en-US"/>
        </w:rPr>
        <w:t>an</w:t>
      </w:r>
      <w:r>
        <w:rPr>
          <w:lang w:val="en-US"/>
        </w:rPr>
        <w:t xml:space="preserve"> everyday occurrence, like a task that needs to be repeated daily. </w:t>
      </w:r>
      <w:r w:rsidR="005220D1">
        <w:rPr>
          <w:lang w:val="en-US"/>
        </w:rPr>
        <w:t xml:space="preserve">Much of Butler’s work in their field is heavily influenced by </w:t>
      </w:r>
      <w:r w:rsidR="00F541F9">
        <w:rPr>
          <w:lang w:val="en-US"/>
        </w:rPr>
        <w:t xml:space="preserve">other theorists. One such theorist is Simone de Beauvoir, whose quote is a preoccupation </w:t>
      </w:r>
      <w:r w:rsidR="005E172E">
        <w:rPr>
          <w:lang w:val="en-US"/>
        </w:rPr>
        <w:t>in their work. “One is not born, but rather becomes, a woman” is a recurring theme in Judith Butler’s</w:t>
      </w:r>
      <w:r w:rsidR="002D34E0">
        <w:rPr>
          <w:lang w:val="en-US"/>
        </w:rPr>
        <w:t xml:space="preserve"> literary and academic pieces. </w:t>
      </w:r>
      <w:r w:rsidR="008E6E51">
        <w:rPr>
          <w:lang w:val="en-US"/>
        </w:rPr>
        <w:t>Similarly,</w:t>
      </w:r>
      <w:r w:rsidR="00DE4EE6">
        <w:rPr>
          <w:lang w:val="en-US"/>
        </w:rPr>
        <w:t xml:space="preserve"> to Beauvoir, </w:t>
      </w:r>
      <w:r w:rsidR="00006F69">
        <w:rPr>
          <w:lang w:val="en-US"/>
        </w:rPr>
        <w:t xml:space="preserve">Butler is of the opinion that a woman is not defined by </w:t>
      </w:r>
      <w:r w:rsidR="00D36302">
        <w:rPr>
          <w:lang w:val="en-US"/>
        </w:rPr>
        <w:t xml:space="preserve">being female. </w:t>
      </w:r>
      <w:r w:rsidR="008E6E51">
        <w:rPr>
          <w:lang w:val="en-US"/>
        </w:rPr>
        <w:t>They raise the question of whether</w:t>
      </w:r>
      <w:r w:rsidR="006D0A34">
        <w:rPr>
          <w:lang w:val="en-US"/>
        </w:rPr>
        <w:t xml:space="preserve"> gender as a “construction” according to Beauvoir</w:t>
      </w:r>
      <w:r w:rsidR="00F73E27">
        <w:rPr>
          <w:lang w:val="en-US"/>
        </w:rPr>
        <w:t>, can then “be reduced to a form of choice?” (Butler,</w:t>
      </w:r>
      <w:r w:rsidR="000B0FE6">
        <w:rPr>
          <w:lang w:val="en-US"/>
        </w:rPr>
        <w:t xml:space="preserve"> </w:t>
      </w:r>
      <w:r w:rsidR="009106EB">
        <w:rPr>
          <w:lang w:val="en-US"/>
        </w:rPr>
        <w:t>2006</w:t>
      </w:r>
      <w:r w:rsidR="000B0FE6">
        <w:rPr>
          <w:lang w:val="en-US"/>
        </w:rPr>
        <w:t xml:space="preserve">) This suggests that while gender is a social construct, there is a choice </w:t>
      </w:r>
      <w:r w:rsidR="006D5B51">
        <w:rPr>
          <w:lang w:val="en-US"/>
        </w:rPr>
        <w:t xml:space="preserve">to be made by </w:t>
      </w:r>
      <w:r w:rsidR="006D5B51">
        <w:rPr>
          <w:lang w:val="en-US"/>
        </w:rPr>
        <w:lastRenderedPageBreak/>
        <w:t xml:space="preserve">an individual to dictate their gender identity based on </w:t>
      </w:r>
      <w:r w:rsidR="00741967">
        <w:rPr>
          <w:lang w:val="en-US"/>
        </w:rPr>
        <w:t>their volition</w:t>
      </w:r>
      <w:r w:rsidR="006D5B51">
        <w:rPr>
          <w:lang w:val="en-US"/>
        </w:rPr>
        <w:t xml:space="preserve"> and feelings</w:t>
      </w:r>
      <w:r w:rsidR="003B6FF8">
        <w:rPr>
          <w:lang w:val="en-US"/>
        </w:rPr>
        <w:t>; sex does not or may not play a role in the decision they make</w:t>
      </w:r>
      <w:r w:rsidR="00741967">
        <w:rPr>
          <w:lang w:val="en-US"/>
        </w:rPr>
        <w:t>. They state:</w:t>
      </w:r>
    </w:p>
    <w:p w14:paraId="29CA5830" w14:textId="2989F64E" w:rsidR="00E269C8" w:rsidRDefault="004F50F7" w:rsidP="00AD1D33">
      <w:pPr>
        <w:ind w:left="720"/>
        <w:rPr>
          <w:lang w:val="en-US"/>
        </w:rPr>
      </w:pPr>
      <w:r>
        <w:rPr>
          <w:lang w:val="en-US"/>
        </w:rPr>
        <w:t xml:space="preserve">Beauvoir is clear that one “becomes” a woman but always under a cultural compulsion </w:t>
      </w:r>
      <w:r w:rsidR="00AD1D33">
        <w:rPr>
          <w:lang w:val="en-US"/>
        </w:rPr>
        <w:t>to become one. And clearly, the compulsion does not come from “sex”.</w:t>
      </w:r>
      <w:r w:rsidR="00420F35">
        <w:rPr>
          <w:lang w:val="en-US"/>
        </w:rPr>
        <w:t xml:space="preserve"> There is nothing in her account that guarantees that the “one” who becomes a woman </w:t>
      </w:r>
      <w:r w:rsidR="00BE57B7">
        <w:rPr>
          <w:lang w:val="en-US"/>
        </w:rPr>
        <w:t>is necessarily female. If “the body is a situation,” as she claims</w:t>
      </w:r>
      <w:r w:rsidR="00B074B5">
        <w:rPr>
          <w:lang w:val="en-US"/>
        </w:rPr>
        <w:t>, there is no recourse to a body that has not always already been interpret</w:t>
      </w:r>
      <w:r w:rsidR="006A1802">
        <w:rPr>
          <w:lang w:val="en-US"/>
        </w:rPr>
        <w:t>ed by cultural meanings; hence sex could not qualify as a prediscursive anatom</w:t>
      </w:r>
      <w:r w:rsidR="00231BD2">
        <w:rPr>
          <w:lang w:val="en-US"/>
        </w:rPr>
        <w:t>ical facticity.</w:t>
      </w:r>
    </w:p>
    <w:p w14:paraId="068603F1" w14:textId="219DD0F9" w:rsidR="00035933" w:rsidRPr="00B32D72" w:rsidRDefault="00035933" w:rsidP="00035933">
      <w:pPr>
        <w:ind w:left="720"/>
        <w:jc w:val="right"/>
        <w:rPr>
          <w:lang w:val="en-US"/>
        </w:rPr>
      </w:pPr>
      <w:r>
        <w:rPr>
          <w:lang w:val="en-US"/>
        </w:rPr>
        <w:t>(Butler, 2006</w:t>
      </w:r>
      <w:r w:rsidR="002A2228">
        <w:rPr>
          <w:lang w:val="en-US"/>
        </w:rPr>
        <w:t>, p</w:t>
      </w:r>
      <w:r w:rsidR="00CC2C79">
        <w:rPr>
          <w:lang w:val="en-US"/>
        </w:rPr>
        <w:t>.</w:t>
      </w:r>
      <w:r w:rsidR="002A2228">
        <w:rPr>
          <w:lang w:val="en-US"/>
        </w:rPr>
        <w:t>11)</w:t>
      </w:r>
    </w:p>
    <w:p w14:paraId="2FAFC98B" w14:textId="21C4B2D9" w:rsidR="000043B7" w:rsidRDefault="009E3411" w:rsidP="007F2A16">
      <w:pPr>
        <w:rPr>
          <w:lang w:val="en-US"/>
        </w:rPr>
      </w:pPr>
      <w:r>
        <w:rPr>
          <w:lang w:val="en-US"/>
        </w:rPr>
        <w:t>Butler cites the work of other scientists and theorists who believe that gender and sex are one and the same</w:t>
      </w:r>
      <w:r w:rsidR="00F1398E">
        <w:rPr>
          <w:lang w:val="en-US"/>
        </w:rPr>
        <w:t xml:space="preserve">. It is later followed by Beauvoir’s influence </w:t>
      </w:r>
      <w:r w:rsidR="0077448A">
        <w:rPr>
          <w:lang w:val="en-US"/>
        </w:rPr>
        <w:t>on gender theorists whose claims of gender and sex are similarly intertwined</w:t>
      </w:r>
      <w:r w:rsidR="00FD74BF">
        <w:rPr>
          <w:lang w:val="en-US"/>
        </w:rPr>
        <w:t>.</w:t>
      </w:r>
    </w:p>
    <w:p w14:paraId="3B8FCCC6" w14:textId="13D23B0C" w:rsidR="00FD74BF" w:rsidRDefault="00FD74BF" w:rsidP="00D85C7B">
      <w:pPr>
        <w:ind w:left="720"/>
        <w:rPr>
          <w:lang w:val="en-US"/>
        </w:rPr>
      </w:pPr>
      <w:r>
        <w:rPr>
          <w:lang w:val="en-US"/>
        </w:rPr>
        <w:t xml:space="preserve">… social scientists refer to gender as a </w:t>
      </w:r>
      <w:r w:rsidR="00D85C7B">
        <w:rPr>
          <w:lang w:val="en-US"/>
        </w:rPr>
        <w:t>“factor” or a “dimension” of an analysis</w:t>
      </w:r>
      <w:r w:rsidR="00414993">
        <w:rPr>
          <w:lang w:val="en-US"/>
        </w:rPr>
        <w:t>, it is also applied to embodied persons as “a mark” of biological, linguistic, and/or cultural difference</w:t>
      </w:r>
      <w:r w:rsidR="0039123D">
        <w:rPr>
          <w:lang w:val="en-US"/>
        </w:rPr>
        <w:t xml:space="preserve">. In these latter cases, gender can be understood as a significant </w:t>
      </w:r>
      <w:r w:rsidR="001405DC">
        <w:rPr>
          <w:lang w:val="en-US"/>
        </w:rPr>
        <w:t xml:space="preserve">that an (already) sexually differentiated body assumes, but even then that </w:t>
      </w:r>
      <w:r w:rsidR="009F1D1D">
        <w:rPr>
          <w:lang w:val="en-US"/>
        </w:rPr>
        <w:t>signification exists only in relation to another, opposing signification.</w:t>
      </w:r>
      <w:r w:rsidR="001722E4">
        <w:rPr>
          <w:lang w:val="en-US"/>
        </w:rPr>
        <w:t xml:space="preserve"> Some </w:t>
      </w:r>
      <w:r w:rsidR="00511A28">
        <w:rPr>
          <w:lang w:val="en-US"/>
        </w:rPr>
        <w:t xml:space="preserve">feminist theorists claim that </w:t>
      </w:r>
      <w:r w:rsidR="00F87FA7">
        <w:rPr>
          <w:lang w:val="en-US"/>
        </w:rPr>
        <w:t>gender is “a relation,” indeed, a set of relations</w:t>
      </w:r>
      <w:r w:rsidR="00723C51">
        <w:rPr>
          <w:lang w:val="en-US"/>
        </w:rPr>
        <w:t xml:space="preserve">, and not an individual attribute. Others, following Beauvoir, would argue </w:t>
      </w:r>
      <w:r w:rsidR="00C027C7">
        <w:rPr>
          <w:lang w:val="en-US"/>
        </w:rPr>
        <w:t>that only the feminine gender is marked, that the universal person and the masculine gender are conflated</w:t>
      </w:r>
      <w:r w:rsidR="0075029E">
        <w:rPr>
          <w:lang w:val="en-US"/>
        </w:rPr>
        <w:t>, thereby defining women in terms of their sex and extolling men as the bearers of a body</w:t>
      </w:r>
      <w:r w:rsidR="0027570B">
        <w:rPr>
          <w:lang w:val="en-US"/>
        </w:rPr>
        <w:t>-transcendent universal personhood.</w:t>
      </w:r>
    </w:p>
    <w:p w14:paraId="136C5C14" w14:textId="030175B6" w:rsidR="000001B9" w:rsidRPr="00B32D72" w:rsidRDefault="00A9266E" w:rsidP="000001B9">
      <w:pPr>
        <w:ind w:left="720"/>
        <w:jc w:val="right"/>
        <w:rPr>
          <w:lang w:val="en-US"/>
        </w:rPr>
      </w:pPr>
      <w:r>
        <w:rPr>
          <w:lang w:val="en-US"/>
        </w:rPr>
        <w:t>(Butler, 2006</w:t>
      </w:r>
      <w:r w:rsidR="00AB204B">
        <w:rPr>
          <w:lang w:val="en-US"/>
        </w:rPr>
        <w:t>, p</w:t>
      </w:r>
      <w:r w:rsidR="00CC2C79">
        <w:rPr>
          <w:lang w:val="en-US"/>
        </w:rPr>
        <w:t>.</w:t>
      </w:r>
      <w:r w:rsidR="00AB204B">
        <w:rPr>
          <w:lang w:val="en-US"/>
        </w:rPr>
        <w:t>12-13)</w:t>
      </w:r>
    </w:p>
    <w:p w14:paraId="196995C0" w14:textId="45D25146" w:rsidR="008E369D" w:rsidRPr="00C5017E" w:rsidRDefault="009A49A4" w:rsidP="00A06785">
      <w:pPr>
        <w:rPr>
          <w:lang w:val="en-US"/>
        </w:rPr>
      </w:pPr>
      <w:r>
        <w:rPr>
          <w:lang w:val="en-US"/>
        </w:rPr>
        <w:t xml:space="preserve">It seems to suggest that men are seen as a </w:t>
      </w:r>
      <w:r w:rsidR="003368FF">
        <w:rPr>
          <w:lang w:val="en-US"/>
        </w:rPr>
        <w:t>whole,</w:t>
      </w:r>
      <w:r w:rsidR="009F1C86">
        <w:rPr>
          <w:lang w:val="en-US"/>
        </w:rPr>
        <w:t xml:space="preserve"> for more than just their sex. While women are often limited </w:t>
      </w:r>
      <w:r w:rsidR="001E74E4">
        <w:rPr>
          <w:lang w:val="en-US"/>
        </w:rPr>
        <w:t xml:space="preserve">to their sex and always in relation to. This is an argument </w:t>
      </w:r>
      <w:r w:rsidR="00E42292">
        <w:rPr>
          <w:lang w:val="en-US"/>
        </w:rPr>
        <w:t>that is</w:t>
      </w:r>
      <w:r w:rsidR="001E74E4">
        <w:rPr>
          <w:lang w:val="en-US"/>
        </w:rPr>
        <w:t xml:space="preserve"> well constructed by Beauvoir in many of her work</w:t>
      </w:r>
      <w:r w:rsidR="00AE5A0A">
        <w:rPr>
          <w:lang w:val="en-US"/>
        </w:rPr>
        <w:t xml:space="preserve"> and reinforces her theory.</w:t>
      </w:r>
      <w:r w:rsidR="00507C63">
        <w:rPr>
          <w:lang w:val="en-US"/>
        </w:rPr>
        <w:t xml:space="preserve"> In the </w:t>
      </w:r>
      <w:r w:rsidR="00D1517C">
        <w:rPr>
          <w:lang w:val="en-US"/>
        </w:rPr>
        <w:t>introduction of her book, ‘</w:t>
      </w:r>
      <w:r w:rsidR="00D1517C">
        <w:rPr>
          <w:i/>
          <w:iCs/>
          <w:lang w:val="en-US"/>
        </w:rPr>
        <w:t>The Second Sex’</w:t>
      </w:r>
      <w:r w:rsidR="00C5017E">
        <w:rPr>
          <w:i/>
          <w:iCs/>
          <w:lang w:val="en-US"/>
        </w:rPr>
        <w:t xml:space="preserve">, </w:t>
      </w:r>
      <w:r w:rsidR="00C5017E">
        <w:rPr>
          <w:lang w:val="en-US"/>
        </w:rPr>
        <w:t>Beauvoir states:</w:t>
      </w:r>
    </w:p>
    <w:p w14:paraId="330374BE" w14:textId="4515AE96" w:rsidR="008E369D" w:rsidRDefault="000457A8" w:rsidP="00EF0774">
      <w:pPr>
        <w:ind w:left="720"/>
        <w:rPr>
          <w:lang w:val="en-US"/>
        </w:rPr>
      </w:pPr>
      <w:r>
        <w:rPr>
          <w:lang w:val="en-US"/>
        </w:rPr>
        <w:t xml:space="preserve">Every individual concerned with justifying his existence </w:t>
      </w:r>
      <w:r w:rsidR="00EF0774">
        <w:rPr>
          <w:lang w:val="en-US"/>
        </w:rPr>
        <w:t xml:space="preserve">experiences his existence as an indefinite </w:t>
      </w:r>
      <w:r w:rsidR="0017282B">
        <w:rPr>
          <w:lang w:val="en-US"/>
        </w:rPr>
        <w:t xml:space="preserve">need to transcend himself. But what singularly defines the situation of woman is that </w:t>
      </w:r>
      <w:r w:rsidR="00876403">
        <w:rPr>
          <w:lang w:val="en-US"/>
        </w:rPr>
        <w:t xml:space="preserve">being, like all humans, an autonomous freedom, she discovers and chooses herself in a world where men force </w:t>
      </w:r>
      <w:r w:rsidR="00186481">
        <w:rPr>
          <w:lang w:val="en-US"/>
        </w:rPr>
        <w:t>her to assume herself as Other: an attempt is made to freeze</w:t>
      </w:r>
      <w:r w:rsidR="00A633FD">
        <w:rPr>
          <w:lang w:val="en-US"/>
        </w:rPr>
        <w:t xml:space="preserve"> her as an object and doom her to immanence, since her transcendence </w:t>
      </w:r>
      <w:r w:rsidR="00A55F53">
        <w:rPr>
          <w:lang w:val="en-US"/>
        </w:rPr>
        <w:t xml:space="preserve">will forever be transcended by another essential </w:t>
      </w:r>
      <w:r w:rsidR="00185308">
        <w:rPr>
          <w:lang w:val="en-US"/>
        </w:rPr>
        <w:t xml:space="preserve">and sovereign consciousness. </w:t>
      </w:r>
      <w:r w:rsidR="00185308">
        <w:rPr>
          <w:lang w:val="en-US"/>
        </w:rPr>
        <w:lastRenderedPageBreak/>
        <w:t>Woman’s drama lies in th</w:t>
      </w:r>
      <w:r w:rsidR="00736915">
        <w:rPr>
          <w:lang w:val="en-US"/>
        </w:rPr>
        <w:t>is conflict between the fundamental claim of every subject, which always</w:t>
      </w:r>
      <w:r w:rsidR="008D5630">
        <w:rPr>
          <w:lang w:val="en-US"/>
        </w:rPr>
        <w:t xml:space="preserve"> posits itself as essential, and the demands of a situation </w:t>
      </w:r>
      <w:r w:rsidR="00955653">
        <w:rPr>
          <w:lang w:val="en-US"/>
        </w:rPr>
        <w:t>that constitutes her as inessential.</w:t>
      </w:r>
    </w:p>
    <w:p w14:paraId="40D48613" w14:textId="4380168E" w:rsidR="00FA129C" w:rsidRDefault="0022299D" w:rsidP="00FA129C">
      <w:pPr>
        <w:ind w:left="720"/>
        <w:jc w:val="right"/>
        <w:rPr>
          <w:lang w:val="en-US"/>
        </w:rPr>
      </w:pPr>
      <w:r>
        <w:rPr>
          <w:lang w:val="en-US"/>
        </w:rPr>
        <w:t xml:space="preserve">(Beauvoir, </w:t>
      </w:r>
      <w:r w:rsidR="000604AF">
        <w:rPr>
          <w:lang w:val="en-US"/>
        </w:rPr>
        <w:t>2</w:t>
      </w:r>
      <w:r w:rsidR="00507C63">
        <w:rPr>
          <w:lang w:val="en-US"/>
        </w:rPr>
        <w:t>011, p</w:t>
      </w:r>
      <w:r w:rsidR="00CC2C79">
        <w:rPr>
          <w:lang w:val="en-US"/>
        </w:rPr>
        <w:t>.</w:t>
      </w:r>
      <w:r w:rsidR="00507C63">
        <w:rPr>
          <w:lang w:val="en-US"/>
        </w:rPr>
        <w:t>17)</w:t>
      </w:r>
    </w:p>
    <w:p w14:paraId="13FBBDC1" w14:textId="419124A0" w:rsidR="000043B7" w:rsidRDefault="0090390A" w:rsidP="00A06785">
      <w:pPr>
        <w:rPr>
          <w:lang w:val="en-US"/>
        </w:rPr>
      </w:pPr>
      <w:r>
        <w:rPr>
          <w:lang w:val="en-US"/>
        </w:rPr>
        <w:t xml:space="preserve">Butler’s </w:t>
      </w:r>
      <w:r w:rsidR="006D613E">
        <w:rPr>
          <w:lang w:val="en-US"/>
        </w:rPr>
        <w:t>theory</w:t>
      </w:r>
      <w:r>
        <w:rPr>
          <w:lang w:val="en-US"/>
        </w:rPr>
        <w:t xml:space="preserve"> is crafted with ideologies stemming from Beauvoir</w:t>
      </w:r>
      <w:r w:rsidR="006D613E">
        <w:rPr>
          <w:lang w:val="en-US"/>
        </w:rPr>
        <w:t>’s quote, legitimizing it in the process</w:t>
      </w:r>
      <w:r w:rsidR="002E2023">
        <w:rPr>
          <w:lang w:val="en-US"/>
        </w:rPr>
        <w:t>. They question “women as the subject of feminism</w:t>
      </w:r>
      <w:r w:rsidR="00AC7D1B">
        <w:rPr>
          <w:lang w:val="en-US"/>
        </w:rPr>
        <w:t>” and how they are represented in the law</w:t>
      </w:r>
      <w:r w:rsidR="000218D6">
        <w:rPr>
          <w:lang w:val="en-US"/>
        </w:rPr>
        <w:t>.</w:t>
      </w:r>
    </w:p>
    <w:p w14:paraId="5F6942E9" w14:textId="0944B63D" w:rsidR="000218D6" w:rsidRDefault="004D02A7" w:rsidP="00870C6C">
      <w:pPr>
        <w:ind w:left="720"/>
        <w:rPr>
          <w:lang w:val="en-US"/>
        </w:rPr>
      </w:pPr>
      <w:r>
        <w:rPr>
          <w:lang w:val="en-US"/>
        </w:rPr>
        <w:t xml:space="preserve">Indeed, the question of women as the subject of feminism </w:t>
      </w:r>
      <w:r w:rsidR="00870C6C">
        <w:rPr>
          <w:lang w:val="en-US"/>
        </w:rPr>
        <w:t xml:space="preserve">raises the possibility that there may not be a subject </w:t>
      </w:r>
      <w:r w:rsidR="00443AD5">
        <w:rPr>
          <w:lang w:val="en-US"/>
        </w:rPr>
        <w:t>who stands “before” the law, awaiting representation in or by the law</w:t>
      </w:r>
      <w:r w:rsidR="007B5EDD">
        <w:rPr>
          <w:lang w:val="en-US"/>
        </w:rPr>
        <w:t>. Perhaps the subject, as well as the invocation of a temporal “before</w:t>
      </w:r>
      <w:r w:rsidR="00781766">
        <w:rPr>
          <w:lang w:val="en-US"/>
        </w:rPr>
        <w:t>,</w:t>
      </w:r>
      <w:r w:rsidR="007B5EDD">
        <w:rPr>
          <w:lang w:val="en-US"/>
        </w:rPr>
        <w:t>”</w:t>
      </w:r>
      <w:r w:rsidR="00781766">
        <w:rPr>
          <w:lang w:val="en-US"/>
        </w:rPr>
        <w:t xml:space="preserve"> is constituted by the law as the fictive foundation of its</w:t>
      </w:r>
      <w:r w:rsidR="001D02F6">
        <w:rPr>
          <w:lang w:val="en-US"/>
        </w:rPr>
        <w:t xml:space="preserve"> own claim to legitimacy.</w:t>
      </w:r>
    </w:p>
    <w:p w14:paraId="755F87CE" w14:textId="7D9E0D54" w:rsidR="00CC1B04" w:rsidRDefault="00C83321" w:rsidP="00CC1B04">
      <w:pPr>
        <w:ind w:left="720"/>
        <w:jc w:val="right"/>
        <w:rPr>
          <w:lang w:val="en-US"/>
        </w:rPr>
      </w:pPr>
      <w:r>
        <w:rPr>
          <w:lang w:val="en-US"/>
        </w:rPr>
        <w:t>(Butler, 2006, p</w:t>
      </w:r>
      <w:r w:rsidR="00CC2C79">
        <w:rPr>
          <w:lang w:val="en-US"/>
        </w:rPr>
        <w:t>.</w:t>
      </w:r>
      <w:r>
        <w:rPr>
          <w:lang w:val="en-US"/>
        </w:rPr>
        <w:t>4)</w:t>
      </w:r>
    </w:p>
    <w:p w14:paraId="600588B6" w14:textId="6E6FB01A" w:rsidR="00092CD2" w:rsidRDefault="004C376F" w:rsidP="009A37E3">
      <w:pPr>
        <w:rPr>
          <w:lang w:val="en-US"/>
        </w:rPr>
      </w:pPr>
      <w:r>
        <w:rPr>
          <w:lang w:val="en-US"/>
        </w:rPr>
        <w:t>While Butler has been influenced positiv</w:t>
      </w:r>
      <w:r w:rsidR="00C476E2">
        <w:rPr>
          <w:lang w:val="en-US"/>
        </w:rPr>
        <w:t>ely by Beauvoir’s work,</w:t>
      </w:r>
      <w:r w:rsidR="009543D5">
        <w:rPr>
          <w:lang w:val="en-US"/>
        </w:rPr>
        <w:t xml:space="preserve"> t</w:t>
      </w:r>
      <w:r w:rsidR="00C476E2">
        <w:rPr>
          <w:lang w:val="en-US"/>
        </w:rPr>
        <w:t>hey (Butler)</w:t>
      </w:r>
      <w:r w:rsidR="009543D5">
        <w:rPr>
          <w:lang w:val="en-US"/>
        </w:rPr>
        <w:t xml:space="preserve"> </w:t>
      </w:r>
      <w:r w:rsidR="008F619F">
        <w:rPr>
          <w:lang w:val="en-US"/>
        </w:rPr>
        <w:t>point</w:t>
      </w:r>
      <w:r w:rsidR="009543D5">
        <w:rPr>
          <w:lang w:val="en-US"/>
        </w:rPr>
        <w:t xml:space="preserve"> out that there are theorists who do</w:t>
      </w:r>
      <w:r w:rsidR="007E0CD7">
        <w:rPr>
          <w:lang w:val="en-US"/>
        </w:rPr>
        <w:t xml:space="preserve"> </w:t>
      </w:r>
      <w:r w:rsidR="009543D5">
        <w:rPr>
          <w:lang w:val="en-US"/>
        </w:rPr>
        <w:t>n</w:t>
      </w:r>
      <w:r w:rsidR="007E0CD7">
        <w:rPr>
          <w:lang w:val="en-US"/>
        </w:rPr>
        <w:t>ot</w:t>
      </w:r>
      <w:r w:rsidR="009543D5">
        <w:rPr>
          <w:lang w:val="en-US"/>
        </w:rPr>
        <w:t xml:space="preserve"> share the same </w:t>
      </w:r>
      <w:r w:rsidR="007E0CD7">
        <w:rPr>
          <w:lang w:val="en-US"/>
        </w:rPr>
        <w:t xml:space="preserve">value of Beauvoir’s </w:t>
      </w:r>
      <w:r w:rsidR="006E1721">
        <w:rPr>
          <w:lang w:val="en-US"/>
        </w:rPr>
        <w:t>quote surrounding the gender/sex conversation</w:t>
      </w:r>
      <w:r w:rsidR="008F619F">
        <w:rPr>
          <w:lang w:val="en-US"/>
        </w:rPr>
        <w:t xml:space="preserve">. Butler highlights Irigaray who does not </w:t>
      </w:r>
      <w:r w:rsidR="007F3100">
        <w:rPr>
          <w:lang w:val="en-US"/>
        </w:rPr>
        <w:t>support Beauvoir’s outlook of the theory of sex and Other:</w:t>
      </w:r>
    </w:p>
    <w:p w14:paraId="541DD6D4" w14:textId="3B230922" w:rsidR="00EC355E" w:rsidRDefault="00EC355E" w:rsidP="002047EB">
      <w:pPr>
        <w:ind w:left="720"/>
        <w:rPr>
          <w:lang w:val="en-US"/>
        </w:rPr>
      </w:pPr>
      <w:r>
        <w:rPr>
          <w:lang w:val="en-US"/>
        </w:rPr>
        <w:t>Both the subject and the Other are masculine mainstays of a closed phallogo</w:t>
      </w:r>
      <w:r w:rsidR="004F196A">
        <w:rPr>
          <w:lang w:val="en-US"/>
        </w:rPr>
        <w:t>centric signifying economy that achieves its totalizing goal through the exclusion of the feminine altogether.</w:t>
      </w:r>
    </w:p>
    <w:p w14:paraId="30D866C2" w14:textId="16EEA596" w:rsidR="00A67DC3" w:rsidRDefault="00BD48BD" w:rsidP="006B1A15">
      <w:pPr>
        <w:jc w:val="right"/>
        <w:rPr>
          <w:lang w:val="en-US"/>
        </w:rPr>
      </w:pPr>
      <w:r>
        <w:rPr>
          <w:lang w:val="en-US"/>
        </w:rPr>
        <w:t>(Butler, 2006</w:t>
      </w:r>
      <w:r w:rsidR="00CC1B04">
        <w:rPr>
          <w:lang w:val="en-US"/>
        </w:rPr>
        <w:t>, p</w:t>
      </w:r>
      <w:r w:rsidR="00CC2C79">
        <w:rPr>
          <w:lang w:val="en-US"/>
        </w:rPr>
        <w:t>.</w:t>
      </w:r>
      <w:r w:rsidR="00CC1B04">
        <w:rPr>
          <w:lang w:val="en-US"/>
        </w:rPr>
        <w:t>13)</w:t>
      </w:r>
    </w:p>
    <w:p w14:paraId="22724572" w14:textId="77777777" w:rsidR="000627AC" w:rsidRDefault="000627AC" w:rsidP="000627AC">
      <w:pPr>
        <w:rPr>
          <w:lang w:val="en-US"/>
        </w:rPr>
      </w:pPr>
    </w:p>
    <w:p w14:paraId="092EEFBD" w14:textId="5B367F1C" w:rsidR="000F22A4" w:rsidRDefault="00245F24" w:rsidP="000F22A4">
      <w:pPr>
        <w:rPr>
          <w:lang w:val="en-US"/>
        </w:rPr>
      </w:pPr>
      <w:r>
        <w:rPr>
          <w:lang w:val="en-US"/>
        </w:rPr>
        <w:t>Whereas</w:t>
      </w:r>
      <w:r w:rsidR="000F22A4">
        <w:rPr>
          <w:lang w:val="en-US"/>
        </w:rPr>
        <w:t xml:space="preserve"> Beauvoir</w:t>
      </w:r>
      <w:r w:rsidR="007D3D00">
        <w:rPr>
          <w:lang w:val="en-US"/>
        </w:rPr>
        <w:t xml:space="preserve"> claims that “women are the negative of men, the lack against which masculine identity </w:t>
      </w:r>
      <w:r w:rsidR="00A75D66">
        <w:rPr>
          <w:lang w:val="en-US"/>
        </w:rPr>
        <w:t>differentiates itself</w:t>
      </w:r>
      <w:r w:rsidR="00A84E41">
        <w:rPr>
          <w:lang w:val="en-US"/>
        </w:rPr>
        <w:t>” Irigaray opposes this claim and is of the opinion that women are a “paradox</w:t>
      </w:r>
      <w:r w:rsidR="00AB4158">
        <w:rPr>
          <w:lang w:val="en-US"/>
        </w:rPr>
        <w:t>,”</w:t>
      </w:r>
      <w:r w:rsidR="00200B15">
        <w:rPr>
          <w:lang w:val="en-US"/>
        </w:rPr>
        <w:t xml:space="preserve"> a “contradiction, within the discourse of identity</w:t>
      </w:r>
      <w:r w:rsidR="00C36576">
        <w:rPr>
          <w:lang w:val="en-US"/>
        </w:rPr>
        <w:t>…” (Butler,</w:t>
      </w:r>
      <w:r w:rsidR="008B59F2">
        <w:rPr>
          <w:lang w:val="en-US"/>
        </w:rPr>
        <w:t xml:space="preserve"> </w:t>
      </w:r>
      <w:r w:rsidR="00322363">
        <w:rPr>
          <w:lang w:val="en-US"/>
        </w:rPr>
        <w:t>2006</w:t>
      </w:r>
      <w:r w:rsidR="007E3907">
        <w:rPr>
          <w:lang w:val="en-US"/>
        </w:rPr>
        <w:t>,</w:t>
      </w:r>
      <w:r w:rsidR="00A67DC3">
        <w:rPr>
          <w:lang w:val="en-US"/>
        </w:rPr>
        <w:t xml:space="preserve"> </w:t>
      </w:r>
      <w:r w:rsidR="00322363">
        <w:rPr>
          <w:lang w:val="en-US"/>
        </w:rPr>
        <w:t>p</w:t>
      </w:r>
      <w:r w:rsidR="00CC2C79">
        <w:rPr>
          <w:lang w:val="en-US"/>
        </w:rPr>
        <w:t>.</w:t>
      </w:r>
      <w:r w:rsidR="00781036">
        <w:rPr>
          <w:lang w:val="en-US"/>
        </w:rPr>
        <w:t>13)</w:t>
      </w:r>
    </w:p>
    <w:p w14:paraId="2B63BF51" w14:textId="0960F3EF" w:rsidR="003E42E1" w:rsidRDefault="009A37E3" w:rsidP="000F22A4">
      <w:pPr>
        <w:rPr>
          <w:lang w:val="en-US"/>
        </w:rPr>
      </w:pPr>
      <w:r>
        <w:rPr>
          <w:lang w:val="en-US"/>
        </w:rPr>
        <w:tab/>
      </w:r>
      <w:r w:rsidR="00443554">
        <w:rPr>
          <w:lang w:val="en-US"/>
        </w:rPr>
        <w:t xml:space="preserve">Luce Irigaray is a French philosopher and feminist who </w:t>
      </w:r>
      <w:r w:rsidR="000500EB">
        <w:rPr>
          <w:lang w:val="en-US"/>
        </w:rPr>
        <w:t xml:space="preserve">centers her theory around </w:t>
      </w:r>
      <w:r w:rsidR="006273D9">
        <w:rPr>
          <w:lang w:val="en-US"/>
        </w:rPr>
        <w:t xml:space="preserve">phallocentric </w:t>
      </w:r>
      <w:r w:rsidR="00D76189">
        <w:rPr>
          <w:lang w:val="en-US"/>
        </w:rPr>
        <w:t>ideology</w:t>
      </w:r>
      <w:r w:rsidR="002B5755">
        <w:rPr>
          <w:lang w:val="en-US"/>
        </w:rPr>
        <w:t>.</w:t>
      </w:r>
      <w:r w:rsidR="00DC7C68">
        <w:rPr>
          <w:lang w:val="en-US"/>
        </w:rPr>
        <w:t xml:space="preserve"> </w:t>
      </w:r>
      <w:r w:rsidR="000D57F5">
        <w:rPr>
          <w:lang w:val="en-US"/>
        </w:rPr>
        <w:t>Her theory is a stark contrast to Simone</w:t>
      </w:r>
      <w:r w:rsidR="00FE454E">
        <w:rPr>
          <w:lang w:val="en-US"/>
        </w:rPr>
        <w:t xml:space="preserve"> </w:t>
      </w:r>
      <w:r w:rsidR="000D57F5">
        <w:rPr>
          <w:lang w:val="en-US"/>
        </w:rPr>
        <w:t>de Beauvoir’s</w:t>
      </w:r>
      <w:r w:rsidR="00FE454E">
        <w:rPr>
          <w:lang w:val="en-US"/>
        </w:rPr>
        <w:t>,</w:t>
      </w:r>
      <w:r w:rsidR="003C23B5">
        <w:rPr>
          <w:lang w:val="en-US"/>
        </w:rPr>
        <w:t xml:space="preserve"> as both are seen by some feminists are author’s as opposing</w:t>
      </w:r>
      <w:r w:rsidR="00FE454E">
        <w:rPr>
          <w:lang w:val="en-US"/>
        </w:rPr>
        <w:t>. While Irigaray praises the work of Beauvoir</w:t>
      </w:r>
      <w:r w:rsidR="004F6D1A">
        <w:rPr>
          <w:lang w:val="en-US"/>
        </w:rPr>
        <w:t xml:space="preserve"> she has equally expressed a marginal amount of criticism towards her work. </w:t>
      </w:r>
      <w:r w:rsidR="000B3F91">
        <w:rPr>
          <w:lang w:val="en-US"/>
        </w:rPr>
        <w:t xml:space="preserve">She believes that Beauvoir’s work </w:t>
      </w:r>
      <w:r w:rsidR="00865BC1">
        <w:rPr>
          <w:lang w:val="en-US"/>
        </w:rPr>
        <w:t>has “resistance to psychoanalysis that uniquely</w:t>
      </w:r>
      <w:r w:rsidR="002044EB">
        <w:rPr>
          <w:lang w:val="en-US"/>
        </w:rPr>
        <w:t xml:space="preserve"> theorizes identity as sexual” (Parker and Leeuwen)</w:t>
      </w:r>
      <w:r w:rsidR="00155EF8">
        <w:rPr>
          <w:lang w:val="en-US"/>
        </w:rPr>
        <w:t>.</w:t>
      </w:r>
      <w:r w:rsidR="00214C56">
        <w:rPr>
          <w:lang w:val="en-US"/>
        </w:rPr>
        <w:t xml:space="preserve"> Her criticism </w:t>
      </w:r>
      <w:r w:rsidR="00B35D6B">
        <w:rPr>
          <w:lang w:val="en-US"/>
        </w:rPr>
        <w:t>extend</w:t>
      </w:r>
      <w:r w:rsidR="00F35911">
        <w:rPr>
          <w:lang w:val="en-US"/>
        </w:rPr>
        <w:t>s</w:t>
      </w:r>
      <w:r w:rsidR="0078527B">
        <w:rPr>
          <w:lang w:val="en-US"/>
        </w:rPr>
        <w:t xml:space="preserve"> to </w:t>
      </w:r>
      <w:r w:rsidR="00B259F2">
        <w:rPr>
          <w:lang w:val="en-US"/>
        </w:rPr>
        <w:t>Beauvoir’s quote</w:t>
      </w:r>
      <w:r w:rsidR="00F35911">
        <w:rPr>
          <w:lang w:val="en-US"/>
        </w:rPr>
        <w:t xml:space="preserve"> which many have employed as the basis of their theory and to some extent used as an argument </w:t>
      </w:r>
      <w:r w:rsidR="006B39EC">
        <w:rPr>
          <w:lang w:val="en-US"/>
        </w:rPr>
        <w:lastRenderedPageBreak/>
        <w:t>opposing</w:t>
      </w:r>
      <w:r w:rsidR="00F35911">
        <w:rPr>
          <w:lang w:val="en-US"/>
        </w:rPr>
        <w:t xml:space="preserve"> Beauvoir’s own views of femi</w:t>
      </w:r>
      <w:r w:rsidR="006B39EC">
        <w:rPr>
          <w:lang w:val="en-US"/>
        </w:rPr>
        <w:t>ninity and gender identity.</w:t>
      </w:r>
      <w:r w:rsidR="003E42E1">
        <w:rPr>
          <w:lang w:val="en-US"/>
        </w:rPr>
        <w:t xml:space="preserve"> </w:t>
      </w:r>
      <w:r w:rsidR="00E428A7">
        <w:rPr>
          <w:lang w:val="en-US"/>
        </w:rPr>
        <w:t>Parker and Leeuwen’s work highlight the criticisms made by Irigaray:</w:t>
      </w:r>
      <w:r w:rsidR="00155EF8">
        <w:rPr>
          <w:lang w:val="en-US"/>
        </w:rPr>
        <w:t xml:space="preserve"> </w:t>
      </w:r>
    </w:p>
    <w:p w14:paraId="615E96A5" w14:textId="45634A6B" w:rsidR="009A37E3" w:rsidRDefault="003E42E1" w:rsidP="00006E8B">
      <w:pPr>
        <w:ind w:left="720"/>
        <w:rPr>
          <w:lang w:val="en-US"/>
        </w:rPr>
      </w:pPr>
      <w:r>
        <w:rPr>
          <w:lang w:val="en-US"/>
        </w:rPr>
        <w:t>In “Y</w:t>
      </w:r>
      <w:r w:rsidR="007A4384">
        <w:rPr>
          <w:lang w:val="en-US"/>
        </w:rPr>
        <w:t>ou Who Will Never Be Mine,” Irigaray is more</w:t>
      </w:r>
      <w:r w:rsidR="00006E8B">
        <w:rPr>
          <w:lang w:val="en-US"/>
        </w:rPr>
        <w:t xml:space="preserve"> pointedly critical of Beauvoir’</w:t>
      </w:r>
      <w:r w:rsidR="00712FCF">
        <w:rPr>
          <w:lang w:val="en-US"/>
        </w:rPr>
        <w:t xml:space="preserve"> There she writes: It’s not as Simone de Beauvoir said: one is not born, but rather becomes, </w:t>
      </w:r>
      <w:r w:rsidR="00306DA3">
        <w:rPr>
          <w:lang w:val="en-US"/>
        </w:rPr>
        <w:t>a woman (through culture), but rather: I am born a woman</w:t>
      </w:r>
      <w:r w:rsidR="00AF2816">
        <w:rPr>
          <w:lang w:val="en-US"/>
        </w:rPr>
        <w:t>, but I must still become this woman that I am by nature. In Irigaray</w:t>
      </w:r>
      <w:r w:rsidR="0090135F">
        <w:rPr>
          <w:lang w:val="en-US"/>
        </w:rPr>
        <w:t xml:space="preserve">’s view, what is primary is that for Beauvoir there was something that it was </w:t>
      </w:r>
      <w:r w:rsidR="009174E4">
        <w:rPr>
          <w:lang w:val="en-US"/>
        </w:rPr>
        <w:t>possible for “for female” to become. For Irigaray, in contrast, there is simply nothing there to become</w:t>
      </w:r>
      <w:r w:rsidR="00A56920">
        <w:rPr>
          <w:lang w:val="en-US"/>
        </w:rPr>
        <w:t>.</w:t>
      </w:r>
    </w:p>
    <w:p w14:paraId="0A02A9C6" w14:textId="4FDBDC26" w:rsidR="00F94584" w:rsidRDefault="00AC40AF" w:rsidP="00876817">
      <w:pPr>
        <w:jc w:val="right"/>
        <w:rPr>
          <w:lang w:val="en-US"/>
        </w:rPr>
      </w:pPr>
      <w:r>
        <w:rPr>
          <w:lang w:val="en-US"/>
        </w:rPr>
        <w:t>(Parker and Leeuwen, 2017, p</w:t>
      </w:r>
      <w:r w:rsidR="00CC2C79">
        <w:rPr>
          <w:lang w:val="en-US"/>
        </w:rPr>
        <w:t>.</w:t>
      </w:r>
      <w:r>
        <w:rPr>
          <w:lang w:val="en-US"/>
        </w:rPr>
        <w:t>5)</w:t>
      </w:r>
    </w:p>
    <w:p w14:paraId="093ED643" w14:textId="77777777" w:rsidR="0044541C" w:rsidRDefault="0044541C" w:rsidP="0044541C">
      <w:pPr>
        <w:rPr>
          <w:lang w:val="en-US"/>
        </w:rPr>
      </w:pPr>
    </w:p>
    <w:p w14:paraId="0416DA82" w14:textId="395D4EF1" w:rsidR="00A660C1" w:rsidRDefault="00F7062D" w:rsidP="0025247A">
      <w:pPr>
        <w:rPr>
          <w:lang w:val="en-US"/>
        </w:rPr>
      </w:pPr>
      <w:r>
        <w:rPr>
          <w:lang w:val="en-US"/>
        </w:rPr>
        <w:t xml:space="preserve">She does not believe that there is or should be a differentiation between men and </w:t>
      </w:r>
      <w:r w:rsidR="000F4192">
        <w:rPr>
          <w:lang w:val="en-US"/>
        </w:rPr>
        <w:t xml:space="preserve">women, male </w:t>
      </w:r>
      <w:r w:rsidR="00FC1971">
        <w:rPr>
          <w:lang w:val="en-US"/>
        </w:rPr>
        <w:t>or</w:t>
      </w:r>
      <w:r w:rsidR="000F4192">
        <w:rPr>
          <w:lang w:val="en-US"/>
        </w:rPr>
        <w:t xml:space="preserve"> female</w:t>
      </w:r>
      <w:r w:rsidR="0024347B">
        <w:rPr>
          <w:lang w:val="en-US"/>
        </w:rPr>
        <w:t xml:space="preserve"> as gender identity</w:t>
      </w:r>
      <w:r w:rsidR="000F4192">
        <w:rPr>
          <w:lang w:val="en-US"/>
        </w:rPr>
        <w:t xml:space="preserve">. </w:t>
      </w:r>
      <w:r w:rsidR="0025247A">
        <w:rPr>
          <w:lang w:val="en-US"/>
        </w:rPr>
        <w:t xml:space="preserve">Irigaray’s theory is a complete </w:t>
      </w:r>
      <w:r w:rsidR="007770FB">
        <w:rPr>
          <w:lang w:val="en-US"/>
        </w:rPr>
        <w:t>inverse</w:t>
      </w:r>
      <w:r w:rsidR="0025247A">
        <w:rPr>
          <w:lang w:val="en-US"/>
        </w:rPr>
        <w:t xml:space="preserve"> of the theory in </w:t>
      </w:r>
      <w:r w:rsidR="001C14DB">
        <w:rPr>
          <w:lang w:val="en-US"/>
        </w:rPr>
        <w:t xml:space="preserve">which Beauvoir presents as a feminist. While they are both integral in the feminist </w:t>
      </w:r>
      <w:r w:rsidR="000B7B8C">
        <w:rPr>
          <w:lang w:val="en-US"/>
        </w:rPr>
        <w:t>undertaking</w:t>
      </w:r>
      <w:r w:rsidR="00066A61">
        <w:rPr>
          <w:lang w:val="en-US"/>
        </w:rPr>
        <w:t>,</w:t>
      </w:r>
      <w:r w:rsidR="00A424D3">
        <w:rPr>
          <w:lang w:val="en-US"/>
        </w:rPr>
        <w:t xml:space="preserve"> the</w:t>
      </w:r>
      <w:r w:rsidR="00066A61">
        <w:rPr>
          <w:lang w:val="en-US"/>
        </w:rPr>
        <w:t>y both</w:t>
      </w:r>
      <w:r w:rsidR="00A424D3">
        <w:rPr>
          <w:lang w:val="en-US"/>
        </w:rPr>
        <w:t xml:space="preserve"> </w:t>
      </w:r>
      <w:r w:rsidR="00066A61">
        <w:rPr>
          <w:lang w:val="en-US"/>
        </w:rPr>
        <w:t>present</w:t>
      </w:r>
      <w:r w:rsidR="00A424D3">
        <w:rPr>
          <w:lang w:val="en-US"/>
        </w:rPr>
        <w:t xml:space="preserve"> contrasting outlook in which other feminists can base their ideas</w:t>
      </w:r>
      <w:r w:rsidR="00066A61">
        <w:rPr>
          <w:lang w:val="en-US"/>
        </w:rPr>
        <w:t>. Their position</w:t>
      </w:r>
      <w:r w:rsidR="006B4E51">
        <w:rPr>
          <w:lang w:val="en-US"/>
        </w:rPr>
        <w:t xml:space="preserve">s on what constitutes a woman </w:t>
      </w:r>
      <w:r w:rsidR="002015C2">
        <w:rPr>
          <w:lang w:val="en-US"/>
        </w:rPr>
        <w:t xml:space="preserve">and gender identity. </w:t>
      </w:r>
      <w:r w:rsidR="0075267D">
        <w:rPr>
          <w:lang w:val="en-US"/>
        </w:rPr>
        <w:t>Although</w:t>
      </w:r>
      <w:r w:rsidR="00B63A3A">
        <w:rPr>
          <w:lang w:val="en-US"/>
        </w:rPr>
        <w:t xml:space="preserve"> Beauvoir sees </w:t>
      </w:r>
      <w:r w:rsidR="00F035B4">
        <w:rPr>
          <w:lang w:val="en-US"/>
        </w:rPr>
        <w:t xml:space="preserve">women as more than the sexed female, Irigaray </w:t>
      </w:r>
    </w:p>
    <w:p w14:paraId="47BD0255" w14:textId="248BFF98" w:rsidR="0025247A" w:rsidRDefault="00A660C1" w:rsidP="00A660C1">
      <w:pPr>
        <w:ind w:left="720"/>
        <w:rPr>
          <w:lang w:val="en-US"/>
        </w:rPr>
      </w:pPr>
      <w:r>
        <w:rPr>
          <w:lang w:val="en-US"/>
        </w:rPr>
        <w:t>…</w:t>
      </w:r>
      <w:r w:rsidR="003C3418">
        <w:rPr>
          <w:lang w:val="en-US"/>
        </w:rPr>
        <w:t xml:space="preserve">demonstrates that the female body is nothing at all: </w:t>
      </w:r>
      <w:r w:rsidR="000A7EC7">
        <w:rPr>
          <w:lang w:val="en-US"/>
        </w:rPr>
        <w:t xml:space="preserve">It is in fact unrepresentable within a masculine signifying economy that produces only that which </w:t>
      </w:r>
      <w:r w:rsidR="005B5AA4">
        <w:rPr>
          <w:lang w:val="en-US"/>
        </w:rPr>
        <w:t>fails to be “the male body.”</w:t>
      </w:r>
    </w:p>
    <w:p w14:paraId="73D79BF7" w14:textId="495015FE" w:rsidR="00C70C4C" w:rsidRDefault="00C70C4C" w:rsidP="00C70C4C">
      <w:pPr>
        <w:ind w:left="720"/>
        <w:jc w:val="right"/>
        <w:rPr>
          <w:lang w:val="en-US"/>
        </w:rPr>
      </w:pPr>
      <w:r>
        <w:rPr>
          <w:lang w:val="en-US"/>
        </w:rPr>
        <w:t>(Parker and Lee</w:t>
      </w:r>
      <w:r w:rsidR="00D32EA4">
        <w:rPr>
          <w:lang w:val="en-US"/>
        </w:rPr>
        <w:t xml:space="preserve">uwen, </w:t>
      </w:r>
      <w:r w:rsidR="00CD4546">
        <w:rPr>
          <w:lang w:val="en-US"/>
        </w:rPr>
        <w:t>2017</w:t>
      </w:r>
      <w:r w:rsidR="005C1D62">
        <w:rPr>
          <w:lang w:val="en-US"/>
        </w:rPr>
        <w:t>, p</w:t>
      </w:r>
      <w:r w:rsidR="003B20D1">
        <w:rPr>
          <w:lang w:val="en-US"/>
        </w:rPr>
        <w:t>.</w:t>
      </w:r>
      <w:r w:rsidR="00990BBD">
        <w:rPr>
          <w:lang w:val="en-US"/>
        </w:rPr>
        <w:t>7)</w:t>
      </w:r>
    </w:p>
    <w:p w14:paraId="020F98E5" w14:textId="32ED68E2" w:rsidR="00C84900" w:rsidRDefault="00C84900" w:rsidP="00C84900">
      <w:pPr>
        <w:rPr>
          <w:lang w:val="en-US"/>
        </w:rPr>
      </w:pPr>
      <w:r>
        <w:rPr>
          <w:lang w:val="en-US"/>
        </w:rPr>
        <w:t>Parker and Leeuwen further emphasizes that</w:t>
      </w:r>
      <w:r w:rsidR="00340F51">
        <w:rPr>
          <w:lang w:val="en-US"/>
        </w:rPr>
        <w:t xml:space="preserve"> </w:t>
      </w:r>
      <w:r w:rsidR="0041536B">
        <w:rPr>
          <w:lang w:val="en-US"/>
        </w:rPr>
        <w:t>“Beauvoir articulates the feminine</w:t>
      </w:r>
      <w:r w:rsidR="00A343BF">
        <w:rPr>
          <w:lang w:val="en-US"/>
        </w:rPr>
        <w:t>-as-that-which-is-marked</w:t>
      </w:r>
      <w:r w:rsidR="00581BD1">
        <w:rPr>
          <w:lang w:val="en-US"/>
        </w:rPr>
        <w:t xml:space="preserve">” while </w:t>
      </w:r>
      <w:r w:rsidR="00945599">
        <w:rPr>
          <w:lang w:val="en-US"/>
        </w:rPr>
        <w:t>“Irigaray articulates the feminine that-which-is</w:t>
      </w:r>
      <w:r w:rsidR="003828F7">
        <w:rPr>
          <w:lang w:val="en-US"/>
        </w:rPr>
        <w:t xml:space="preserve">-unmarked.” </w:t>
      </w:r>
      <w:r w:rsidR="007E7CF3">
        <w:rPr>
          <w:lang w:val="en-US"/>
        </w:rPr>
        <w:t xml:space="preserve">These claims are also highlighted by Judith Butler in their book, </w:t>
      </w:r>
      <w:r w:rsidR="00E13B01">
        <w:rPr>
          <w:lang w:val="en-US"/>
        </w:rPr>
        <w:t>‘</w:t>
      </w:r>
      <w:r w:rsidR="00E13B01">
        <w:rPr>
          <w:i/>
          <w:iCs/>
          <w:lang w:val="en-US"/>
        </w:rPr>
        <w:t>Gender Trouble: Feminism and the Subversion of Identity</w:t>
      </w:r>
      <w:r w:rsidR="00911BDF">
        <w:rPr>
          <w:i/>
          <w:iCs/>
          <w:lang w:val="en-US"/>
        </w:rPr>
        <w:t xml:space="preserve">’ </w:t>
      </w:r>
      <w:r w:rsidR="004709B2">
        <w:rPr>
          <w:lang w:val="en-US"/>
        </w:rPr>
        <w:t>They state:</w:t>
      </w:r>
    </w:p>
    <w:p w14:paraId="44FACCCA" w14:textId="16FBCC77" w:rsidR="004709B2" w:rsidRDefault="00F40704" w:rsidP="003020CF">
      <w:pPr>
        <w:ind w:left="720"/>
        <w:rPr>
          <w:lang w:val="en-US"/>
        </w:rPr>
      </w:pPr>
      <w:r>
        <w:rPr>
          <w:lang w:val="en-US"/>
        </w:rPr>
        <w:t>For Irigaray, the female sex is not a “lack” or an “Other</w:t>
      </w:r>
      <w:r w:rsidR="004A19E6">
        <w:rPr>
          <w:lang w:val="en-US"/>
        </w:rPr>
        <w:t>” that immanently and negatively defines the subject in masculinity. On the contrary, the female se</w:t>
      </w:r>
      <w:r w:rsidR="003020CF">
        <w:rPr>
          <w:lang w:val="en-US"/>
        </w:rPr>
        <w:t>x eludes the very requirements of representation</w:t>
      </w:r>
      <w:r w:rsidR="00024E43">
        <w:rPr>
          <w:lang w:val="en-US"/>
        </w:rPr>
        <w:t xml:space="preserve">, for she is neither “Other” nor the “lack,” those categories </w:t>
      </w:r>
      <w:r w:rsidR="009B4E22">
        <w:rPr>
          <w:lang w:val="en-US"/>
        </w:rPr>
        <w:t>remaining relative to the Sartrian subject, immanent to the phallogocentric scheme</w:t>
      </w:r>
      <w:r w:rsidR="00A251D0">
        <w:rPr>
          <w:lang w:val="en-US"/>
        </w:rPr>
        <w:t xml:space="preserve">. Hence, for Irigaray, the feminine could never be the mark of a </w:t>
      </w:r>
      <w:r w:rsidR="00C748D2">
        <w:rPr>
          <w:lang w:val="en-US"/>
        </w:rPr>
        <w:t>subject, as Beauvoir would suggest.</w:t>
      </w:r>
    </w:p>
    <w:p w14:paraId="70CFE14B" w14:textId="5887C6B4" w:rsidR="00E77BC0" w:rsidRDefault="00A4721A" w:rsidP="00E77BC0">
      <w:pPr>
        <w:jc w:val="right"/>
        <w:rPr>
          <w:lang w:val="en-US"/>
        </w:rPr>
      </w:pPr>
      <w:r>
        <w:rPr>
          <w:lang w:val="en-US"/>
        </w:rPr>
        <w:t>(Butler, 2006, pp</w:t>
      </w:r>
      <w:r w:rsidR="003B20D1">
        <w:rPr>
          <w:lang w:val="en-US"/>
        </w:rPr>
        <w:t>.</w:t>
      </w:r>
      <w:r w:rsidR="002A5B21">
        <w:rPr>
          <w:lang w:val="en-US"/>
        </w:rPr>
        <w:t>14-15)</w:t>
      </w:r>
    </w:p>
    <w:p w14:paraId="0108AE17" w14:textId="508B04E6" w:rsidR="00890A3D" w:rsidRDefault="002A3105" w:rsidP="00890A3D">
      <w:pPr>
        <w:rPr>
          <w:lang w:val="en-US"/>
        </w:rPr>
      </w:pPr>
      <w:r>
        <w:rPr>
          <w:lang w:val="en-US"/>
        </w:rPr>
        <w:lastRenderedPageBreak/>
        <w:t xml:space="preserve">Irigaray does not </w:t>
      </w:r>
      <w:r w:rsidR="002039E6">
        <w:rPr>
          <w:lang w:val="en-US"/>
        </w:rPr>
        <w:t>perceive</w:t>
      </w:r>
      <w:r>
        <w:rPr>
          <w:lang w:val="en-US"/>
        </w:rPr>
        <w:t xml:space="preserve"> Beauvoir’s quote in the same light as other gender theorists and feminists</w:t>
      </w:r>
      <w:r w:rsidR="0032069B">
        <w:rPr>
          <w:lang w:val="en-US"/>
        </w:rPr>
        <w:t xml:space="preserve">. </w:t>
      </w:r>
      <w:r w:rsidR="00C25EF7">
        <w:rPr>
          <w:lang w:val="en-US"/>
        </w:rPr>
        <w:t xml:space="preserve">She does not believe that there is any distinction between </w:t>
      </w:r>
      <w:r w:rsidR="00A06D1E">
        <w:rPr>
          <w:lang w:val="en-US"/>
        </w:rPr>
        <w:t xml:space="preserve">a “marker” and “unmarked.” </w:t>
      </w:r>
      <w:r w:rsidR="00890A3D">
        <w:rPr>
          <w:lang w:val="en-US"/>
        </w:rPr>
        <w:t xml:space="preserve">Butler furthers the discourse of how Beauvoir and Irigaray sees gender and sex by </w:t>
      </w:r>
      <w:r w:rsidR="00EC6556">
        <w:rPr>
          <w:lang w:val="en-US"/>
        </w:rPr>
        <w:t>affirming:</w:t>
      </w:r>
    </w:p>
    <w:p w14:paraId="32A79E47" w14:textId="77777777" w:rsidR="00AC40AF" w:rsidRDefault="00477043" w:rsidP="00AC40AF">
      <w:pPr>
        <w:ind w:left="720"/>
        <w:rPr>
          <w:lang w:val="en-US"/>
        </w:rPr>
      </w:pPr>
      <w:r>
        <w:rPr>
          <w:lang w:val="en-US"/>
        </w:rPr>
        <w:t xml:space="preserve">Beauvoir contends that the female body is marked within </w:t>
      </w:r>
      <w:r w:rsidR="00935BF7">
        <w:rPr>
          <w:lang w:val="en-US"/>
        </w:rPr>
        <w:t xml:space="preserve">masculinist </w:t>
      </w:r>
      <w:r w:rsidR="007D58A5">
        <w:rPr>
          <w:lang w:val="en-US"/>
        </w:rPr>
        <w:t>discourse</w:t>
      </w:r>
      <w:r w:rsidR="00075DBA">
        <w:rPr>
          <w:lang w:val="en-US"/>
        </w:rPr>
        <w:t>, whereby the masculine body, in its conflation with the universal</w:t>
      </w:r>
      <w:r w:rsidR="00A55441">
        <w:rPr>
          <w:lang w:val="en-US"/>
        </w:rPr>
        <w:t>, remains unmarked. Irigaray clearly suggest</w:t>
      </w:r>
      <w:r w:rsidR="006D4362">
        <w:rPr>
          <w:lang w:val="en-US"/>
        </w:rPr>
        <w:t>s that both marker and marked are maintained within a mascu</w:t>
      </w:r>
      <w:r w:rsidR="00C76A31">
        <w:rPr>
          <w:lang w:val="en-US"/>
        </w:rPr>
        <w:t>linist mode of signification in which the female body is “marked off</w:t>
      </w:r>
      <w:r w:rsidR="009636D1">
        <w:rPr>
          <w:lang w:val="en-US"/>
        </w:rPr>
        <w:t>,</w:t>
      </w:r>
      <w:r w:rsidR="00C76A31">
        <w:rPr>
          <w:lang w:val="en-US"/>
        </w:rPr>
        <w:t>”</w:t>
      </w:r>
      <w:r w:rsidR="009636D1">
        <w:rPr>
          <w:lang w:val="en-US"/>
        </w:rPr>
        <w:t xml:space="preserve"> as it were, from the domains of </w:t>
      </w:r>
      <w:r w:rsidR="00CE25CC">
        <w:rPr>
          <w:lang w:val="en-US"/>
        </w:rPr>
        <w:t>signifiable</w:t>
      </w:r>
      <w:r w:rsidR="00AC40AF">
        <w:rPr>
          <w:lang w:val="en-US"/>
        </w:rPr>
        <w:t>.</w:t>
      </w:r>
    </w:p>
    <w:p w14:paraId="6199396A" w14:textId="24367734" w:rsidR="006C545B" w:rsidRDefault="000B4D81" w:rsidP="00AC40AF">
      <w:pPr>
        <w:jc w:val="right"/>
        <w:rPr>
          <w:lang w:val="en-US"/>
        </w:rPr>
      </w:pPr>
      <w:r>
        <w:rPr>
          <w:lang w:val="en-US"/>
        </w:rPr>
        <w:t xml:space="preserve"> (Butler, 2006, p</w:t>
      </w:r>
      <w:r w:rsidR="003B20D1">
        <w:rPr>
          <w:lang w:val="en-US"/>
        </w:rPr>
        <w:t>.</w:t>
      </w:r>
      <w:r>
        <w:rPr>
          <w:lang w:val="en-US"/>
        </w:rPr>
        <w:t>17)</w:t>
      </w:r>
    </w:p>
    <w:p w14:paraId="5170347C" w14:textId="55746250" w:rsidR="00B35D6B" w:rsidRDefault="00332938" w:rsidP="006C545B">
      <w:r>
        <w:t xml:space="preserve">As stated previously, “One is not born, but rather becomes, a woman,” </w:t>
      </w:r>
      <w:r w:rsidR="00EC1E38">
        <w:t>introduces the nature versus nurture discussion</w:t>
      </w:r>
      <w:r w:rsidR="006D76F0">
        <w:t xml:space="preserve">. </w:t>
      </w:r>
      <w:r w:rsidR="000D52BE">
        <w:t>Beauvoir’s quote</w:t>
      </w:r>
      <w:r w:rsidR="006D76F0">
        <w:t xml:space="preserve"> opens th</w:t>
      </w:r>
      <w:r w:rsidR="00220627">
        <w:t xml:space="preserve">is discourse because it begs the question of whether </w:t>
      </w:r>
      <w:r w:rsidR="000D52BE">
        <w:t xml:space="preserve">“woman” the gender is intertwined with “female” the sex. </w:t>
      </w:r>
      <w:r w:rsidR="00CF6C42">
        <w:t xml:space="preserve">While Beauvoir may have envisioned her quote as such a discussion, </w:t>
      </w:r>
      <w:r w:rsidR="00C015BD">
        <w:t>Irigaray wishes for feminists not to think along those line</w:t>
      </w:r>
      <w:r w:rsidR="00645FC6">
        <w:t xml:space="preserve">s. </w:t>
      </w:r>
      <w:r w:rsidR="00F602B4">
        <w:t xml:space="preserve">In an essay written </w:t>
      </w:r>
      <w:r w:rsidR="00E223F9">
        <w:t>‘</w:t>
      </w:r>
      <w:r w:rsidR="00E223F9">
        <w:rPr>
          <w:i/>
          <w:iCs/>
        </w:rPr>
        <w:t xml:space="preserve">Ambiguity and Difference’ </w:t>
      </w:r>
      <w:r w:rsidR="00F602B4">
        <w:t>Sara</w:t>
      </w:r>
      <w:r w:rsidR="00577C99">
        <w:t xml:space="preserve"> Heinämaa</w:t>
      </w:r>
      <w:r w:rsidR="00E223F9">
        <w:t xml:space="preserve"> in </w:t>
      </w:r>
      <w:r w:rsidR="00C515B7">
        <w:t>Parker and Leeuwen states</w:t>
      </w:r>
      <w:r w:rsidR="00C2294D">
        <w:t>:</w:t>
      </w:r>
    </w:p>
    <w:p w14:paraId="67B9A929" w14:textId="7F302684" w:rsidR="00C2294D" w:rsidRDefault="00C2294D" w:rsidP="00972094">
      <w:pPr>
        <w:ind w:left="720"/>
      </w:pPr>
      <w:r>
        <w:t>For Irigaray, the crucial task of feminist thinkers is not to study women’s life in terms of the traditional theories of nature and nurture but to dis</w:t>
      </w:r>
      <w:r w:rsidR="00972094">
        <w:t>turb [</w:t>
      </w:r>
      <w:r w:rsidR="00972094" w:rsidRPr="00E25B5D">
        <w:rPr>
          <w:i/>
          <w:iCs/>
        </w:rPr>
        <w:t>d</w:t>
      </w:r>
      <w:r w:rsidR="006D0730" w:rsidRPr="00E25B5D">
        <w:rPr>
          <w:i/>
          <w:iCs/>
        </w:rPr>
        <w:t>é</w:t>
      </w:r>
      <w:r w:rsidR="00E25B5D" w:rsidRPr="00E25B5D">
        <w:rPr>
          <w:i/>
          <w:iCs/>
        </w:rPr>
        <w:t>ranger</w:t>
      </w:r>
      <w:r w:rsidR="00E25B5D">
        <w:t>] the functioning of such dualities</w:t>
      </w:r>
      <w:r w:rsidR="0026022C">
        <w:t>, to destroy their seeming coherence, and thus to establish a new beginning for human culture.</w:t>
      </w:r>
    </w:p>
    <w:p w14:paraId="14DDE16C" w14:textId="5B394807" w:rsidR="0026022C" w:rsidRDefault="00B03844" w:rsidP="0026022C">
      <w:pPr>
        <w:ind w:left="720"/>
        <w:jc w:val="right"/>
      </w:pPr>
      <w:r>
        <w:t>(Parker and Leeuwen, 2017, p</w:t>
      </w:r>
      <w:r w:rsidR="003B20D1">
        <w:t>.</w:t>
      </w:r>
      <w:r w:rsidR="001402F9">
        <w:t>2</w:t>
      </w:r>
      <w:r w:rsidR="00DA4C51">
        <w:t>)</w:t>
      </w:r>
    </w:p>
    <w:p w14:paraId="28340541" w14:textId="77777777" w:rsidR="00923E56" w:rsidRPr="00E25B5D" w:rsidRDefault="00923E56" w:rsidP="003F55F8">
      <w:pPr>
        <w:rPr>
          <w:lang w:val="en-US"/>
        </w:rPr>
      </w:pPr>
    </w:p>
    <w:p w14:paraId="4DC7AA1F" w14:textId="77777777" w:rsidR="00AE1B3B" w:rsidRDefault="00C379E8" w:rsidP="005B7F1C">
      <w:r>
        <w:rPr>
          <w:lang w:val="en-US"/>
        </w:rPr>
        <w:t xml:space="preserve">Irigaray and Beauvoir have different </w:t>
      </w:r>
      <w:r w:rsidR="00497006">
        <w:rPr>
          <w:lang w:val="en-US"/>
        </w:rPr>
        <w:t>understandings</w:t>
      </w:r>
      <w:r>
        <w:rPr>
          <w:lang w:val="en-US"/>
        </w:rPr>
        <w:t xml:space="preserve"> as it </w:t>
      </w:r>
      <w:r w:rsidR="006C545B">
        <w:rPr>
          <w:lang w:val="en-US"/>
        </w:rPr>
        <w:t>applies</w:t>
      </w:r>
      <w:r w:rsidR="00497006">
        <w:rPr>
          <w:lang w:val="en-US"/>
        </w:rPr>
        <w:t xml:space="preserve"> to</w:t>
      </w:r>
      <w:r>
        <w:rPr>
          <w:lang w:val="en-US"/>
        </w:rPr>
        <w:t xml:space="preserve"> gender and sex, </w:t>
      </w:r>
      <w:r w:rsidR="00C253BA">
        <w:rPr>
          <w:lang w:val="en-US"/>
        </w:rPr>
        <w:t xml:space="preserve">but neither </w:t>
      </w:r>
      <w:r w:rsidR="00D93A0A">
        <w:rPr>
          <w:lang w:val="en-US"/>
        </w:rPr>
        <w:t>party</w:t>
      </w:r>
      <w:r w:rsidR="00C253BA">
        <w:rPr>
          <w:lang w:val="en-US"/>
        </w:rPr>
        <w:t xml:space="preserve"> have </w:t>
      </w:r>
      <w:r w:rsidR="00791083">
        <w:rPr>
          <w:lang w:val="en-US"/>
        </w:rPr>
        <w:t>disregarded</w:t>
      </w:r>
      <w:r w:rsidR="00C253BA">
        <w:rPr>
          <w:lang w:val="en-US"/>
        </w:rPr>
        <w:t xml:space="preserve"> the work</w:t>
      </w:r>
      <w:r w:rsidR="00791083">
        <w:rPr>
          <w:lang w:val="en-US"/>
        </w:rPr>
        <w:t xml:space="preserve"> that</w:t>
      </w:r>
      <w:r w:rsidR="00C253BA">
        <w:rPr>
          <w:lang w:val="en-US"/>
        </w:rPr>
        <w:t xml:space="preserve"> they have both done in the field of feminism.</w:t>
      </w:r>
      <w:r w:rsidR="003F55F8">
        <w:rPr>
          <w:lang w:val="en-US"/>
        </w:rPr>
        <w:t xml:space="preserve"> </w:t>
      </w:r>
      <w:r w:rsidR="00BE28E7">
        <w:rPr>
          <w:lang w:val="en-US"/>
        </w:rPr>
        <w:t>Instead,</w:t>
      </w:r>
      <w:r w:rsidR="003F55F8">
        <w:rPr>
          <w:lang w:val="en-US"/>
        </w:rPr>
        <w:t xml:space="preserve"> there are points in which their work compliments each other</w:t>
      </w:r>
      <w:r w:rsidR="00BE28E7">
        <w:rPr>
          <w:lang w:val="en-US"/>
        </w:rPr>
        <w:t xml:space="preserve">. </w:t>
      </w:r>
      <w:r w:rsidR="00BE28E7">
        <w:t xml:space="preserve">Heinämaa </w:t>
      </w:r>
      <w:r w:rsidR="00900BBC">
        <w:t xml:space="preserve">in Parker and Leeuwen </w:t>
      </w:r>
      <w:r w:rsidR="00AE1B3B">
        <w:t>discusses these complimentary points:</w:t>
      </w:r>
    </w:p>
    <w:p w14:paraId="46D8BF66" w14:textId="788694DA" w:rsidR="008F4A2F" w:rsidRDefault="00BD5B3F" w:rsidP="008D7A59">
      <w:pPr>
        <w:ind w:left="720"/>
      </w:pPr>
      <w:r>
        <w:t>…the most intimat</w:t>
      </w:r>
      <w:r w:rsidR="008F739F">
        <w:t>e</w:t>
      </w:r>
      <w:r>
        <w:t xml:space="preserve"> points of contact between Beauvoir’s existent</w:t>
      </w:r>
      <w:r w:rsidR="008D7A59">
        <w:t xml:space="preserve">ialism and Irigaray’s philosophy of difference are to be found in their respective analysis of embodiment and its conditions, Both operate with the </w:t>
      </w:r>
      <w:r w:rsidR="004B39C0">
        <w:t>phenomenological concepts of the lived body distinct from the material thin</w:t>
      </w:r>
      <w:r w:rsidR="00C23D2D">
        <w:t xml:space="preserve">g and the natural organism; both resort the phenomenological theory of the human person as a </w:t>
      </w:r>
      <w:r w:rsidR="00FD46A5">
        <w:t xml:space="preserve">expressive bodily unity; and both work systemically to articulate the specific </w:t>
      </w:r>
      <w:r w:rsidR="00650365">
        <w:t xml:space="preserve">form of erotic intentionality that </w:t>
      </w:r>
      <w:r w:rsidR="00650365">
        <w:lastRenderedPageBreak/>
        <w:t>diverts from all forms of theoretical and practical</w:t>
      </w:r>
      <w:r w:rsidR="008F739F">
        <w:t>-communal intentionality.</w:t>
      </w:r>
      <w:r w:rsidR="00AE1B3B">
        <w:t xml:space="preserve"> </w:t>
      </w:r>
    </w:p>
    <w:p w14:paraId="176C8FD1" w14:textId="479F1FAD" w:rsidR="003265CF" w:rsidRDefault="003265CF" w:rsidP="003265CF">
      <w:pPr>
        <w:ind w:left="720"/>
        <w:jc w:val="right"/>
      </w:pPr>
      <w:r>
        <w:t>(Parker and Leeuwen</w:t>
      </w:r>
      <w:r w:rsidR="005667D7">
        <w:t>, 2017, p.3)</w:t>
      </w:r>
    </w:p>
    <w:p w14:paraId="2361A484" w14:textId="1C667D41" w:rsidR="00D90FBD" w:rsidRDefault="005A3243" w:rsidP="00224225">
      <w:pPr>
        <w:ind w:firstLine="720"/>
      </w:pPr>
      <w:r>
        <w:t>Simone de Beauvoir has been an influential figure in the feminist</w:t>
      </w:r>
      <w:r w:rsidR="00224225">
        <w:t xml:space="preserve"> </w:t>
      </w:r>
      <w:r>
        <w:t xml:space="preserve">movement. She has produced countless </w:t>
      </w:r>
      <w:r w:rsidR="00485CA1">
        <w:t>literary and academic pieces which highlight feminism. Most notably in her collection is</w:t>
      </w:r>
      <w:r w:rsidR="00B17987">
        <w:t>, ‘</w:t>
      </w:r>
      <w:r w:rsidR="00B17987">
        <w:rPr>
          <w:i/>
          <w:iCs/>
        </w:rPr>
        <w:t xml:space="preserve">The Second Sex’. </w:t>
      </w:r>
      <w:r w:rsidR="00B17987">
        <w:t xml:space="preserve">It was written as a way to vent </w:t>
      </w:r>
      <w:r w:rsidR="00224225">
        <w:t>her</w:t>
      </w:r>
      <w:r w:rsidR="00B17987">
        <w:t xml:space="preserve"> frustration </w:t>
      </w:r>
      <w:r w:rsidR="001E3950">
        <w:t>about</w:t>
      </w:r>
      <w:r w:rsidR="00B17987">
        <w:t xml:space="preserve"> the way women are viewed</w:t>
      </w:r>
      <w:r w:rsidR="001E3950">
        <w:t xml:space="preserve"> in society; in what she describes as the “Other</w:t>
      </w:r>
      <w:r w:rsidR="00242385">
        <w:t xml:space="preserve">.” In producing this </w:t>
      </w:r>
      <w:r w:rsidR="00D26FF0">
        <w:t>work,</w:t>
      </w:r>
      <w:r w:rsidR="00242385">
        <w:t xml:space="preserve"> she has coined the quote, “One is not born, but rather becomes, a woman</w:t>
      </w:r>
      <w:r w:rsidR="00D26FF0">
        <w:t xml:space="preserve">.” Her quote has been replicated and reused as a form of </w:t>
      </w:r>
      <w:r w:rsidR="00A31A19">
        <w:t xml:space="preserve">underscoring gender-based theories or in some cases as a means of </w:t>
      </w:r>
      <w:r w:rsidR="00D76BFE">
        <w:t xml:space="preserve">igniting discussions on the topic of gender and </w:t>
      </w:r>
      <w:r w:rsidR="000A61DF">
        <w:t xml:space="preserve">sex. While Simone has used her quote as a foundation for her own theory, Judith Butler has done the same in some ways to </w:t>
      </w:r>
      <w:r w:rsidR="0058691D">
        <w:t xml:space="preserve">highlight her own theory of feminism and gender identity as well as gender equality. </w:t>
      </w:r>
      <w:r w:rsidR="009C75E8">
        <w:t xml:space="preserve">In the case of </w:t>
      </w:r>
      <w:r w:rsidR="007950CD">
        <w:t>Butler,</w:t>
      </w:r>
      <w:r w:rsidR="009C75E8">
        <w:t xml:space="preserve"> </w:t>
      </w:r>
      <w:r w:rsidR="007950CD">
        <w:t>they</w:t>
      </w:r>
      <w:r w:rsidR="009C75E8">
        <w:t xml:space="preserve"> use the quote several times throughout her </w:t>
      </w:r>
      <w:r w:rsidR="00C95D85">
        <w:t xml:space="preserve">scholastic work as a means of questioning the </w:t>
      </w:r>
      <w:r w:rsidR="000A7F0A">
        <w:t xml:space="preserve">construction of gender and sex, as well as a form of </w:t>
      </w:r>
      <w:r w:rsidR="00B32E8E">
        <w:t xml:space="preserve">creating a dialogue among other feminists and theorists alike. </w:t>
      </w:r>
      <w:r w:rsidR="00310D1B">
        <w:t>On the contrary, Luce Irigaray uses the quote</w:t>
      </w:r>
      <w:r w:rsidR="007950CD">
        <w:t xml:space="preserve"> by deconstructing it and </w:t>
      </w:r>
      <w:r w:rsidR="008F4A09">
        <w:t xml:space="preserve">giving a different interpretation. She does not see it in the same light as Beauvoir or Butler. </w:t>
      </w:r>
      <w:r w:rsidR="003214EC">
        <w:t>Instead,</w:t>
      </w:r>
      <w:r w:rsidR="008F4A09">
        <w:t xml:space="preserve"> she challenges the theory of Beauvoir with her own</w:t>
      </w:r>
      <w:r w:rsidR="00686990">
        <w:t>; not the gendered woman and sexed female as two separate entities</w:t>
      </w:r>
      <w:r w:rsidR="00530B8B">
        <w:t xml:space="preserve"> but rather, as one entity</w:t>
      </w:r>
      <w:r w:rsidR="00670BE1">
        <w:t>.</w:t>
      </w:r>
      <w:r w:rsidR="00310D1B">
        <w:t xml:space="preserve"> </w:t>
      </w:r>
      <w:r w:rsidR="00D26FF0">
        <w:t xml:space="preserve"> </w:t>
      </w:r>
      <w:r w:rsidR="009E69E3">
        <w:t xml:space="preserve">Although the </w:t>
      </w:r>
      <w:r w:rsidR="009831F6">
        <w:t>quote does not hold the same significance to each individual, much can be said in the way that their the</w:t>
      </w:r>
      <w:r w:rsidR="00E34CEE">
        <w:t xml:space="preserve">ories are interconnected. </w:t>
      </w:r>
      <w:r w:rsidR="006B0198">
        <w:t>Other feminists have used Beauvoir’s quote as an inspiration for their contribution to the feminist movement.</w:t>
      </w:r>
      <w:r w:rsidR="0083389A">
        <w:t xml:space="preserve"> There are others like Irigaray who do not see </w:t>
      </w:r>
      <w:r w:rsidR="00AF30C4">
        <w:t xml:space="preserve">gender in the same way as Beauvoir. </w:t>
      </w:r>
      <w:r w:rsidR="00A00BF6">
        <w:t xml:space="preserve">The quote is therefore, left for the interpretation of each </w:t>
      </w:r>
      <w:r w:rsidR="001973BE">
        <w:t>person</w:t>
      </w:r>
      <w:r w:rsidR="00A00BF6">
        <w:t>.</w:t>
      </w:r>
    </w:p>
    <w:p w14:paraId="0F49B97A" w14:textId="2CABD0B9" w:rsidR="00387718" w:rsidRDefault="00387718">
      <w:r>
        <w:br w:type="page"/>
      </w:r>
    </w:p>
    <w:p w14:paraId="5673158F" w14:textId="6625D684" w:rsidR="00D90FBD" w:rsidRPr="000B3B5D" w:rsidRDefault="00387718" w:rsidP="00D90FBD">
      <w:pPr>
        <w:rPr>
          <w:b/>
          <w:bCs/>
          <w:u w:val="single"/>
        </w:rPr>
      </w:pPr>
      <w:r w:rsidRPr="000B3B5D">
        <w:rPr>
          <w:b/>
          <w:bCs/>
          <w:u w:val="single"/>
        </w:rPr>
        <w:lastRenderedPageBreak/>
        <w:t>Reference List</w:t>
      </w:r>
    </w:p>
    <w:p w14:paraId="1987CA3F" w14:textId="340CF6CB" w:rsidR="00BA7B55" w:rsidRDefault="00A37DB5" w:rsidP="00BA7B55">
      <w:pPr>
        <w:pStyle w:val="ListParagraph"/>
        <w:numPr>
          <w:ilvl w:val="0"/>
          <w:numId w:val="1"/>
        </w:numPr>
      </w:pPr>
      <w:r>
        <w:t>Beauvoir</w:t>
      </w:r>
      <w:r w:rsidR="00AC4E6F">
        <w:t>, S. de, Borde, C. and Malovany-Chevallier, S.</w:t>
      </w:r>
      <w:r w:rsidR="005D612A">
        <w:t xml:space="preserve"> (2011) </w:t>
      </w:r>
      <w:r w:rsidR="005D612A">
        <w:rPr>
          <w:i/>
          <w:iCs/>
        </w:rPr>
        <w:t>The second sex</w:t>
      </w:r>
      <w:r w:rsidR="005D612A">
        <w:t xml:space="preserve">. </w:t>
      </w:r>
      <w:r w:rsidR="00956996">
        <w:t>New edition / translated by Constance Borde and Sheila Malov</w:t>
      </w:r>
      <w:r w:rsidR="006776CC">
        <w:t>any-Chevallier. London: Vintage Classic.</w:t>
      </w:r>
    </w:p>
    <w:p w14:paraId="1BFA90C6" w14:textId="5FB6EF30" w:rsidR="00387718" w:rsidRDefault="00231DD1" w:rsidP="00241247">
      <w:pPr>
        <w:pStyle w:val="ListParagraph"/>
        <w:numPr>
          <w:ilvl w:val="0"/>
          <w:numId w:val="1"/>
        </w:numPr>
      </w:pPr>
      <w:r>
        <w:t>Butler</w:t>
      </w:r>
      <w:r w:rsidR="00696E4B">
        <w:t xml:space="preserve">, J. (2006) </w:t>
      </w:r>
      <w:r w:rsidR="00504073">
        <w:rPr>
          <w:i/>
          <w:iCs/>
        </w:rPr>
        <w:t>Gender trouble: feminism and the subversion of identity</w:t>
      </w:r>
      <w:r w:rsidR="006A2174">
        <w:t>. New</w:t>
      </w:r>
      <w:r w:rsidR="00111135">
        <w:t xml:space="preserve"> York: Routledge</w:t>
      </w:r>
      <w:r w:rsidR="00011F0F">
        <w:t>.</w:t>
      </w:r>
    </w:p>
    <w:p w14:paraId="114472CA" w14:textId="11B1840E" w:rsidR="006472FF" w:rsidRDefault="008A4F95" w:rsidP="00241247">
      <w:pPr>
        <w:pStyle w:val="ListParagraph"/>
        <w:numPr>
          <w:ilvl w:val="0"/>
          <w:numId w:val="1"/>
        </w:numPr>
      </w:pPr>
      <w:r>
        <w:t>Parker, E. and Leeuwen, A. van (2017)</w:t>
      </w:r>
      <w:r w:rsidR="000917F4">
        <w:t xml:space="preserve"> </w:t>
      </w:r>
      <w:r w:rsidR="000917F4">
        <w:rPr>
          <w:i/>
          <w:iCs/>
        </w:rPr>
        <w:t xml:space="preserve">Differences: </w:t>
      </w:r>
      <w:r w:rsidR="000679CE">
        <w:rPr>
          <w:i/>
          <w:iCs/>
        </w:rPr>
        <w:t>re-reading</w:t>
      </w:r>
      <w:r w:rsidR="000917F4">
        <w:rPr>
          <w:i/>
          <w:iCs/>
        </w:rPr>
        <w:t xml:space="preserve"> Beauvoir and Irigaray</w:t>
      </w:r>
      <w:r w:rsidR="00AC466F">
        <w:rPr>
          <w:i/>
          <w:iCs/>
        </w:rPr>
        <w:t xml:space="preserve">. </w:t>
      </w:r>
      <w:r w:rsidR="00AC466F">
        <w:t>New York, NY: Oxford University Press.</w:t>
      </w:r>
    </w:p>
    <w:p w14:paraId="2F1F6594" w14:textId="19C96F13" w:rsidR="00944134" w:rsidRDefault="00963B20" w:rsidP="00241247">
      <w:pPr>
        <w:pStyle w:val="ListParagraph"/>
        <w:numPr>
          <w:ilvl w:val="0"/>
          <w:numId w:val="1"/>
        </w:numPr>
      </w:pPr>
      <w:r>
        <w:t xml:space="preserve">Salih, S. (2002) </w:t>
      </w:r>
      <w:r>
        <w:rPr>
          <w:i/>
          <w:iCs/>
        </w:rPr>
        <w:t>Judith Butler</w:t>
      </w:r>
      <w:r w:rsidR="00011F0F">
        <w:rPr>
          <w:i/>
          <w:iCs/>
        </w:rPr>
        <w:t xml:space="preserve">. </w:t>
      </w:r>
      <w:r w:rsidR="00011F0F">
        <w:t>London:Routledge.</w:t>
      </w:r>
    </w:p>
    <w:p w14:paraId="1726A1A1" w14:textId="0550AC54" w:rsidR="00F52BDD" w:rsidRDefault="000878B3" w:rsidP="00241247">
      <w:pPr>
        <w:pStyle w:val="ListParagraph"/>
        <w:numPr>
          <w:ilvl w:val="0"/>
          <w:numId w:val="1"/>
        </w:numPr>
      </w:pPr>
      <w:r>
        <w:t>Butler</w:t>
      </w:r>
      <w:r w:rsidR="00BC4985">
        <w:t>, J. (1988) ‘Performative Acts and Gender Constitution</w:t>
      </w:r>
      <w:r w:rsidR="000D13A0">
        <w:t>: An Essay in Phenomenology and Feminist Theory’,</w:t>
      </w:r>
      <w:r w:rsidR="00F44ED9">
        <w:t xml:space="preserve"> </w:t>
      </w:r>
      <w:r w:rsidR="00F44ED9">
        <w:rPr>
          <w:i/>
          <w:iCs/>
        </w:rPr>
        <w:t xml:space="preserve">Theatre journal (Washington D.C.), </w:t>
      </w:r>
      <w:r w:rsidR="008F0587">
        <w:t>40(4), pp.519-531. doi:10</w:t>
      </w:r>
      <w:r w:rsidR="00DA306A">
        <w:t>.2307/3207893.</w:t>
      </w:r>
    </w:p>
    <w:p w14:paraId="44322B72" w14:textId="2B9FAAF5" w:rsidR="00DA306A" w:rsidRDefault="00483723" w:rsidP="00241247">
      <w:pPr>
        <w:pStyle w:val="ListParagraph"/>
        <w:numPr>
          <w:ilvl w:val="0"/>
          <w:numId w:val="1"/>
        </w:numPr>
      </w:pPr>
      <w:r>
        <w:t>Vintges, K</w:t>
      </w:r>
      <w:r w:rsidR="008B6ABD">
        <w:t>. (1999). Simone de Beauvoir: A Feminist Thinker for Our Times</w:t>
      </w:r>
      <w:r w:rsidR="00035EAC">
        <w:t xml:space="preserve">. </w:t>
      </w:r>
      <w:r w:rsidR="00035EAC">
        <w:rPr>
          <w:i/>
          <w:iCs/>
        </w:rPr>
        <w:t>Hypatia</w:t>
      </w:r>
      <w:r w:rsidR="00902809">
        <w:rPr>
          <w:i/>
          <w:iCs/>
        </w:rPr>
        <w:t xml:space="preserve">, </w:t>
      </w:r>
      <w:r w:rsidR="00902809">
        <w:t xml:space="preserve">14(4), </w:t>
      </w:r>
      <w:r w:rsidR="009E05C8">
        <w:t>pp.133-144</w:t>
      </w:r>
      <w:r w:rsidR="00141A84">
        <w:t>. https://doi.org/10.1111/j.1527</w:t>
      </w:r>
      <w:r w:rsidR="00643DA6">
        <w:t>-2001/1999.tb01257.x</w:t>
      </w:r>
    </w:p>
    <w:p w14:paraId="51EB3786" w14:textId="77777777" w:rsidR="00111135" w:rsidRPr="00D90FBD" w:rsidRDefault="00111135" w:rsidP="00BA7B55">
      <w:pPr>
        <w:pStyle w:val="ListParagraph"/>
      </w:pPr>
    </w:p>
    <w:sectPr w:rsidR="00111135" w:rsidRPr="00D90F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960E4A"/>
    <w:multiLevelType w:val="hybridMultilevel"/>
    <w:tmpl w:val="BE32FE74"/>
    <w:lvl w:ilvl="0" w:tplc="187804A6">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402411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054"/>
    <w:rsid w:val="000001B9"/>
    <w:rsid w:val="000043B7"/>
    <w:rsid w:val="00006E8B"/>
    <w:rsid w:val="00006F69"/>
    <w:rsid w:val="000079CF"/>
    <w:rsid w:val="00011F0F"/>
    <w:rsid w:val="000218D6"/>
    <w:rsid w:val="00024E43"/>
    <w:rsid w:val="00035933"/>
    <w:rsid w:val="00035EAC"/>
    <w:rsid w:val="000438D4"/>
    <w:rsid w:val="000457A8"/>
    <w:rsid w:val="000479CE"/>
    <w:rsid w:val="00047F08"/>
    <w:rsid w:val="000500EB"/>
    <w:rsid w:val="000546CE"/>
    <w:rsid w:val="0005644E"/>
    <w:rsid w:val="0005662B"/>
    <w:rsid w:val="000604AF"/>
    <w:rsid w:val="000627AC"/>
    <w:rsid w:val="00066A61"/>
    <w:rsid w:val="00066CDD"/>
    <w:rsid w:val="000679CE"/>
    <w:rsid w:val="00075DBA"/>
    <w:rsid w:val="000878B3"/>
    <w:rsid w:val="000917F4"/>
    <w:rsid w:val="00092CD2"/>
    <w:rsid w:val="000939D8"/>
    <w:rsid w:val="000A61DF"/>
    <w:rsid w:val="000A7EC7"/>
    <w:rsid w:val="000A7F0A"/>
    <w:rsid w:val="000B0FE6"/>
    <w:rsid w:val="000B29F5"/>
    <w:rsid w:val="000B3B5D"/>
    <w:rsid w:val="000B3F91"/>
    <w:rsid w:val="000B4D81"/>
    <w:rsid w:val="000B7B8C"/>
    <w:rsid w:val="000D13A0"/>
    <w:rsid w:val="000D42BD"/>
    <w:rsid w:val="000D52BE"/>
    <w:rsid w:val="000D57F5"/>
    <w:rsid w:val="000E01B2"/>
    <w:rsid w:val="000E14C7"/>
    <w:rsid w:val="000F22A4"/>
    <w:rsid w:val="000F4192"/>
    <w:rsid w:val="00100600"/>
    <w:rsid w:val="0010176F"/>
    <w:rsid w:val="00111135"/>
    <w:rsid w:val="001256E9"/>
    <w:rsid w:val="00140264"/>
    <w:rsid w:val="001402F9"/>
    <w:rsid w:val="001405DC"/>
    <w:rsid w:val="00141A84"/>
    <w:rsid w:val="00151C8B"/>
    <w:rsid w:val="001544F3"/>
    <w:rsid w:val="00155EF8"/>
    <w:rsid w:val="00157F1E"/>
    <w:rsid w:val="00160DCE"/>
    <w:rsid w:val="001722E4"/>
    <w:rsid w:val="0017282B"/>
    <w:rsid w:val="00177F7D"/>
    <w:rsid w:val="00185308"/>
    <w:rsid w:val="00186481"/>
    <w:rsid w:val="001973BE"/>
    <w:rsid w:val="001C14DB"/>
    <w:rsid w:val="001C646E"/>
    <w:rsid w:val="001D02F6"/>
    <w:rsid w:val="001E26B0"/>
    <w:rsid w:val="001E3950"/>
    <w:rsid w:val="001E74E4"/>
    <w:rsid w:val="001F4CE7"/>
    <w:rsid w:val="00200B15"/>
    <w:rsid w:val="002015C2"/>
    <w:rsid w:val="002039E6"/>
    <w:rsid w:val="002044EB"/>
    <w:rsid w:val="002047EB"/>
    <w:rsid w:val="00214C56"/>
    <w:rsid w:val="00220627"/>
    <w:rsid w:val="0022299D"/>
    <w:rsid w:val="00224225"/>
    <w:rsid w:val="00231BD2"/>
    <w:rsid w:val="00231DD1"/>
    <w:rsid w:val="00241247"/>
    <w:rsid w:val="00242385"/>
    <w:rsid w:val="0024347B"/>
    <w:rsid w:val="00245F24"/>
    <w:rsid w:val="0025247A"/>
    <w:rsid w:val="0026022C"/>
    <w:rsid w:val="00260289"/>
    <w:rsid w:val="00270CBF"/>
    <w:rsid w:val="0027570B"/>
    <w:rsid w:val="00280FB3"/>
    <w:rsid w:val="002A0A33"/>
    <w:rsid w:val="002A2228"/>
    <w:rsid w:val="002A3105"/>
    <w:rsid w:val="002A5B21"/>
    <w:rsid w:val="002B1594"/>
    <w:rsid w:val="002B1C0E"/>
    <w:rsid w:val="002B5755"/>
    <w:rsid w:val="002D2E7C"/>
    <w:rsid w:val="002D34E0"/>
    <w:rsid w:val="002E2023"/>
    <w:rsid w:val="002E43C1"/>
    <w:rsid w:val="002E5A18"/>
    <w:rsid w:val="003020CF"/>
    <w:rsid w:val="00306DA3"/>
    <w:rsid w:val="00310D1B"/>
    <w:rsid w:val="0032069B"/>
    <w:rsid w:val="003214EC"/>
    <w:rsid w:val="00322363"/>
    <w:rsid w:val="003265CF"/>
    <w:rsid w:val="00332938"/>
    <w:rsid w:val="003368FF"/>
    <w:rsid w:val="00340F51"/>
    <w:rsid w:val="003456C3"/>
    <w:rsid w:val="00360FAC"/>
    <w:rsid w:val="00361A1B"/>
    <w:rsid w:val="00366BC2"/>
    <w:rsid w:val="00373AA7"/>
    <w:rsid w:val="003777B6"/>
    <w:rsid w:val="003828F7"/>
    <w:rsid w:val="00387718"/>
    <w:rsid w:val="0039020D"/>
    <w:rsid w:val="0039123D"/>
    <w:rsid w:val="003B20D1"/>
    <w:rsid w:val="003B6FF8"/>
    <w:rsid w:val="003C057A"/>
    <w:rsid w:val="003C23B5"/>
    <w:rsid w:val="003C3418"/>
    <w:rsid w:val="003C57E8"/>
    <w:rsid w:val="003E42E1"/>
    <w:rsid w:val="003F55F8"/>
    <w:rsid w:val="0040254F"/>
    <w:rsid w:val="004048BF"/>
    <w:rsid w:val="00414993"/>
    <w:rsid w:val="0041536B"/>
    <w:rsid w:val="00420F35"/>
    <w:rsid w:val="00423BBA"/>
    <w:rsid w:val="00443554"/>
    <w:rsid w:val="00443AD5"/>
    <w:rsid w:val="0044541C"/>
    <w:rsid w:val="00457FB0"/>
    <w:rsid w:val="004709B2"/>
    <w:rsid w:val="00477043"/>
    <w:rsid w:val="00483723"/>
    <w:rsid w:val="00485CA1"/>
    <w:rsid w:val="00497006"/>
    <w:rsid w:val="004A0B50"/>
    <w:rsid w:val="004A19E6"/>
    <w:rsid w:val="004B39C0"/>
    <w:rsid w:val="004C376F"/>
    <w:rsid w:val="004D02A7"/>
    <w:rsid w:val="004D2230"/>
    <w:rsid w:val="004E329B"/>
    <w:rsid w:val="004F196A"/>
    <w:rsid w:val="004F50F7"/>
    <w:rsid w:val="004F6D1A"/>
    <w:rsid w:val="00504073"/>
    <w:rsid w:val="00507C63"/>
    <w:rsid w:val="00511A28"/>
    <w:rsid w:val="00511D92"/>
    <w:rsid w:val="005220D1"/>
    <w:rsid w:val="00530B8B"/>
    <w:rsid w:val="005333AC"/>
    <w:rsid w:val="005478D0"/>
    <w:rsid w:val="00562046"/>
    <w:rsid w:val="005667D7"/>
    <w:rsid w:val="00570E4A"/>
    <w:rsid w:val="00577C99"/>
    <w:rsid w:val="00581BD1"/>
    <w:rsid w:val="0058691D"/>
    <w:rsid w:val="005A3243"/>
    <w:rsid w:val="005A4011"/>
    <w:rsid w:val="005A7DFE"/>
    <w:rsid w:val="005B5AA4"/>
    <w:rsid w:val="005B5D5F"/>
    <w:rsid w:val="005B7F1C"/>
    <w:rsid w:val="005C113B"/>
    <w:rsid w:val="005C1D62"/>
    <w:rsid w:val="005C4E8E"/>
    <w:rsid w:val="005D612A"/>
    <w:rsid w:val="005E172E"/>
    <w:rsid w:val="005F2DAA"/>
    <w:rsid w:val="005F51BD"/>
    <w:rsid w:val="00602CFA"/>
    <w:rsid w:val="006273D9"/>
    <w:rsid w:val="0063634F"/>
    <w:rsid w:val="00643DA6"/>
    <w:rsid w:val="00645FC6"/>
    <w:rsid w:val="006472FF"/>
    <w:rsid w:val="00650365"/>
    <w:rsid w:val="00654B59"/>
    <w:rsid w:val="00655C04"/>
    <w:rsid w:val="00662B16"/>
    <w:rsid w:val="00670BE1"/>
    <w:rsid w:val="00673666"/>
    <w:rsid w:val="006776CC"/>
    <w:rsid w:val="006844BF"/>
    <w:rsid w:val="00686990"/>
    <w:rsid w:val="00696E4B"/>
    <w:rsid w:val="006A1802"/>
    <w:rsid w:val="006A2174"/>
    <w:rsid w:val="006A6C80"/>
    <w:rsid w:val="006B0198"/>
    <w:rsid w:val="006B1394"/>
    <w:rsid w:val="006B1A15"/>
    <w:rsid w:val="006B39EC"/>
    <w:rsid w:val="006B4E51"/>
    <w:rsid w:val="006C2951"/>
    <w:rsid w:val="006C545B"/>
    <w:rsid w:val="006D0730"/>
    <w:rsid w:val="006D0A34"/>
    <w:rsid w:val="006D1986"/>
    <w:rsid w:val="006D4362"/>
    <w:rsid w:val="006D5B51"/>
    <w:rsid w:val="006D613E"/>
    <w:rsid w:val="006D76F0"/>
    <w:rsid w:val="006E1721"/>
    <w:rsid w:val="00707C57"/>
    <w:rsid w:val="00712FCF"/>
    <w:rsid w:val="00723C51"/>
    <w:rsid w:val="00731A79"/>
    <w:rsid w:val="00736915"/>
    <w:rsid w:val="00741967"/>
    <w:rsid w:val="007433D9"/>
    <w:rsid w:val="0075029E"/>
    <w:rsid w:val="0075267D"/>
    <w:rsid w:val="00757CB1"/>
    <w:rsid w:val="0077448A"/>
    <w:rsid w:val="007770FB"/>
    <w:rsid w:val="00781036"/>
    <w:rsid w:val="00781766"/>
    <w:rsid w:val="00783ECB"/>
    <w:rsid w:val="0078527B"/>
    <w:rsid w:val="00786BB3"/>
    <w:rsid w:val="00791083"/>
    <w:rsid w:val="007950CD"/>
    <w:rsid w:val="007A2E38"/>
    <w:rsid w:val="007A4384"/>
    <w:rsid w:val="007B1AB2"/>
    <w:rsid w:val="007B5A2E"/>
    <w:rsid w:val="007B5AC1"/>
    <w:rsid w:val="007B5EDD"/>
    <w:rsid w:val="007C30BB"/>
    <w:rsid w:val="007D38EA"/>
    <w:rsid w:val="007D3D00"/>
    <w:rsid w:val="007D58A5"/>
    <w:rsid w:val="007E0CD7"/>
    <w:rsid w:val="007E3907"/>
    <w:rsid w:val="007E762B"/>
    <w:rsid w:val="007E7CF3"/>
    <w:rsid w:val="007F2A16"/>
    <w:rsid w:val="007F3100"/>
    <w:rsid w:val="007F4CB7"/>
    <w:rsid w:val="007F7D12"/>
    <w:rsid w:val="00801C23"/>
    <w:rsid w:val="0083389A"/>
    <w:rsid w:val="0084054F"/>
    <w:rsid w:val="008515EA"/>
    <w:rsid w:val="00865BC1"/>
    <w:rsid w:val="00870C6C"/>
    <w:rsid w:val="0087577F"/>
    <w:rsid w:val="00876403"/>
    <w:rsid w:val="00876817"/>
    <w:rsid w:val="00890469"/>
    <w:rsid w:val="00890A3D"/>
    <w:rsid w:val="008A4F95"/>
    <w:rsid w:val="008B59F2"/>
    <w:rsid w:val="008B5DEF"/>
    <w:rsid w:val="008B6ABD"/>
    <w:rsid w:val="008C1EEC"/>
    <w:rsid w:val="008D5630"/>
    <w:rsid w:val="008D7A59"/>
    <w:rsid w:val="008E249B"/>
    <w:rsid w:val="008E369D"/>
    <w:rsid w:val="008E6E51"/>
    <w:rsid w:val="008F0587"/>
    <w:rsid w:val="008F4A09"/>
    <w:rsid w:val="008F4A2F"/>
    <w:rsid w:val="008F619F"/>
    <w:rsid w:val="008F6A9A"/>
    <w:rsid w:val="008F739F"/>
    <w:rsid w:val="00900BBC"/>
    <w:rsid w:val="0090135F"/>
    <w:rsid w:val="00902809"/>
    <w:rsid w:val="0090390A"/>
    <w:rsid w:val="009106EB"/>
    <w:rsid w:val="00911876"/>
    <w:rsid w:val="00911BDF"/>
    <w:rsid w:val="009174E4"/>
    <w:rsid w:val="00923E56"/>
    <w:rsid w:val="00931BD9"/>
    <w:rsid w:val="009344E5"/>
    <w:rsid w:val="00935BF7"/>
    <w:rsid w:val="00944134"/>
    <w:rsid w:val="00945599"/>
    <w:rsid w:val="009543D5"/>
    <w:rsid w:val="00955653"/>
    <w:rsid w:val="00956996"/>
    <w:rsid w:val="00962D90"/>
    <w:rsid w:val="009636D1"/>
    <w:rsid w:val="00963B20"/>
    <w:rsid w:val="00971387"/>
    <w:rsid w:val="00972094"/>
    <w:rsid w:val="00980B44"/>
    <w:rsid w:val="009831F6"/>
    <w:rsid w:val="00986E99"/>
    <w:rsid w:val="00990BBD"/>
    <w:rsid w:val="009A37E3"/>
    <w:rsid w:val="009A49A4"/>
    <w:rsid w:val="009A7CB2"/>
    <w:rsid w:val="009B4E22"/>
    <w:rsid w:val="009B52B7"/>
    <w:rsid w:val="009C75E8"/>
    <w:rsid w:val="009E05C8"/>
    <w:rsid w:val="009E32EF"/>
    <w:rsid w:val="009E3411"/>
    <w:rsid w:val="009E69E3"/>
    <w:rsid w:val="009F1C86"/>
    <w:rsid w:val="009F1D1D"/>
    <w:rsid w:val="00A00BF6"/>
    <w:rsid w:val="00A0453A"/>
    <w:rsid w:val="00A05938"/>
    <w:rsid w:val="00A06785"/>
    <w:rsid w:val="00A06D1E"/>
    <w:rsid w:val="00A21848"/>
    <w:rsid w:val="00A21E6B"/>
    <w:rsid w:val="00A251D0"/>
    <w:rsid w:val="00A31A19"/>
    <w:rsid w:val="00A343BF"/>
    <w:rsid w:val="00A3656B"/>
    <w:rsid w:val="00A37DB5"/>
    <w:rsid w:val="00A424D3"/>
    <w:rsid w:val="00A4721A"/>
    <w:rsid w:val="00A55441"/>
    <w:rsid w:val="00A5559F"/>
    <w:rsid w:val="00A55F53"/>
    <w:rsid w:val="00A56920"/>
    <w:rsid w:val="00A633FD"/>
    <w:rsid w:val="00A63946"/>
    <w:rsid w:val="00A660C1"/>
    <w:rsid w:val="00A67DC3"/>
    <w:rsid w:val="00A73A2C"/>
    <w:rsid w:val="00A75D66"/>
    <w:rsid w:val="00A84E41"/>
    <w:rsid w:val="00A9266E"/>
    <w:rsid w:val="00AA1EC8"/>
    <w:rsid w:val="00AA328C"/>
    <w:rsid w:val="00AB204B"/>
    <w:rsid w:val="00AB4158"/>
    <w:rsid w:val="00AC1B09"/>
    <w:rsid w:val="00AC40AF"/>
    <w:rsid w:val="00AC466F"/>
    <w:rsid w:val="00AC4E6F"/>
    <w:rsid w:val="00AC7D1B"/>
    <w:rsid w:val="00AD1185"/>
    <w:rsid w:val="00AD1D33"/>
    <w:rsid w:val="00AD5AC1"/>
    <w:rsid w:val="00AE1B3B"/>
    <w:rsid w:val="00AE50C6"/>
    <w:rsid w:val="00AE5A0A"/>
    <w:rsid w:val="00AE737A"/>
    <w:rsid w:val="00AF24D1"/>
    <w:rsid w:val="00AF2816"/>
    <w:rsid w:val="00AF30C4"/>
    <w:rsid w:val="00AF5C03"/>
    <w:rsid w:val="00B00531"/>
    <w:rsid w:val="00B00FA9"/>
    <w:rsid w:val="00B01011"/>
    <w:rsid w:val="00B03844"/>
    <w:rsid w:val="00B074B5"/>
    <w:rsid w:val="00B11DBE"/>
    <w:rsid w:val="00B17987"/>
    <w:rsid w:val="00B22259"/>
    <w:rsid w:val="00B259F2"/>
    <w:rsid w:val="00B31AE6"/>
    <w:rsid w:val="00B32D72"/>
    <w:rsid w:val="00B32E8E"/>
    <w:rsid w:val="00B35D6B"/>
    <w:rsid w:val="00B414D3"/>
    <w:rsid w:val="00B47BCF"/>
    <w:rsid w:val="00B6335A"/>
    <w:rsid w:val="00B63A3A"/>
    <w:rsid w:val="00BA7B55"/>
    <w:rsid w:val="00BC4985"/>
    <w:rsid w:val="00BD3026"/>
    <w:rsid w:val="00BD48BD"/>
    <w:rsid w:val="00BD5B3F"/>
    <w:rsid w:val="00BE0E07"/>
    <w:rsid w:val="00BE28E7"/>
    <w:rsid w:val="00BE57B7"/>
    <w:rsid w:val="00C015BD"/>
    <w:rsid w:val="00C027C7"/>
    <w:rsid w:val="00C2294D"/>
    <w:rsid w:val="00C23D2D"/>
    <w:rsid w:val="00C24D28"/>
    <w:rsid w:val="00C253BA"/>
    <w:rsid w:val="00C25EF7"/>
    <w:rsid w:val="00C36576"/>
    <w:rsid w:val="00C379E8"/>
    <w:rsid w:val="00C476E2"/>
    <w:rsid w:val="00C5017E"/>
    <w:rsid w:val="00C515B7"/>
    <w:rsid w:val="00C6309E"/>
    <w:rsid w:val="00C70C4C"/>
    <w:rsid w:val="00C748D2"/>
    <w:rsid w:val="00C750BB"/>
    <w:rsid w:val="00C76A31"/>
    <w:rsid w:val="00C83321"/>
    <w:rsid w:val="00C84900"/>
    <w:rsid w:val="00C95D85"/>
    <w:rsid w:val="00CA7E81"/>
    <w:rsid w:val="00CB70B7"/>
    <w:rsid w:val="00CC1B04"/>
    <w:rsid w:val="00CC2C79"/>
    <w:rsid w:val="00CD4546"/>
    <w:rsid w:val="00CE25CC"/>
    <w:rsid w:val="00CF6C42"/>
    <w:rsid w:val="00D1517C"/>
    <w:rsid w:val="00D26FF0"/>
    <w:rsid w:val="00D32EA4"/>
    <w:rsid w:val="00D36302"/>
    <w:rsid w:val="00D46C2C"/>
    <w:rsid w:val="00D4709A"/>
    <w:rsid w:val="00D66963"/>
    <w:rsid w:val="00D74F16"/>
    <w:rsid w:val="00D76189"/>
    <w:rsid w:val="00D76BFE"/>
    <w:rsid w:val="00D85C7B"/>
    <w:rsid w:val="00D90FBD"/>
    <w:rsid w:val="00D93913"/>
    <w:rsid w:val="00D93A0A"/>
    <w:rsid w:val="00DA306A"/>
    <w:rsid w:val="00DA4C51"/>
    <w:rsid w:val="00DC7C68"/>
    <w:rsid w:val="00DD582A"/>
    <w:rsid w:val="00DD7E0E"/>
    <w:rsid w:val="00DE4EE6"/>
    <w:rsid w:val="00E007F1"/>
    <w:rsid w:val="00E13B01"/>
    <w:rsid w:val="00E223F9"/>
    <w:rsid w:val="00E23033"/>
    <w:rsid w:val="00E249F0"/>
    <w:rsid w:val="00E25B5D"/>
    <w:rsid w:val="00E269C8"/>
    <w:rsid w:val="00E33489"/>
    <w:rsid w:val="00E34CEE"/>
    <w:rsid w:val="00E42292"/>
    <w:rsid w:val="00E428A7"/>
    <w:rsid w:val="00E45661"/>
    <w:rsid w:val="00E546A1"/>
    <w:rsid w:val="00E75782"/>
    <w:rsid w:val="00E77BC0"/>
    <w:rsid w:val="00E848B6"/>
    <w:rsid w:val="00EA7740"/>
    <w:rsid w:val="00EB398E"/>
    <w:rsid w:val="00EC003C"/>
    <w:rsid w:val="00EC1E38"/>
    <w:rsid w:val="00EC355E"/>
    <w:rsid w:val="00EC3DB7"/>
    <w:rsid w:val="00EC6556"/>
    <w:rsid w:val="00EE0272"/>
    <w:rsid w:val="00EF0774"/>
    <w:rsid w:val="00F00D70"/>
    <w:rsid w:val="00F035B4"/>
    <w:rsid w:val="00F13271"/>
    <w:rsid w:val="00F1398E"/>
    <w:rsid w:val="00F35911"/>
    <w:rsid w:val="00F37028"/>
    <w:rsid w:val="00F40704"/>
    <w:rsid w:val="00F43B0B"/>
    <w:rsid w:val="00F44ED9"/>
    <w:rsid w:val="00F50ED9"/>
    <w:rsid w:val="00F52BDD"/>
    <w:rsid w:val="00F541F9"/>
    <w:rsid w:val="00F602B4"/>
    <w:rsid w:val="00F653F2"/>
    <w:rsid w:val="00F6543E"/>
    <w:rsid w:val="00F7062D"/>
    <w:rsid w:val="00F73E27"/>
    <w:rsid w:val="00F87FA7"/>
    <w:rsid w:val="00F94584"/>
    <w:rsid w:val="00FA129C"/>
    <w:rsid w:val="00FA48DC"/>
    <w:rsid w:val="00FB597F"/>
    <w:rsid w:val="00FB7FF1"/>
    <w:rsid w:val="00FC1971"/>
    <w:rsid w:val="00FD33A5"/>
    <w:rsid w:val="00FD46A5"/>
    <w:rsid w:val="00FD74BF"/>
    <w:rsid w:val="00FE1054"/>
    <w:rsid w:val="00FE150D"/>
    <w:rsid w:val="00FE170C"/>
    <w:rsid w:val="00FE454E"/>
    <w:rsid w:val="00FE5005"/>
    <w:rsid w:val="00FF4355"/>
    <w:rsid w:val="00FF7B57"/>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9C39A1"/>
  <w15:chartTrackingRefBased/>
  <w15:docId w15:val="{97C8AB1F-92A7-4EB6-9E59-8A7DECCE8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8"/>
        <w:szCs w:val="28"/>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12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1E6D2EA-2E7B-4885-B5CF-A258F8973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2794</Words>
  <Characters>15928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Mc Fee</dc:creator>
  <cp:keywords/>
  <dc:description/>
  <cp:lastModifiedBy>Ashley Mc Fee</cp:lastModifiedBy>
  <cp:revision>2</cp:revision>
  <dcterms:created xsi:type="dcterms:W3CDTF">2022-05-31T06:49:00Z</dcterms:created>
  <dcterms:modified xsi:type="dcterms:W3CDTF">2022-05-31T06:49:00Z</dcterms:modified>
</cp:coreProperties>
</file>