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07123" w14:textId="77777777" w:rsidR="006A27D9" w:rsidRPr="00F014DC" w:rsidRDefault="00000000">
      <w:pPr>
        <w:spacing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drawing>
          <wp:inline distT="114300" distB="114300" distL="114300" distR="114300" wp14:anchorId="64550CDB" wp14:editId="2DDB0E98">
            <wp:extent cx="2352675" cy="83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52675" cy="838200"/>
                    </a:xfrm>
                    <a:prstGeom prst="rect">
                      <a:avLst/>
                    </a:prstGeom>
                    <a:ln/>
                  </pic:spPr>
                </pic:pic>
              </a:graphicData>
            </a:graphic>
          </wp:inline>
        </w:drawing>
      </w:r>
    </w:p>
    <w:p w14:paraId="6A3130B7" w14:textId="77777777" w:rsidR="006A27D9" w:rsidRPr="00F014DC" w:rsidRDefault="006A27D9">
      <w:pPr>
        <w:spacing w:line="360" w:lineRule="auto"/>
        <w:jc w:val="both"/>
        <w:rPr>
          <w:rFonts w:ascii="Times New Roman" w:eastAsia="Times New Roman" w:hAnsi="Times New Roman" w:cs="Times New Roman"/>
          <w:sz w:val="24"/>
          <w:szCs w:val="24"/>
        </w:rPr>
      </w:pPr>
    </w:p>
    <w:p w14:paraId="7C26D6FC" w14:textId="77777777" w:rsidR="006A27D9" w:rsidRPr="00F014DC" w:rsidRDefault="006A27D9">
      <w:pPr>
        <w:spacing w:line="360" w:lineRule="auto"/>
        <w:jc w:val="both"/>
        <w:rPr>
          <w:rFonts w:ascii="Times New Roman" w:eastAsia="Times New Roman" w:hAnsi="Times New Roman" w:cs="Times New Roman"/>
          <w:sz w:val="24"/>
          <w:szCs w:val="24"/>
        </w:rPr>
      </w:pPr>
    </w:p>
    <w:p w14:paraId="79128112" w14:textId="77777777" w:rsidR="006A27D9" w:rsidRPr="00F014DC" w:rsidRDefault="006A27D9">
      <w:pPr>
        <w:spacing w:line="360" w:lineRule="auto"/>
        <w:jc w:val="center"/>
        <w:rPr>
          <w:rFonts w:ascii="Times New Roman" w:eastAsia="Times New Roman" w:hAnsi="Times New Roman" w:cs="Times New Roman"/>
          <w:b/>
          <w:bCs/>
          <w:sz w:val="32"/>
          <w:szCs w:val="32"/>
        </w:rPr>
      </w:pPr>
    </w:p>
    <w:p w14:paraId="55EE95BC" w14:textId="77777777" w:rsidR="006A27D9" w:rsidRPr="00F014DC" w:rsidRDefault="006A27D9">
      <w:pPr>
        <w:spacing w:line="360" w:lineRule="auto"/>
        <w:jc w:val="center"/>
        <w:rPr>
          <w:rFonts w:ascii="Times New Roman" w:eastAsia="Times New Roman" w:hAnsi="Times New Roman" w:cs="Times New Roman"/>
          <w:b/>
          <w:bCs/>
          <w:sz w:val="32"/>
          <w:szCs w:val="32"/>
        </w:rPr>
      </w:pPr>
    </w:p>
    <w:p w14:paraId="3CF3336D" w14:textId="77777777" w:rsidR="006A27D9" w:rsidRPr="00F014DC" w:rsidRDefault="006A27D9">
      <w:pPr>
        <w:spacing w:line="360" w:lineRule="auto"/>
        <w:jc w:val="center"/>
        <w:rPr>
          <w:rFonts w:ascii="Times New Roman" w:eastAsia="Times New Roman" w:hAnsi="Times New Roman" w:cs="Times New Roman"/>
          <w:b/>
          <w:bCs/>
          <w:sz w:val="32"/>
          <w:szCs w:val="32"/>
        </w:rPr>
      </w:pPr>
    </w:p>
    <w:p w14:paraId="5908A62D" w14:textId="77777777" w:rsidR="006A27D9" w:rsidRPr="00F014DC" w:rsidRDefault="006A27D9">
      <w:pPr>
        <w:spacing w:line="360" w:lineRule="auto"/>
        <w:jc w:val="center"/>
        <w:rPr>
          <w:rFonts w:ascii="Times New Roman" w:eastAsia="Times New Roman" w:hAnsi="Times New Roman" w:cs="Times New Roman"/>
          <w:b/>
          <w:bCs/>
          <w:sz w:val="32"/>
          <w:szCs w:val="32"/>
        </w:rPr>
      </w:pPr>
    </w:p>
    <w:p w14:paraId="3BDBF46C" w14:textId="77777777" w:rsidR="006A27D9" w:rsidRPr="00F014DC" w:rsidRDefault="006A27D9">
      <w:pPr>
        <w:spacing w:line="360" w:lineRule="auto"/>
        <w:jc w:val="center"/>
        <w:rPr>
          <w:rFonts w:ascii="Times New Roman" w:eastAsia="Times New Roman" w:hAnsi="Times New Roman" w:cs="Times New Roman"/>
          <w:b/>
          <w:bCs/>
          <w:sz w:val="32"/>
          <w:szCs w:val="32"/>
        </w:rPr>
      </w:pPr>
    </w:p>
    <w:p w14:paraId="003CB88B" w14:textId="77777777" w:rsidR="006A27D9" w:rsidRPr="00F014DC" w:rsidRDefault="00000000">
      <w:pPr>
        <w:spacing w:line="360" w:lineRule="auto"/>
        <w:jc w:val="center"/>
        <w:rPr>
          <w:rFonts w:ascii="Times New Roman" w:eastAsia="Times New Roman" w:hAnsi="Times New Roman" w:cs="Times New Roman"/>
          <w:b/>
          <w:bCs/>
          <w:sz w:val="32"/>
          <w:szCs w:val="32"/>
        </w:rPr>
      </w:pPr>
      <w:r w:rsidRPr="00F014DC">
        <w:rPr>
          <w:rFonts w:ascii="Times New Roman" w:eastAsia="Times New Roman" w:hAnsi="Times New Roman" w:cs="Times New Roman"/>
          <w:b/>
          <w:bCs/>
          <w:sz w:val="32"/>
          <w:szCs w:val="32"/>
        </w:rPr>
        <w:t>Programme: BA (Hons) Leadership and Management Skills for the Workplace</w:t>
      </w:r>
    </w:p>
    <w:p w14:paraId="34804FCA" w14:textId="77777777" w:rsidR="006A27D9" w:rsidRPr="00F014DC" w:rsidRDefault="00000000">
      <w:pPr>
        <w:spacing w:line="360" w:lineRule="auto"/>
        <w:jc w:val="center"/>
        <w:rPr>
          <w:rFonts w:ascii="Times New Roman" w:eastAsia="Times New Roman" w:hAnsi="Times New Roman" w:cs="Times New Roman"/>
          <w:b/>
          <w:bCs/>
          <w:sz w:val="32"/>
          <w:szCs w:val="32"/>
        </w:rPr>
      </w:pPr>
      <w:r w:rsidRPr="00F014DC">
        <w:rPr>
          <w:rFonts w:ascii="Times New Roman" w:eastAsia="Times New Roman" w:hAnsi="Times New Roman" w:cs="Times New Roman"/>
          <w:b/>
          <w:bCs/>
          <w:sz w:val="32"/>
          <w:szCs w:val="32"/>
        </w:rPr>
        <w:t>Module: Understanding and Engaging Stakeholders</w:t>
      </w:r>
    </w:p>
    <w:p w14:paraId="3981C111" w14:textId="77777777" w:rsidR="006A27D9" w:rsidRPr="00F014DC" w:rsidRDefault="00000000">
      <w:pPr>
        <w:spacing w:line="360" w:lineRule="auto"/>
        <w:jc w:val="center"/>
        <w:rPr>
          <w:rFonts w:ascii="Times New Roman" w:eastAsia="Times New Roman" w:hAnsi="Times New Roman" w:cs="Times New Roman"/>
          <w:b/>
          <w:bCs/>
          <w:sz w:val="32"/>
          <w:szCs w:val="32"/>
        </w:rPr>
      </w:pPr>
      <w:r w:rsidRPr="00F014DC">
        <w:rPr>
          <w:rFonts w:ascii="Times New Roman" w:eastAsia="Times New Roman" w:hAnsi="Times New Roman" w:cs="Times New Roman"/>
          <w:b/>
          <w:bCs/>
          <w:sz w:val="32"/>
          <w:szCs w:val="32"/>
        </w:rPr>
        <w:t xml:space="preserve">Module code: LCLM5001 </w:t>
      </w:r>
    </w:p>
    <w:p w14:paraId="41D87262" w14:textId="77777777" w:rsidR="006A27D9" w:rsidRPr="00F014DC" w:rsidRDefault="00000000">
      <w:pPr>
        <w:spacing w:line="360" w:lineRule="auto"/>
        <w:jc w:val="center"/>
        <w:rPr>
          <w:rFonts w:ascii="Times New Roman" w:eastAsia="Times New Roman" w:hAnsi="Times New Roman" w:cs="Times New Roman"/>
          <w:b/>
          <w:bCs/>
          <w:sz w:val="32"/>
          <w:szCs w:val="32"/>
        </w:rPr>
      </w:pPr>
      <w:r w:rsidRPr="00F014DC">
        <w:rPr>
          <w:rFonts w:ascii="Times New Roman" w:eastAsia="Times New Roman" w:hAnsi="Times New Roman" w:cs="Times New Roman"/>
          <w:b/>
          <w:bCs/>
          <w:sz w:val="32"/>
          <w:szCs w:val="32"/>
        </w:rPr>
        <w:t>Module Leaders: Alastair Moyes, Nishi Ramsurrun Assignment Title: Understanding the importance of Stakeholder Engagement in successful commencement and completion of project.</w:t>
      </w:r>
    </w:p>
    <w:p w14:paraId="27A8DED6" w14:textId="77777777" w:rsidR="006A27D9" w:rsidRPr="00F014DC" w:rsidRDefault="00000000">
      <w:pPr>
        <w:spacing w:line="360" w:lineRule="auto"/>
        <w:jc w:val="center"/>
        <w:rPr>
          <w:rFonts w:ascii="Times New Roman" w:eastAsia="Times New Roman" w:hAnsi="Times New Roman" w:cs="Times New Roman"/>
          <w:b/>
          <w:bCs/>
          <w:sz w:val="32"/>
          <w:szCs w:val="32"/>
        </w:rPr>
      </w:pPr>
      <w:r w:rsidRPr="00F014DC">
        <w:rPr>
          <w:rFonts w:ascii="Times New Roman" w:eastAsia="Times New Roman" w:hAnsi="Times New Roman" w:cs="Times New Roman"/>
          <w:b/>
          <w:bCs/>
          <w:sz w:val="32"/>
          <w:szCs w:val="32"/>
        </w:rPr>
        <w:t>Word count: 4,000</w:t>
      </w:r>
    </w:p>
    <w:p w14:paraId="14798B4A" w14:textId="77777777" w:rsidR="006A27D9" w:rsidRPr="00F014DC" w:rsidRDefault="006A27D9">
      <w:pPr>
        <w:spacing w:line="360" w:lineRule="auto"/>
        <w:jc w:val="both"/>
        <w:rPr>
          <w:rFonts w:ascii="Times New Roman" w:eastAsia="Times New Roman" w:hAnsi="Times New Roman" w:cs="Times New Roman"/>
          <w:sz w:val="24"/>
          <w:szCs w:val="24"/>
        </w:rPr>
      </w:pPr>
    </w:p>
    <w:p w14:paraId="15E15DAB" w14:textId="77777777" w:rsidR="006A27D9" w:rsidRPr="00F014DC" w:rsidRDefault="006A27D9">
      <w:pPr>
        <w:spacing w:line="360" w:lineRule="auto"/>
        <w:jc w:val="both"/>
        <w:rPr>
          <w:rFonts w:ascii="Times New Roman" w:eastAsia="Times New Roman" w:hAnsi="Times New Roman" w:cs="Times New Roman"/>
          <w:sz w:val="24"/>
          <w:szCs w:val="24"/>
        </w:rPr>
      </w:pPr>
    </w:p>
    <w:p w14:paraId="01D31D0D" w14:textId="77777777" w:rsidR="006A27D9" w:rsidRPr="00F014DC" w:rsidRDefault="00000000">
      <w:pPr>
        <w:spacing w:line="360" w:lineRule="auto"/>
        <w:jc w:val="both"/>
        <w:rPr>
          <w:rFonts w:ascii="Times New Roman" w:eastAsia="Times New Roman" w:hAnsi="Times New Roman" w:cs="Times New Roman"/>
          <w:sz w:val="24"/>
          <w:szCs w:val="24"/>
        </w:rPr>
      </w:pPr>
      <w:r w:rsidRPr="00F014DC">
        <w:br w:type="page"/>
      </w:r>
    </w:p>
    <w:p w14:paraId="1B0E2A7B" w14:textId="77777777" w:rsidR="006A27D9" w:rsidRPr="00F014DC" w:rsidRDefault="00000000">
      <w:pPr>
        <w:spacing w:line="360" w:lineRule="auto"/>
        <w:jc w:val="both"/>
        <w:rPr>
          <w:rFonts w:ascii="Times New Roman" w:eastAsia="Times New Roman" w:hAnsi="Times New Roman" w:cs="Times New Roman"/>
          <w:b/>
          <w:bCs/>
          <w:color w:val="222222"/>
          <w:sz w:val="24"/>
          <w:szCs w:val="24"/>
        </w:rPr>
      </w:pPr>
      <w:r w:rsidRPr="00F014DC">
        <w:rPr>
          <w:rFonts w:ascii="Times New Roman" w:eastAsia="Times New Roman" w:hAnsi="Times New Roman" w:cs="Times New Roman"/>
          <w:b/>
          <w:bCs/>
          <w:color w:val="222222"/>
          <w:sz w:val="24"/>
          <w:szCs w:val="24"/>
        </w:rPr>
        <w:lastRenderedPageBreak/>
        <w:t xml:space="preserve">Executive Summary </w:t>
      </w:r>
    </w:p>
    <w:p w14:paraId="0980715A" w14:textId="0DD3A1C7" w:rsidR="006A27D9" w:rsidRPr="00F014DC" w:rsidRDefault="00000000">
      <w:pPr>
        <w:spacing w:line="360" w:lineRule="auto"/>
        <w:jc w:val="both"/>
        <w:rPr>
          <w:rFonts w:ascii="Times New Roman" w:eastAsia="Times New Roman" w:hAnsi="Times New Roman" w:cs="Times New Roman"/>
          <w:b/>
          <w:bCs/>
          <w:color w:val="222222"/>
          <w:sz w:val="24"/>
          <w:szCs w:val="24"/>
        </w:rPr>
      </w:pPr>
      <w:r w:rsidRPr="00F014DC">
        <w:rPr>
          <w:rFonts w:ascii="Times New Roman" w:eastAsia="Times New Roman" w:hAnsi="Times New Roman" w:cs="Times New Roman"/>
          <w:color w:val="222222"/>
          <w:sz w:val="24"/>
          <w:szCs w:val="24"/>
        </w:rPr>
        <w:t xml:space="preserve">The report looks into the role of stakeholder involvement in successful project management of the new wearable health device of Bupa UK, which aims at monitoring heart rate, oxygen saturation and patterns of sleep for preventive healthcare. The situational analysis, based on the analytical tools of SWOT, PESTLE, and SMART goals, outlines the opportunities of </w:t>
      </w:r>
      <w:r w:rsidR="00C85CE5" w:rsidRPr="00F014DC">
        <w:rPr>
          <w:rFonts w:ascii="Times New Roman" w:eastAsia="Times New Roman" w:hAnsi="Times New Roman" w:cs="Times New Roman"/>
          <w:color w:val="222222"/>
          <w:sz w:val="24"/>
          <w:szCs w:val="24"/>
        </w:rPr>
        <w:t>digital</w:t>
      </w:r>
      <w:r w:rsidRPr="00F014DC">
        <w:rPr>
          <w:rFonts w:ascii="Times New Roman" w:eastAsia="Times New Roman" w:hAnsi="Times New Roman" w:cs="Times New Roman"/>
          <w:color w:val="222222"/>
          <w:sz w:val="24"/>
          <w:szCs w:val="24"/>
        </w:rPr>
        <w:t xml:space="preserve"> health development and threats of data privacy and legal requirements. Major internal and external stakeholders were visualised by the Matrix and Salience Model by Mendelow, and responsibilities were explained in a RACI model. Interaction and communication plans founded on the PMI Stakeholder Engagement Framework and the Shannon-Weaver communication theory depict how the planned interaction improves collaboration. The use of the 4Cs model consisting of communication, coordination, cooperation and </w:t>
      </w:r>
      <w:r w:rsidR="00C85CE5" w:rsidRPr="00F014DC">
        <w:rPr>
          <w:rFonts w:ascii="Times New Roman" w:eastAsia="Times New Roman" w:hAnsi="Times New Roman" w:cs="Times New Roman"/>
          <w:color w:val="222222"/>
          <w:sz w:val="24"/>
          <w:szCs w:val="24"/>
        </w:rPr>
        <w:t>collaboration</w:t>
      </w:r>
      <w:r w:rsidRPr="00F014DC">
        <w:rPr>
          <w:rFonts w:ascii="Times New Roman" w:eastAsia="Times New Roman" w:hAnsi="Times New Roman" w:cs="Times New Roman"/>
          <w:color w:val="222222"/>
          <w:sz w:val="24"/>
          <w:szCs w:val="24"/>
        </w:rPr>
        <w:t xml:space="preserve"> demonstrates the effectiveness of </w:t>
      </w:r>
      <w:r w:rsidR="00C85CE5" w:rsidRPr="00F014DC">
        <w:rPr>
          <w:rFonts w:ascii="Times New Roman" w:eastAsia="Times New Roman" w:hAnsi="Times New Roman" w:cs="Times New Roman"/>
          <w:color w:val="222222"/>
          <w:sz w:val="24"/>
          <w:szCs w:val="24"/>
        </w:rPr>
        <w:t>conflict</w:t>
      </w:r>
      <w:r w:rsidRPr="00F014DC">
        <w:rPr>
          <w:rFonts w:ascii="Times New Roman" w:eastAsia="Times New Roman" w:hAnsi="Times New Roman" w:cs="Times New Roman"/>
          <w:color w:val="222222"/>
          <w:sz w:val="24"/>
          <w:szCs w:val="24"/>
        </w:rPr>
        <w:t xml:space="preserve"> management that is an ingredient of innovation, accelerated delivery and better business performance. The analysis based on the Balanced Scorecard and EFQM reveals that the engagement of stakeholders is a cause of customer satisfaction, regulatory achievement and organisational image. Some of the recommendations involve stronger engagement platforms, co-creation laboratories and real-time stakeholder dashboards.</w:t>
      </w:r>
      <w:r w:rsidRPr="00F014DC">
        <w:br w:type="page"/>
      </w:r>
    </w:p>
    <w:p w14:paraId="4AE3BD25" w14:textId="77777777" w:rsidR="00C85CE5" w:rsidRPr="00F014DC" w:rsidRDefault="00000000">
      <w:pPr>
        <w:spacing w:line="360" w:lineRule="auto"/>
        <w:jc w:val="center"/>
        <w:rPr>
          <w:rFonts w:ascii="Times New Roman" w:eastAsia="Times New Roman" w:hAnsi="Times New Roman" w:cs="Times New Roman"/>
          <w:b/>
          <w:bCs/>
          <w:color w:val="222222"/>
          <w:sz w:val="24"/>
          <w:szCs w:val="24"/>
        </w:rPr>
      </w:pPr>
      <w:r w:rsidRPr="00F014DC">
        <w:rPr>
          <w:rFonts w:ascii="Times New Roman" w:eastAsia="Times New Roman" w:hAnsi="Times New Roman" w:cs="Times New Roman"/>
          <w:b/>
          <w:bCs/>
          <w:color w:val="222222"/>
          <w:sz w:val="24"/>
          <w:szCs w:val="24"/>
        </w:rPr>
        <w:lastRenderedPageBreak/>
        <w:t xml:space="preserve">Table Of Contents </w:t>
      </w:r>
    </w:p>
    <w:sdt>
      <w:sdtPr>
        <w:rPr>
          <w:rFonts w:ascii="Arial" w:eastAsia="Arial" w:hAnsi="Arial" w:cs="Arial"/>
          <w:b w:val="0"/>
          <w:color w:val="auto"/>
          <w:sz w:val="22"/>
          <w:szCs w:val="22"/>
          <w:lang w:val="en-GB" w:eastAsia="en-GB"/>
        </w:rPr>
        <w:id w:val="1822702298"/>
        <w:docPartObj>
          <w:docPartGallery w:val="Table of Contents"/>
          <w:docPartUnique/>
        </w:docPartObj>
      </w:sdtPr>
      <w:sdtEndPr>
        <w:rPr>
          <w:bCs/>
        </w:rPr>
      </w:sdtEndPr>
      <w:sdtContent>
        <w:p w14:paraId="1DDC0464" w14:textId="0C17FFB2" w:rsidR="00C85CE5" w:rsidRPr="00F014DC" w:rsidRDefault="00C85CE5">
          <w:pPr>
            <w:pStyle w:val="TOCHeading"/>
            <w:rPr>
              <w:rFonts w:ascii="Times New Roman" w:hAnsi="Times New Roman" w:cs="Times New Roman"/>
              <w:sz w:val="24"/>
              <w:szCs w:val="24"/>
              <w:lang w:val="en-GB"/>
            </w:rPr>
          </w:pPr>
        </w:p>
        <w:p w14:paraId="599DA014" w14:textId="65C50BCB"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r w:rsidRPr="00F014DC">
            <w:rPr>
              <w:rFonts w:ascii="Times New Roman" w:hAnsi="Times New Roman" w:cs="Times New Roman"/>
              <w:b/>
              <w:sz w:val="24"/>
              <w:szCs w:val="24"/>
            </w:rPr>
            <w:fldChar w:fldCharType="begin"/>
          </w:r>
          <w:r w:rsidRPr="00F014DC">
            <w:rPr>
              <w:rFonts w:ascii="Times New Roman" w:hAnsi="Times New Roman" w:cs="Times New Roman"/>
              <w:b/>
              <w:sz w:val="24"/>
              <w:szCs w:val="24"/>
            </w:rPr>
            <w:instrText xml:space="preserve"> TOC \o "1-3" \h \z \u </w:instrText>
          </w:r>
          <w:r w:rsidRPr="00F014DC">
            <w:rPr>
              <w:rFonts w:ascii="Times New Roman" w:hAnsi="Times New Roman" w:cs="Times New Roman"/>
              <w:b/>
              <w:sz w:val="24"/>
              <w:szCs w:val="24"/>
            </w:rPr>
            <w:fldChar w:fldCharType="separate"/>
          </w:r>
          <w:hyperlink w:anchor="_Toc215244982" w:history="1">
            <w:r w:rsidRPr="00F014DC">
              <w:rPr>
                <w:rStyle w:val="Hyperlink"/>
                <w:rFonts w:ascii="Times New Roman" w:hAnsi="Times New Roman" w:cs="Times New Roman"/>
                <w:b/>
                <w:sz w:val="24"/>
                <w:szCs w:val="24"/>
              </w:rPr>
              <w:t>1. Introduction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_Toc215244982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4</w:t>
            </w:r>
            <w:r w:rsidRPr="00F014DC">
              <w:rPr>
                <w:rFonts w:ascii="Times New Roman" w:hAnsi="Times New Roman" w:cs="Times New Roman"/>
                <w:b/>
                <w:webHidden/>
                <w:sz w:val="24"/>
                <w:szCs w:val="24"/>
              </w:rPr>
              <w:fldChar w:fldCharType="end"/>
            </w:r>
          </w:hyperlink>
        </w:p>
        <w:p w14:paraId="0F12F762" w14:textId="015D4193" w:rsidR="00C85CE5" w:rsidRPr="00F014DC" w:rsidRDefault="00C85CE5">
          <w:pPr>
            <w:pStyle w:val="TOC2"/>
            <w:tabs>
              <w:tab w:val="right" w:leader="dot" w:pos="9350"/>
            </w:tabs>
            <w:rPr>
              <w:rFonts w:ascii="Times New Roman" w:hAnsi="Times New Roman" w:cs="Times New Roman"/>
              <w:b/>
              <w:sz w:val="24"/>
              <w:szCs w:val="24"/>
            </w:rPr>
          </w:pPr>
          <w:hyperlink w:anchor="_Toc215244983" w:history="1">
            <w:r w:rsidRPr="00F014DC">
              <w:rPr>
                <w:rStyle w:val="Hyperlink"/>
                <w:rFonts w:ascii="Times New Roman" w:hAnsi="Times New Roman" w:cs="Times New Roman"/>
                <w:b/>
                <w:sz w:val="24"/>
                <w:szCs w:val="24"/>
              </w:rPr>
              <w:t>1.1 Overview of Bupa UK</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_Toc215244983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4</w:t>
            </w:r>
            <w:r w:rsidRPr="00F014DC">
              <w:rPr>
                <w:rFonts w:ascii="Times New Roman" w:hAnsi="Times New Roman" w:cs="Times New Roman"/>
                <w:b/>
                <w:webHidden/>
                <w:sz w:val="24"/>
                <w:szCs w:val="24"/>
              </w:rPr>
              <w:fldChar w:fldCharType="end"/>
            </w:r>
          </w:hyperlink>
        </w:p>
        <w:p w14:paraId="65A93574" w14:textId="089764AC" w:rsidR="00C85CE5" w:rsidRPr="00F014DC" w:rsidRDefault="00C85CE5">
          <w:pPr>
            <w:pStyle w:val="TOC2"/>
            <w:tabs>
              <w:tab w:val="right" w:leader="dot" w:pos="9350"/>
            </w:tabs>
            <w:rPr>
              <w:rFonts w:ascii="Times New Roman" w:hAnsi="Times New Roman" w:cs="Times New Roman"/>
              <w:b/>
              <w:sz w:val="24"/>
              <w:szCs w:val="24"/>
            </w:rPr>
          </w:pPr>
          <w:hyperlink w:anchor="_Toc215244984" w:history="1">
            <w:r w:rsidRPr="00F014DC">
              <w:rPr>
                <w:rStyle w:val="Hyperlink"/>
                <w:rFonts w:ascii="Times New Roman" w:hAnsi="Times New Roman" w:cs="Times New Roman"/>
                <w:b/>
                <w:sz w:val="24"/>
                <w:szCs w:val="24"/>
              </w:rPr>
              <w:t>1.2 Presentation of the Planned Project</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_Toc215244984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4</w:t>
            </w:r>
            <w:r w:rsidRPr="00F014DC">
              <w:rPr>
                <w:rFonts w:ascii="Times New Roman" w:hAnsi="Times New Roman" w:cs="Times New Roman"/>
                <w:b/>
                <w:webHidden/>
                <w:sz w:val="24"/>
                <w:szCs w:val="24"/>
              </w:rPr>
              <w:fldChar w:fldCharType="end"/>
            </w:r>
          </w:hyperlink>
        </w:p>
        <w:p w14:paraId="27748E97" w14:textId="50B8C6AC"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4985" w:history="1">
            <w:r w:rsidRPr="00F014DC">
              <w:rPr>
                <w:rStyle w:val="Hyperlink"/>
                <w:rFonts w:ascii="Times New Roman" w:eastAsia="Times New Roman" w:hAnsi="Times New Roman" w:cs="Times New Roman"/>
                <w:b/>
                <w:sz w:val="24"/>
                <w:szCs w:val="24"/>
              </w:rPr>
              <w:t>2. Situational Analysis of Bupa</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_Toc215244985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5</w:t>
            </w:r>
            <w:r w:rsidRPr="00F014DC">
              <w:rPr>
                <w:rFonts w:ascii="Times New Roman" w:hAnsi="Times New Roman" w:cs="Times New Roman"/>
                <w:b/>
                <w:webHidden/>
                <w:sz w:val="24"/>
                <w:szCs w:val="24"/>
              </w:rPr>
              <w:fldChar w:fldCharType="end"/>
            </w:r>
          </w:hyperlink>
        </w:p>
        <w:p w14:paraId="3D8EFC77" w14:textId="3AB545B8" w:rsidR="00C85CE5" w:rsidRPr="00F014DC" w:rsidRDefault="00C85CE5">
          <w:pPr>
            <w:pStyle w:val="TOC2"/>
            <w:tabs>
              <w:tab w:val="right" w:leader="dot" w:pos="9350"/>
            </w:tabs>
            <w:rPr>
              <w:rFonts w:ascii="Times New Roman" w:hAnsi="Times New Roman" w:cs="Times New Roman"/>
              <w:b/>
              <w:sz w:val="24"/>
              <w:szCs w:val="24"/>
            </w:rPr>
          </w:pPr>
          <w:hyperlink w:anchor="_Toc215244986" w:history="1">
            <w:r w:rsidRPr="00F014DC">
              <w:rPr>
                <w:rStyle w:val="Hyperlink"/>
                <w:rFonts w:ascii="Times New Roman" w:hAnsi="Times New Roman" w:cs="Times New Roman"/>
                <w:b/>
                <w:sz w:val="24"/>
                <w:szCs w:val="24"/>
              </w:rPr>
              <w:t>2.1 SWOT Analysis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_Toc215244986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5</w:t>
            </w:r>
            <w:r w:rsidRPr="00F014DC">
              <w:rPr>
                <w:rFonts w:ascii="Times New Roman" w:hAnsi="Times New Roman" w:cs="Times New Roman"/>
                <w:b/>
                <w:webHidden/>
                <w:sz w:val="24"/>
                <w:szCs w:val="24"/>
              </w:rPr>
              <w:fldChar w:fldCharType="end"/>
            </w:r>
          </w:hyperlink>
        </w:p>
        <w:p w14:paraId="31783141" w14:textId="5FD7B79B"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4987" w:history="1">
            <w:r w:rsidRPr="00F014DC">
              <w:rPr>
                <w:rStyle w:val="Hyperlink"/>
                <w:rFonts w:ascii="Times New Roman" w:eastAsia="Times New Roman" w:hAnsi="Times New Roman" w:cs="Times New Roman"/>
                <w:b/>
                <w:sz w:val="24"/>
                <w:szCs w:val="24"/>
              </w:rPr>
              <w:t>3. Identification of Key Internal &amp; External Stakeholders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_Toc215244987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8</w:t>
            </w:r>
            <w:r w:rsidRPr="00F014DC">
              <w:rPr>
                <w:rFonts w:ascii="Times New Roman" w:hAnsi="Times New Roman" w:cs="Times New Roman"/>
                <w:b/>
                <w:webHidden/>
                <w:sz w:val="24"/>
                <w:szCs w:val="24"/>
              </w:rPr>
              <w:fldChar w:fldCharType="end"/>
            </w:r>
          </w:hyperlink>
        </w:p>
        <w:p w14:paraId="6B066426" w14:textId="621D42BF" w:rsidR="00C85CE5" w:rsidRPr="00F014DC" w:rsidRDefault="00C85CE5">
          <w:pPr>
            <w:pStyle w:val="TOC2"/>
            <w:tabs>
              <w:tab w:val="right" w:leader="dot" w:pos="9350"/>
            </w:tabs>
            <w:rPr>
              <w:rFonts w:ascii="Times New Roman" w:hAnsi="Times New Roman" w:cs="Times New Roman"/>
              <w:b/>
              <w:sz w:val="24"/>
              <w:szCs w:val="24"/>
            </w:rPr>
          </w:pPr>
          <w:hyperlink w:anchor="_Toc215244988" w:history="1">
            <w:r w:rsidRPr="00F014DC">
              <w:rPr>
                <w:rStyle w:val="Hyperlink"/>
                <w:rFonts w:ascii="Times New Roman" w:hAnsi="Times New Roman" w:cs="Times New Roman"/>
                <w:b/>
                <w:sz w:val="24"/>
                <w:szCs w:val="24"/>
              </w:rPr>
              <w:t>3.1 Internal Stakeholders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_Toc215244988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8</w:t>
            </w:r>
            <w:r w:rsidRPr="00F014DC">
              <w:rPr>
                <w:rFonts w:ascii="Times New Roman" w:hAnsi="Times New Roman" w:cs="Times New Roman"/>
                <w:b/>
                <w:webHidden/>
                <w:sz w:val="24"/>
                <w:szCs w:val="24"/>
              </w:rPr>
              <w:fldChar w:fldCharType="end"/>
            </w:r>
          </w:hyperlink>
        </w:p>
        <w:p w14:paraId="6F3D0854" w14:textId="01F1C832"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4989" w:history="1">
            <w:r w:rsidRPr="00F014DC">
              <w:rPr>
                <w:rStyle w:val="Hyperlink"/>
                <w:rFonts w:ascii="Times New Roman" w:eastAsia="Times New Roman" w:hAnsi="Times New Roman" w:cs="Times New Roman"/>
                <w:b/>
                <w:i/>
                <w:iCs/>
                <w:sz w:val="24"/>
                <w:szCs w:val="24"/>
              </w:rPr>
              <w:t>3.2 External Stakeholders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_Toc215244989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9</w:t>
            </w:r>
            <w:r w:rsidRPr="00F014DC">
              <w:rPr>
                <w:rFonts w:ascii="Times New Roman" w:hAnsi="Times New Roman" w:cs="Times New Roman"/>
                <w:b/>
                <w:webHidden/>
                <w:sz w:val="24"/>
                <w:szCs w:val="24"/>
              </w:rPr>
              <w:fldChar w:fldCharType="end"/>
            </w:r>
          </w:hyperlink>
        </w:p>
        <w:p w14:paraId="1375688B" w14:textId="2E848E2B" w:rsidR="00C85CE5" w:rsidRPr="00F014DC" w:rsidRDefault="00C85CE5">
          <w:pPr>
            <w:pStyle w:val="TOC2"/>
            <w:tabs>
              <w:tab w:val="right" w:leader="dot" w:pos="9350"/>
            </w:tabs>
            <w:rPr>
              <w:rFonts w:ascii="Times New Roman" w:hAnsi="Times New Roman" w:cs="Times New Roman"/>
              <w:b/>
              <w:sz w:val="24"/>
              <w:szCs w:val="24"/>
            </w:rPr>
          </w:pPr>
          <w:hyperlink w:anchor="_Toc215244990" w:history="1">
            <w:r w:rsidRPr="00F014DC">
              <w:rPr>
                <w:rStyle w:val="Hyperlink"/>
                <w:rFonts w:ascii="Times New Roman" w:hAnsi="Times New Roman" w:cs="Times New Roman"/>
                <w:b/>
                <w:sz w:val="24"/>
                <w:szCs w:val="24"/>
              </w:rPr>
              <w:t>3.3 Tools &amp; Concepts: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_Toc215244990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10</w:t>
            </w:r>
            <w:r w:rsidRPr="00F014DC">
              <w:rPr>
                <w:rFonts w:ascii="Times New Roman" w:hAnsi="Times New Roman" w:cs="Times New Roman"/>
                <w:b/>
                <w:webHidden/>
                <w:sz w:val="24"/>
                <w:szCs w:val="24"/>
              </w:rPr>
              <w:fldChar w:fldCharType="end"/>
            </w:r>
          </w:hyperlink>
        </w:p>
        <w:p w14:paraId="1A3850E0" w14:textId="23ECD4E0"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4991" w:history="1">
            <w:r w:rsidRPr="00F014DC">
              <w:rPr>
                <w:rStyle w:val="Hyperlink"/>
                <w:rFonts w:ascii="Times New Roman" w:eastAsia="Times New Roman" w:hAnsi="Times New Roman" w:cs="Times New Roman"/>
                <w:b/>
                <w:sz w:val="24"/>
                <w:szCs w:val="24"/>
              </w:rPr>
              <w:t>4. Roles, Responsibilities, Benefits &amp; Challenges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_Toc215244991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10</w:t>
            </w:r>
            <w:r w:rsidRPr="00F014DC">
              <w:rPr>
                <w:rFonts w:ascii="Times New Roman" w:hAnsi="Times New Roman" w:cs="Times New Roman"/>
                <w:b/>
                <w:webHidden/>
                <w:sz w:val="24"/>
                <w:szCs w:val="24"/>
              </w:rPr>
              <w:fldChar w:fldCharType="end"/>
            </w:r>
          </w:hyperlink>
        </w:p>
        <w:p w14:paraId="7D835393" w14:textId="1716D07E" w:rsidR="00C85CE5" w:rsidRPr="00F014DC" w:rsidRDefault="00C85CE5">
          <w:pPr>
            <w:pStyle w:val="TOC2"/>
            <w:tabs>
              <w:tab w:val="right" w:leader="dot" w:pos="9350"/>
            </w:tabs>
            <w:rPr>
              <w:rFonts w:ascii="Times New Roman" w:hAnsi="Times New Roman" w:cs="Times New Roman"/>
              <w:b/>
              <w:sz w:val="24"/>
              <w:szCs w:val="24"/>
            </w:rPr>
          </w:pPr>
          <w:hyperlink w:anchor="_Toc215244992" w:history="1">
            <w:r w:rsidRPr="00F014DC">
              <w:rPr>
                <w:rStyle w:val="Hyperlink"/>
                <w:rFonts w:ascii="Times New Roman" w:hAnsi="Times New Roman" w:cs="Times New Roman"/>
                <w:b/>
                <w:sz w:val="24"/>
                <w:szCs w:val="24"/>
              </w:rPr>
              <w:t>4.1 RACI Matrix (Responsibility Allocation)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_Toc215244992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10</w:t>
            </w:r>
            <w:r w:rsidRPr="00F014DC">
              <w:rPr>
                <w:rFonts w:ascii="Times New Roman" w:hAnsi="Times New Roman" w:cs="Times New Roman"/>
                <w:b/>
                <w:webHidden/>
                <w:sz w:val="24"/>
                <w:szCs w:val="24"/>
              </w:rPr>
              <w:fldChar w:fldCharType="end"/>
            </w:r>
          </w:hyperlink>
        </w:p>
        <w:p w14:paraId="322A2311" w14:textId="50ECD9FA" w:rsidR="00C85CE5" w:rsidRPr="00F014DC" w:rsidRDefault="00C85CE5">
          <w:pPr>
            <w:pStyle w:val="TOC2"/>
            <w:tabs>
              <w:tab w:val="right" w:leader="dot" w:pos="9350"/>
            </w:tabs>
            <w:rPr>
              <w:rFonts w:ascii="Times New Roman" w:hAnsi="Times New Roman" w:cs="Times New Roman"/>
              <w:b/>
              <w:sz w:val="24"/>
              <w:szCs w:val="24"/>
            </w:rPr>
          </w:pPr>
          <w:hyperlink w:anchor="_Toc215244993" w:history="1">
            <w:r w:rsidRPr="00F014DC">
              <w:rPr>
                <w:rStyle w:val="Hyperlink"/>
                <w:rFonts w:ascii="Times New Roman" w:hAnsi="Times New Roman" w:cs="Times New Roman"/>
                <w:b/>
                <w:sz w:val="24"/>
                <w:szCs w:val="24"/>
              </w:rPr>
              <w:t>4.2 Benefits Stakeholders Bring</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_Toc215244993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13</w:t>
            </w:r>
            <w:r w:rsidRPr="00F014DC">
              <w:rPr>
                <w:rFonts w:ascii="Times New Roman" w:hAnsi="Times New Roman" w:cs="Times New Roman"/>
                <w:b/>
                <w:webHidden/>
                <w:sz w:val="24"/>
                <w:szCs w:val="24"/>
              </w:rPr>
              <w:fldChar w:fldCharType="end"/>
            </w:r>
          </w:hyperlink>
        </w:p>
        <w:p w14:paraId="159015F9" w14:textId="441657EF" w:rsidR="00C85CE5" w:rsidRPr="00F014DC" w:rsidRDefault="00C85CE5">
          <w:pPr>
            <w:pStyle w:val="TOC2"/>
            <w:tabs>
              <w:tab w:val="right" w:leader="dot" w:pos="9350"/>
            </w:tabs>
            <w:rPr>
              <w:rFonts w:ascii="Times New Roman" w:hAnsi="Times New Roman" w:cs="Times New Roman"/>
              <w:b/>
              <w:sz w:val="24"/>
              <w:szCs w:val="24"/>
            </w:rPr>
          </w:pPr>
          <w:hyperlink w:anchor="_Toc215244994" w:history="1">
            <w:r w:rsidRPr="00F014DC">
              <w:rPr>
                <w:rStyle w:val="Hyperlink"/>
                <w:rFonts w:ascii="Times New Roman" w:hAnsi="Times New Roman" w:cs="Times New Roman"/>
                <w:b/>
                <w:sz w:val="24"/>
                <w:szCs w:val="24"/>
              </w:rPr>
              <w:t>4.3 Challenges Faced</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_Toc215244994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13</w:t>
            </w:r>
            <w:r w:rsidRPr="00F014DC">
              <w:rPr>
                <w:rFonts w:ascii="Times New Roman" w:hAnsi="Times New Roman" w:cs="Times New Roman"/>
                <w:b/>
                <w:webHidden/>
                <w:sz w:val="24"/>
                <w:szCs w:val="24"/>
              </w:rPr>
              <w:fldChar w:fldCharType="end"/>
            </w:r>
          </w:hyperlink>
        </w:p>
        <w:p w14:paraId="53A7C048" w14:textId="1198FF26" w:rsidR="00C85CE5" w:rsidRPr="00F014DC" w:rsidRDefault="00C85CE5">
          <w:pPr>
            <w:pStyle w:val="TOC2"/>
            <w:tabs>
              <w:tab w:val="right" w:leader="dot" w:pos="9350"/>
            </w:tabs>
            <w:rPr>
              <w:rFonts w:ascii="Times New Roman" w:hAnsi="Times New Roman" w:cs="Times New Roman"/>
              <w:b/>
              <w:sz w:val="24"/>
              <w:szCs w:val="24"/>
            </w:rPr>
          </w:pPr>
          <w:hyperlink w:anchor="_Toc215244995" w:history="1">
            <w:r w:rsidRPr="00F014DC">
              <w:rPr>
                <w:rStyle w:val="Hyperlink"/>
                <w:rFonts w:ascii="Times New Roman" w:hAnsi="Times New Roman" w:cs="Times New Roman"/>
                <w:b/>
                <w:sz w:val="24"/>
                <w:szCs w:val="24"/>
              </w:rPr>
              <w:t>4.4 Supporting Theories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_Toc215244995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13</w:t>
            </w:r>
            <w:r w:rsidRPr="00F014DC">
              <w:rPr>
                <w:rFonts w:ascii="Times New Roman" w:hAnsi="Times New Roman" w:cs="Times New Roman"/>
                <w:b/>
                <w:webHidden/>
                <w:sz w:val="24"/>
                <w:szCs w:val="24"/>
              </w:rPr>
              <w:fldChar w:fldCharType="end"/>
            </w:r>
          </w:hyperlink>
        </w:p>
        <w:p w14:paraId="6588674A" w14:textId="338ED3AA"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4996" w:history="1">
            <w:r w:rsidRPr="00F014DC">
              <w:rPr>
                <w:rStyle w:val="Hyperlink"/>
                <w:rFonts w:ascii="Times New Roman" w:eastAsia="Times New Roman" w:hAnsi="Times New Roman" w:cs="Times New Roman"/>
                <w:b/>
                <w:sz w:val="24"/>
                <w:szCs w:val="24"/>
              </w:rPr>
              <w:t>5. Stakeholder Engagement Mechanisms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_Toc215244996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13</w:t>
            </w:r>
            <w:r w:rsidRPr="00F014DC">
              <w:rPr>
                <w:rFonts w:ascii="Times New Roman" w:hAnsi="Times New Roman" w:cs="Times New Roman"/>
                <w:b/>
                <w:webHidden/>
                <w:sz w:val="24"/>
                <w:szCs w:val="24"/>
              </w:rPr>
              <w:fldChar w:fldCharType="end"/>
            </w:r>
          </w:hyperlink>
        </w:p>
        <w:p w14:paraId="3CEF799E" w14:textId="7FC5CE59"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4997" w:history="1">
            <w:r w:rsidRPr="00F014DC">
              <w:rPr>
                <w:rStyle w:val="Hyperlink"/>
                <w:rFonts w:ascii="Times New Roman" w:eastAsia="Times New Roman" w:hAnsi="Times New Roman" w:cs="Times New Roman"/>
                <w:b/>
                <w:sz w:val="24"/>
                <w:szCs w:val="24"/>
              </w:rPr>
              <w:t>5.1 Stakeholder Mapping / Salience Theory</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_Toc215244997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14</w:t>
            </w:r>
            <w:r w:rsidRPr="00F014DC">
              <w:rPr>
                <w:rFonts w:ascii="Times New Roman" w:hAnsi="Times New Roman" w:cs="Times New Roman"/>
                <w:b/>
                <w:webHidden/>
                <w:sz w:val="24"/>
                <w:szCs w:val="24"/>
              </w:rPr>
              <w:fldChar w:fldCharType="end"/>
            </w:r>
          </w:hyperlink>
        </w:p>
        <w:p w14:paraId="4A198647" w14:textId="6AC42AF7"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4998" w:history="1">
            <w:r w:rsidRPr="00F014DC">
              <w:rPr>
                <w:rStyle w:val="Hyperlink"/>
                <w:rFonts w:ascii="Times New Roman" w:eastAsia="Times New Roman" w:hAnsi="Times New Roman" w:cs="Times New Roman"/>
                <w:b/>
                <w:sz w:val="24"/>
                <w:szCs w:val="24"/>
              </w:rPr>
              <w:t>5.2 Stakeholder Engagement Plan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_Toc215244998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14</w:t>
            </w:r>
            <w:r w:rsidRPr="00F014DC">
              <w:rPr>
                <w:rFonts w:ascii="Times New Roman" w:hAnsi="Times New Roman" w:cs="Times New Roman"/>
                <w:b/>
                <w:webHidden/>
                <w:sz w:val="24"/>
                <w:szCs w:val="24"/>
              </w:rPr>
              <w:fldChar w:fldCharType="end"/>
            </w:r>
          </w:hyperlink>
        </w:p>
        <w:p w14:paraId="50413080" w14:textId="61BB82B3"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4999" w:history="1">
            <w:r w:rsidRPr="00F014DC">
              <w:rPr>
                <w:rStyle w:val="Hyperlink"/>
                <w:rFonts w:ascii="Times New Roman" w:eastAsia="Times New Roman" w:hAnsi="Times New Roman" w:cs="Times New Roman"/>
                <w:b/>
                <w:sz w:val="24"/>
                <w:szCs w:val="24"/>
              </w:rPr>
              <w:t>5.3 Communication Plan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_Toc215244999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15</w:t>
            </w:r>
            <w:r w:rsidRPr="00F014DC">
              <w:rPr>
                <w:rFonts w:ascii="Times New Roman" w:hAnsi="Times New Roman" w:cs="Times New Roman"/>
                <w:b/>
                <w:webHidden/>
                <w:sz w:val="24"/>
                <w:szCs w:val="24"/>
              </w:rPr>
              <w:fldChar w:fldCharType="end"/>
            </w:r>
          </w:hyperlink>
        </w:p>
        <w:p w14:paraId="6FEE8F1D" w14:textId="06750E44"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5000" w:history="1">
            <w:r w:rsidRPr="00F014DC">
              <w:rPr>
                <w:rStyle w:val="Hyperlink"/>
                <w:rFonts w:ascii="Times New Roman" w:eastAsia="Times New Roman" w:hAnsi="Times New Roman" w:cs="Times New Roman"/>
                <w:b/>
                <w:sz w:val="24"/>
                <w:szCs w:val="24"/>
              </w:rPr>
              <w:t>6. Critical Explanation of Engagement Process &amp; Conflict Management</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_Toc215245000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16</w:t>
            </w:r>
            <w:r w:rsidRPr="00F014DC">
              <w:rPr>
                <w:rFonts w:ascii="Times New Roman" w:hAnsi="Times New Roman" w:cs="Times New Roman"/>
                <w:b/>
                <w:webHidden/>
                <w:sz w:val="24"/>
                <w:szCs w:val="24"/>
              </w:rPr>
              <w:fldChar w:fldCharType="end"/>
            </w:r>
          </w:hyperlink>
        </w:p>
        <w:p w14:paraId="2DF54BF7" w14:textId="46F08E97"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1" w:history="1">
            <w:r w:rsidRPr="00F014DC">
              <w:rPr>
                <w:rStyle w:val="Hyperlink"/>
                <w:rFonts w:ascii="Times New Roman" w:eastAsia="Times New Roman" w:hAnsi="Times New Roman" w:cs="Times New Roman"/>
                <w:b/>
                <w:sz w:val="24"/>
                <w:szCs w:val="24"/>
              </w:rPr>
              <w:t>6.1 As Project Manager, what engagement process will you adopt?</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_Toc215245001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16</w:t>
            </w:r>
            <w:r w:rsidRPr="00F014DC">
              <w:rPr>
                <w:rFonts w:ascii="Times New Roman" w:hAnsi="Times New Roman" w:cs="Times New Roman"/>
                <w:b/>
                <w:webHidden/>
                <w:sz w:val="24"/>
                <w:szCs w:val="24"/>
              </w:rPr>
              <w:fldChar w:fldCharType="end"/>
            </w:r>
          </w:hyperlink>
        </w:p>
        <w:p w14:paraId="36700318" w14:textId="79B104C3"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2" w:history="1">
            <w:r w:rsidRPr="00F014DC">
              <w:rPr>
                <w:rStyle w:val="Hyperlink"/>
                <w:rFonts w:ascii="Times New Roman" w:eastAsia="Times New Roman" w:hAnsi="Times New Roman" w:cs="Times New Roman"/>
                <w:b/>
                <w:sz w:val="24"/>
                <w:szCs w:val="24"/>
              </w:rPr>
              <w:t>6.2 Application of the 4Cs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_Toc215245002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17</w:t>
            </w:r>
            <w:r w:rsidRPr="00F014DC">
              <w:rPr>
                <w:rFonts w:ascii="Times New Roman" w:hAnsi="Times New Roman" w:cs="Times New Roman"/>
                <w:b/>
                <w:webHidden/>
                <w:sz w:val="24"/>
                <w:szCs w:val="24"/>
              </w:rPr>
              <w:fldChar w:fldCharType="end"/>
            </w:r>
          </w:hyperlink>
        </w:p>
        <w:p w14:paraId="02338AB0" w14:textId="7604CE27"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3" w:history="1">
            <w:r w:rsidRPr="00F014DC">
              <w:rPr>
                <w:rStyle w:val="Hyperlink"/>
                <w:rFonts w:ascii="Times New Roman" w:eastAsia="Times New Roman" w:hAnsi="Times New Roman" w:cs="Times New Roman"/>
                <w:b/>
                <w:sz w:val="24"/>
                <w:szCs w:val="24"/>
              </w:rPr>
              <w:t>6.3 Conflict Management Approaches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_Toc215245003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18</w:t>
            </w:r>
            <w:r w:rsidRPr="00F014DC">
              <w:rPr>
                <w:rFonts w:ascii="Times New Roman" w:hAnsi="Times New Roman" w:cs="Times New Roman"/>
                <w:b/>
                <w:webHidden/>
                <w:sz w:val="24"/>
                <w:szCs w:val="24"/>
              </w:rPr>
              <w:fldChar w:fldCharType="end"/>
            </w:r>
          </w:hyperlink>
        </w:p>
        <w:p w14:paraId="0E5C22AF" w14:textId="24FEE2EA"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4" w:history="1">
            <w:r w:rsidRPr="00F014DC">
              <w:rPr>
                <w:rStyle w:val="Hyperlink"/>
                <w:rFonts w:ascii="Times New Roman" w:eastAsia="Times New Roman" w:hAnsi="Times New Roman" w:cs="Times New Roman"/>
                <w:b/>
                <w:sz w:val="24"/>
                <w:szCs w:val="24"/>
              </w:rPr>
              <w:t>6.4 Critical Evaluation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_Toc215245004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18</w:t>
            </w:r>
            <w:r w:rsidRPr="00F014DC">
              <w:rPr>
                <w:rFonts w:ascii="Times New Roman" w:hAnsi="Times New Roman" w:cs="Times New Roman"/>
                <w:b/>
                <w:webHidden/>
                <w:sz w:val="24"/>
                <w:szCs w:val="24"/>
              </w:rPr>
              <w:fldChar w:fldCharType="end"/>
            </w:r>
          </w:hyperlink>
        </w:p>
        <w:p w14:paraId="7FAB5583" w14:textId="6A852177"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5005" w:history="1">
            <w:r w:rsidRPr="00F014DC">
              <w:rPr>
                <w:rStyle w:val="Hyperlink"/>
                <w:rFonts w:ascii="Times New Roman" w:eastAsia="Times New Roman" w:hAnsi="Times New Roman" w:cs="Times New Roman"/>
                <w:b/>
                <w:sz w:val="24"/>
                <w:szCs w:val="24"/>
              </w:rPr>
              <w:t>7. Evaluation of Impact of Stakeholder Engagement on Business Performance</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_Toc215245005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19</w:t>
            </w:r>
            <w:r w:rsidRPr="00F014DC">
              <w:rPr>
                <w:rFonts w:ascii="Times New Roman" w:hAnsi="Times New Roman" w:cs="Times New Roman"/>
                <w:b/>
                <w:webHidden/>
                <w:sz w:val="24"/>
                <w:szCs w:val="24"/>
              </w:rPr>
              <w:fldChar w:fldCharType="end"/>
            </w:r>
          </w:hyperlink>
        </w:p>
        <w:p w14:paraId="6AFC6D6F" w14:textId="11C4B5AA"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6" w:history="1">
            <w:r w:rsidRPr="00F014DC">
              <w:rPr>
                <w:rStyle w:val="Hyperlink"/>
                <w:rFonts w:ascii="Times New Roman" w:eastAsia="Times New Roman" w:hAnsi="Times New Roman" w:cs="Times New Roman"/>
                <w:b/>
                <w:sz w:val="24"/>
                <w:szCs w:val="24"/>
              </w:rPr>
              <w:t>7.1 Impact Areas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_Toc215245006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19</w:t>
            </w:r>
            <w:r w:rsidRPr="00F014DC">
              <w:rPr>
                <w:rFonts w:ascii="Times New Roman" w:hAnsi="Times New Roman" w:cs="Times New Roman"/>
                <w:b/>
                <w:webHidden/>
                <w:sz w:val="24"/>
                <w:szCs w:val="24"/>
              </w:rPr>
              <w:fldChar w:fldCharType="end"/>
            </w:r>
          </w:hyperlink>
        </w:p>
        <w:p w14:paraId="70FF3C6C" w14:textId="5E6CBAA9"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7" w:history="1">
            <w:r w:rsidRPr="00F014DC">
              <w:rPr>
                <w:rStyle w:val="Hyperlink"/>
                <w:rFonts w:ascii="Times New Roman" w:eastAsia="Times New Roman" w:hAnsi="Times New Roman" w:cs="Times New Roman"/>
                <w:b/>
                <w:sz w:val="24"/>
                <w:szCs w:val="24"/>
              </w:rPr>
              <w:t>7.2 Use Analytical Models</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_Toc215245007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19</w:t>
            </w:r>
            <w:r w:rsidRPr="00F014DC">
              <w:rPr>
                <w:rFonts w:ascii="Times New Roman" w:hAnsi="Times New Roman" w:cs="Times New Roman"/>
                <w:b/>
                <w:webHidden/>
                <w:sz w:val="24"/>
                <w:szCs w:val="24"/>
              </w:rPr>
              <w:fldChar w:fldCharType="end"/>
            </w:r>
          </w:hyperlink>
        </w:p>
        <w:p w14:paraId="0ABDFA3E" w14:textId="53CD75E3"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8" w:history="1">
            <w:r w:rsidRPr="00F014DC">
              <w:rPr>
                <w:rStyle w:val="Hyperlink"/>
                <w:rFonts w:ascii="Times New Roman" w:eastAsia="Times New Roman" w:hAnsi="Times New Roman" w:cs="Times New Roman"/>
                <w:b/>
                <w:sz w:val="24"/>
                <w:szCs w:val="24"/>
              </w:rPr>
              <w:t>7.3 Evidence from Literature</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_Toc215245008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20</w:t>
            </w:r>
            <w:r w:rsidRPr="00F014DC">
              <w:rPr>
                <w:rFonts w:ascii="Times New Roman" w:hAnsi="Times New Roman" w:cs="Times New Roman"/>
                <w:b/>
                <w:webHidden/>
                <w:sz w:val="24"/>
                <w:szCs w:val="24"/>
              </w:rPr>
              <w:fldChar w:fldCharType="end"/>
            </w:r>
          </w:hyperlink>
        </w:p>
        <w:p w14:paraId="3535CB81" w14:textId="38321496" w:rsidR="00C85CE5" w:rsidRPr="00F014DC" w:rsidRDefault="00C85CE5">
          <w:pPr>
            <w:pStyle w:val="TOC3"/>
            <w:tabs>
              <w:tab w:val="right" w:leader="dot" w:pos="9350"/>
            </w:tabs>
            <w:rPr>
              <w:rFonts w:ascii="Times New Roman" w:eastAsiaTheme="minorEastAsia" w:hAnsi="Times New Roman" w:cs="Times New Roman"/>
              <w:b/>
              <w:kern w:val="2"/>
              <w:sz w:val="24"/>
              <w:szCs w:val="24"/>
              <w14:ligatures w14:val="standardContextual"/>
            </w:rPr>
          </w:pPr>
          <w:hyperlink w:anchor="_Toc215245009" w:history="1">
            <w:r w:rsidRPr="00F014DC">
              <w:rPr>
                <w:rStyle w:val="Hyperlink"/>
                <w:rFonts w:ascii="Times New Roman" w:eastAsia="Times New Roman" w:hAnsi="Times New Roman" w:cs="Times New Roman"/>
                <w:b/>
                <w:sz w:val="24"/>
                <w:szCs w:val="24"/>
              </w:rPr>
              <w:t>7.4 Critical Perspective</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_Toc215245009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20</w:t>
            </w:r>
            <w:r w:rsidRPr="00F014DC">
              <w:rPr>
                <w:rFonts w:ascii="Times New Roman" w:hAnsi="Times New Roman" w:cs="Times New Roman"/>
                <w:b/>
                <w:webHidden/>
                <w:sz w:val="24"/>
                <w:szCs w:val="24"/>
              </w:rPr>
              <w:fldChar w:fldCharType="end"/>
            </w:r>
          </w:hyperlink>
        </w:p>
        <w:p w14:paraId="6BCCE96E" w14:textId="35B9D1E0"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5010" w:history="1">
            <w:r w:rsidRPr="00F014DC">
              <w:rPr>
                <w:rStyle w:val="Hyperlink"/>
                <w:rFonts w:ascii="Times New Roman" w:eastAsia="Times New Roman" w:hAnsi="Times New Roman" w:cs="Times New Roman"/>
                <w:b/>
                <w:sz w:val="24"/>
                <w:szCs w:val="24"/>
              </w:rPr>
              <w:t>8. Recommendations for Future Stakeholder Engagement</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_Toc215245010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21</w:t>
            </w:r>
            <w:r w:rsidRPr="00F014DC">
              <w:rPr>
                <w:rFonts w:ascii="Times New Roman" w:hAnsi="Times New Roman" w:cs="Times New Roman"/>
                <w:b/>
                <w:webHidden/>
                <w:sz w:val="24"/>
                <w:szCs w:val="24"/>
              </w:rPr>
              <w:fldChar w:fldCharType="end"/>
            </w:r>
          </w:hyperlink>
        </w:p>
        <w:p w14:paraId="2F240B6F" w14:textId="2BE38935"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5011" w:history="1">
            <w:r w:rsidRPr="00F014DC">
              <w:rPr>
                <w:rStyle w:val="Hyperlink"/>
                <w:rFonts w:ascii="Times New Roman" w:eastAsia="Times New Roman" w:hAnsi="Times New Roman" w:cs="Times New Roman"/>
                <w:b/>
                <w:sz w:val="24"/>
                <w:szCs w:val="24"/>
              </w:rPr>
              <w:t>9. Conclusion</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_Toc215245011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21</w:t>
            </w:r>
            <w:r w:rsidRPr="00F014DC">
              <w:rPr>
                <w:rFonts w:ascii="Times New Roman" w:hAnsi="Times New Roman" w:cs="Times New Roman"/>
                <w:b/>
                <w:webHidden/>
                <w:sz w:val="24"/>
                <w:szCs w:val="24"/>
              </w:rPr>
              <w:fldChar w:fldCharType="end"/>
            </w:r>
          </w:hyperlink>
        </w:p>
        <w:p w14:paraId="14D77F83" w14:textId="2C642A3E" w:rsidR="00C85CE5" w:rsidRPr="00F014DC" w:rsidRDefault="00C85CE5">
          <w:pPr>
            <w:pStyle w:val="TOC1"/>
            <w:tabs>
              <w:tab w:val="right" w:leader="dot" w:pos="9350"/>
            </w:tabs>
            <w:rPr>
              <w:rFonts w:ascii="Times New Roman" w:eastAsiaTheme="minorEastAsia" w:hAnsi="Times New Roman" w:cs="Times New Roman"/>
              <w:b/>
              <w:kern w:val="2"/>
              <w:sz w:val="24"/>
              <w:szCs w:val="24"/>
              <w14:ligatures w14:val="standardContextual"/>
            </w:rPr>
          </w:pPr>
          <w:hyperlink w:anchor="_Toc215245012" w:history="1">
            <w:r w:rsidRPr="00F014DC">
              <w:rPr>
                <w:rStyle w:val="Hyperlink"/>
                <w:rFonts w:ascii="Times New Roman" w:eastAsia="Times New Roman" w:hAnsi="Times New Roman" w:cs="Times New Roman"/>
                <w:b/>
                <w:sz w:val="24"/>
                <w:szCs w:val="24"/>
              </w:rPr>
              <w:t>10. Reference List</w:t>
            </w:r>
            <w:r w:rsidRPr="00F014DC">
              <w:rPr>
                <w:rFonts w:ascii="Times New Roman" w:hAnsi="Times New Roman" w:cs="Times New Roman"/>
                <w:b/>
                <w:webHidden/>
                <w:sz w:val="24"/>
                <w:szCs w:val="24"/>
              </w:rPr>
              <w:tab/>
            </w:r>
            <w:r w:rsidRPr="00F014DC">
              <w:rPr>
                <w:rFonts w:ascii="Times New Roman" w:hAnsi="Times New Roman" w:cs="Times New Roman"/>
                <w:b/>
                <w:webHidden/>
                <w:sz w:val="24"/>
                <w:szCs w:val="24"/>
              </w:rPr>
              <w:fldChar w:fldCharType="begin"/>
            </w:r>
            <w:r w:rsidRPr="00F014DC">
              <w:rPr>
                <w:rFonts w:ascii="Times New Roman" w:hAnsi="Times New Roman" w:cs="Times New Roman"/>
                <w:b/>
                <w:webHidden/>
                <w:sz w:val="24"/>
                <w:szCs w:val="24"/>
              </w:rPr>
              <w:instrText xml:space="preserve"> PAGEREF _Toc215245012 \h </w:instrText>
            </w:r>
            <w:r w:rsidRPr="00F014DC">
              <w:rPr>
                <w:rFonts w:ascii="Times New Roman" w:hAnsi="Times New Roman" w:cs="Times New Roman"/>
                <w:b/>
                <w:webHidden/>
                <w:sz w:val="24"/>
                <w:szCs w:val="24"/>
              </w:rPr>
            </w:r>
            <w:r w:rsidRPr="00F014DC">
              <w:rPr>
                <w:rFonts w:ascii="Times New Roman" w:hAnsi="Times New Roman" w:cs="Times New Roman"/>
                <w:b/>
                <w:webHidden/>
                <w:sz w:val="24"/>
                <w:szCs w:val="24"/>
              </w:rPr>
              <w:fldChar w:fldCharType="separate"/>
            </w:r>
            <w:r w:rsidRPr="00F014DC">
              <w:rPr>
                <w:rFonts w:ascii="Times New Roman" w:hAnsi="Times New Roman" w:cs="Times New Roman"/>
                <w:b/>
                <w:webHidden/>
                <w:sz w:val="24"/>
                <w:szCs w:val="24"/>
              </w:rPr>
              <w:t>23</w:t>
            </w:r>
            <w:r w:rsidRPr="00F014DC">
              <w:rPr>
                <w:rFonts w:ascii="Times New Roman" w:hAnsi="Times New Roman" w:cs="Times New Roman"/>
                <w:b/>
                <w:webHidden/>
                <w:sz w:val="24"/>
                <w:szCs w:val="24"/>
              </w:rPr>
              <w:fldChar w:fldCharType="end"/>
            </w:r>
          </w:hyperlink>
        </w:p>
        <w:p w14:paraId="1CA142E7" w14:textId="2A43846E" w:rsidR="00C85CE5" w:rsidRPr="00F014DC" w:rsidRDefault="00C85CE5">
          <w:r w:rsidRPr="00F014DC">
            <w:rPr>
              <w:rFonts w:ascii="Times New Roman" w:hAnsi="Times New Roman" w:cs="Times New Roman"/>
              <w:b/>
              <w:sz w:val="24"/>
              <w:szCs w:val="24"/>
            </w:rPr>
            <w:fldChar w:fldCharType="end"/>
          </w:r>
        </w:p>
      </w:sdtContent>
    </w:sdt>
    <w:p w14:paraId="1F894ACF" w14:textId="33AB3A2E" w:rsidR="006A27D9" w:rsidRPr="00F014DC" w:rsidRDefault="006A27D9">
      <w:pPr>
        <w:spacing w:line="360" w:lineRule="auto"/>
        <w:jc w:val="center"/>
        <w:rPr>
          <w:rFonts w:ascii="Times New Roman" w:eastAsia="Times New Roman" w:hAnsi="Times New Roman" w:cs="Times New Roman"/>
          <w:b/>
          <w:bCs/>
          <w:color w:val="222222"/>
          <w:sz w:val="24"/>
          <w:szCs w:val="24"/>
        </w:rPr>
      </w:pPr>
    </w:p>
    <w:p w14:paraId="7107BB1E" w14:textId="77777777" w:rsidR="006A27D9" w:rsidRPr="00F014DC" w:rsidRDefault="006A27D9">
      <w:pPr>
        <w:shd w:val="clear" w:color="auto" w:fill="FFFFFF"/>
        <w:spacing w:before="200" w:after="200" w:line="360" w:lineRule="auto"/>
        <w:jc w:val="both"/>
        <w:rPr>
          <w:rFonts w:ascii="Times New Roman" w:eastAsia="Times New Roman" w:hAnsi="Times New Roman" w:cs="Times New Roman"/>
          <w:color w:val="222222"/>
          <w:sz w:val="24"/>
          <w:szCs w:val="24"/>
        </w:rPr>
      </w:pPr>
    </w:p>
    <w:p w14:paraId="50A25885" w14:textId="77777777" w:rsidR="006A27D9" w:rsidRPr="00F014DC" w:rsidRDefault="006A27D9">
      <w:pPr>
        <w:spacing w:line="360" w:lineRule="auto"/>
        <w:jc w:val="both"/>
        <w:rPr>
          <w:rFonts w:ascii="Times New Roman" w:eastAsia="Times New Roman" w:hAnsi="Times New Roman" w:cs="Times New Roman"/>
          <w:sz w:val="24"/>
          <w:szCs w:val="24"/>
        </w:rPr>
      </w:pPr>
    </w:p>
    <w:p w14:paraId="7F2AD26F" w14:textId="77777777" w:rsidR="006A27D9" w:rsidRPr="00F014DC" w:rsidRDefault="00000000">
      <w:pPr>
        <w:spacing w:line="360" w:lineRule="auto"/>
        <w:jc w:val="both"/>
        <w:rPr>
          <w:rFonts w:ascii="Times New Roman" w:eastAsia="Times New Roman" w:hAnsi="Times New Roman" w:cs="Times New Roman"/>
          <w:sz w:val="24"/>
          <w:szCs w:val="24"/>
        </w:rPr>
      </w:pPr>
      <w:r w:rsidRPr="00F014DC">
        <w:br w:type="page"/>
      </w:r>
    </w:p>
    <w:p w14:paraId="28D7F0A6" w14:textId="77777777" w:rsidR="006A27D9" w:rsidRPr="00F014DC" w:rsidRDefault="00000000" w:rsidP="00C85CE5">
      <w:pPr>
        <w:pStyle w:val="Heading1"/>
        <w:rPr>
          <w:b w:val="0"/>
        </w:rPr>
      </w:pPr>
      <w:bookmarkStart w:id="0" w:name="_Toc215244982"/>
      <w:r w:rsidRPr="00F014DC">
        <w:lastRenderedPageBreak/>
        <w:t>1. Introduction</w:t>
      </w:r>
      <w:bookmarkEnd w:id="0"/>
    </w:p>
    <w:p w14:paraId="7F37E1C0" w14:textId="77777777" w:rsidR="006A27D9" w:rsidRPr="00F014DC" w:rsidRDefault="00000000" w:rsidP="00C85CE5">
      <w:pPr>
        <w:pStyle w:val="Heading2"/>
        <w:rPr>
          <w:b w:val="0"/>
        </w:rPr>
      </w:pPr>
      <w:bookmarkStart w:id="1" w:name="_Toc215244983"/>
      <w:r w:rsidRPr="00F014DC">
        <w:t>1.1 Overview of Bupa UK</w:t>
      </w:r>
      <w:bookmarkEnd w:id="1"/>
      <w:r w:rsidRPr="00F014DC">
        <w:t xml:space="preserve"> </w:t>
      </w:r>
    </w:p>
    <w:p w14:paraId="1DDC6D9A" w14:textId="047E8C19"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Bupa UK is a major private healthcare provider in the United </w:t>
      </w:r>
      <w:r w:rsidR="00C85CE5" w:rsidRPr="00F014DC">
        <w:rPr>
          <w:rFonts w:ascii="Times New Roman" w:eastAsia="Times New Roman" w:hAnsi="Times New Roman" w:cs="Times New Roman"/>
          <w:color w:val="222222"/>
          <w:sz w:val="24"/>
          <w:szCs w:val="24"/>
        </w:rPr>
        <w:t>Kingdom,</w:t>
      </w:r>
      <w:r w:rsidRPr="00F014DC">
        <w:rPr>
          <w:rFonts w:ascii="Times New Roman" w:eastAsia="Times New Roman" w:hAnsi="Times New Roman" w:cs="Times New Roman"/>
          <w:color w:val="222222"/>
          <w:sz w:val="24"/>
          <w:szCs w:val="24"/>
        </w:rPr>
        <w:t xml:space="preserve"> and it is a subsidiary of the global Bupa Group that has a client base of more than 50 million customers. Within the UK, Bupa has about 200,000 employees throughout the hospitals, health clinics, dental centres, care homes, insurance services and digital health functions (</w:t>
      </w:r>
      <w:r w:rsidRPr="00F014DC">
        <w:rPr>
          <w:rFonts w:ascii="Times New Roman" w:eastAsia="Times New Roman" w:hAnsi="Times New Roman" w:cs="Times New Roman"/>
          <w:sz w:val="24"/>
          <w:szCs w:val="24"/>
        </w:rPr>
        <w:t>Careers.bupa, 2024)</w:t>
      </w:r>
      <w:r w:rsidRPr="00F014DC">
        <w:rPr>
          <w:rFonts w:ascii="Times New Roman" w:eastAsia="Times New Roman" w:hAnsi="Times New Roman" w:cs="Times New Roman"/>
          <w:color w:val="222222"/>
          <w:sz w:val="24"/>
          <w:szCs w:val="24"/>
        </w:rPr>
        <w:t xml:space="preserve">. Being one of the largest participants of the private healthcare market, Bupa provides </w:t>
      </w:r>
      <w:r w:rsidR="00C85CE5" w:rsidRPr="00F014DC">
        <w:rPr>
          <w:rFonts w:ascii="Times New Roman" w:eastAsia="Times New Roman" w:hAnsi="Times New Roman" w:cs="Times New Roman"/>
          <w:color w:val="222222"/>
          <w:sz w:val="24"/>
          <w:szCs w:val="24"/>
        </w:rPr>
        <w:t>services such</w:t>
      </w:r>
      <w:r w:rsidRPr="00F014DC">
        <w:rPr>
          <w:rFonts w:ascii="Times New Roman" w:eastAsia="Times New Roman" w:hAnsi="Times New Roman" w:cs="Times New Roman"/>
          <w:color w:val="222222"/>
          <w:sz w:val="24"/>
          <w:szCs w:val="24"/>
        </w:rPr>
        <w:t xml:space="preserve"> as health insurance, disease management, mental wellbeing assistance, occupational health and remote digital visits (</w:t>
      </w:r>
      <w:r w:rsidRPr="00F014DC">
        <w:rPr>
          <w:rFonts w:ascii="Times New Roman" w:eastAsia="Times New Roman" w:hAnsi="Times New Roman" w:cs="Times New Roman"/>
          <w:sz w:val="24"/>
          <w:szCs w:val="24"/>
        </w:rPr>
        <w:t xml:space="preserve">Bupa, 2024). </w:t>
      </w:r>
      <w:r w:rsidRPr="00F014DC">
        <w:rPr>
          <w:rFonts w:ascii="Times New Roman" w:eastAsia="Times New Roman" w:hAnsi="Times New Roman" w:cs="Times New Roman"/>
          <w:color w:val="222222"/>
          <w:sz w:val="24"/>
          <w:szCs w:val="24"/>
        </w:rPr>
        <w:t xml:space="preserve">Its strategic orientation is a fusion of conventional health services and high-tech healthcare products to foster preventive health and wellbeing. The company has a good </w:t>
      </w:r>
      <w:r w:rsidR="00C85CE5" w:rsidRPr="00F014DC">
        <w:rPr>
          <w:rFonts w:ascii="Times New Roman" w:eastAsia="Times New Roman" w:hAnsi="Times New Roman" w:cs="Times New Roman"/>
          <w:color w:val="222222"/>
          <w:sz w:val="24"/>
          <w:szCs w:val="24"/>
        </w:rPr>
        <w:t>clinical</w:t>
      </w:r>
      <w:r w:rsidRPr="00F014DC">
        <w:rPr>
          <w:rFonts w:ascii="Times New Roman" w:eastAsia="Times New Roman" w:hAnsi="Times New Roman" w:cs="Times New Roman"/>
          <w:color w:val="222222"/>
          <w:sz w:val="24"/>
          <w:szCs w:val="24"/>
        </w:rPr>
        <w:t xml:space="preserve"> reputation, customer trust and innovation that has placed it competitively in the expanding UK digital healthcare market.</w:t>
      </w:r>
    </w:p>
    <w:p w14:paraId="2C656152" w14:textId="77777777" w:rsidR="006A27D9" w:rsidRPr="00F014DC" w:rsidRDefault="00000000" w:rsidP="00C85CE5">
      <w:pPr>
        <w:pStyle w:val="Heading2"/>
      </w:pPr>
      <w:bookmarkStart w:id="2" w:name="_egj9mpwy3mwq" w:colFirst="0" w:colLast="0"/>
      <w:bookmarkStart w:id="3" w:name="_Toc215244984"/>
      <w:bookmarkEnd w:id="2"/>
      <w:r w:rsidRPr="00F014DC">
        <w:t>1.2 Presentation of the Planned Project</w:t>
      </w:r>
      <w:bookmarkEnd w:id="3"/>
    </w:p>
    <w:p w14:paraId="48535F5B"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Bupa UK, in reaction to the increasing demand on consumers to use personalised health tracking devices, will introduce a new wearable health device, which will record the heart rate, the level of oxygen saturation and sleep patterns. The gadget is to aid in early screening of health hazards and empower the customer to manage wellbeing proactively by means of real-time monitoring and connection with the digital health environments of Bupa (</w:t>
      </w:r>
      <w:r w:rsidRPr="00F014DC">
        <w:rPr>
          <w:rFonts w:ascii="Times New Roman" w:eastAsia="Times New Roman" w:hAnsi="Times New Roman" w:cs="Times New Roman"/>
          <w:sz w:val="24"/>
          <w:szCs w:val="24"/>
        </w:rPr>
        <w:t>Bupa, 2024).</w:t>
      </w:r>
      <w:r w:rsidRPr="00F014DC">
        <w:rPr>
          <w:rFonts w:ascii="Times New Roman" w:eastAsia="Times New Roman" w:hAnsi="Times New Roman" w:cs="Times New Roman"/>
          <w:color w:val="222222"/>
          <w:sz w:val="24"/>
          <w:szCs w:val="24"/>
        </w:rPr>
        <w:t xml:space="preserve"> As it will be launched in six months, the project needs intense and sustainable stakeholder involvement that would help in technical accuracy, compliance to regulations, conforming to the market and customer acceptance. Stakeholder involvement is a critical prerequisite to the successful project delivery. The Stakeholder Theory developed by Freeman highlights that organisations should be able to take into account the interests and needs of all stakeholders in order to generate value and reduce conflict (</w:t>
      </w:r>
      <w:r w:rsidRPr="00F014DC">
        <w:rPr>
          <w:rFonts w:ascii="Times New Roman" w:eastAsia="Times New Roman" w:hAnsi="Times New Roman" w:cs="Times New Roman"/>
          <w:color w:val="222222"/>
          <w:sz w:val="24"/>
          <w:szCs w:val="24"/>
          <w:highlight w:val="white"/>
        </w:rPr>
        <w:t>Freeman, 2010).</w:t>
      </w:r>
      <w:r w:rsidRPr="00F014DC">
        <w:rPr>
          <w:rFonts w:ascii="Times New Roman" w:eastAsia="Times New Roman" w:hAnsi="Times New Roman" w:cs="Times New Roman"/>
          <w:color w:val="222222"/>
          <w:sz w:val="24"/>
          <w:szCs w:val="24"/>
        </w:rPr>
        <w:t xml:space="preserve"> Likewise, the Project Management Institute (PMI, 2021) advises to plan, communicate and collaborate structure to make the project successful and satisfy the stakeholders. Thus, the governance of the stakeholder expectations is essential to the process of facilitating the innovation, reducing threats and attaining a high-quality market introduction.</w:t>
      </w:r>
    </w:p>
    <w:p w14:paraId="417DF45C" w14:textId="77777777" w:rsidR="006A27D9" w:rsidRPr="00F014DC" w:rsidRDefault="00000000">
      <w:pPr>
        <w:pStyle w:val="Heading1"/>
        <w:keepNext w:val="0"/>
        <w:keepLines w:val="0"/>
        <w:shd w:val="clear" w:color="auto" w:fill="FFFFFF"/>
        <w:spacing w:before="480"/>
        <w:rPr>
          <w:rFonts w:eastAsia="Times New Roman" w:cs="Times New Roman"/>
          <w:i/>
          <w:iCs/>
          <w:color w:val="222222"/>
          <w:szCs w:val="24"/>
        </w:rPr>
      </w:pPr>
      <w:bookmarkStart w:id="4" w:name="_ptdvu62nda3p" w:colFirst="0" w:colLast="0"/>
      <w:bookmarkStart w:id="5" w:name="_Toc215244985"/>
      <w:bookmarkEnd w:id="4"/>
      <w:r w:rsidRPr="00F014DC">
        <w:rPr>
          <w:rFonts w:eastAsia="Times New Roman" w:cs="Times New Roman"/>
          <w:bCs/>
          <w:color w:val="222222"/>
          <w:szCs w:val="24"/>
        </w:rPr>
        <w:lastRenderedPageBreak/>
        <w:t>2. Situational Analysis of Bupa</w:t>
      </w:r>
      <w:bookmarkEnd w:id="5"/>
      <w:r w:rsidRPr="00F014DC">
        <w:rPr>
          <w:rFonts w:eastAsia="Times New Roman" w:cs="Times New Roman"/>
          <w:bCs/>
          <w:color w:val="222222"/>
          <w:szCs w:val="24"/>
        </w:rPr>
        <w:t xml:space="preserve"> </w:t>
      </w:r>
    </w:p>
    <w:p w14:paraId="18144025" w14:textId="77777777" w:rsidR="006A27D9" w:rsidRPr="00F014DC" w:rsidRDefault="00000000" w:rsidP="00C85CE5">
      <w:pPr>
        <w:pStyle w:val="Heading2"/>
      </w:pPr>
      <w:bookmarkStart w:id="6" w:name="_zh60rb9xjr39" w:colFirst="0" w:colLast="0"/>
      <w:bookmarkStart w:id="7" w:name="_Toc215244986"/>
      <w:bookmarkEnd w:id="6"/>
      <w:r w:rsidRPr="00F014DC">
        <w:t>2.1 SWOT Analysis</w:t>
      </w:r>
      <w:bookmarkEnd w:id="7"/>
      <w:r w:rsidRPr="00F014DC">
        <w:t xml:space="preserve"> </w:t>
      </w:r>
    </w:p>
    <w:p w14:paraId="5BED934C"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SWOT analysis will give detailed analysis of the internal strengths of Bupa and external environment that will aid in strategic preparation towards the introduction of the new wearable health device.</w:t>
      </w:r>
    </w:p>
    <w:p w14:paraId="4438ABDE"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sz w:val="24"/>
          <w:szCs w:val="24"/>
        </w:rPr>
      </w:pPr>
      <w:r w:rsidRPr="00F014DC">
        <w:rPr>
          <w:rFonts w:ascii="Times New Roman" w:eastAsia="Times New Roman" w:hAnsi="Times New Roman" w:cs="Times New Roman"/>
          <w:b/>
          <w:bCs/>
          <w:sz w:val="24"/>
          <w:szCs w:val="24"/>
        </w:rPr>
        <w:t>Strengths</w:t>
      </w:r>
    </w:p>
    <w:p w14:paraId="4D2634A5"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Bupa UK also enjoys a good brand image, which has been established over decades of experience in the provision of private healthcare. The large base of customers, and variety of services (insurance, digital health consultations, dental care, elderly care) gives it a huge integrated ecosystem that can implement new digital products. Bupa has also a highly developed digital health infrastructure (telehealth, data-driven clinical support systems) providing a basis to integrate wearable data into individual care pathways. Good financial strength and investment will also boost the capacity of Bupa to finance its research, development, and marketing activities (Christopher </w:t>
      </w:r>
      <w:r w:rsidRPr="00F014DC">
        <w:rPr>
          <w:rFonts w:ascii="Times New Roman" w:eastAsia="Times New Roman" w:hAnsi="Times New Roman" w:cs="Times New Roman"/>
          <w:i/>
          <w:iCs/>
          <w:sz w:val="24"/>
          <w:szCs w:val="24"/>
        </w:rPr>
        <w:t>et al.</w:t>
      </w:r>
      <w:r w:rsidRPr="00F014DC">
        <w:rPr>
          <w:rFonts w:ascii="Times New Roman" w:eastAsia="Times New Roman" w:hAnsi="Times New Roman" w:cs="Times New Roman"/>
          <w:sz w:val="24"/>
          <w:szCs w:val="24"/>
        </w:rPr>
        <w:t>, 2013). Moreover, Bupa has substantial clinical experience and collaborations with the health professionals, enhancing the credibility of products and regulatory standards.</w:t>
      </w:r>
    </w:p>
    <w:p w14:paraId="4DBE8558"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sz w:val="24"/>
          <w:szCs w:val="24"/>
        </w:rPr>
      </w:pPr>
      <w:r w:rsidRPr="00F014DC">
        <w:rPr>
          <w:rFonts w:ascii="Times New Roman" w:eastAsia="Times New Roman" w:hAnsi="Times New Roman" w:cs="Times New Roman"/>
          <w:b/>
          <w:bCs/>
          <w:sz w:val="24"/>
          <w:szCs w:val="24"/>
        </w:rPr>
        <w:t>Weaknesses</w:t>
      </w:r>
    </w:p>
    <w:p w14:paraId="210E4DEC" w14:textId="241295EA"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Although Bupa has advantages, it has internal limitations which include a high structure of operations cost which might limit the ability to offer competitive prices to the new device. The </w:t>
      </w:r>
      <w:r w:rsidR="00C85CE5" w:rsidRPr="00F014DC">
        <w:rPr>
          <w:rFonts w:ascii="Times New Roman" w:eastAsia="Times New Roman" w:hAnsi="Times New Roman" w:cs="Times New Roman"/>
          <w:sz w:val="24"/>
          <w:szCs w:val="24"/>
        </w:rPr>
        <w:t>company</w:t>
      </w:r>
      <w:r w:rsidRPr="00F014DC">
        <w:rPr>
          <w:rFonts w:ascii="Times New Roman" w:eastAsia="Times New Roman" w:hAnsi="Times New Roman" w:cs="Times New Roman"/>
          <w:sz w:val="24"/>
          <w:szCs w:val="24"/>
        </w:rPr>
        <w:t xml:space="preserve"> lacks </w:t>
      </w:r>
      <w:r w:rsidR="00C85CE5" w:rsidRPr="00F014DC">
        <w:rPr>
          <w:rFonts w:ascii="Times New Roman" w:eastAsia="Times New Roman" w:hAnsi="Times New Roman" w:cs="Times New Roman"/>
          <w:sz w:val="24"/>
          <w:szCs w:val="24"/>
        </w:rPr>
        <w:t>experience</w:t>
      </w:r>
      <w:r w:rsidRPr="00F014DC">
        <w:rPr>
          <w:rFonts w:ascii="Times New Roman" w:eastAsia="Times New Roman" w:hAnsi="Times New Roman" w:cs="Times New Roman"/>
          <w:sz w:val="24"/>
          <w:szCs w:val="24"/>
        </w:rPr>
        <w:t xml:space="preserve"> in hardware technology production, which means that it becomes more dependent on the suppliers. Cybersecurity and privacy of data may be one of the risks because of the sensitivity of health information that is gathered with the aid of wearables. Moreover, the opposition to change can be the result of internal opposition by employees who are not well-versed in </w:t>
      </w:r>
      <w:r w:rsidR="00C85CE5" w:rsidRPr="00F014DC">
        <w:rPr>
          <w:rFonts w:ascii="Times New Roman" w:eastAsia="Times New Roman" w:hAnsi="Times New Roman" w:cs="Times New Roman"/>
          <w:sz w:val="24"/>
          <w:szCs w:val="24"/>
        </w:rPr>
        <w:t>advanced</w:t>
      </w:r>
      <w:r w:rsidRPr="00F014DC">
        <w:rPr>
          <w:rFonts w:ascii="Times New Roman" w:eastAsia="Times New Roman" w:hAnsi="Times New Roman" w:cs="Times New Roman"/>
          <w:sz w:val="24"/>
          <w:szCs w:val="24"/>
        </w:rPr>
        <w:t xml:space="preserve"> technology-based initiatives. Integration of wearable data in clinical decision systems can also be </w:t>
      </w:r>
      <w:r w:rsidR="00C85CE5" w:rsidRPr="00F014DC">
        <w:rPr>
          <w:rFonts w:ascii="Times New Roman" w:eastAsia="Times New Roman" w:hAnsi="Times New Roman" w:cs="Times New Roman"/>
          <w:sz w:val="24"/>
          <w:szCs w:val="24"/>
        </w:rPr>
        <w:t>complex,</w:t>
      </w:r>
      <w:r w:rsidRPr="00F014DC">
        <w:rPr>
          <w:rFonts w:ascii="Times New Roman" w:eastAsia="Times New Roman" w:hAnsi="Times New Roman" w:cs="Times New Roman"/>
          <w:sz w:val="24"/>
          <w:szCs w:val="24"/>
        </w:rPr>
        <w:t xml:space="preserve"> leading to inefficiencies and delays.</w:t>
      </w:r>
    </w:p>
    <w:p w14:paraId="3CD01F1E"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sz w:val="24"/>
          <w:szCs w:val="24"/>
        </w:rPr>
      </w:pPr>
      <w:r w:rsidRPr="00F014DC">
        <w:rPr>
          <w:rFonts w:ascii="Times New Roman" w:eastAsia="Times New Roman" w:hAnsi="Times New Roman" w:cs="Times New Roman"/>
          <w:b/>
          <w:bCs/>
          <w:sz w:val="24"/>
          <w:szCs w:val="24"/>
        </w:rPr>
        <w:lastRenderedPageBreak/>
        <w:t>Opportunities</w:t>
      </w:r>
    </w:p>
    <w:p w14:paraId="17468736"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The prevalence of preventive health, growing ageing and chronic disease prevalence are some of the factors that have resulted in the rapid growth of wearable healthcare technology market (Deloitte, 2025). Developments in the fields of artificial intelligence and remote monitoring make it possible to analyse health indicators in real-time, which can be used to diagnose early and conduct a personal intervention. Collaborations with international technology firms provide the chances of co-developing and innovating products. The policy environment in the UK concerning digital transformation in healthcare is favourable due to its focus on the same by the UK government. Bupa would also be able to distinguish itself among the competitors through the provision of integrated insurance packages and health benefits that are tied with the tracking of outcomes.</w:t>
      </w:r>
    </w:p>
    <w:p w14:paraId="07BDD6C5"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sz w:val="24"/>
          <w:szCs w:val="24"/>
        </w:rPr>
      </w:pPr>
      <w:r w:rsidRPr="00F014DC">
        <w:rPr>
          <w:rFonts w:ascii="Times New Roman" w:eastAsia="Times New Roman" w:hAnsi="Times New Roman" w:cs="Times New Roman"/>
          <w:b/>
          <w:bCs/>
          <w:sz w:val="24"/>
          <w:szCs w:val="24"/>
        </w:rPr>
        <w:t>Threats</w:t>
      </w:r>
    </w:p>
    <w:p w14:paraId="18E5073B" w14:textId="750D8648"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Bupa competes with the </w:t>
      </w:r>
      <w:r w:rsidR="00C85CE5" w:rsidRPr="00F014DC">
        <w:rPr>
          <w:rFonts w:ascii="Times New Roman" w:eastAsia="Times New Roman" w:hAnsi="Times New Roman" w:cs="Times New Roman"/>
          <w:sz w:val="24"/>
          <w:szCs w:val="24"/>
        </w:rPr>
        <w:t>well-established</w:t>
      </w:r>
      <w:r w:rsidRPr="00F014DC">
        <w:rPr>
          <w:rFonts w:ascii="Times New Roman" w:eastAsia="Times New Roman" w:hAnsi="Times New Roman" w:cs="Times New Roman"/>
          <w:sz w:val="24"/>
          <w:szCs w:val="24"/>
        </w:rPr>
        <w:t xml:space="preserve"> technology companies like Apple, Fitbit and Samsung, who already control the wearable market. The field of healthcare wearables is subjected to intense regulatory examination by the authorities like the MHRA and ICO, raising compliance expenses and the risk of delays in the implementation. Hacking and data breaches are two forms of cybersecurity threats that can be hazardous to the reputation and expenses of the organisation. </w:t>
      </w:r>
      <w:r w:rsidR="00C85CE5" w:rsidRPr="00F014DC">
        <w:rPr>
          <w:rFonts w:ascii="Times New Roman" w:eastAsia="Times New Roman" w:hAnsi="Times New Roman" w:cs="Times New Roman"/>
          <w:sz w:val="24"/>
          <w:szCs w:val="24"/>
        </w:rPr>
        <w:t>Economic</w:t>
      </w:r>
      <w:r w:rsidRPr="00F014DC">
        <w:rPr>
          <w:rFonts w:ascii="Times New Roman" w:eastAsia="Times New Roman" w:hAnsi="Times New Roman" w:cs="Times New Roman"/>
          <w:sz w:val="24"/>
          <w:szCs w:val="24"/>
        </w:rPr>
        <w:t xml:space="preserve"> insecurity and inflated living standards could decrease the buying capacity of the consumers towards high quality health devices. Also, free NHS digital health services can decrease the market share of the paid services.</w:t>
      </w:r>
    </w:p>
    <w:p w14:paraId="255316BC"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i/>
          <w:iCs/>
          <w:sz w:val="24"/>
          <w:szCs w:val="24"/>
        </w:rPr>
      </w:pPr>
      <w:r w:rsidRPr="00F014DC">
        <w:rPr>
          <w:rFonts w:ascii="Times New Roman" w:eastAsia="Times New Roman" w:hAnsi="Times New Roman" w:cs="Times New Roman"/>
          <w:b/>
          <w:bCs/>
          <w:i/>
          <w:iCs/>
          <w:sz w:val="24"/>
          <w:szCs w:val="24"/>
        </w:rPr>
        <w:t xml:space="preserve">2.2 PESTLE Analysis </w:t>
      </w:r>
    </w:p>
    <w:p w14:paraId="7F9BFBE4"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 xml:space="preserve">Political: </w:t>
      </w:r>
      <w:r w:rsidRPr="00F014DC">
        <w:rPr>
          <w:rFonts w:ascii="Times New Roman" w:eastAsia="Times New Roman" w:hAnsi="Times New Roman" w:cs="Times New Roman"/>
          <w:sz w:val="24"/>
          <w:szCs w:val="24"/>
        </w:rPr>
        <w:t>UK healthcare policy and programmes of digital transformation present a positive work climate to implement innovation, yet MHRA regulatory approval of medical grade equipment is obligatory.</w:t>
      </w:r>
    </w:p>
    <w:p w14:paraId="1E1B529D"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lastRenderedPageBreak/>
        <w:t>Economic:</w:t>
      </w:r>
      <w:r w:rsidRPr="00F014DC">
        <w:rPr>
          <w:rFonts w:ascii="Times New Roman" w:eastAsia="Times New Roman" w:hAnsi="Times New Roman" w:cs="Times New Roman"/>
          <w:sz w:val="24"/>
          <w:szCs w:val="24"/>
        </w:rPr>
        <w:t xml:space="preserve"> Inflation, decrease in disposable income affect consumer spending and this necessitates competitive pricing strategies. Nevertheless, the increasing need for affordable preventative health solutions promotes the expansion of the market in the long term.</w:t>
      </w:r>
    </w:p>
    <w:p w14:paraId="193D2362"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Social:</w:t>
      </w:r>
      <w:r w:rsidRPr="00F014DC">
        <w:rPr>
          <w:rFonts w:ascii="Times New Roman" w:eastAsia="Times New Roman" w:hAnsi="Times New Roman" w:cs="Times New Roman"/>
          <w:sz w:val="24"/>
          <w:szCs w:val="24"/>
        </w:rPr>
        <w:t xml:space="preserve"> The growing health awareness and ageing population, with the increase in chronic diseases leads to the interest in the continuing self-observation and personal health management.</w:t>
      </w:r>
    </w:p>
    <w:p w14:paraId="598331FA"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Technological:</w:t>
      </w:r>
      <w:r w:rsidRPr="00F014DC">
        <w:rPr>
          <w:rFonts w:ascii="Times New Roman" w:eastAsia="Times New Roman" w:hAnsi="Times New Roman" w:cs="Times New Roman"/>
          <w:sz w:val="24"/>
          <w:szCs w:val="24"/>
        </w:rPr>
        <w:t xml:space="preserve"> The fast development of sensors, artificial intelligence analytics, and telehealth integration aid the development of products. There should be strong and high investments on R&amp;D due to high expectations on data accuracy and reliability.</w:t>
      </w:r>
    </w:p>
    <w:p w14:paraId="192139AF"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 xml:space="preserve">Legal: </w:t>
      </w:r>
      <w:r w:rsidRPr="00F014DC">
        <w:rPr>
          <w:rFonts w:ascii="Times New Roman" w:eastAsia="Times New Roman" w:hAnsi="Times New Roman" w:cs="Times New Roman"/>
          <w:sz w:val="24"/>
          <w:szCs w:val="24"/>
        </w:rPr>
        <w:t>There are strict regulations on the GDPR and medical equipment which pose compliance requirements which demand high-quality cybersecurity and transparency.</w:t>
      </w:r>
    </w:p>
    <w:p w14:paraId="2AAEBDB3"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Environmental:</w:t>
      </w:r>
      <w:r w:rsidRPr="00F014DC">
        <w:rPr>
          <w:rFonts w:ascii="Times New Roman" w:eastAsia="Times New Roman" w:hAnsi="Times New Roman" w:cs="Times New Roman"/>
          <w:sz w:val="24"/>
          <w:szCs w:val="24"/>
        </w:rPr>
        <w:t xml:space="preserve"> The aspects of green production and e-waste have an impact on brand reputation where it involves responsible sourcing and recycling promises.</w:t>
      </w:r>
    </w:p>
    <w:p w14:paraId="0CB04EAD" w14:textId="77777777" w:rsidR="006A27D9" w:rsidRPr="00F014DC" w:rsidRDefault="00000000">
      <w:pPr>
        <w:shd w:val="clear" w:color="auto" w:fill="FFFFFF"/>
        <w:spacing w:before="480" w:line="360" w:lineRule="auto"/>
        <w:jc w:val="both"/>
        <w:rPr>
          <w:rFonts w:ascii="Times New Roman" w:eastAsia="Times New Roman" w:hAnsi="Times New Roman" w:cs="Times New Roman"/>
          <w:b/>
          <w:bCs/>
          <w:i/>
          <w:iCs/>
          <w:sz w:val="24"/>
          <w:szCs w:val="24"/>
        </w:rPr>
      </w:pPr>
      <w:r w:rsidRPr="00F014DC">
        <w:rPr>
          <w:rFonts w:ascii="Times New Roman" w:eastAsia="Times New Roman" w:hAnsi="Times New Roman" w:cs="Times New Roman"/>
          <w:b/>
          <w:bCs/>
          <w:i/>
          <w:iCs/>
          <w:sz w:val="24"/>
          <w:szCs w:val="24"/>
        </w:rPr>
        <w:t xml:space="preserve">2.3 SMART Project Objectives </w:t>
      </w:r>
    </w:p>
    <w:p w14:paraId="62C703BC"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Specific:</w:t>
      </w:r>
      <w:r w:rsidRPr="00F014DC">
        <w:rPr>
          <w:rFonts w:ascii="Times New Roman" w:eastAsia="Times New Roman" w:hAnsi="Times New Roman" w:cs="Times New Roman"/>
          <w:sz w:val="24"/>
          <w:szCs w:val="24"/>
        </w:rPr>
        <w:t xml:space="preserve"> Effectively design, develop and commercially introduce a clinically validated wearable health technology to heart rate, oxygen levels, and sleep tracking (Deloitte, 2025).</w:t>
      </w:r>
    </w:p>
    <w:p w14:paraId="2E754EB0" w14:textId="77777777" w:rsidR="00F46A02"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Measurable:</w:t>
      </w:r>
      <w:r w:rsidRPr="00F014DC">
        <w:rPr>
          <w:rFonts w:ascii="Times New Roman" w:eastAsia="Times New Roman" w:hAnsi="Times New Roman" w:cs="Times New Roman"/>
          <w:sz w:val="24"/>
          <w:szCs w:val="24"/>
        </w:rPr>
        <w:t xml:space="preserve"> Before the market release, a 95% stakeholder satisfaction level and 90% accuracy of device performance are achieved.</w:t>
      </w:r>
    </w:p>
    <w:p w14:paraId="07E728AE" w14:textId="1C922A81"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Achievable:</w:t>
      </w:r>
      <w:r w:rsidRPr="00F014DC">
        <w:rPr>
          <w:rFonts w:ascii="Times New Roman" w:eastAsia="Times New Roman" w:hAnsi="Times New Roman" w:cs="Times New Roman"/>
          <w:sz w:val="24"/>
          <w:szCs w:val="24"/>
        </w:rPr>
        <w:t xml:space="preserve"> By organising stakeholder participation, alignment of supplier partnership agreement and compliance.</w:t>
      </w:r>
    </w:p>
    <w:p w14:paraId="4A104578"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t xml:space="preserve">Relevant: </w:t>
      </w:r>
      <w:r w:rsidRPr="00F014DC">
        <w:rPr>
          <w:rFonts w:ascii="Times New Roman" w:eastAsia="Times New Roman" w:hAnsi="Times New Roman" w:cs="Times New Roman"/>
          <w:sz w:val="24"/>
          <w:szCs w:val="24"/>
        </w:rPr>
        <w:t xml:space="preserve">Contributes to the digital transformation strategy of Bupa and spreads preventative healthcare services </w:t>
      </w:r>
      <w:r w:rsidRPr="00F014DC">
        <w:rPr>
          <w:rFonts w:ascii="Times New Roman" w:eastAsia="Times New Roman" w:hAnsi="Times New Roman" w:cs="Times New Roman"/>
          <w:color w:val="222222"/>
          <w:sz w:val="24"/>
          <w:szCs w:val="24"/>
        </w:rPr>
        <w:t>(</w:t>
      </w:r>
      <w:r w:rsidRPr="00F014DC">
        <w:rPr>
          <w:rFonts w:ascii="Times New Roman" w:eastAsia="Times New Roman" w:hAnsi="Times New Roman" w:cs="Times New Roman"/>
          <w:sz w:val="24"/>
          <w:szCs w:val="24"/>
        </w:rPr>
        <w:t>Bupa, 2024).</w:t>
      </w:r>
    </w:p>
    <w:p w14:paraId="6D45F784" w14:textId="77777777" w:rsidR="006A27D9" w:rsidRPr="00F014DC" w:rsidRDefault="00000000">
      <w:pPr>
        <w:shd w:val="clear" w:color="auto" w:fill="FFFFFF"/>
        <w:spacing w:before="4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u w:val="single"/>
        </w:rPr>
        <w:lastRenderedPageBreak/>
        <w:t>Time-bound:</w:t>
      </w:r>
      <w:r w:rsidRPr="00F014DC">
        <w:rPr>
          <w:rFonts w:ascii="Times New Roman" w:eastAsia="Times New Roman" w:hAnsi="Times New Roman" w:cs="Times New Roman"/>
          <w:sz w:val="24"/>
          <w:szCs w:val="24"/>
        </w:rPr>
        <w:t xml:space="preserve"> The project is going to be completed and in a state of commercial launch by the six-month mark.</w:t>
      </w:r>
    </w:p>
    <w:p w14:paraId="30356483" w14:textId="77777777" w:rsidR="006A27D9" w:rsidRPr="00F014DC" w:rsidRDefault="00000000">
      <w:pPr>
        <w:pStyle w:val="Heading1"/>
        <w:keepNext w:val="0"/>
        <w:keepLines w:val="0"/>
        <w:shd w:val="clear" w:color="auto" w:fill="FFFFFF"/>
        <w:spacing w:before="480"/>
        <w:rPr>
          <w:rFonts w:eastAsia="Times New Roman" w:cs="Times New Roman"/>
          <w:i/>
          <w:iCs/>
          <w:color w:val="222222"/>
          <w:szCs w:val="24"/>
        </w:rPr>
      </w:pPr>
      <w:bookmarkStart w:id="8" w:name="_y7bq6xwtv5p7" w:colFirst="0" w:colLast="0"/>
      <w:bookmarkStart w:id="9" w:name="_Toc215244987"/>
      <w:bookmarkEnd w:id="8"/>
      <w:r w:rsidRPr="00F014DC">
        <w:rPr>
          <w:rFonts w:eastAsia="Times New Roman" w:cs="Times New Roman"/>
          <w:bCs/>
          <w:color w:val="222222"/>
          <w:szCs w:val="24"/>
        </w:rPr>
        <w:t>3. Identification of Key Internal &amp; External Stakeholders</w:t>
      </w:r>
      <w:bookmarkEnd w:id="9"/>
      <w:r w:rsidRPr="00F014DC">
        <w:rPr>
          <w:rFonts w:eastAsia="Times New Roman" w:cs="Times New Roman"/>
          <w:bCs/>
          <w:color w:val="222222"/>
          <w:szCs w:val="24"/>
        </w:rPr>
        <w:t xml:space="preserve"> </w:t>
      </w:r>
    </w:p>
    <w:p w14:paraId="0B5DBC4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The successful implementation of the wearable health device project by Bupa will be based on effective stakeholder identification (Deloitte, 2025). The Stakeholder Theory </w:t>
      </w:r>
      <w:r w:rsidRPr="00F014DC">
        <w:rPr>
          <w:rFonts w:ascii="Times New Roman" w:eastAsia="Times New Roman" w:hAnsi="Times New Roman" w:cs="Times New Roman"/>
          <w:color w:val="222222"/>
          <w:sz w:val="24"/>
          <w:szCs w:val="24"/>
        </w:rPr>
        <w:t>(</w:t>
      </w:r>
      <w:r w:rsidRPr="00F014DC">
        <w:rPr>
          <w:rFonts w:ascii="Times New Roman" w:eastAsia="Times New Roman" w:hAnsi="Times New Roman" w:cs="Times New Roman"/>
          <w:color w:val="222222"/>
          <w:sz w:val="24"/>
          <w:szCs w:val="24"/>
          <w:highlight w:val="white"/>
        </w:rPr>
        <w:t>Freeman, 2010</w:t>
      </w:r>
      <w:r w:rsidRPr="00F014DC">
        <w:rPr>
          <w:rFonts w:ascii="Times New Roman" w:eastAsia="Times New Roman" w:hAnsi="Times New Roman" w:cs="Times New Roman"/>
          <w:sz w:val="24"/>
          <w:szCs w:val="24"/>
        </w:rPr>
        <w:t>) emphasises that organisations have to learn and control the needs, expectations and influence of the stakeholders in order to generate value and minimise conflict. The external and internal groups of stakeholders in this project have interests and involvement that will directly impact on the project outcomes (A</w:t>
      </w:r>
      <w:hyperlink r:id="rId9">
        <w:r w:rsidR="006A27D9" w:rsidRPr="00F014DC">
          <w:rPr>
            <w:rFonts w:ascii="Times New Roman" w:eastAsia="Times New Roman" w:hAnsi="Times New Roman" w:cs="Times New Roman"/>
            <w:sz w:val="24"/>
            <w:szCs w:val="24"/>
          </w:rPr>
          <w:t>ssets.cambridge.org</w:t>
        </w:r>
      </w:hyperlink>
      <w:r w:rsidRPr="00F014DC">
        <w:rPr>
          <w:rFonts w:ascii="Times New Roman" w:eastAsia="Times New Roman" w:hAnsi="Times New Roman" w:cs="Times New Roman"/>
          <w:sz w:val="24"/>
          <w:szCs w:val="24"/>
        </w:rPr>
        <w:t>, 2024).</w:t>
      </w:r>
    </w:p>
    <w:p w14:paraId="260BA1BE" w14:textId="77777777" w:rsidR="006A27D9" w:rsidRPr="00F014DC" w:rsidRDefault="00000000" w:rsidP="00C85CE5">
      <w:pPr>
        <w:pStyle w:val="Heading2"/>
      </w:pPr>
      <w:bookmarkStart w:id="10" w:name="_o4m8k4jam0yi" w:colFirst="0" w:colLast="0"/>
      <w:bookmarkStart w:id="11" w:name="_Toc215244988"/>
      <w:bookmarkEnd w:id="10"/>
      <w:r w:rsidRPr="00F014DC">
        <w:t>3.1 Internal Stakeholders</w:t>
      </w:r>
      <w:bookmarkEnd w:id="11"/>
    </w:p>
    <w:p w14:paraId="2748BC3C" w14:textId="77777777" w:rsidR="006A27D9" w:rsidRPr="00F014DC" w:rsidRDefault="006A27D9">
      <w:pPr>
        <w:spacing w:line="360" w:lineRule="auto"/>
        <w:rPr>
          <w:rFonts w:ascii="Times New Roman" w:eastAsia="Times New Roman" w:hAnsi="Times New Roman" w:cs="Times New Roman"/>
          <w:sz w:val="24"/>
          <w:szCs w:val="24"/>
        </w:rPr>
      </w:pPr>
    </w:p>
    <w:tbl>
      <w:tblPr>
        <w:tblStyle w:val="a"/>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95"/>
        <w:gridCol w:w="4220"/>
        <w:gridCol w:w="2630"/>
      </w:tblGrid>
      <w:tr w:rsidR="006A27D9" w:rsidRPr="00F014DC" w14:paraId="57EB8298" w14:textId="77777777">
        <w:trPr>
          <w:trHeight w:val="500"/>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A04D8"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Stakeholder Group</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488B09"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Role &amp; Responsibility</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ADDCB"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Importance</w:t>
            </w:r>
          </w:p>
        </w:tc>
      </w:tr>
      <w:tr w:rsidR="006A27D9" w:rsidRPr="00F014DC" w14:paraId="373B819F"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DF6D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Senior Management / Executives</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4102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Strategic approval, resource allocation, governance</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1C1417"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High – final decision makers</w:t>
            </w:r>
          </w:p>
        </w:tc>
      </w:tr>
      <w:tr w:rsidR="006A27D9" w:rsidRPr="00F014DC" w14:paraId="3DE25AEB" w14:textId="77777777">
        <w:trPr>
          <w:trHeight w:val="105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E888FE"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Project Manager</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C3A5B"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Oversees project execution, stakeholder coordination, risk and conflict management</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7BD3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High – accountable for success</w:t>
            </w:r>
          </w:p>
        </w:tc>
      </w:tr>
      <w:tr w:rsidR="006A27D9" w:rsidRPr="00F014DC" w14:paraId="5ED0124F"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C6B9D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Product Development / R&amp;D Team</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4707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Design, testing and technical development of the device</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EAFBF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High – responsible for product quality</w:t>
            </w:r>
          </w:p>
        </w:tc>
      </w:tr>
      <w:tr w:rsidR="006A27D9" w:rsidRPr="00F014DC" w14:paraId="39267B64"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5B3EBB"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IT &amp; Cybersecurity</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28A91"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Data security, system integration and protection</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A8F41"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High – ensures regulatory compliance</w:t>
            </w:r>
          </w:p>
        </w:tc>
      </w:tr>
      <w:tr w:rsidR="006A27D9" w:rsidRPr="00F014DC" w14:paraId="7EB6EA3B"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88FCF"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lastRenderedPageBreak/>
              <w:t>Marketing Department</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91C1EE"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Market research, branding, promotional planning (Christopher </w:t>
            </w:r>
            <w:r w:rsidRPr="00F014DC">
              <w:rPr>
                <w:rFonts w:ascii="Times New Roman" w:eastAsia="Times New Roman" w:hAnsi="Times New Roman" w:cs="Times New Roman"/>
                <w:i/>
                <w:iCs/>
                <w:sz w:val="24"/>
                <w:szCs w:val="24"/>
              </w:rPr>
              <w:t>et al.</w:t>
            </w:r>
            <w:r w:rsidRPr="00F014DC">
              <w:rPr>
                <w:rFonts w:ascii="Times New Roman" w:eastAsia="Times New Roman" w:hAnsi="Times New Roman" w:cs="Times New Roman"/>
                <w:sz w:val="24"/>
                <w:szCs w:val="24"/>
              </w:rPr>
              <w:t>, 2013).</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9971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Medium – drives customer adoption</w:t>
            </w:r>
          </w:p>
        </w:tc>
      </w:tr>
      <w:tr w:rsidR="006A27D9" w:rsidRPr="00F014DC" w14:paraId="5FC3B3E7"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44CA33"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Legal &amp; Compliance</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DEE9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Regulatory approvals, GDPR and MHRA compliance</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76F3F"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High – ensures product legality</w:t>
            </w:r>
          </w:p>
        </w:tc>
      </w:tr>
      <w:tr w:rsidR="006A27D9" w:rsidRPr="00F014DC" w14:paraId="31B9CEA5" w14:textId="77777777">
        <w:trPr>
          <w:trHeight w:val="785"/>
        </w:trPr>
        <w:tc>
          <w:tcPr>
            <w:tcW w:w="24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993F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Sales &amp; Customer Services</w:t>
            </w:r>
          </w:p>
        </w:tc>
        <w:tc>
          <w:tcPr>
            <w:tcW w:w="42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0E258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Distribution, customer feedback and support</w:t>
            </w:r>
          </w:p>
        </w:tc>
        <w:tc>
          <w:tcPr>
            <w:tcW w:w="2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C35C5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Medium – supports adoption and satisfaction</w:t>
            </w:r>
          </w:p>
        </w:tc>
      </w:tr>
    </w:tbl>
    <w:p w14:paraId="40395866"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color w:val="222222"/>
          <w:sz w:val="24"/>
          <w:szCs w:val="24"/>
        </w:rPr>
      </w:pPr>
      <w:bookmarkStart w:id="12" w:name="_1lcjq6y43rec" w:colFirst="0" w:colLast="0"/>
      <w:bookmarkStart w:id="13" w:name="_Toc215244989"/>
      <w:bookmarkEnd w:id="12"/>
      <w:r w:rsidRPr="00F014DC">
        <w:rPr>
          <w:rFonts w:ascii="Times New Roman" w:eastAsia="Times New Roman" w:hAnsi="Times New Roman" w:cs="Times New Roman"/>
          <w:b/>
          <w:bCs/>
          <w:i/>
          <w:iCs/>
          <w:color w:val="222222"/>
          <w:sz w:val="24"/>
          <w:szCs w:val="24"/>
        </w:rPr>
        <w:t>3.2 External Stakeholders</w:t>
      </w:r>
      <w:bookmarkEnd w:id="13"/>
    </w:p>
    <w:tbl>
      <w:tblPr>
        <w:tblStyle w:val="a0"/>
        <w:tblW w:w="9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05"/>
        <w:gridCol w:w="3665"/>
        <w:gridCol w:w="2375"/>
      </w:tblGrid>
      <w:tr w:rsidR="006A27D9" w:rsidRPr="00F014DC" w14:paraId="0402D53F" w14:textId="77777777">
        <w:trPr>
          <w:trHeight w:val="500"/>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10D54" w14:textId="77777777" w:rsidR="006A27D9" w:rsidRPr="00F014DC" w:rsidRDefault="00000000">
            <w:pPr>
              <w:shd w:val="clear" w:color="auto" w:fill="FFFFFF"/>
              <w:spacing w:before="200" w:after="200" w:line="360" w:lineRule="auto"/>
              <w:ind w:left="940" w:hanging="360"/>
              <w:jc w:val="center"/>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Stakeholder</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694C46" w14:textId="77777777" w:rsidR="006A27D9" w:rsidRPr="00F014DC" w:rsidRDefault="00000000">
            <w:pPr>
              <w:shd w:val="clear" w:color="auto" w:fill="FFFFFF"/>
              <w:spacing w:before="200" w:after="200" w:line="360" w:lineRule="auto"/>
              <w:ind w:left="940" w:hanging="360"/>
              <w:jc w:val="center"/>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Role &amp; Responsibility</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9FDD8B" w14:textId="77777777" w:rsidR="006A27D9" w:rsidRPr="00F014DC" w:rsidRDefault="00000000">
            <w:pPr>
              <w:shd w:val="clear" w:color="auto" w:fill="FFFFFF"/>
              <w:spacing w:before="200" w:after="200" w:line="360" w:lineRule="auto"/>
              <w:ind w:left="940" w:hanging="360"/>
              <w:jc w:val="center"/>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Importance</w:t>
            </w:r>
          </w:p>
        </w:tc>
      </w:tr>
      <w:tr w:rsidR="006A27D9" w:rsidRPr="00F014DC" w14:paraId="762ACCC1"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B8AC1"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Existing Bupa customers &amp; wearable device testers</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7092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Provide end-user feedback through testing and trials</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B6B42C"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High – determine user acceptance</w:t>
            </w:r>
          </w:p>
        </w:tc>
      </w:tr>
      <w:tr w:rsidR="006A27D9" w:rsidRPr="00F014DC" w14:paraId="0D756335"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E00F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Technology suppliers &amp; manufacturing partners</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829D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Provide hardware components and technology integration</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A380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High – product feasibility</w:t>
            </w:r>
          </w:p>
        </w:tc>
      </w:tr>
      <w:tr w:rsidR="006A27D9" w:rsidRPr="00F014DC" w14:paraId="3DEF489D"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B8DD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Regulatory bodies (MHRA, ICO)</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E5E8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Approve and monitor safety and data compliance</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D5C00"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High – legal requirement</w:t>
            </w:r>
          </w:p>
        </w:tc>
      </w:tr>
      <w:tr w:rsidR="006A27D9" w:rsidRPr="00F014DC" w14:paraId="3964F4E1"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175F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Healthcare professionals</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86BA3"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Validate clinical accuracy and integration with care programmes</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6284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Medium – credibility and usability</w:t>
            </w:r>
          </w:p>
        </w:tc>
      </w:tr>
      <w:tr w:rsidR="006A27D9" w:rsidRPr="00F014DC" w14:paraId="1AA50EE7"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132C9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lastRenderedPageBreak/>
              <w:t>Retail partners &amp; distributors</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24FF6"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Market channel management and availability</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23F58"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Medium – market reach</w:t>
            </w:r>
          </w:p>
        </w:tc>
      </w:tr>
      <w:tr w:rsidR="006A27D9" w:rsidRPr="00F014DC" w14:paraId="741855FD" w14:textId="77777777">
        <w:trPr>
          <w:trHeight w:val="785"/>
        </w:trPr>
        <w:tc>
          <w:tcPr>
            <w:tcW w:w="3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9782D"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Investors &amp; shareholders</w:t>
            </w:r>
          </w:p>
        </w:tc>
        <w:tc>
          <w:tcPr>
            <w:tcW w:w="3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4426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Financial reinforcement and performance oversight</w:t>
            </w:r>
          </w:p>
        </w:tc>
        <w:tc>
          <w:tcPr>
            <w:tcW w:w="2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33F3A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Medium – business sustainability</w:t>
            </w:r>
          </w:p>
        </w:tc>
      </w:tr>
    </w:tbl>
    <w:p w14:paraId="64A7CDCF" w14:textId="77777777" w:rsidR="006A27D9" w:rsidRPr="00F014DC" w:rsidRDefault="00000000" w:rsidP="00C85CE5">
      <w:pPr>
        <w:pStyle w:val="Heading2"/>
      </w:pPr>
      <w:bookmarkStart w:id="14" w:name="_k4xl6wmi7tu8" w:colFirst="0" w:colLast="0"/>
      <w:bookmarkStart w:id="15" w:name="_Toc215244990"/>
      <w:bookmarkEnd w:id="14"/>
      <w:r w:rsidRPr="00F014DC">
        <w:t>3.3 Tools &amp; Concepts:</w:t>
      </w:r>
      <w:bookmarkEnd w:id="15"/>
    </w:p>
    <w:p w14:paraId="148F64A1" w14:textId="77777777" w:rsidR="006A27D9" w:rsidRPr="00F014DC" w:rsidRDefault="00000000">
      <w:p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Based on the Power-Interest Matrix of Mendelow:</w:t>
      </w:r>
    </w:p>
    <w:p w14:paraId="5C143394" w14:textId="77777777" w:rsidR="006A27D9" w:rsidRPr="00F014DC" w:rsidRDefault="00000000">
      <w:pPr>
        <w:numPr>
          <w:ilvl w:val="0"/>
          <w:numId w:val="1"/>
        </w:num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Keep under Control: Top management, R&amp;D, IT and cybersecurity, MHRA, ICO, technology vendors.</w:t>
      </w:r>
    </w:p>
    <w:p w14:paraId="0E0B8C5C" w14:textId="77777777" w:rsidR="006A27D9" w:rsidRPr="00F014DC" w:rsidRDefault="00000000">
      <w:pPr>
        <w:numPr>
          <w:ilvl w:val="0"/>
          <w:numId w:val="1"/>
        </w:num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Keep Content: Investors, retail partners.</w:t>
      </w:r>
    </w:p>
    <w:p w14:paraId="6C1465DC" w14:textId="77777777" w:rsidR="006A27D9" w:rsidRPr="00F014DC" w:rsidRDefault="00000000">
      <w:pPr>
        <w:numPr>
          <w:ilvl w:val="0"/>
          <w:numId w:val="1"/>
        </w:num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Stay Informed: Marketing, sales team, healthcare professionals.</w:t>
      </w:r>
    </w:p>
    <w:p w14:paraId="65948ADA" w14:textId="77777777" w:rsidR="006A27D9" w:rsidRPr="00F014DC" w:rsidRDefault="00000000">
      <w:pPr>
        <w:numPr>
          <w:ilvl w:val="0"/>
          <w:numId w:val="1"/>
        </w:num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Watch: Bigger community, media, potential new customers.</w:t>
      </w:r>
    </w:p>
    <w:p w14:paraId="0E9FB69F" w14:textId="77777777" w:rsidR="006A27D9" w:rsidRPr="00F014DC" w:rsidRDefault="006A27D9">
      <w:pPr>
        <w:spacing w:line="360" w:lineRule="auto"/>
        <w:jc w:val="both"/>
        <w:rPr>
          <w:rFonts w:ascii="Times New Roman" w:eastAsia="Times New Roman" w:hAnsi="Times New Roman" w:cs="Times New Roman"/>
          <w:color w:val="222222"/>
          <w:sz w:val="24"/>
          <w:szCs w:val="24"/>
        </w:rPr>
      </w:pPr>
    </w:p>
    <w:p w14:paraId="202DBB0B" w14:textId="77777777" w:rsidR="006A27D9" w:rsidRPr="00F014DC" w:rsidRDefault="00000000">
      <w:pPr>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By using the Salience Model by Mitchell </w:t>
      </w:r>
      <w:r w:rsidRPr="00F014DC">
        <w:rPr>
          <w:rFonts w:ascii="Times New Roman" w:eastAsia="Times New Roman" w:hAnsi="Times New Roman" w:cs="Times New Roman"/>
          <w:i/>
          <w:iCs/>
          <w:color w:val="222222"/>
          <w:sz w:val="24"/>
          <w:szCs w:val="24"/>
        </w:rPr>
        <w:t>et al.</w:t>
      </w:r>
      <w:r w:rsidRPr="00F014DC">
        <w:rPr>
          <w:rFonts w:ascii="Times New Roman" w:eastAsia="Times New Roman" w:hAnsi="Times New Roman" w:cs="Times New Roman"/>
          <w:color w:val="222222"/>
          <w:sz w:val="24"/>
          <w:szCs w:val="24"/>
        </w:rPr>
        <w:t xml:space="preserve"> (1997), the major stakeholders, i.e., those who have power, legitimacy and urgency, are senior leaders, regulators and technology partners as they are critical in terms of timing, compliance and delivery. The mapping tools used together facilitate prioritisation of the engagement level and resource allocation, which results in clarity when implementing the project.</w:t>
      </w:r>
    </w:p>
    <w:p w14:paraId="156D6133" w14:textId="77777777" w:rsidR="006A27D9" w:rsidRPr="00F014DC" w:rsidRDefault="00000000">
      <w:pPr>
        <w:pStyle w:val="Heading1"/>
        <w:keepNext w:val="0"/>
        <w:keepLines w:val="0"/>
        <w:shd w:val="clear" w:color="auto" w:fill="FFFFFF"/>
        <w:spacing w:before="480"/>
        <w:rPr>
          <w:rFonts w:eastAsia="Times New Roman" w:cs="Times New Roman"/>
          <w:i/>
          <w:iCs/>
          <w:color w:val="222222"/>
          <w:szCs w:val="24"/>
        </w:rPr>
      </w:pPr>
      <w:bookmarkStart w:id="16" w:name="_hclkyaa4iiew" w:colFirst="0" w:colLast="0"/>
      <w:bookmarkStart w:id="17" w:name="_Toc215244991"/>
      <w:bookmarkEnd w:id="16"/>
      <w:r w:rsidRPr="00F014DC">
        <w:rPr>
          <w:rFonts w:eastAsia="Times New Roman" w:cs="Times New Roman"/>
          <w:bCs/>
          <w:color w:val="222222"/>
          <w:szCs w:val="24"/>
        </w:rPr>
        <w:t>4. Roles, Responsibilities, Benefits &amp; Challenges</w:t>
      </w:r>
      <w:bookmarkEnd w:id="17"/>
      <w:r w:rsidRPr="00F014DC">
        <w:rPr>
          <w:rFonts w:eastAsia="Times New Roman" w:cs="Times New Roman"/>
          <w:bCs/>
          <w:color w:val="222222"/>
          <w:szCs w:val="24"/>
        </w:rPr>
        <w:t xml:space="preserve"> </w:t>
      </w:r>
    </w:p>
    <w:p w14:paraId="2036B0F4" w14:textId="2FD1E641"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This part defines the most important stakeholder roles in the form of a RACI Matrix, and an analysis of the benefits that stakeholders can bring and the difficulties they are likely to face. There should be clear distribution of roles so that ambiguity is reduced and to create better coordination according to the </w:t>
      </w:r>
      <w:r w:rsidR="00C85CE5" w:rsidRPr="00F014DC">
        <w:rPr>
          <w:rFonts w:ascii="Times New Roman" w:eastAsia="Times New Roman" w:hAnsi="Times New Roman" w:cs="Times New Roman"/>
          <w:sz w:val="24"/>
          <w:szCs w:val="24"/>
        </w:rPr>
        <w:t>PMI standards</w:t>
      </w:r>
      <w:r w:rsidRPr="00F014DC">
        <w:rPr>
          <w:rFonts w:ascii="Times New Roman" w:eastAsia="Times New Roman" w:hAnsi="Times New Roman" w:cs="Times New Roman"/>
          <w:sz w:val="24"/>
          <w:szCs w:val="24"/>
        </w:rPr>
        <w:t xml:space="preserve"> of stakeholder management (T</w:t>
      </w:r>
      <w:hyperlink r:id="rId10">
        <w:r w:rsidR="006A27D9" w:rsidRPr="00F014DC">
          <w:rPr>
            <w:rFonts w:ascii="Times New Roman" w:eastAsia="Times New Roman" w:hAnsi="Times New Roman" w:cs="Times New Roman"/>
            <w:sz w:val="24"/>
            <w:szCs w:val="24"/>
          </w:rPr>
          <w:t>egnum.edu</w:t>
        </w:r>
      </w:hyperlink>
      <w:r w:rsidRPr="00F014DC">
        <w:rPr>
          <w:rFonts w:ascii="Times New Roman" w:eastAsia="Times New Roman" w:hAnsi="Times New Roman" w:cs="Times New Roman"/>
          <w:sz w:val="24"/>
          <w:szCs w:val="24"/>
        </w:rPr>
        <w:t>., 2024).</w:t>
      </w:r>
    </w:p>
    <w:p w14:paraId="6D2F48CB" w14:textId="77777777" w:rsidR="006A27D9" w:rsidRPr="00F014DC" w:rsidRDefault="00000000" w:rsidP="00C85CE5">
      <w:pPr>
        <w:pStyle w:val="Heading2"/>
      </w:pPr>
      <w:bookmarkStart w:id="18" w:name="_htrm0065oe9k" w:colFirst="0" w:colLast="0"/>
      <w:bookmarkStart w:id="19" w:name="_Toc215244992"/>
      <w:bookmarkEnd w:id="18"/>
      <w:r w:rsidRPr="00F014DC">
        <w:t>4.1 RACI Matrix (Responsibility Allocation)</w:t>
      </w:r>
      <w:bookmarkEnd w:id="19"/>
    </w:p>
    <w:p w14:paraId="4A0890E0" w14:textId="77777777" w:rsidR="006A27D9" w:rsidRPr="00F014DC" w:rsidRDefault="006A27D9">
      <w:pPr>
        <w:shd w:val="clear" w:color="auto" w:fill="FFFFFF"/>
        <w:spacing w:before="280" w:line="360" w:lineRule="auto"/>
        <w:jc w:val="both"/>
        <w:rPr>
          <w:rFonts w:ascii="Times New Roman" w:eastAsia="Times New Roman" w:hAnsi="Times New Roman" w:cs="Times New Roman"/>
          <w:sz w:val="24"/>
          <w:szCs w:val="24"/>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8"/>
        <w:gridCol w:w="1152"/>
        <w:gridCol w:w="845"/>
        <w:gridCol w:w="583"/>
        <w:gridCol w:w="1229"/>
        <w:gridCol w:w="965"/>
        <w:gridCol w:w="1064"/>
        <w:gridCol w:w="878"/>
        <w:gridCol w:w="1546"/>
      </w:tblGrid>
      <w:tr w:rsidR="006A27D9" w:rsidRPr="00F014DC" w14:paraId="72F69A9B" w14:textId="77777777">
        <w:trPr>
          <w:trHeight w:val="105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AC867"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lastRenderedPageBreak/>
              <w:t>Project Activity / Role</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6E7E4"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Senior Management</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8AF2D1"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Project Manager</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1FF5D"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R&amp;D Team</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FE588B"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IT &amp; Cybersecurity</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7AA75"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Marketing</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31BF3"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Legal &amp; Compliance</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42420"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Tech Suppliers</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EABA37" w14:textId="77777777" w:rsidR="006A27D9" w:rsidRPr="00F014DC" w:rsidRDefault="00000000">
            <w:pPr>
              <w:shd w:val="clear" w:color="auto" w:fill="FFFFFF"/>
              <w:spacing w:before="280" w:line="360" w:lineRule="auto"/>
              <w:jc w:val="center"/>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Customers/Testers</w:t>
            </w:r>
          </w:p>
        </w:tc>
      </w:tr>
      <w:tr w:rsidR="006A27D9" w:rsidRPr="00F014DC" w14:paraId="7832CC41" w14:textId="77777777">
        <w:trPr>
          <w:trHeight w:val="105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6293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Project approval &amp; funding</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7F50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A</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3FE37B"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6F30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510A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CC5B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9B84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E02C0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04E78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r>
      <w:tr w:rsidR="006A27D9" w:rsidRPr="00F014DC" w14:paraId="330DCBD6" w14:textId="77777777">
        <w:trPr>
          <w:trHeight w:val="105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D2CBE1"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Product design &amp; development</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450B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9CF2E"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DE8DB"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B0EE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7526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518393"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317AC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06FC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r>
      <w:tr w:rsidR="006A27D9" w:rsidRPr="00F014DC" w14:paraId="454F1290" w14:textId="77777777">
        <w:trPr>
          <w:trHeight w:val="132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51ABB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Device testing &amp; quality assurance</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3505D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EB13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1AB8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F23E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80388B"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6031E"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24879"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33B19"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r>
      <w:tr w:rsidR="006A27D9" w:rsidRPr="00F014DC" w14:paraId="752DED81" w14:textId="77777777">
        <w:trPr>
          <w:trHeight w:val="105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87E80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Data security &amp; system integration</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DBDA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C1400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C130C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8B73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9243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8F92D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01572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78BE6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r>
      <w:tr w:rsidR="006A27D9" w:rsidRPr="00F014DC" w14:paraId="0D6D5442" w14:textId="77777777">
        <w:trPr>
          <w:trHeight w:val="132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FD5782"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lastRenderedPageBreak/>
              <w:t>Regulatory approvals (MHRA, GDPR)</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31AE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FCC3F3"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610A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E8B1A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514B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2956E1"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 / A</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69C67"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AEAC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r>
      <w:tr w:rsidR="006A27D9" w:rsidRPr="00F014DC" w14:paraId="58912F85" w14:textId="77777777">
        <w:trPr>
          <w:trHeight w:val="132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462B3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Market research &amp; marketing strategy</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3A7A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39BF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42F72"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D0FE4"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771D3"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676E2"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B7DA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0BA2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r>
      <w:tr w:rsidR="006A27D9" w:rsidRPr="00F014DC" w14:paraId="0CD7F95E" w14:textId="77777777">
        <w:trPr>
          <w:trHeight w:val="78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D8EF9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Launch &amp; distribution</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D1BE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D4136E"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A / R</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A4AB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1FE2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07270"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43232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881BC"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C</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85D8B9"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r>
      <w:tr w:rsidR="006A27D9" w:rsidRPr="00F014DC" w14:paraId="028D4397" w14:textId="77777777">
        <w:trPr>
          <w:trHeight w:val="1055"/>
        </w:trPr>
        <w:tc>
          <w:tcPr>
            <w:tcW w:w="10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63B8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Customer feedback &amp; improvement</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7771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0E2F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5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609C69"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12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D5145"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397E9"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c>
          <w:tcPr>
            <w:tcW w:w="10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7A94D"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6B8C8"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I</w:t>
            </w:r>
          </w:p>
        </w:tc>
        <w:tc>
          <w:tcPr>
            <w:tcW w:w="15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B80EA"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b/>
                <w:bCs/>
                <w:sz w:val="24"/>
                <w:szCs w:val="24"/>
              </w:rPr>
              <w:t>R</w:t>
            </w:r>
          </w:p>
        </w:tc>
      </w:tr>
    </w:tbl>
    <w:p w14:paraId="00669C46" w14:textId="77777777"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R = Responsible, A = Accountable, C = Consulted, I = Informed</w:t>
      </w:r>
    </w:p>
    <w:p w14:paraId="7B85E78B" w14:textId="77777777" w:rsidR="006A27D9" w:rsidRPr="00F014DC" w:rsidRDefault="00000000" w:rsidP="00C85CE5">
      <w:pPr>
        <w:pStyle w:val="Heading2"/>
      </w:pPr>
      <w:bookmarkStart w:id="20" w:name="_y441eu12fnqk" w:colFirst="0" w:colLast="0"/>
      <w:bookmarkStart w:id="21" w:name="_Toc215244993"/>
      <w:bookmarkEnd w:id="20"/>
      <w:r w:rsidRPr="00F014DC">
        <w:lastRenderedPageBreak/>
        <w:t>4.2 Benefits Stakeholders Bring</w:t>
      </w:r>
      <w:bookmarkEnd w:id="21"/>
    </w:p>
    <w:p w14:paraId="5B10C696" w14:textId="50EC0D09"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Various skills and resources are contributed by the stakeholders. Expert knowledge like R&amp;D and IT teams is essential in innovation and precision needed in clinical data reliability. The regulators and compliance teams provide legitimacy, which guarantees safety and trust. Testers and customers give real life experience, which enhances user experience and acceptability. The top management makes sure everything is strategic and financially secure, and the suppliers allow access to </w:t>
      </w:r>
      <w:r w:rsidR="00C85CE5" w:rsidRPr="00F014DC">
        <w:rPr>
          <w:rFonts w:ascii="Times New Roman" w:eastAsia="Times New Roman" w:hAnsi="Times New Roman" w:cs="Times New Roman"/>
          <w:sz w:val="24"/>
          <w:szCs w:val="24"/>
        </w:rPr>
        <w:t>sophisticated</w:t>
      </w:r>
      <w:r w:rsidRPr="00F014DC">
        <w:rPr>
          <w:rFonts w:ascii="Times New Roman" w:eastAsia="Times New Roman" w:hAnsi="Times New Roman" w:cs="Times New Roman"/>
          <w:sz w:val="24"/>
          <w:szCs w:val="24"/>
        </w:rPr>
        <w:t xml:space="preserve"> sensor technology. The resource dependency theory (</w:t>
      </w:r>
      <w:r w:rsidRPr="00F014DC">
        <w:rPr>
          <w:rFonts w:ascii="Times New Roman" w:eastAsia="Times New Roman" w:hAnsi="Times New Roman" w:cs="Times New Roman"/>
          <w:color w:val="222222"/>
          <w:sz w:val="24"/>
          <w:szCs w:val="24"/>
          <w:highlight w:val="white"/>
        </w:rPr>
        <w:t>Pfeffer, J. and Salancik, 2015</w:t>
      </w:r>
      <w:r w:rsidRPr="00F014DC">
        <w:rPr>
          <w:rFonts w:ascii="Times New Roman" w:eastAsia="Times New Roman" w:hAnsi="Times New Roman" w:cs="Times New Roman"/>
          <w:sz w:val="24"/>
          <w:szCs w:val="24"/>
        </w:rPr>
        <w:t>) states that external stakeholders are the ones that provide organisations with essential resources, which explains the necessity of cooperation.</w:t>
      </w:r>
    </w:p>
    <w:p w14:paraId="2D9F4554" w14:textId="77777777" w:rsidR="006A27D9" w:rsidRPr="00F014DC" w:rsidRDefault="00000000" w:rsidP="00C85CE5">
      <w:pPr>
        <w:pStyle w:val="Heading2"/>
      </w:pPr>
      <w:bookmarkStart w:id="22" w:name="_sz9eyo4x0krc" w:colFirst="0" w:colLast="0"/>
      <w:bookmarkStart w:id="23" w:name="_Toc215244994"/>
      <w:bookmarkEnd w:id="22"/>
      <w:r w:rsidRPr="00F014DC">
        <w:t>4.3 Challenges Faced</w:t>
      </w:r>
      <w:bookmarkEnd w:id="23"/>
    </w:p>
    <w:p w14:paraId="52338360" w14:textId="323AC6EB" w:rsidR="006A27D9" w:rsidRPr="00F014DC" w:rsidRDefault="00000000">
      <w:pPr>
        <w:shd w:val="clear" w:color="auto" w:fill="FFFFFF"/>
        <w:spacing w:before="28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The barriers of engagement are the clash of expectations, the lack of resources, and the regulations. Agency Theory (</w:t>
      </w:r>
      <w:r w:rsidRPr="00F014DC">
        <w:rPr>
          <w:rFonts w:ascii="Times New Roman" w:eastAsia="Times New Roman" w:hAnsi="Times New Roman" w:cs="Times New Roman"/>
          <w:color w:val="222222"/>
          <w:sz w:val="24"/>
          <w:szCs w:val="24"/>
          <w:highlight w:val="white"/>
        </w:rPr>
        <w:t>Jensen and Meckling, 2019</w:t>
      </w:r>
      <w:r w:rsidRPr="00F014DC">
        <w:rPr>
          <w:rFonts w:ascii="Times New Roman" w:eastAsia="Times New Roman" w:hAnsi="Times New Roman" w:cs="Times New Roman"/>
          <w:sz w:val="24"/>
          <w:szCs w:val="24"/>
        </w:rPr>
        <w:t xml:space="preserve">) reveals </w:t>
      </w:r>
      <w:r w:rsidR="00C85CE5" w:rsidRPr="00F014DC">
        <w:rPr>
          <w:rFonts w:ascii="Times New Roman" w:eastAsia="Times New Roman" w:hAnsi="Times New Roman" w:cs="Times New Roman"/>
          <w:sz w:val="24"/>
          <w:szCs w:val="24"/>
        </w:rPr>
        <w:t>a</w:t>
      </w:r>
      <w:r w:rsidRPr="00F014DC">
        <w:rPr>
          <w:rFonts w:ascii="Times New Roman" w:eastAsia="Times New Roman" w:hAnsi="Times New Roman" w:cs="Times New Roman"/>
          <w:sz w:val="24"/>
          <w:szCs w:val="24"/>
        </w:rPr>
        <w:t xml:space="preserve"> possible conflict in the interests of the stakeholders including cost efficiency and product quality. The complexity of regulations and compliance with GDPR needs to be well synchronised, which poses the risk of delays and higher costs. Intrinsic resistance to change can be caused by unknown technology and </w:t>
      </w:r>
      <w:r w:rsidR="00C85CE5" w:rsidRPr="00F014DC">
        <w:rPr>
          <w:rFonts w:ascii="Times New Roman" w:eastAsia="Times New Roman" w:hAnsi="Times New Roman" w:cs="Times New Roman"/>
          <w:sz w:val="24"/>
          <w:szCs w:val="24"/>
        </w:rPr>
        <w:t>disruption</w:t>
      </w:r>
      <w:r w:rsidRPr="00F014DC">
        <w:rPr>
          <w:rFonts w:ascii="Times New Roman" w:eastAsia="Times New Roman" w:hAnsi="Times New Roman" w:cs="Times New Roman"/>
          <w:sz w:val="24"/>
          <w:szCs w:val="24"/>
        </w:rPr>
        <w:t xml:space="preserve"> in operations. On the outside, a customer can be scared of data </w:t>
      </w:r>
      <w:r w:rsidR="00C85CE5" w:rsidRPr="00F014DC">
        <w:rPr>
          <w:rFonts w:ascii="Times New Roman" w:eastAsia="Times New Roman" w:hAnsi="Times New Roman" w:cs="Times New Roman"/>
          <w:sz w:val="24"/>
          <w:szCs w:val="24"/>
        </w:rPr>
        <w:t>security,</w:t>
      </w:r>
      <w:r w:rsidRPr="00F014DC">
        <w:rPr>
          <w:rFonts w:ascii="Times New Roman" w:eastAsia="Times New Roman" w:hAnsi="Times New Roman" w:cs="Times New Roman"/>
          <w:sz w:val="24"/>
          <w:szCs w:val="24"/>
        </w:rPr>
        <w:t xml:space="preserve"> and this will influence adoption. Lack of communication may lead to misunderstanding, which will sluggish the process and escalate tension.</w:t>
      </w:r>
    </w:p>
    <w:p w14:paraId="1D43EE3E" w14:textId="77777777" w:rsidR="006A27D9" w:rsidRPr="00F014DC" w:rsidRDefault="00000000" w:rsidP="00C85CE5">
      <w:pPr>
        <w:pStyle w:val="Heading2"/>
      </w:pPr>
      <w:bookmarkStart w:id="24" w:name="_u0z5dp4k0gzv" w:colFirst="0" w:colLast="0"/>
      <w:bookmarkStart w:id="25" w:name="_Toc215244995"/>
      <w:bookmarkEnd w:id="24"/>
      <w:r w:rsidRPr="00F014DC">
        <w:t>4.4 Supporting Theories</w:t>
      </w:r>
      <w:bookmarkEnd w:id="25"/>
    </w:p>
    <w:p w14:paraId="5217775F" w14:textId="1293F309" w:rsidR="006A27D9" w:rsidRPr="00F014DC" w:rsidRDefault="00000000">
      <w:pPr>
        <w:spacing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According to the Lewin Change Management Model, the process of stakeholder engagement has to go through unfreezing (awareness and alignment), changing (collaboration and design) and refreezing (embedding adoption). These phases contribute to resistance surmounting and developing </w:t>
      </w:r>
      <w:r w:rsidR="00C85CE5" w:rsidRPr="00F014DC">
        <w:rPr>
          <w:rFonts w:ascii="Times New Roman" w:eastAsia="Times New Roman" w:hAnsi="Times New Roman" w:cs="Times New Roman"/>
          <w:sz w:val="24"/>
          <w:szCs w:val="24"/>
        </w:rPr>
        <w:t>mutual</w:t>
      </w:r>
      <w:r w:rsidRPr="00F014DC">
        <w:rPr>
          <w:rFonts w:ascii="Times New Roman" w:eastAsia="Times New Roman" w:hAnsi="Times New Roman" w:cs="Times New Roman"/>
          <w:sz w:val="24"/>
          <w:szCs w:val="24"/>
        </w:rPr>
        <w:t xml:space="preserve"> commitment. RACI is in favour of role clarity, but there are weaknesses (including simplification of relationship dynamics and a lack of cooperation quality and emotional issues).</w:t>
      </w:r>
    </w:p>
    <w:p w14:paraId="694B4FDA"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26" w:name="_eama6rv9w5u" w:colFirst="0" w:colLast="0"/>
      <w:bookmarkStart w:id="27" w:name="_Toc215244996"/>
      <w:bookmarkEnd w:id="26"/>
      <w:r w:rsidRPr="00F014DC">
        <w:rPr>
          <w:rFonts w:eastAsia="Times New Roman" w:cs="Times New Roman"/>
          <w:bCs/>
          <w:color w:val="222222"/>
          <w:szCs w:val="24"/>
        </w:rPr>
        <w:t>5. Stakeholder Engagement Mechanisms</w:t>
      </w:r>
      <w:bookmarkEnd w:id="27"/>
      <w:r w:rsidRPr="00F014DC">
        <w:rPr>
          <w:rFonts w:eastAsia="Times New Roman" w:cs="Times New Roman"/>
          <w:bCs/>
          <w:color w:val="222222"/>
          <w:szCs w:val="24"/>
        </w:rPr>
        <w:t xml:space="preserve"> </w:t>
      </w:r>
    </w:p>
    <w:p w14:paraId="09433DF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lastRenderedPageBreak/>
        <w:t>The appropriate engagement of the stakeholders is crucial to the successful development and introduction of the wearable health device by Bupa. Formalised systems are allowed to align interests, expectations, and make decisions collectively, minimising risks and maximising efficiency of a project.</w:t>
      </w:r>
    </w:p>
    <w:p w14:paraId="73AC98B9"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28" w:name="_jmzkfzcq4ev6" w:colFirst="0" w:colLast="0"/>
      <w:bookmarkStart w:id="29" w:name="_Toc215244997"/>
      <w:bookmarkEnd w:id="28"/>
      <w:r w:rsidRPr="00F014DC">
        <w:rPr>
          <w:rFonts w:ascii="Times New Roman" w:eastAsia="Times New Roman" w:hAnsi="Times New Roman" w:cs="Times New Roman"/>
          <w:b/>
          <w:bCs/>
          <w:color w:val="222222"/>
          <w:sz w:val="24"/>
          <w:szCs w:val="24"/>
        </w:rPr>
        <w:t>5.1 Stakeholder Mapping / Salience Theory</w:t>
      </w:r>
      <w:bookmarkEnd w:id="29"/>
    </w:p>
    <w:p w14:paraId="3F6BDE4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Power Interest grid developed by Mendelow (Stakeholder mapping) enables prioritisation of the engagement strategies according to the level of influence and interest (</w:t>
      </w:r>
      <w:r w:rsidRPr="00F014DC">
        <w:rPr>
          <w:rFonts w:ascii="Times New Roman" w:eastAsia="Times New Roman" w:hAnsi="Times New Roman" w:cs="Times New Roman"/>
          <w:color w:val="222222"/>
          <w:sz w:val="24"/>
          <w:szCs w:val="24"/>
          <w:highlight w:val="white"/>
        </w:rPr>
        <w:t xml:space="preserve">Chiwala </w:t>
      </w:r>
      <w:r w:rsidRPr="00F014DC">
        <w:rPr>
          <w:rFonts w:ascii="Times New Roman" w:eastAsia="Times New Roman" w:hAnsi="Times New Roman" w:cs="Times New Roman"/>
          <w:i/>
          <w:iCs/>
          <w:color w:val="222222"/>
          <w:sz w:val="24"/>
          <w:szCs w:val="24"/>
          <w:highlight w:val="white"/>
        </w:rPr>
        <w:t>et al</w:t>
      </w:r>
      <w:r w:rsidRPr="00F014DC">
        <w:rPr>
          <w:rFonts w:ascii="Times New Roman" w:eastAsia="Times New Roman" w:hAnsi="Times New Roman" w:cs="Times New Roman"/>
          <w:color w:val="222222"/>
          <w:sz w:val="24"/>
          <w:szCs w:val="24"/>
          <w:highlight w:val="white"/>
        </w:rPr>
        <w:t xml:space="preserve"> 2025).</w:t>
      </w:r>
      <w:r w:rsidRPr="00F014DC">
        <w:rPr>
          <w:rFonts w:ascii="Times New Roman" w:eastAsia="Times New Roman" w:hAnsi="Times New Roman" w:cs="Times New Roman"/>
          <w:color w:val="222222"/>
          <w:sz w:val="24"/>
          <w:szCs w:val="24"/>
        </w:rPr>
        <w:t xml:space="preserve"> In this project, senior management, R&amp;D teams, IT and Cybersecurity, regulatory bodies (MHRA, ICO) and technology suppliers are the stakeholders that deserve the most attention (Manage Closely), as they influence the compliance, the quality of products and timelines of their launch greatly. Retained Satisfied stakeholders like investors and retail partners need to be updated regularly so that they are not shaken. Keep Informed teams such as the healthcare professionals and marketing require frequent communication to make sure that it is in touch with the end-user needs. External trends and feedback requires little but continuous monitoring of the stakeholders including wider customers and communities (</w:t>
      </w:r>
      <w:r w:rsidRPr="00F014DC">
        <w:rPr>
          <w:rFonts w:ascii="Times New Roman" w:eastAsia="Times New Roman" w:hAnsi="Times New Roman" w:cs="Times New Roman"/>
          <w:color w:val="222222"/>
          <w:sz w:val="24"/>
          <w:szCs w:val="24"/>
          <w:highlight w:val="white"/>
        </w:rPr>
        <w:t xml:space="preserve">Chiwala </w:t>
      </w:r>
      <w:r w:rsidRPr="00F014DC">
        <w:rPr>
          <w:rFonts w:ascii="Times New Roman" w:eastAsia="Times New Roman" w:hAnsi="Times New Roman" w:cs="Times New Roman"/>
          <w:i/>
          <w:iCs/>
          <w:color w:val="222222"/>
          <w:sz w:val="24"/>
          <w:szCs w:val="24"/>
          <w:highlight w:val="white"/>
        </w:rPr>
        <w:t>et al</w:t>
      </w:r>
      <w:r w:rsidRPr="00F014DC">
        <w:rPr>
          <w:rFonts w:ascii="Times New Roman" w:eastAsia="Times New Roman" w:hAnsi="Times New Roman" w:cs="Times New Roman"/>
          <w:color w:val="222222"/>
          <w:sz w:val="24"/>
          <w:szCs w:val="24"/>
          <w:highlight w:val="white"/>
        </w:rPr>
        <w:t xml:space="preserve"> 2025).</w:t>
      </w:r>
    </w:p>
    <w:p w14:paraId="283C1BCC"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Using the Stakeholder Salience Theory developed by Mitchell et al. (</w:t>
      </w:r>
      <w:r w:rsidRPr="00F014DC">
        <w:rPr>
          <w:rFonts w:ascii="Times New Roman" w:eastAsia="Times New Roman" w:hAnsi="Times New Roman" w:cs="Times New Roman"/>
          <w:color w:val="222222"/>
          <w:sz w:val="24"/>
          <w:szCs w:val="24"/>
          <w:highlight w:val="white"/>
        </w:rPr>
        <w:t>2021</w:t>
      </w:r>
      <w:r w:rsidRPr="00F014DC">
        <w:rPr>
          <w:rFonts w:ascii="Times New Roman" w:eastAsia="Times New Roman" w:hAnsi="Times New Roman" w:cs="Times New Roman"/>
          <w:color w:val="222222"/>
          <w:sz w:val="24"/>
          <w:szCs w:val="24"/>
        </w:rPr>
        <w:t>), the most urgent, powerful, and legitimate stakeholders, such as regulators and senior management, have the highest influence on the project constraints, speed and approval state because their needs directly determine it.</w:t>
      </w:r>
    </w:p>
    <w:p w14:paraId="25032333"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color w:val="222222"/>
          <w:sz w:val="24"/>
          <w:szCs w:val="24"/>
        </w:rPr>
      </w:pPr>
      <w:bookmarkStart w:id="30" w:name="_yjnubmw3y8lv" w:colFirst="0" w:colLast="0"/>
      <w:bookmarkStart w:id="31" w:name="_Toc215244998"/>
      <w:bookmarkEnd w:id="30"/>
      <w:r w:rsidRPr="00F014DC">
        <w:rPr>
          <w:rFonts w:ascii="Times New Roman" w:eastAsia="Times New Roman" w:hAnsi="Times New Roman" w:cs="Times New Roman"/>
          <w:b/>
          <w:bCs/>
          <w:color w:val="222222"/>
          <w:sz w:val="24"/>
          <w:szCs w:val="24"/>
        </w:rPr>
        <w:t>5.2 Stakeholder Engagement Plan</w:t>
      </w:r>
      <w:bookmarkEnd w:id="31"/>
    </w:p>
    <w:tbl>
      <w:tblPr>
        <w:tblStyle w:val="a2"/>
        <w:tblW w:w="91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10"/>
        <w:gridCol w:w="6680"/>
      </w:tblGrid>
      <w:tr w:rsidR="006A27D9" w:rsidRPr="00F014DC" w14:paraId="7A14EA11" w14:textId="77777777">
        <w:trPr>
          <w:trHeight w:val="785"/>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A16F3" w14:textId="77777777" w:rsidR="006A27D9" w:rsidRPr="00F014DC" w:rsidRDefault="00000000">
            <w:pPr>
              <w:shd w:val="clear" w:color="auto" w:fill="FFFFFF"/>
              <w:spacing w:before="200" w:after="200" w:line="360" w:lineRule="auto"/>
              <w:jc w:val="center"/>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Engagement Component</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FF1D53" w14:textId="77777777" w:rsidR="006A27D9" w:rsidRPr="00F014DC" w:rsidRDefault="00000000">
            <w:pPr>
              <w:shd w:val="clear" w:color="auto" w:fill="FFFFFF"/>
              <w:spacing w:before="200" w:after="200" w:line="360" w:lineRule="auto"/>
              <w:jc w:val="center"/>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Description</w:t>
            </w:r>
          </w:p>
        </w:tc>
      </w:tr>
      <w:tr w:rsidR="006A27D9" w:rsidRPr="00F014DC" w14:paraId="32DF92C7" w14:textId="77777777">
        <w:trPr>
          <w:trHeight w:val="785"/>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48431"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Engagement Objectives</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00293"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Ensure transparency, alignment and shared ownership throughout the development process</w:t>
            </w:r>
          </w:p>
        </w:tc>
      </w:tr>
      <w:tr w:rsidR="006A27D9" w:rsidRPr="00F014DC" w14:paraId="6D3E4CE5" w14:textId="77777777">
        <w:trPr>
          <w:trHeight w:val="785"/>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0E99C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lastRenderedPageBreak/>
              <w:t>Stakeholder Expectations</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F78E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Accuracy and safety of device, regulatory compliance, market readiness, data security</w:t>
            </w:r>
          </w:p>
        </w:tc>
      </w:tr>
      <w:tr w:rsidR="006A27D9" w:rsidRPr="00F014DC" w14:paraId="0CDE7F97" w14:textId="77777777">
        <w:trPr>
          <w:trHeight w:val="785"/>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8ED9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Level of Involvement</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0AD1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Co-design sessions for internal teams; consultation for regulators; participatory testing for customers</w:t>
            </w:r>
          </w:p>
        </w:tc>
      </w:tr>
      <w:tr w:rsidR="006A27D9" w:rsidRPr="00F014DC" w14:paraId="476D32BF" w14:textId="77777777">
        <w:trPr>
          <w:trHeight w:val="785"/>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D18B1D"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Frequency of Communication</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2A768"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Weekly progress meetings, monthly executive briefings, continuous technical reviews, quarterly stakeholder assessments</w:t>
            </w:r>
          </w:p>
        </w:tc>
      </w:tr>
      <w:tr w:rsidR="006A27D9" w:rsidRPr="00F014DC" w14:paraId="0324DA00" w14:textId="77777777">
        <w:trPr>
          <w:trHeight w:val="1070"/>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0ADCA"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Key Success Indicators</w:t>
            </w:r>
          </w:p>
        </w:tc>
        <w:tc>
          <w:tcPr>
            <w:tcW w:w="6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80782"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95% stakeholder satisfaction rate, milestone completion within deadlines, successful regulatory approval, positive prototype feedback</w:t>
            </w:r>
          </w:p>
        </w:tc>
      </w:tr>
    </w:tbl>
    <w:p w14:paraId="37CBE853"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plan would make the engagement systematic, measurable and aligned to SMART objectives, which will facilitate collaboration and proactive issues solving.</w:t>
      </w:r>
    </w:p>
    <w:p w14:paraId="249C8615"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32" w:name="_s3xztuh42p7s" w:colFirst="0" w:colLast="0"/>
      <w:bookmarkStart w:id="33" w:name="_Toc215244999"/>
      <w:bookmarkEnd w:id="32"/>
      <w:r w:rsidRPr="00F014DC">
        <w:rPr>
          <w:rFonts w:ascii="Times New Roman" w:eastAsia="Times New Roman" w:hAnsi="Times New Roman" w:cs="Times New Roman"/>
          <w:b/>
          <w:bCs/>
          <w:color w:val="222222"/>
          <w:sz w:val="24"/>
          <w:szCs w:val="24"/>
        </w:rPr>
        <w:t>5.3 Communication Plan</w:t>
      </w:r>
      <w:bookmarkEnd w:id="33"/>
    </w:p>
    <w:p w14:paraId="23D09A83"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Communication is essential in making sure there is clarity, minimisation of ambiguity and conflict is avoided. The project will adopt the use of various channels to meet the different stakeholder needs:</w:t>
      </w:r>
    </w:p>
    <w:p w14:paraId="14C466FD" w14:textId="77777777" w:rsidR="006A27D9" w:rsidRPr="00F014DC" w:rsidRDefault="00000000">
      <w:pPr>
        <w:numPr>
          <w:ilvl w:val="0"/>
          <w:numId w:val="2"/>
        </w:numPr>
        <w:shd w:val="clear" w:color="auto" w:fill="FFFFFF"/>
        <w:spacing w:before="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Email updates &amp; newsletters - to provide frequent progress information.</w:t>
      </w:r>
    </w:p>
    <w:p w14:paraId="4DAFB1C1" w14:textId="77777777" w:rsidR="006A27D9" w:rsidRPr="00F014DC" w:rsidRDefault="00000000">
      <w:pPr>
        <w:numPr>
          <w:ilvl w:val="0"/>
          <w:numId w:val="2"/>
        </w:numPr>
        <w:shd w:val="clear" w:color="auto" w:fill="FFFFFF"/>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Workshops/training- to co-design and manage expectations.</w:t>
      </w:r>
    </w:p>
    <w:p w14:paraId="68431BA4" w14:textId="77777777" w:rsidR="006A27D9" w:rsidRPr="00F014DC" w:rsidRDefault="00000000">
      <w:pPr>
        <w:numPr>
          <w:ilvl w:val="0"/>
          <w:numId w:val="2"/>
        </w:numPr>
        <w:shd w:val="clear" w:color="auto" w:fill="FFFFFF"/>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Demonstration prototyping and user testing- early feedback.</w:t>
      </w:r>
    </w:p>
    <w:p w14:paraId="71885D4F" w14:textId="77777777" w:rsidR="006A27D9" w:rsidRPr="00F014DC" w:rsidRDefault="00000000">
      <w:pPr>
        <w:numPr>
          <w:ilvl w:val="0"/>
          <w:numId w:val="2"/>
        </w:numPr>
        <w:shd w:val="clear" w:color="auto" w:fill="FFFFFF"/>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Weekly progress reports and dashboards- visualising the performance.</w:t>
      </w:r>
    </w:p>
    <w:p w14:paraId="17708DC6" w14:textId="77777777" w:rsidR="006A27D9" w:rsidRPr="00F014DC" w:rsidRDefault="00000000">
      <w:pPr>
        <w:numPr>
          <w:ilvl w:val="0"/>
          <w:numId w:val="2"/>
        </w:numPr>
        <w:shd w:val="clear" w:color="auto" w:fill="FFFFFF"/>
        <w:spacing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Online collaboration (Microsoft Teams, Jira) - to enhance coordination and documentation.</w:t>
      </w:r>
    </w:p>
    <w:p w14:paraId="53FB91F6" w14:textId="77777777" w:rsidR="006A27D9" w:rsidRPr="00F014DC" w:rsidRDefault="00000000">
      <w:pPr>
        <w:numPr>
          <w:ilvl w:val="0"/>
          <w:numId w:val="2"/>
        </w:numPr>
        <w:shd w:val="clear" w:color="auto" w:fill="FFFFFF"/>
        <w:spacing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Regulators and supplier meetings and webinars.</w:t>
      </w:r>
    </w:p>
    <w:p w14:paraId="751B6A92"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lastRenderedPageBreak/>
        <w:t>The Shannon Weaver Communication Model proves to be helpful in supporting the plan as it focuses on creating a clear message, proper channels and feedback loops to minimise misunderstandings (</w:t>
      </w:r>
      <w:r w:rsidRPr="00F014DC">
        <w:rPr>
          <w:rFonts w:ascii="Times New Roman" w:eastAsia="Times New Roman" w:hAnsi="Times New Roman" w:cs="Times New Roman"/>
          <w:color w:val="222222"/>
          <w:sz w:val="24"/>
          <w:szCs w:val="24"/>
          <w:highlight w:val="white"/>
        </w:rPr>
        <w:t>Shannon and Weaver, 1998).</w:t>
      </w:r>
      <w:r w:rsidRPr="00F014DC">
        <w:rPr>
          <w:rFonts w:ascii="Times New Roman" w:eastAsia="Times New Roman" w:hAnsi="Times New Roman" w:cs="Times New Roman"/>
          <w:color w:val="222222"/>
          <w:sz w:val="24"/>
          <w:szCs w:val="24"/>
        </w:rPr>
        <w:t xml:space="preserve"> Embracing structured communication, </w:t>
      </w:r>
      <w:r w:rsidRPr="00F014DC">
        <w:rPr>
          <w:rFonts w:ascii="Times New Roman" w:eastAsia="Times New Roman" w:hAnsi="Times New Roman" w:cs="Times New Roman"/>
          <w:color w:val="222222"/>
          <w:sz w:val="24"/>
          <w:szCs w:val="24"/>
          <w:highlight w:val="white"/>
        </w:rPr>
        <w:t>Clampitt (2016),</w:t>
      </w:r>
      <w:r w:rsidRPr="00F014DC">
        <w:rPr>
          <w:rFonts w:ascii="Times New Roman" w:eastAsia="Times New Roman" w:hAnsi="Times New Roman" w:cs="Times New Roman"/>
          <w:color w:val="222222"/>
          <w:sz w:val="24"/>
          <w:szCs w:val="24"/>
        </w:rPr>
        <w:t xml:space="preserve"> Four Stages of Communication: encode, transmit, decode, and feedback support the need to establish a mutually understood communication and reduce the chances of conflict.</w:t>
      </w:r>
    </w:p>
    <w:p w14:paraId="37D46BE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rPr>
        <w:t>The engagement plan and the communication structure together eliminate isolation and conflicts between stakeholders, which helps to achieve innovation and project success.</w:t>
      </w:r>
    </w:p>
    <w:p w14:paraId="6B3D8444"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34" w:name="_x1haisaxel37" w:colFirst="0" w:colLast="0"/>
      <w:bookmarkStart w:id="35" w:name="_Toc215245000"/>
      <w:bookmarkEnd w:id="34"/>
      <w:r w:rsidRPr="00F014DC">
        <w:rPr>
          <w:rFonts w:eastAsia="Times New Roman" w:cs="Times New Roman"/>
          <w:bCs/>
          <w:color w:val="222222"/>
          <w:szCs w:val="24"/>
        </w:rPr>
        <w:t>6. Critical Explanation of Engagement Process &amp; Conflict Management</w:t>
      </w:r>
      <w:bookmarkEnd w:id="35"/>
    </w:p>
    <w:p w14:paraId="320819B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successful implementation of the project on the wearable health device by Bupa requires proper stakeholder involvement. Sustainable engagement enhances innovation, better decision-making, and reduction of conflict. This part critically reviews the way the stakeholder engagement will be carried out with the help of structured processes, as well as the conflict managed with the help of the 4Cs model and Communication, Coordination, Cooperation and Collaboration based on Ellis, Gibbs and Rein in 1991 (</w:t>
      </w:r>
      <w:r w:rsidRPr="00F014DC">
        <w:rPr>
          <w:rFonts w:ascii="Times New Roman" w:eastAsia="Times New Roman" w:hAnsi="Times New Roman" w:cs="Times New Roman"/>
          <w:color w:val="222222"/>
          <w:sz w:val="24"/>
          <w:szCs w:val="24"/>
          <w:highlight w:val="white"/>
        </w:rPr>
        <w:t xml:space="preserve">Passos </w:t>
      </w:r>
      <w:r w:rsidRPr="00F014DC">
        <w:rPr>
          <w:rFonts w:ascii="Times New Roman" w:eastAsia="Times New Roman" w:hAnsi="Times New Roman" w:cs="Times New Roman"/>
          <w:i/>
          <w:iCs/>
          <w:color w:val="222222"/>
          <w:sz w:val="24"/>
          <w:szCs w:val="24"/>
          <w:highlight w:val="white"/>
        </w:rPr>
        <w:t>et al</w:t>
      </w:r>
      <w:r w:rsidRPr="00F014DC">
        <w:rPr>
          <w:rFonts w:ascii="Times New Roman" w:eastAsia="Times New Roman" w:hAnsi="Times New Roman" w:cs="Times New Roman"/>
          <w:color w:val="222222"/>
          <w:sz w:val="24"/>
          <w:szCs w:val="24"/>
          <w:highlight w:val="white"/>
        </w:rPr>
        <w:t>., 2016).</w:t>
      </w:r>
    </w:p>
    <w:p w14:paraId="7BD05D5F"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36" w:name="_gcdenvh7megs" w:colFirst="0" w:colLast="0"/>
      <w:bookmarkStart w:id="37" w:name="_Toc215245001"/>
      <w:bookmarkEnd w:id="36"/>
      <w:r w:rsidRPr="00F014DC">
        <w:rPr>
          <w:rFonts w:ascii="Times New Roman" w:eastAsia="Times New Roman" w:hAnsi="Times New Roman" w:cs="Times New Roman"/>
          <w:b/>
          <w:bCs/>
          <w:color w:val="222222"/>
          <w:sz w:val="24"/>
          <w:szCs w:val="24"/>
        </w:rPr>
        <w:t>6.1 As Project Manager, what engagement process will you adopt?</w:t>
      </w:r>
      <w:bookmarkEnd w:id="37"/>
    </w:p>
    <w:p w14:paraId="039AED11"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The process of engagement will be based on the </w:t>
      </w:r>
      <w:r w:rsidRPr="00F014DC">
        <w:rPr>
          <w:rFonts w:ascii="Times New Roman" w:eastAsia="Times New Roman" w:hAnsi="Times New Roman" w:cs="Times New Roman"/>
          <w:i/>
          <w:iCs/>
          <w:color w:val="222222"/>
          <w:sz w:val="24"/>
          <w:szCs w:val="24"/>
        </w:rPr>
        <w:t>PMI Stakeholder Engagement</w:t>
      </w:r>
      <w:r w:rsidRPr="00F014DC">
        <w:rPr>
          <w:rFonts w:ascii="Times New Roman" w:eastAsia="Times New Roman" w:hAnsi="Times New Roman" w:cs="Times New Roman"/>
          <w:color w:val="222222"/>
          <w:sz w:val="24"/>
          <w:szCs w:val="24"/>
        </w:rPr>
        <w:t xml:space="preserve"> Framework, and formulated based on an ongoing process of engagement:</w:t>
      </w:r>
    </w:p>
    <w:p w14:paraId="698559D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Initiation:</w:t>
      </w:r>
      <w:r w:rsidRPr="00F014DC">
        <w:rPr>
          <w:rFonts w:ascii="Times New Roman" w:eastAsia="Times New Roman" w:hAnsi="Times New Roman" w:cs="Times New Roman"/>
          <w:color w:val="222222"/>
          <w:sz w:val="24"/>
          <w:szCs w:val="24"/>
        </w:rPr>
        <w:t xml:space="preserve"> Find out who will be affected or influenced by the wearable device project, what are the stakeholders. The early participation sets the expectations and defines roles.</w:t>
      </w:r>
    </w:p>
    <w:p w14:paraId="3BD4CE4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Identification:</w:t>
      </w:r>
      <w:r w:rsidRPr="00F014DC">
        <w:rPr>
          <w:rFonts w:ascii="Times New Roman" w:eastAsia="Times New Roman" w:hAnsi="Times New Roman" w:cs="Times New Roman"/>
          <w:color w:val="222222"/>
          <w:sz w:val="24"/>
          <w:szCs w:val="24"/>
        </w:rPr>
        <w:t xml:space="preserve"> Conduct extensive mapping on stakeholders based on Mendelow's matrix and Salience Model to determine stakeholder power, legitimacy and urgency.</w:t>
      </w:r>
    </w:p>
    <w:p w14:paraId="6DFA113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 xml:space="preserve">Analysis: </w:t>
      </w:r>
      <w:r w:rsidRPr="00F014DC">
        <w:rPr>
          <w:rFonts w:ascii="Times New Roman" w:eastAsia="Times New Roman" w:hAnsi="Times New Roman" w:cs="Times New Roman"/>
          <w:color w:val="222222"/>
          <w:sz w:val="24"/>
          <w:szCs w:val="24"/>
        </w:rPr>
        <w:t>Evaluate interests, motivations, possible conflicts and preferences in communication to find priorities of engagement.</w:t>
      </w:r>
    </w:p>
    <w:p w14:paraId="2D74721C"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Engagement:</w:t>
      </w:r>
      <w:r w:rsidRPr="00F014DC">
        <w:rPr>
          <w:rFonts w:ascii="Times New Roman" w:eastAsia="Times New Roman" w:hAnsi="Times New Roman" w:cs="Times New Roman"/>
          <w:color w:val="222222"/>
          <w:sz w:val="24"/>
          <w:szCs w:val="24"/>
        </w:rPr>
        <w:t xml:space="preserve"> Use customised tactics using workshops, meetings, prototypes and co-design activities so as to guarantee contribution and shared ownership.</w:t>
      </w:r>
    </w:p>
    <w:p w14:paraId="674A55F1"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lastRenderedPageBreak/>
        <w:t>Monitoring:</w:t>
      </w:r>
      <w:r w:rsidRPr="00F014DC">
        <w:rPr>
          <w:rFonts w:ascii="Times New Roman" w:eastAsia="Times New Roman" w:hAnsi="Times New Roman" w:cs="Times New Roman"/>
          <w:color w:val="222222"/>
          <w:sz w:val="24"/>
          <w:szCs w:val="24"/>
        </w:rPr>
        <w:t xml:space="preserve"> Check the stakeholder satisfaction and participation continuously and change the engagement mechanisms as required.</w:t>
      </w:r>
    </w:p>
    <w:p w14:paraId="29CFDA1D"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Such a process of iteration guarantees the fluidity of interaction and responsiveness as the demands of the project change and allows identifying the early warning signs connected with delays in regulation or dissatisfaction of users or disruptions in the supply chain (</w:t>
      </w:r>
      <w:r w:rsidRPr="00F014DC">
        <w:rPr>
          <w:rFonts w:ascii="Times New Roman" w:eastAsia="Times New Roman" w:hAnsi="Times New Roman" w:cs="Times New Roman"/>
          <w:color w:val="222222"/>
          <w:sz w:val="24"/>
          <w:szCs w:val="24"/>
          <w:highlight w:val="white"/>
        </w:rPr>
        <w:t>Schibi, 2013).</w:t>
      </w:r>
    </w:p>
    <w:p w14:paraId="25EF6307"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38" w:name="_85sts2ec8uca" w:colFirst="0" w:colLast="0"/>
      <w:bookmarkStart w:id="39" w:name="_Toc215245002"/>
      <w:bookmarkEnd w:id="38"/>
      <w:r w:rsidRPr="00F014DC">
        <w:rPr>
          <w:rFonts w:ascii="Times New Roman" w:eastAsia="Times New Roman" w:hAnsi="Times New Roman" w:cs="Times New Roman"/>
          <w:b/>
          <w:bCs/>
          <w:color w:val="222222"/>
          <w:sz w:val="24"/>
          <w:szCs w:val="24"/>
        </w:rPr>
        <w:t>6.2 Application of the 4Cs</w:t>
      </w:r>
      <w:bookmarkEnd w:id="39"/>
    </w:p>
    <w:p w14:paraId="6BB6CAD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4Cs model is a systematic method of improving cooperation during the project lifecycle:</w:t>
      </w:r>
    </w:p>
    <w:p w14:paraId="5E91CA37"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Communication</w:t>
      </w:r>
      <w:r w:rsidRPr="00F014DC">
        <w:rPr>
          <w:rFonts w:ascii="Times New Roman" w:eastAsia="Times New Roman" w:hAnsi="Times New Roman" w:cs="Times New Roman"/>
          <w:color w:val="222222"/>
          <w:sz w:val="24"/>
          <w:szCs w:val="24"/>
        </w:rPr>
        <w:t xml:space="preserve"> - There will be open and prompt communication to avoid ambiguity and minimise assumptions that are bound to cause conflict. Multi-channel communication such as dashboards, reports and virtual sessions will be used to ensure that the stakeholders are provided with the relevant information at all times. The feedback loops are necessary to ensure the understanding is validated, reduces misinterpretation and makes informed decision-making (</w:t>
      </w:r>
      <w:r w:rsidRPr="00F014DC">
        <w:rPr>
          <w:rFonts w:ascii="Times New Roman" w:eastAsia="Times New Roman" w:hAnsi="Times New Roman" w:cs="Times New Roman"/>
          <w:color w:val="222222"/>
          <w:sz w:val="24"/>
          <w:szCs w:val="24"/>
          <w:highlight w:val="white"/>
        </w:rPr>
        <w:t xml:space="preserve">Achi </w:t>
      </w:r>
      <w:r w:rsidRPr="00F014DC">
        <w:rPr>
          <w:rFonts w:ascii="Times New Roman" w:eastAsia="Times New Roman" w:hAnsi="Times New Roman" w:cs="Times New Roman"/>
          <w:i/>
          <w:iCs/>
          <w:color w:val="222222"/>
          <w:sz w:val="24"/>
          <w:szCs w:val="24"/>
          <w:highlight w:val="white"/>
        </w:rPr>
        <w:t>et al</w:t>
      </w:r>
      <w:r w:rsidRPr="00F014DC">
        <w:rPr>
          <w:rFonts w:ascii="Times New Roman" w:eastAsia="Times New Roman" w:hAnsi="Times New Roman" w:cs="Times New Roman"/>
          <w:color w:val="222222"/>
          <w:sz w:val="24"/>
          <w:szCs w:val="24"/>
          <w:highlight w:val="white"/>
        </w:rPr>
        <w:t>., 2021).</w:t>
      </w:r>
    </w:p>
    <w:p w14:paraId="1A078DE7"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Coordination</w:t>
      </w:r>
      <w:r w:rsidRPr="00F014DC">
        <w:rPr>
          <w:rFonts w:ascii="Times New Roman" w:eastAsia="Times New Roman" w:hAnsi="Times New Roman" w:cs="Times New Roman"/>
          <w:color w:val="222222"/>
          <w:sz w:val="24"/>
          <w:szCs w:val="24"/>
        </w:rPr>
        <w:t xml:space="preserve"> - It is always essential to coordinate cross-functional teams in order to synchronise activities, work and schedules. R&amp;D, IT, compliance and suppliers activities will be synchronised by using project management tools like Jira and Gantt scheduling. It has clear documentation that ensures accountability and eliminates duplication or inefficient utilisation of resources (</w:t>
      </w:r>
      <w:r w:rsidRPr="00F014DC">
        <w:rPr>
          <w:rFonts w:ascii="Times New Roman" w:eastAsia="Times New Roman" w:hAnsi="Times New Roman" w:cs="Times New Roman"/>
          <w:color w:val="222222"/>
          <w:sz w:val="24"/>
          <w:szCs w:val="24"/>
          <w:highlight w:val="white"/>
        </w:rPr>
        <w:t>Microsoft, 2025).</w:t>
      </w:r>
    </w:p>
    <w:p w14:paraId="2EDB9C4E"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Cooperation</w:t>
      </w:r>
      <w:r w:rsidRPr="00F014DC">
        <w:rPr>
          <w:rFonts w:ascii="Times New Roman" w:eastAsia="Times New Roman" w:hAnsi="Times New Roman" w:cs="Times New Roman"/>
          <w:color w:val="222222"/>
          <w:sz w:val="24"/>
          <w:szCs w:val="24"/>
        </w:rPr>
        <w:t xml:space="preserve"> -  Cooperation empowers inter-relational support through the harmonisation of the interest of stakeholders with the project goals. Developing a culture of trust by jointly adding value, including focusing on patient benefit and wellbeing, is an incentive to compromise and invest resources in the situation by stakeholders. Such recognition and milestone celebrations will encourage cooperative behaviour.</w:t>
      </w:r>
    </w:p>
    <w:p w14:paraId="3A081774"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i/>
          <w:iCs/>
          <w:color w:val="222222"/>
          <w:sz w:val="24"/>
          <w:szCs w:val="24"/>
        </w:rPr>
        <w:t>Collaboration</w:t>
      </w:r>
      <w:r w:rsidRPr="00F014DC">
        <w:rPr>
          <w:rFonts w:ascii="Times New Roman" w:eastAsia="Times New Roman" w:hAnsi="Times New Roman" w:cs="Times New Roman"/>
          <w:color w:val="222222"/>
          <w:sz w:val="24"/>
          <w:szCs w:val="24"/>
        </w:rPr>
        <w:t xml:space="preserve"> - Collaboration is concerned with collective problem solving and innovation. The stakeholders will be engaged in making decisions by the use of workshops, co-design sessions and tests of the products in prototypes that will make them feel a sense of ownership and collective responsibility. Joint efforts will enhance the quality of a solution, decrease resistance and increase adoption preparedness.</w:t>
      </w:r>
    </w:p>
    <w:p w14:paraId="6378A30B"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40" w:name="_93ucnrjfvqxk" w:colFirst="0" w:colLast="0"/>
      <w:bookmarkStart w:id="41" w:name="_Toc215245003"/>
      <w:bookmarkEnd w:id="40"/>
      <w:r w:rsidRPr="00F014DC">
        <w:rPr>
          <w:rFonts w:ascii="Times New Roman" w:eastAsia="Times New Roman" w:hAnsi="Times New Roman" w:cs="Times New Roman"/>
          <w:b/>
          <w:bCs/>
          <w:color w:val="222222"/>
          <w:sz w:val="24"/>
          <w:szCs w:val="24"/>
        </w:rPr>
        <w:lastRenderedPageBreak/>
        <w:t>6.3 Conflict Management Approaches</w:t>
      </w:r>
      <w:bookmarkEnd w:id="41"/>
    </w:p>
    <w:p w14:paraId="2613B809"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Although this can be effectively engaged in projects with a complex multi-stakeholder, conflict is unavoidable. The structure of conflict resolution to be applied in the project will be:</w:t>
      </w:r>
    </w:p>
    <w:p w14:paraId="5D87FF58"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Thomas -Kilmann Conflict Mode Instrument (TKI):</w:t>
      </w:r>
      <w:r w:rsidRPr="00F014DC">
        <w:rPr>
          <w:rFonts w:ascii="Times New Roman" w:eastAsia="Times New Roman" w:hAnsi="Times New Roman" w:cs="Times New Roman"/>
          <w:color w:val="222222"/>
          <w:sz w:val="24"/>
          <w:szCs w:val="24"/>
        </w:rPr>
        <w:t xml:space="preserve"> This instrument is used to identify which of the competing responses, avoiding responses, accommodating responses, compromising responses, and collaborating responses are most suitable in given situations based on the urgency and importance of the interests.</w:t>
      </w:r>
    </w:p>
    <w:p w14:paraId="455BB726" w14:textId="5262EA41"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Interest-Based Negotiation (Fisher &amp; Ury, 1981):</w:t>
      </w:r>
      <w:r w:rsidRPr="00F014DC">
        <w:rPr>
          <w:rFonts w:ascii="Times New Roman" w:eastAsia="Times New Roman" w:hAnsi="Times New Roman" w:cs="Times New Roman"/>
          <w:color w:val="222222"/>
          <w:sz w:val="24"/>
          <w:szCs w:val="24"/>
        </w:rPr>
        <w:t xml:space="preserve"> It concentrates on the needs </w:t>
      </w:r>
      <w:r w:rsidR="00F014DC" w:rsidRPr="00F014DC">
        <w:rPr>
          <w:rFonts w:ascii="Times New Roman" w:eastAsia="Times New Roman" w:hAnsi="Times New Roman" w:cs="Times New Roman"/>
          <w:color w:val="222222"/>
          <w:sz w:val="24"/>
          <w:szCs w:val="24"/>
        </w:rPr>
        <w:t>do not position</w:t>
      </w:r>
      <w:r w:rsidRPr="00F014DC">
        <w:rPr>
          <w:rFonts w:ascii="Times New Roman" w:eastAsia="Times New Roman" w:hAnsi="Times New Roman" w:cs="Times New Roman"/>
          <w:color w:val="222222"/>
          <w:sz w:val="24"/>
          <w:szCs w:val="24"/>
        </w:rPr>
        <w:t xml:space="preserve"> and hence allows win-win results to be achieved (</w:t>
      </w:r>
      <w:r w:rsidRPr="00F014DC">
        <w:rPr>
          <w:rFonts w:ascii="Times New Roman" w:eastAsia="Times New Roman" w:hAnsi="Times New Roman" w:cs="Times New Roman"/>
          <w:color w:val="222222"/>
          <w:sz w:val="24"/>
          <w:szCs w:val="24"/>
          <w:highlight w:val="white"/>
        </w:rPr>
        <w:t>Ojha, 2019).</w:t>
      </w:r>
    </w:p>
    <w:p w14:paraId="6A8E0106"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b/>
          <w:bCs/>
          <w:color w:val="222222"/>
          <w:sz w:val="24"/>
          <w:szCs w:val="24"/>
        </w:rPr>
        <w:t xml:space="preserve">Emotional Intelligence (Goleman, 2011): </w:t>
      </w:r>
      <w:r w:rsidRPr="00F014DC">
        <w:rPr>
          <w:rFonts w:ascii="Times New Roman" w:eastAsia="Times New Roman" w:hAnsi="Times New Roman" w:cs="Times New Roman"/>
          <w:color w:val="222222"/>
          <w:sz w:val="24"/>
          <w:szCs w:val="24"/>
        </w:rPr>
        <w:t>Aids in comprehending emotional provocation and ensuring positive communication and empathy particularly in the course of achieving a unanimous solution to a dispute between technical and commercial goals.</w:t>
      </w:r>
    </w:p>
    <w:p w14:paraId="64CA2350"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These are the techniques that can be used to turn conflict into beneficial tension that can be innovating.</w:t>
      </w:r>
    </w:p>
    <w:p w14:paraId="39B98FA0"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42" w:name="_4xenu2lpvvka" w:colFirst="0" w:colLast="0"/>
      <w:bookmarkStart w:id="43" w:name="_Toc215245004"/>
      <w:bookmarkEnd w:id="42"/>
      <w:r w:rsidRPr="00F014DC">
        <w:rPr>
          <w:rFonts w:ascii="Times New Roman" w:eastAsia="Times New Roman" w:hAnsi="Times New Roman" w:cs="Times New Roman"/>
          <w:b/>
          <w:bCs/>
          <w:color w:val="222222"/>
          <w:sz w:val="24"/>
          <w:szCs w:val="24"/>
        </w:rPr>
        <w:t>6.4 Critical Evaluation</w:t>
      </w:r>
      <w:bookmarkEnd w:id="43"/>
    </w:p>
    <w:p w14:paraId="1EC7C59E" w14:textId="1828F453"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Although the engagement frameworks have a significant strategic advantage, they are limited. The PMI process and the 4Cs augment structure at the cost of considerable time and resources. Excessive engagement leads to the risk of overloaded communication, which forms part of confusion and decision fatigue. Although the RACI model is useful in defining roles, the model is simplistic in understanding stakeholder processes and fails to consider behavioural impact and </w:t>
      </w:r>
      <w:r w:rsidR="00F014DC" w:rsidRPr="00F014DC">
        <w:rPr>
          <w:rFonts w:ascii="Times New Roman" w:eastAsia="Times New Roman" w:hAnsi="Times New Roman" w:cs="Times New Roman"/>
          <w:color w:val="222222"/>
          <w:sz w:val="24"/>
          <w:szCs w:val="24"/>
        </w:rPr>
        <w:t>effectiveness</w:t>
      </w:r>
      <w:r w:rsidRPr="00F014DC">
        <w:rPr>
          <w:rFonts w:ascii="Times New Roman" w:eastAsia="Times New Roman" w:hAnsi="Times New Roman" w:cs="Times New Roman"/>
          <w:color w:val="222222"/>
          <w:sz w:val="24"/>
          <w:szCs w:val="24"/>
        </w:rPr>
        <w:t>. Also, incorporating different views by working together may contribute to slow decision-making and intensification of conflict unless managed effectively.</w:t>
      </w:r>
    </w:p>
    <w:p w14:paraId="70F505BA"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There is also an added complication of ethical considerations. Health gadgets are prone to using personal data, and the issue of privacy and consent emerges in terms of the GDPR. Digital bias can also be prejudiced against vulnerable groups and needs constant ethical regulation.</w:t>
      </w:r>
    </w:p>
    <w:p w14:paraId="02E9ADC8"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rPr>
        <w:t>All in all, proper stakeholders engagement leads to better performance, but it should be well balanced with efficiency, transparency and ethical adherence.</w:t>
      </w:r>
    </w:p>
    <w:p w14:paraId="59BC72D9"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44" w:name="_tnqdrb7pru2h" w:colFirst="0" w:colLast="0"/>
      <w:bookmarkStart w:id="45" w:name="_Toc215245005"/>
      <w:bookmarkEnd w:id="44"/>
      <w:r w:rsidRPr="00F014DC">
        <w:rPr>
          <w:rFonts w:eastAsia="Times New Roman" w:cs="Times New Roman"/>
          <w:bCs/>
          <w:color w:val="222222"/>
          <w:szCs w:val="24"/>
        </w:rPr>
        <w:lastRenderedPageBreak/>
        <w:t>7. Evaluation of Impact of Stakeholder Engagement on Business Performance</w:t>
      </w:r>
      <w:bookmarkEnd w:id="45"/>
    </w:p>
    <w:p w14:paraId="2D8EDA95"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stakeholder engagement plays a great role in the organisational performance and project success especially in projects that are based on innovation like the launching of the wearable health device by Bupa. Stakeholder engagement contributes to the increase of value creation, productivity, and sustainability in the long term when managed effectively.</w:t>
      </w:r>
    </w:p>
    <w:p w14:paraId="5C645840"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46" w:name="_fkhqszq1mq60" w:colFirst="0" w:colLast="0"/>
      <w:bookmarkStart w:id="47" w:name="_Toc215245006"/>
      <w:bookmarkEnd w:id="46"/>
      <w:r w:rsidRPr="00F014DC">
        <w:rPr>
          <w:rFonts w:ascii="Times New Roman" w:eastAsia="Times New Roman" w:hAnsi="Times New Roman" w:cs="Times New Roman"/>
          <w:b/>
          <w:bCs/>
          <w:color w:val="222222"/>
          <w:sz w:val="24"/>
          <w:szCs w:val="24"/>
        </w:rPr>
        <w:t>7.1 Impact Areas</w:t>
      </w:r>
      <w:bookmarkEnd w:id="47"/>
    </w:p>
    <w:p w14:paraId="109A6C17"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Among the main advantages of a well-developed stakeholder involvement, we can single out the acceleration of the work on the project since due to effective communication, time wastage is minimised, and issues are solved more quickly. Teamwork between the internal functional divisions and the external regulators will facilitate effective decision making and approvals of compliance in time. Increasing the quality of innovation is also facilitated by the involvement of stakeholders, since the knowledge of healthcare professionals, customers and engineers will guarantee that the device will be developed to fulfil the technical, clinical and usability requirements.</w:t>
      </w:r>
    </w:p>
    <w:p w14:paraId="0F3163DC"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Good interaction leads to better compliance with the regulations as the bodies like MHRA and ICO are engaged at an early stage, thereby eliminating the chance of failure in approval or redesign. Co-design and prototype testing enhance customer adoption and retention, as well as satisfaction and product relevance. The project is also favourable towards better organisational reputation, which indicates the willingness of Bupa to innovate digital healthcare and focus on patient-centred solutions. Lastly, involvement of the stakeholders helps in enhancing risk mitigation, which can be achieved through early detection of any vulnerabilities in technologies, cybersecurity and data privacy.</w:t>
      </w:r>
    </w:p>
    <w:p w14:paraId="74D0968E"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48" w:name="_dkooliqyh3fn" w:colFirst="0" w:colLast="0"/>
      <w:bookmarkStart w:id="49" w:name="_Toc215245007"/>
      <w:bookmarkEnd w:id="48"/>
      <w:r w:rsidRPr="00F014DC">
        <w:rPr>
          <w:rFonts w:ascii="Times New Roman" w:eastAsia="Times New Roman" w:hAnsi="Times New Roman" w:cs="Times New Roman"/>
          <w:b/>
          <w:bCs/>
          <w:color w:val="222222"/>
          <w:sz w:val="24"/>
          <w:szCs w:val="24"/>
        </w:rPr>
        <w:t>7.2 Use Analytical Models</w:t>
      </w:r>
      <w:bookmarkEnd w:id="49"/>
    </w:p>
    <w:p w14:paraId="012CC92A"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Balanced Scorecard (Kaplan and Norton, 2015) is an in-depth model that can be used to assess the performance based on the financial, customer, internal process and innovation learning aspect. The stakeholder engagement will help in every category: cost reductions and revenue improvement, enhanced customer experience, better internal coordination, and learning in the organisation.</w:t>
      </w:r>
    </w:p>
    <w:p w14:paraId="2E2E023D"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lastRenderedPageBreak/>
        <w:t>The EFQM Excellence Model helps in supporting continuous improvement by aligning the strengths of the stakeholders with the organisational strategy, people capability and process excellence. Stakeholder feedback cycles assist in the measurement of performance and improvement of project quality.</w:t>
      </w:r>
    </w:p>
    <w:p w14:paraId="3618978F" w14:textId="50F3ED79"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The Triple Bottom Line model (Elkington, 1997) incorporates </w:t>
      </w:r>
      <w:r w:rsidR="00C85CE5" w:rsidRPr="00F014DC">
        <w:rPr>
          <w:rFonts w:ascii="Times New Roman" w:eastAsia="Times New Roman" w:hAnsi="Times New Roman" w:cs="Times New Roman"/>
          <w:color w:val="222222"/>
          <w:sz w:val="24"/>
          <w:szCs w:val="24"/>
        </w:rPr>
        <w:t>sustainability</w:t>
      </w:r>
      <w:r w:rsidRPr="00F014DC">
        <w:rPr>
          <w:rFonts w:ascii="Times New Roman" w:eastAsia="Times New Roman" w:hAnsi="Times New Roman" w:cs="Times New Roman"/>
          <w:color w:val="222222"/>
          <w:sz w:val="24"/>
          <w:szCs w:val="24"/>
        </w:rPr>
        <w:t xml:space="preserve"> factors, namely, the economic performance (via market competitiveness), social value (via better health results and patient empowerment), and environmental responsibility (via ethical production and recycling of the device parts).</w:t>
      </w:r>
    </w:p>
    <w:p w14:paraId="687B0D2B"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50" w:name="_cl9993kulwdm" w:colFirst="0" w:colLast="0"/>
      <w:bookmarkStart w:id="51" w:name="_Toc215245008"/>
      <w:bookmarkEnd w:id="50"/>
      <w:r w:rsidRPr="00F014DC">
        <w:rPr>
          <w:rFonts w:ascii="Times New Roman" w:eastAsia="Times New Roman" w:hAnsi="Times New Roman" w:cs="Times New Roman"/>
          <w:b/>
          <w:bCs/>
          <w:color w:val="222222"/>
          <w:sz w:val="24"/>
          <w:szCs w:val="24"/>
        </w:rPr>
        <w:t>7.3 Evidence from Literature</w:t>
      </w:r>
      <w:bookmarkEnd w:id="51"/>
    </w:p>
    <w:p w14:paraId="53B52667"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The development of wearable health devices has shown some quantifiable positive results in the presence of interested parties. As an illustration, NHS digital wearable trials demonstrated improved adoption and clinical accuracy when the healthcare professionals and the patients participated in the design phases (</w:t>
      </w:r>
      <w:r w:rsidRPr="00F014DC">
        <w:rPr>
          <w:rFonts w:ascii="Times New Roman" w:eastAsia="Times New Roman" w:hAnsi="Times New Roman" w:cs="Times New Roman"/>
          <w:color w:val="222222"/>
          <w:sz w:val="24"/>
          <w:szCs w:val="24"/>
          <w:highlight w:val="white"/>
        </w:rPr>
        <w:t>Kang and Exworthy, 2022).</w:t>
      </w:r>
      <w:r w:rsidRPr="00F014DC">
        <w:rPr>
          <w:rFonts w:ascii="Times New Roman" w:eastAsia="Times New Roman" w:hAnsi="Times New Roman" w:cs="Times New Roman"/>
          <w:color w:val="222222"/>
          <w:sz w:val="24"/>
          <w:szCs w:val="24"/>
        </w:rPr>
        <w:t xml:space="preserve"> The medical credibility and compliance with regulations of the Apple Watch healthcare integration showed through close collaboration with clinicians and the US FDA regulators enhanced the legitimacy and user trust (</w:t>
      </w:r>
      <w:r w:rsidRPr="00F014DC">
        <w:rPr>
          <w:rFonts w:ascii="Times New Roman" w:eastAsia="Times New Roman" w:hAnsi="Times New Roman" w:cs="Times New Roman"/>
          <w:color w:val="222222"/>
          <w:sz w:val="24"/>
          <w:szCs w:val="24"/>
          <w:highlight w:val="white"/>
        </w:rPr>
        <w:t>Yada and Soejima, 2025)</w:t>
      </w:r>
      <w:r w:rsidRPr="00F014DC">
        <w:rPr>
          <w:rFonts w:ascii="Times New Roman" w:eastAsia="Times New Roman" w:hAnsi="Times New Roman" w:cs="Times New Roman"/>
          <w:color w:val="222222"/>
          <w:sz w:val="24"/>
          <w:szCs w:val="24"/>
        </w:rPr>
        <w:t>. According to the previous reports by the digital transformation programmes of Bupa, service quality and patient satisfaction were previously reported to improve when multidisciplinary teams co-led technology projects (Bupa Annual Report, 2023). The above illustrations reinforce the argument that stakeholder participation enhances product effectiveness, successful implementation and acceptance of the product in the market.</w:t>
      </w:r>
    </w:p>
    <w:p w14:paraId="678F19F4" w14:textId="77777777" w:rsidR="006A27D9" w:rsidRPr="00F014DC" w:rsidRDefault="00000000">
      <w:pPr>
        <w:pStyle w:val="Heading3"/>
        <w:keepNext w:val="0"/>
        <w:keepLines w:val="0"/>
        <w:shd w:val="clear" w:color="auto" w:fill="FFFFFF"/>
        <w:spacing w:before="280" w:line="360" w:lineRule="auto"/>
        <w:jc w:val="both"/>
        <w:rPr>
          <w:rFonts w:ascii="Times New Roman" w:eastAsia="Times New Roman" w:hAnsi="Times New Roman" w:cs="Times New Roman"/>
          <w:b/>
          <w:bCs/>
          <w:color w:val="222222"/>
          <w:sz w:val="24"/>
          <w:szCs w:val="24"/>
        </w:rPr>
      </w:pPr>
      <w:bookmarkStart w:id="52" w:name="_smjcwuxp8th" w:colFirst="0" w:colLast="0"/>
      <w:bookmarkStart w:id="53" w:name="_Toc215245009"/>
      <w:bookmarkEnd w:id="52"/>
      <w:r w:rsidRPr="00F014DC">
        <w:rPr>
          <w:rFonts w:ascii="Times New Roman" w:eastAsia="Times New Roman" w:hAnsi="Times New Roman" w:cs="Times New Roman"/>
          <w:b/>
          <w:bCs/>
          <w:color w:val="222222"/>
          <w:sz w:val="24"/>
          <w:szCs w:val="24"/>
        </w:rPr>
        <w:t>7.4 Critical Perspective</w:t>
      </w:r>
      <w:bookmarkEnd w:id="53"/>
    </w:p>
    <w:p w14:paraId="77E38BFD" w14:textId="79F1C2C5"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 xml:space="preserve">Even though the advantages are significant, there are still problems. Slowness of the decision-making process and making it more complex is a risk of over-reliance on the stakeholder support. Competing interests such as commercial interests and patient safety can be a source of tension and should not be negotiated by inexperienced </w:t>
      </w:r>
      <w:r w:rsidR="00C85CE5" w:rsidRPr="00F014DC">
        <w:rPr>
          <w:rFonts w:ascii="Times New Roman" w:eastAsia="Times New Roman" w:hAnsi="Times New Roman" w:cs="Times New Roman"/>
          <w:color w:val="222222"/>
          <w:sz w:val="24"/>
          <w:szCs w:val="24"/>
        </w:rPr>
        <w:t>people</w:t>
      </w:r>
      <w:r w:rsidRPr="00F014DC">
        <w:rPr>
          <w:rFonts w:ascii="Times New Roman" w:eastAsia="Times New Roman" w:hAnsi="Times New Roman" w:cs="Times New Roman"/>
          <w:color w:val="222222"/>
          <w:sz w:val="24"/>
          <w:szCs w:val="24"/>
        </w:rPr>
        <w:t xml:space="preserve">. Engagement processes that are intensive in resources are dangerous when they run out of control. Facilitation of stakeholder cooperation after launching the business may be difficult because of the growth in the number of customers and market demands. Moreover, stakeholder management is interpersonal, and as a result, the quality </w:t>
      </w:r>
      <w:r w:rsidRPr="00F014DC">
        <w:rPr>
          <w:rFonts w:ascii="Times New Roman" w:eastAsia="Times New Roman" w:hAnsi="Times New Roman" w:cs="Times New Roman"/>
          <w:color w:val="222222"/>
          <w:sz w:val="24"/>
          <w:szCs w:val="24"/>
        </w:rPr>
        <w:lastRenderedPageBreak/>
        <w:t xml:space="preserve">of engagement is strongly related to the ability to lead, the effectiveness and ethical orientation of </w:t>
      </w:r>
      <w:r w:rsidR="00C85CE5" w:rsidRPr="00F014DC">
        <w:rPr>
          <w:rFonts w:ascii="Times New Roman" w:eastAsia="Times New Roman" w:hAnsi="Times New Roman" w:cs="Times New Roman"/>
          <w:color w:val="222222"/>
          <w:sz w:val="24"/>
          <w:szCs w:val="24"/>
        </w:rPr>
        <w:t>communication</w:t>
      </w:r>
      <w:r w:rsidRPr="00F014DC">
        <w:rPr>
          <w:rFonts w:ascii="Times New Roman" w:eastAsia="Times New Roman" w:hAnsi="Times New Roman" w:cs="Times New Roman"/>
          <w:color w:val="222222"/>
          <w:sz w:val="24"/>
          <w:szCs w:val="24"/>
        </w:rPr>
        <w:t>.</w:t>
      </w:r>
    </w:p>
    <w:p w14:paraId="6F7E6DC1"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rPr>
        <w:t>Finally, stakeholder engagement is a strategic investment that improves the organisational performance though it needs a balanced coordination, good governance and continuous adaptation.</w:t>
      </w:r>
    </w:p>
    <w:p w14:paraId="60458743"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54" w:name="_fsss4v7jxqyg" w:colFirst="0" w:colLast="0"/>
      <w:bookmarkStart w:id="55" w:name="_Toc215245010"/>
      <w:bookmarkEnd w:id="54"/>
      <w:r w:rsidRPr="00F014DC">
        <w:rPr>
          <w:rFonts w:eastAsia="Times New Roman" w:cs="Times New Roman"/>
          <w:bCs/>
          <w:color w:val="222222"/>
          <w:szCs w:val="24"/>
        </w:rPr>
        <w:t>8. Recommendations for Future Stakeholder Engagement</w:t>
      </w:r>
      <w:bookmarkEnd w:id="55"/>
    </w:p>
    <w:p w14:paraId="666302C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color w:val="222222"/>
          <w:sz w:val="24"/>
          <w:szCs w:val="24"/>
        </w:rPr>
      </w:pPr>
      <w:r w:rsidRPr="00F014DC">
        <w:rPr>
          <w:rFonts w:ascii="Times New Roman" w:eastAsia="Times New Roman" w:hAnsi="Times New Roman" w:cs="Times New Roman"/>
          <w:color w:val="222222"/>
          <w:sz w:val="24"/>
          <w:szCs w:val="24"/>
        </w:rPr>
        <w:t>Bupa needs to be more organised, data-driven and cooperative in order to build stronger stakeholder involvement to ensure the successful adoption and further expansion of the wearable health device. To begin with, by setting up a special Stakeholder Engagement Office, cross-functional teams will be centralised, and the governance will be improved in the entire project lifecycle. To facilitate real-time decision-making and transparency detection, Bupa needs to adopt real-time engagement dashboards to track the trends of satisfaction, feedback and risk indicators.</w:t>
      </w:r>
    </w:p>
    <w:p w14:paraId="7F6FA77F" w14:textId="77777777" w:rsidR="006A27D9" w:rsidRPr="00F014DC"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rPr>
        <w:t>The training of the staff on digital health technologies will decrease the resistance of employees in the organisation and raise the ability to serve the customers. Enhancing cooperation with the regulatory agencies by training them early on consultation workshops will reduce the delays in approving the process and the compliance challenges. Moreover, the customer co-creation laboratories and on-going testing of the prototypes will make sure that the product remains relevant and its adoption is quick. Lastly, building post-launch engagement loops by use of surveys and performance analytics will facilitate innovation sustainability in terms of continuous improvement.</w:t>
      </w:r>
    </w:p>
    <w:p w14:paraId="7979AD57"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56" w:name="_vbeaqja674tv" w:colFirst="0" w:colLast="0"/>
      <w:bookmarkStart w:id="57" w:name="_Toc215245011"/>
      <w:bookmarkEnd w:id="56"/>
      <w:r w:rsidRPr="00F014DC">
        <w:rPr>
          <w:rFonts w:eastAsia="Times New Roman" w:cs="Times New Roman"/>
          <w:bCs/>
          <w:color w:val="222222"/>
          <w:szCs w:val="24"/>
        </w:rPr>
        <w:t>9. Conclusion</w:t>
      </w:r>
      <w:bookmarkEnd w:id="57"/>
      <w:r w:rsidRPr="00F014DC">
        <w:rPr>
          <w:rFonts w:eastAsia="Times New Roman" w:cs="Times New Roman"/>
          <w:bCs/>
          <w:color w:val="222222"/>
          <w:szCs w:val="24"/>
        </w:rPr>
        <w:t xml:space="preserve"> </w:t>
      </w:r>
    </w:p>
    <w:p w14:paraId="4BFBECB3" w14:textId="4265FA50" w:rsidR="006A27D9" w:rsidRPr="00F014DC" w:rsidRDefault="00000000">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rPr>
        <w:t xml:space="preserve">Proper stakeholder involvement is critical to the success of the new wearable health device delivery and commercial launch by Bupa. Implementation of the structured models like SWOT, PESTLE, RACI, stakeholder mapping and 4Cs model proves that involvement enhances </w:t>
      </w:r>
      <w:r w:rsidR="00C85CE5" w:rsidRPr="00F014DC">
        <w:rPr>
          <w:rFonts w:ascii="Times New Roman" w:eastAsia="Times New Roman" w:hAnsi="Times New Roman" w:cs="Times New Roman"/>
          <w:color w:val="222222"/>
          <w:sz w:val="24"/>
          <w:szCs w:val="24"/>
        </w:rPr>
        <w:t>teamwork</w:t>
      </w:r>
      <w:r w:rsidRPr="00F014DC">
        <w:rPr>
          <w:rFonts w:ascii="Times New Roman" w:eastAsia="Times New Roman" w:hAnsi="Times New Roman" w:cs="Times New Roman"/>
          <w:color w:val="222222"/>
          <w:sz w:val="24"/>
          <w:szCs w:val="24"/>
        </w:rPr>
        <w:t xml:space="preserve">, quality projects, speed in project execution, and regulatory compliance. The Balanced Scorecard and EFQM tools demonstrate that stakeholder engagement has a positive impact on customer satisfaction, organisational image and sustainable business performance. Although issues like incompatible priorities and data privacy risks are inevitable, sustainable stakeholder management </w:t>
      </w:r>
      <w:r w:rsidRPr="00F014DC">
        <w:rPr>
          <w:rFonts w:ascii="Times New Roman" w:eastAsia="Times New Roman" w:hAnsi="Times New Roman" w:cs="Times New Roman"/>
          <w:color w:val="222222"/>
          <w:sz w:val="24"/>
          <w:szCs w:val="24"/>
        </w:rPr>
        <w:lastRenderedPageBreak/>
        <w:t>with the help of transparent communication and coordinated decision-making is the key to gaining a competitive edge and ensuring future healthcare innovations are successful.</w:t>
      </w:r>
    </w:p>
    <w:p w14:paraId="1AB45FE1" w14:textId="77777777" w:rsidR="006A27D9" w:rsidRPr="00F014DC" w:rsidRDefault="00000000">
      <w:pPr>
        <w:pStyle w:val="Heading1"/>
        <w:keepNext w:val="0"/>
        <w:keepLines w:val="0"/>
        <w:shd w:val="clear" w:color="auto" w:fill="FFFFFF"/>
        <w:spacing w:before="480"/>
        <w:rPr>
          <w:rFonts w:eastAsia="Times New Roman" w:cs="Times New Roman"/>
          <w:szCs w:val="24"/>
        </w:rPr>
      </w:pPr>
      <w:bookmarkStart w:id="58" w:name="_br64b2y56dc1" w:colFirst="0" w:colLast="0"/>
      <w:bookmarkEnd w:id="58"/>
      <w:r w:rsidRPr="00F014DC">
        <w:br w:type="page"/>
      </w:r>
    </w:p>
    <w:p w14:paraId="14CEEDD8" w14:textId="77777777" w:rsidR="006A27D9" w:rsidRPr="00F014DC" w:rsidRDefault="00000000">
      <w:pPr>
        <w:pStyle w:val="Heading1"/>
        <w:keepNext w:val="0"/>
        <w:keepLines w:val="0"/>
        <w:shd w:val="clear" w:color="auto" w:fill="FFFFFF"/>
        <w:spacing w:before="480"/>
        <w:rPr>
          <w:rFonts w:eastAsia="Times New Roman" w:cs="Times New Roman"/>
          <w:b w:val="0"/>
          <w:bCs/>
          <w:color w:val="222222"/>
          <w:szCs w:val="24"/>
        </w:rPr>
      </w:pPr>
      <w:bookmarkStart w:id="59" w:name="_5uz82rldz8t3" w:colFirst="0" w:colLast="0"/>
      <w:bookmarkStart w:id="60" w:name="_Toc215245012"/>
      <w:bookmarkEnd w:id="59"/>
      <w:r w:rsidRPr="00F014DC">
        <w:rPr>
          <w:rFonts w:eastAsia="Times New Roman" w:cs="Times New Roman"/>
          <w:bCs/>
          <w:color w:val="222222"/>
          <w:szCs w:val="24"/>
        </w:rPr>
        <w:lastRenderedPageBreak/>
        <w:t>10. Reference List</w:t>
      </w:r>
      <w:bookmarkEnd w:id="60"/>
      <w:r w:rsidRPr="00F014DC">
        <w:rPr>
          <w:rFonts w:eastAsia="Times New Roman" w:cs="Times New Roman"/>
          <w:bCs/>
          <w:color w:val="222222"/>
          <w:szCs w:val="24"/>
        </w:rPr>
        <w:t xml:space="preserve"> </w:t>
      </w:r>
    </w:p>
    <w:p w14:paraId="668A9780"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Achi, A., Adeola, O. and Achi, C.F., (2021). Corporate multi-channel branding: Platforms for# CorporateBranding. In </w:t>
      </w:r>
      <w:r w:rsidRPr="00F014DC">
        <w:rPr>
          <w:rFonts w:ascii="Times New Roman" w:eastAsia="Times New Roman" w:hAnsi="Times New Roman" w:cs="Times New Roman"/>
          <w:i/>
          <w:iCs/>
          <w:color w:val="222222"/>
          <w:sz w:val="24"/>
          <w:szCs w:val="24"/>
          <w:highlight w:val="white"/>
        </w:rPr>
        <w:t>Building corporate identity, image and reputation in the digital era</w:t>
      </w:r>
      <w:r w:rsidRPr="00F014DC">
        <w:rPr>
          <w:rFonts w:ascii="Times New Roman" w:eastAsia="Times New Roman" w:hAnsi="Times New Roman" w:cs="Times New Roman"/>
          <w:color w:val="222222"/>
          <w:sz w:val="24"/>
          <w:szCs w:val="24"/>
          <w:highlight w:val="white"/>
        </w:rPr>
        <w:t xml:space="preserve"> (pp. 205-217). Routledge.</w:t>
      </w:r>
      <w:hyperlink r:id="rId11">
        <w:r w:rsidRPr="00F014DC">
          <w:rPr>
            <w:rFonts w:ascii="Times New Roman" w:eastAsia="Times New Roman" w:hAnsi="Times New Roman" w:cs="Times New Roman"/>
            <w:color w:val="1155CC"/>
            <w:sz w:val="24"/>
            <w:szCs w:val="24"/>
            <w:highlight w:val="white"/>
            <w:u w:val="single"/>
          </w:rPr>
          <w:t>https://www.taylorfrancis.com/chapters/edit/10.4324/9781003080572-11/corporate-multi-channel-branding-awele-achi-ogechi-adeola-chukwuedo-francis-achi</w:t>
        </w:r>
      </w:hyperlink>
    </w:p>
    <w:p w14:paraId="6DE3037B" w14:textId="77777777" w:rsidR="00C85CE5" w:rsidRPr="00F014DC" w:rsidRDefault="00C85CE5">
      <w:pPr>
        <w:shd w:val="clear" w:color="auto" w:fill="FFFFFF"/>
        <w:spacing w:before="200" w:after="20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A</w:t>
      </w:r>
      <w:hyperlink r:id="rId12">
        <w:r w:rsidRPr="00F014DC">
          <w:rPr>
            <w:rFonts w:ascii="Times New Roman" w:eastAsia="Times New Roman" w:hAnsi="Times New Roman" w:cs="Times New Roman"/>
            <w:sz w:val="24"/>
            <w:szCs w:val="24"/>
          </w:rPr>
          <w:t>ssets.cambridge.org</w:t>
        </w:r>
      </w:hyperlink>
      <w:r w:rsidRPr="00F014DC">
        <w:rPr>
          <w:rFonts w:ascii="Times New Roman" w:eastAsia="Times New Roman" w:hAnsi="Times New Roman" w:cs="Times New Roman"/>
          <w:sz w:val="24"/>
          <w:szCs w:val="24"/>
        </w:rPr>
        <w:t xml:space="preserve"> (2024) </w:t>
      </w:r>
      <w:r w:rsidRPr="00F014DC">
        <w:rPr>
          <w:rFonts w:ascii="Times New Roman" w:eastAsia="Times New Roman" w:hAnsi="Times New Roman" w:cs="Times New Roman"/>
          <w:i/>
          <w:iCs/>
          <w:sz w:val="24"/>
          <w:szCs w:val="24"/>
        </w:rPr>
        <w:t>Cambridge</w:t>
      </w:r>
      <w:r w:rsidRPr="00F014DC">
        <w:rPr>
          <w:rFonts w:ascii="Times New Roman" w:eastAsia="Times New Roman" w:hAnsi="Times New Roman" w:cs="Times New Roman"/>
          <w:sz w:val="24"/>
          <w:szCs w:val="24"/>
        </w:rPr>
        <w:t xml:space="preserve">. Available at: https://assets.cambridge.org/97811071/96421/frontmatter/9781107196421_frontmatter.pdf (Accessed: 28 November 2025). </w:t>
      </w:r>
    </w:p>
    <w:p w14:paraId="39097ACC"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Bupa (2024) </w:t>
      </w:r>
      <w:r w:rsidRPr="00F014DC">
        <w:rPr>
          <w:rFonts w:ascii="Times New Roman" w:eastAsia="Times New Roman" w:hAnsi="Times New Roman" w:cs="Times New Roman"/>
          <w:i/>
          <w:iCs/>
          <w:sz w:val="24"/>
          <w:szCs w:val="24"/>
        </w:rPr>
        <w:t>Annual report 2023</w:t>
      </w:r>
      <w:r w:rsidRPr="00F014DC">
        <w:rPr>
          <w:rFonts w:ascii="Times New Roman" w:eastAsia="Times New Roman" w:hAnsi="Times New Roman" w:cs="Times New Roman"/>
          <w:sz w:val="24"/>
          <w:szCs w:val="24"/>
        </w:rPr>
        <w:t xml:space="preserve">. Available at: https://www.bupa.com/~/media/files/b/bupa-v5/documents/annual-report-2023/bupa-group-2023-annual-report-and-accounts-.pdf (Accessed: 28 November 2025). </w:t>
      </w:r>
    </w:p>
    <w:p w14:paraId="3BB8BA5A"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Bupa, (2023). </w:t>
      </w:r>
      <w:r w:rsidRPr="00F014DC">
        <w:rPr>
          <w:rFonts w:ascii="Times New Roman" w:eastAsia="Times New Roman" w:hAnsi="Times New Roman" w:cs="Times New Roman"/>
          <w:i/>
          <w:iCs/>
          <w:color w:val="222222"/>
          <w:sz w:val="24"/>
          <w:szCs w:val="24"/>
          <w:highlight w:val="white"/>
        </w:rPr>
        <w:t>Annual report 2023</w:t>
      </w:r>
      <w:r w:rsidRPr="00F014DC">
        <w:rPr>
          <w:rFonts w:ascii="Times New Roman" w:eastAsia="Times New Roman" w:hAnsi="Times New Roman" w:cs="Times New Roman"/>
          <w:color w:val="222222"/>
          <w:sz w:val="24"/>
          <w:szCs w:val="24"/>
          <w:highlight w:val="white"/>
        </w:rPr>
        <w:t xml:space="preserve">. Available at: https://www.bupa.com/~/media/files/b/bupa-v5/documents/annual-report-2023/bupa-group-2023-annual-report-and-accounts-.pdf (Accessed: 28 November 2025). </w:t>
      </w:r>
    </w:p>
    <w:p w14:paraId="38D1EB28"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 xml:space="preserve">Careers.bupa (2024) </w:t>
      </w:r>
      <w:r w:rsidRPr="00F014DC">
        <w:rPr>
          <w:rFonts w:ascii="Times New Roman" w:eastAsia="Times New Roman" w:hAnsi="Times New Roman" w:cs="Times New Roman"/>
          <w:i/>
          <w:iCs/>
          <w:sz w:val="24"/>
          <w:szCs w:val="24"/>
        </w:rPr>
        <w:t>About Bupa</w:t>
      </w:r>
      <w:r w:rsidRPr="00F014DC">
        <w:rPr>
          <w:rFonts w:ascii="Times New Roman" w:eastAsia="Times New Roman" w:hAnsi="Times New Roman" w:cs="Times New Roman"/>
          <w:sz w:val="24"/>
          <w:szCs w:val="24"/>
        </w:rPr>
        <w:t xml:space="preserve"> </w:t>
      </w:r>
      <w:r w:rsidRPr="00F014DC">
        <w:rPr>
          <w:rFonts w:ascii="Times New Roman" w:eastAsia="Times New Roman" w:hAnsi="Times New Roman" w:cs="Times New Roman"/>
          <w:i/>
          <w:iCs/>
          <w:sz w:val="24"/>
          <w:szCs w:val="24"/>
        </w:rPr>
        <w:t>Bupa Careers</w:t>
      </w:r>
      <w:r w:rsidRPr="00F014DC">
        <w:rPr>
          <w:rFonts w:ascii="Times New Roman" w:eastAsia="Times New Roman" w:hAnsi="Times New Roman" w:cs="Times New Roman"/>
          <w:sz w:val="24"/>
          <w:szCs w:val="24"/>
        </w:rPr>
        <w:t xml:space="preserve">. Available at: https://careers.bupa.co.uk/about-bupa#our_purpose (Accessed: 28 November 2025). </w:t>
      </w:r>
    </w:p>
    <w:p w14:paraId="68373CEA"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Chiwala, B., Makasa, M. and Zulu, J.M., (2025). Power and interest levels in safely managed sanitation services in Zambia: A stakeholder mapping. </w:t>
      </w:r>
      <w:r w:rsidRPr="00F014DC">
        <w:rPr>
          <w:rFonts w:ascii="Times New Roman" w:eastAsia="Times New Roman" w:hAnsi="Times New Roman" w:cs="Times New Roman"/>
          <w:i/>
          <w:iCs/>
          <w:color w:val="222222"/>
          <w:sz w:val="24"/>
          <w:szCs w:val="24"/>
          <w:highlight w:val="white"/>
        </w:rPr>
        <w:t>PLoS One</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20</w:t>
      </w:r>
      <w:r w:rsidRPr="00F014DC">
        <w:rPr>
          <w:rFonts w:ascii="Times New Roman" w:eastAsia="Times New Roman" w:hAnsi="Times New Roman" w:cs="Times New Roman"/>
          <w:color w:val="222222"/>
          <w:sz w:val="24"/>
          <w:szCs w:val="24"/>
          <w:highlight w:val="white"/>
        </w:rPr>
        <w:t>(11), p.e0335130.</w:t>
      </w:r>
      <w:hyperlink r:id="rId13">
        <w:r w:rsidRPr="00F014DC">
          <w:rPr>
            <w:rFonts w:ascii="Times New Roman" w:eastAsia="Times New Roman" w:hAnsi="Times New Roman" w:cs="Times New Roman"/>
            <w:color w:val="1155CC"/>
            <w:sz w:val="24"/>
            <w:szCs w:val="24"/>
            <w:highlight w:val="white"/>
            <w:u w:val="single"/>
          </w:rPr>
          <w:t>https://etalpykla.vilniustech.lt/bitstream/handle/123456789/155774/cibmee.2019.046.pdf?sequence=1</w:t>
        </w:r>
      </w:hyperlink>
    </w:p>
    <w:p w14:paraId="2A28BF9D" w14:textId="77777777" w:rsidR="00C85CE5" w:rsidRPr="00F014DC" w:rsidRDefault="00C85CE5">
      <w:pPr>
        <w:spacing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Christopher, M., Payne, A., and Ballantyne, D. (2013). Relationship Marketing: Creating Stakeholder Value. Saint Louis: Taylor and Francis</w:t>
      </w:r>
    </w:p>
    <w:p w14:paraId="784BC55F"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Clampitt, P.G., (2016). </w:t>
      </w:r>
      <w:r w:rsidRPr="00F014DC">
        <w:rPr>
          <w:rFonts w:ascii="Times New Roman" w:eastAsia="Times New Roman" w:hAnsi="Times New Roman" w:cs="Times New Roman"/>
          <w:i/>
          <w:iCs/>
          <w:color w:val="222222"/>
          <w:sz w:val="24"/>
          <w:szCs w:val="24"/>
          <w:highlight w:val="white"/>
        </w:rPr>
        <w:t>Communicating for Managerial Effectiveness: Challenges| Strategies| Solutions</w:t>
      </w:r>
      <w:r w:rsidRPr="00F014DC">
        <w:rPr>
          <w:rFonts w:ascii="Times New Roman" w:eastAsia="Times New Roman" w:hAnsi="Times New Roman" w:cs="Times New Roman"/>
          <w:color w:val="222222"/>
          <w:sz w:val="24"/>
          <w:szCs w:val="24"/>
          <w:highlight w:val="white"/>
        </w:rPr>
        <w:t>. Sage Publications.</w:t>
      </w:r>
      <w:hyperlink r:id="rId14">
        <w:r w:rsidRPr="00F014DC">
          <w:rPr>
            <w:rFonts w:ascii="Times New Roman" w:eastAsia="Times New Roman" w:hAnsi="Times New Roman" w:cs="Times New Roman"/>
            <w:color w:val="1155CC"/>
            <w:sz w:val="24"/>
            <w:szCs w:val="24"/>
            <w:highlight w:val="white"/>
            <w:u w:val="single"/>
          </w:rPr>
          <w:t>https://books.google.com/books?hl=en&amp;lr=&amp;id=RlW0DAAAQBAJ&amp;oi=fnd&amp;pg=PP1&amp;dq=structured+communication,+Clampitt+(2013)&amp;ots=JQqTuS15hX&amp;sig=HjJ0NodLZAcYPW4258qDgFyUmK0</w:t>
        </w:r>
      </w:hyperlink>
    </w:p>
    <w:p w14:paraId="0DDFB777"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lastRenderedPageBreak/>
        <w:t xml:space="preserve">Deloitte (2025) </w:t>
      </w:r>
      <w:r w:rsidRPr="00F014DC">
        <w:rPr>
          <w:rFonts w:ascii="Times New Roman" w:eastAsia="Times New Roman" w:hAnsi="Times New Roman" w:cs="Times New Roman"/>
          <w:i/>
          <w:iCs/>
          <w:sz w:val="24"/>
          <w:szCs w:val="24"/>
        </w:rPr>
        <w:t>Wearable Technology in health care: Getting better all the time</w:t>
      </w:r>
      <w:r w:rsidRPr="00F014DC">
        <w:rPr>
          <w:rFonts w:ascii="Times New Roman" w:eastAsia="Times New Roman" w:hAnsi="Times New Roman" w:cs="Times New Roman"/>
          <w:sz w:val="24"/>
          <w:szCs w:val="24"/>
        </w:rPr>
        <w:t xml:space="preserve"> </w:t>
      </w:r>
      <w:r w:rsidRPr="00F014DC">
        <w:rPr>
          <w:rFonts w:ascii="Times New Roman" w:eastAsia="Times New Roman" w:hAnsi="Times New Roman" w:cs="Times New Roman"/>
          <w:i/>
          <w:iCs/>
          <w:sz w:val="24"/>
          <w:szCs w:val="24"/>
        </w:rPr>
        <w:t>Deloitte Insights</w:t>
      </w:r>
      <w:r w:rsidRPr="00F014DC">
        <w:rPr>
          <w:rFonts w:ascii="Times New Roman" w:eastAsia="Times New Roman" w:hAnsi="Times New Roman" w:cs="Times New Roman"/>
          <w:sz w:val="24"/>
          <w:szCs w:val="24"/>
        </w:rPr>
        <w:t xml:space="preserve">. Available at: https://www.deloitte.com/us/en/insights/industry/technology/technology-media-and-telecom-predictions/2022/wearable-technology-healthcare.html (Accessed: 28 November 2025). </w:t>
      </w:r>
    </w:p>
    <w:p w14:paraId="5A8DFDB6"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Elkington, J., (1997). The triple bottom line. </w:t>
      </w:r>
      <w:r w:rsidRPr="00F014DC">
        <w:rPr>
          <w:rFonts w:ascii="Times New Roman" w:eastAsia="Times New Roman" w:hAnsi="Times New Roman" w:cs="Times New Roman"/>
          <w:i/>
          <w:iCs/>
          <w:color w:val="222222"/>
          <w:sz w:val="24"/>
          <w:szCs w:val="24"/>
          <w:highlight w:val="white"/>
        </w:rPr>
        <w:t>Environmental management: Readings and cases</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2</w:t>
      </w:r>
      <w:r w:rsidRPr="00F014DC">
        <w:rPr>
          <w:rFonts w:ascii="Times New Roman" w:eastAsia="Times New Roman" w:hAnsi="Times New Roman" w:cs="Times New Roman"/>
          <w:color w:val="222222"/>
          <w:sz w:val="24"/>
          <w:szCs w:val="24"/>
          <w:highlight w:val="white"/>
        </w:rPr>
        <w:t>(1997), pp.49-66.</w:t>
      </w:r>
      <w:hyperlink r:id="rId15">
        <w:r w:rsidRPr="00F014DC">
          <w:rPr>
            <w:rFonts w:ascii="Times New Roman" w:eastAsia="Times New Roman" w:hAnsi="Times New Roman" w:cs="Times New Roman"/>
            <w:color w:val="1155CC"/>
            <w:sz w:val="24"/>
            <w:szCs w:val="24"/>
            <w:highlight w:val="white"/>
            <w:u w:val="single"/>
          </w:rPr>
          <w:t>https://books.google.com/books?hl=en&amp;lr=&amp;id=hRJGrsGnMXcC&amp;oi=fnd&amp;pg=PA49&amp;dq=Triple+Bottom+Line+model+Elkington+book&amp;ots=0gqACMRuaK&amp;sig=o8VdP6a8gLV4JWlZ-HwZRqwEswg</w:t>
        </w:r>
      </w:hyperlink>
    </w:p>
    <w:p w14:paraId="144B12C6"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highlight w:val="white"/>
        </w:rPr>
        <w:t xml:space="preserve">Freeman, R.E., (2010). </w:t>
      </w:r>
      <w:r w:rsidRPr="00F014DC">
        <w:rPr>
          <w:rFonts w:ascii="Times New Roman" w:eastAsia="Times New Roman" w:hAnsi="Times New Roman" w:cs="Times New Roman"/>
          <w:i/>
          <w:iCs/>
          <w:color w:val="222222"/>
          <w:sz w:val="24"/>
          <w:szCs w:val="24"/>
          <w:highlight w:val="white"/>
        </w:rPr>
        <w:t>Strategic management: A stakeholder approach</w:t>
      </w:r>
      <w:r w:rsidRPr="00F014DC">
        <w:rPr>
          <w:rFonts w:ascii="Times New Roman" w:eastAsia="Times New Roman" w:hAnsi="Times New Roman" w:cs="Times New Roman"/>
          <w:color w:val="222222"/>
          <w:sz w:val="24"/>
          <w:szCs w:val="24"/>
          <w:highlight w:val="white"/>
        </w:rPr>
        <w:t xml:space="preserve">. Cambridge university press. </w:t>
      </w:r>
    </w:p>
    <w:p w14:paraId="1F1BFFBD"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Goleman, D., (2011). </w:t>
      </w:r>
      <w:r w:rsidRPr="00F014DC">
        <w:rPr>
          <w:rFonts w:ascii="Times New Roman" w:eastAsia="Times New Roman" w:hAnsi="Times New Roman" w:cs="Times New Roman"/>
          <w:i/>
          <w:iCs/>
          <w:color w:val="222222"/>
          <w:sz w:val="24"/>
          <w:szCs w:val="24"/>
          <w:highlight w:val="white"/>
        </w:rPr>
        <w:t>Leadership: The power of emotional intelligence</w:t>
      </w:r>
      <w:r w:rsidRPr="00F014DC">
        <w:rPr>
          <w:rFonts w:ascii="Times New Roman" w:eastAsia="Times New Roman" w:hAnsi="Times New Roman" w:cs="Times New Roman"/>
          <w:color w:val="222222"/>
          <w:sz w:val="24"/>
          <w:szCs w:val="24"/>
          <w:highlight w:val="white"/>
        </w:rPr>
        <w:t xml:space="preserve"> (Vol. 46). Florence, MA: More Than Sound.</w:t>
      </w:r>
      <w:hyperlink r:id="rId16">
        <w:r w:rsidRPr="00F014DC">
          <w:rPr>
            <w:rFonts w:ascii="Times New Roman" w:eastAsia="Times New Roman" w:hAnsi="Times New Roman" w:cs="Times New Roman"/>
            <w:color w:val="1155CC"/>
            <w:sz w:val="24"/>
            <w:szCs w:val="24"/>
            <w:highlight w:val="white"/>
            <w:u w:val="single"/>
          </w:rPr>
          <w:t>https://about.openlibhums.org/fetch.php/fill-and-sign-pdf-form/4wIBrH/Leadership-The-Power-Of-Emotional-Intelligence-Daniel-Goleman.pdf</w:t>
        </w:r>
      </w:hyperlink>
    </w:p>
    <w:p w14:paraId="102EA5EB"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Jensen, M.C. and Meckling, W.H., (2019). Theory of the firm: Managerial behavior, agency costs and ownership structure. In </w:t>
      </w:r>
      <w:r w:rsidRPr="00F014DC">
        <w:rPr>
          <w:rFonts w:ascii="Times New Roman" w:eastAsia="Times New Roman" w:hAnsi="Times New Roman" w:cs="Times New Roman"/>
          <w:i/>
          <w:iCs/>
          <w:color w:val="222222"/>
          <w:sz w:val="24"/>
          <w:szCs w:val="24"/>
          <w:highlight w:val="white"/>
        </w:rPr>
        <w:t>Corporate governance</w:t>
      </w:r>
      <w:r w:rsidRPr="00F014DC">
        <w:rPr>
          <w:rFonts w:ascii="Times New Roman" w:eastAsia="Times New Roman" w:hAnsi="Times New Roman" w:cs="Times New Roman"/>
          <w:color w:val="222222"/>
          <w:sz w:val="24"/>
          <w:szCs w:val="24"/>
          <w:highlight w:val="white"/>
        </w:rPr>
        <w:t xml:space="preserve"> (pp. 77-132). Gower. </w:t>
      </w:r>
      <w:hyperlink r:id="rId17">
        <w:r w:rsidRPr="00F014DC">
          <w:rPr>
            <w:rFonts w:ascii="Times New Roman" w:eastAsia="Times New Roman" w:hAnsi="Times New Roman" w:cs="Times New Roman"/>
            <w:color w:val="1155CC"/>
            <w:sz w:val="24"/>
            <w:szCs w:val="24"/>
            <w:highlight w:val="white"/>
            <w:u w:val="single"/>
          </w:rPr>
          <w:t>https://www.academia.edu/download/37786595/jensen-meckling.pdf</w:t>
        </w:r>
      </w:hyperlink>
    </w:p>
    <w:p w14:paraId="689FDAF2"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Kang, H.S. and Exworthy, M. (2022) </w:t>
      </w:r>
      <w:r w:rsidRPr="00F014DC">
        <w:rPr>
          <w:rFonts w:ascii="Times New Roman" w:eastAsia="Times New Roman" w:hAnsi="Times New Roman" w:cs="Times New Roman"/>
          <w:i/>
          <w:iCs/>
          <w:color w:val="222222"/>
          <w:sz w:val="24"/>
          <w:szCs w:val="24"/>
          <w:highlight w:val="white"/>
        </w:rPr>
        <w:t>Wearing the future-wearables to empower users to take greater responsibility for their health and care: Scoping review</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JMIR mHealth and uHealth</w:t>
      </w:r>
      <w:r w:rsidRPr="00F014DC">
        <w:rPr>
          <w:rFonts w:ascii="Times New Roman" w:eastAsia="Times New Roman" w:hAnsi="Times New Roman" w:cs="Times New Roman"/>
          <w:color w:val="222222"/>
          <w:sz w:val="24"/>
          <w:szCs w:val="24"/>
          <w:highlight w:val="white"/>
        </w:rPr>
        <w:t xml:space="preserve">. Available at: https://pmc.ncbi.nlm.nih.gov/articles/PMC9330198/ (Accessed: 28 November 2025). </w:t>
      </w:r>
    </w:p>
    <w:p w14:paraId="579F670E"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Kaplan, R.S. and Norton, D.P., (2015). </w:t>
      </w:r>
      <w:r w:rsidRPr="00F014DC">
        <w:rPr>
          <w:rFonts w:ascii="Times New Roman" w:eastAsia="Times New Roman" w:hAnsi="Times New Roman" w:cs="Times New Roman"/>
          <w:i/>
          <w:iCs/>
          <w:color w:val="222222"/>
          <w:sz w:val="24"/>
          <w:szCs w:val="24"/>
          <w:highlight w:val="white"/>
        </w:rPr>
        <w:t>Balanced Scorecard Success: The Kaplan-Norton Collection (4 Books)</w:t>
      </w:r>
      <w:r w:rsidRPr="00F014DC">
        <w:rPr>
          <w:rFonts w:ascii="Times New Roman" w:eastAsia="Times New Roman" w:hAnsi="Times New Roman" w:cs="Times New Roman"/>
          <w:color w:val="222222"/>
          <w:sz w:val="24"/>
          <w:szCs w:val="24"/>
          <w:highlight w:val="white"/>
        </w:rPr>
        <w:t>. Harvard Business Review Press.</w:t>
      </w:r>
      <w:hyperlink r:id="rId18">
        <w:r w:rsidRPr="00F014DC">
          <w:rPr>
            <w:rFonts w:ascii="Times New Roman" w:eastAsia="Times New Roman" w:hAnsi="Times New Roman" w:cs="Times New Roman"/>
            <w:color w:val="1155CC"/>
            <w:sz w:val="24"/>
            <w:szCs w:val="24"/>
            <w:highlight w:val="white"/>
            <w:u w:val="single"/>
          </w:rPr>
          <w:t>https://books.google.com/books?hl=en&amp;lr=&amp;id=0mVhCwAAQBAJ&amp;oi=fnd&amp;pg=PP3&amp;dq=Balanced+Scorecard+by+Kaplan+and+Norton&amp;ots=C-vAzEpg63&amp;sig=AJyyahAzYlUgBnMufqcJCf--lqI</w:t>
        </w:r>
      </w:hyperlink>
    </w:p>
    <w:p w14:paraId="19416891"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lastRenderedPageBreak/>
        <w:t xml:space="preserve">Microsoft, (2025). Miriver| </w:t>
      </w:r>
      <w:r w:rsidRPr="00F014DC">
        <w:rPr>
          <w:rFonts w:ascii="Times New Roman" w:eastAsia="Times New Roman" w:hAnsi="Times New Roman" w:cs="Times New Roman"/>
          <w:i/>
          <w:iCs/>
          <w:color w:val="222222"/>
          <w:sz w:val="24"/>
          <w:szCs w:val="24"/>
          <w:highlight w:val="white"/>
        </w:rPr>
        <w:t>Jira - connectors</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Connectors | Microsoft Learn</w:t>
      </w:r>
      <w:r w:rsidRPr="00F014DC">
        <w:rPr>
          <w:rFonts w:ascii="Times New Roman" w:eastAsia="Times New Roman" w:hAnsi="Times New Roman" w:cs="Times New Roman"/>
          <w:color w:val="222222"/>
          <w:sz w:val="24"/>
          <w:szCs w:val="24"/>
          <w:highlight w:val="white"/>
        </w:rPr>
        <w:t xml:space="preserve">. Available at: https://learn.microsoft.com/en-us/connectors/jira/ (Accessed: 28 November 2025). </w:t>
      </w:r>
    </w:p>
    <w:p w14:paraId="7D554C67"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highlight w:val="white"/>
        </w:rPr>
        <w:t xml:space="preserve">Mitchell, R.K., Agle, B.R. and Wood, D.J., (1997). Toward a theory of stakeholder identification and salience: Defining the principle of who and what really counts. </w:t>
      </w:r>
      <w:r w:rsidRPr="00F014DC">
        <w:rPr>
          <w:rFonts w:ascii="Times New Roman" w:eastAsia="Times New Roman" w:hAnsi="Times New Roman" w:cs="Times New Roman"/>
          <w:i/>
          <w:iCs/>
          <w:color w:val="222222"/>
          <w:sz w:val="24"/>
          <w:szCs w:val="24"/>
          <w:highlight w:val="white"/>
        </w:rPr>
        <w:t>Academy of management review</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22</w:t>
      </w:r>
      <w:r w:rsidRPr="00F014DC">
        <w:rPr>
          <w:rFonts w:ascii="Times New Roman" w:eastAsia="Times New Roman" w:hAnsi="Times New Roman" w:cs="Times New Roman"/>
          <w:color w:val="222222"/>
          <w:sz w:val="24"/>
          <w:szCs w:val="24"/>
          <w:highlight w:val="white"/>
        </w:rPr>
        <w:t xml:space="preserve">(4), pp.853-886. </w:t>
      </w:r>
    </w:p>
    <w:p w14:paraId="4C61016E"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Ojha, B., (2019). </w:t>
      </w:r>
      <w:r w:rsidRPr="00F014DC">
        <w:rPr>
          <w:rFonts w:ascii="Times New Roman" w:eastAsia="Times New Roman" w:hAnsi="Times New Roman" w:cs="Times New Roman"/>
          <w:i/>
          <w:iCs/>
          <w:color w:val="222222"/>
          <w:sz w:val="24"/>
          <w:szCs w:val="24"/>
          <w:highlight w:val="white"/>
        </w:rPr>
        <w:t>The Influence Of Power On Principled Negotiation: A Study Of Structural Approach To Interest Based Negotiation</w:t>
      </w:r>
      <w:r w:rsidRPr="00F014DC">
        <w:rPr>
          <w:rFonts w:ascii="Times New Roman" w:eastAsia="Times New Roman" w:hAnsi="Times New Roman" w:cs="Times New Roman"/>
          <w:color w:val="222222"/>
          <w:sz w:val="24"/>
          <w:szCs w:val="24"/>
          <w:highlight w:val="white"/>
        </w:rPr>
        <w:t xml:space="preserve"> (Doctoral dissertation, Department Of International Relation &amp; Diplomacy).</w:t>
      </w:r>
      <w:hyperlink r:id="rId19">
        <w:r w:rsidRPr="00F014DC">
          <w:rPr>
            <w:rFonts w:ascii="Times New Roman" w:eastAsia="Times New Roman" w:hAnsi="Times New Roman" w:cs="Times New Roman"/>
            <w:color w:val="1155CC"/>
            <w:sz w:val="24"/>
            <w:szCs w:val="24"/>
            <w:highlight w:val="white"/>
            <w:u w:val="single"/>
          </w:rPr>
          <w:t>https://elibrary.tucl.edu.np/bitstreams/830cfbd1-bd42-4891-b784-2d1f510a79cf/download</w:t>
        </w:r>
      </w:hyperlink>
    </w:p>
    <w:p w14:paraId="4080B619"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Passos, C., Nazir, S., Mol, A.C. and Carvalho, P.V., (2016). Collaborative virtual environment for training teams in emergency situations. </w:t>
      </w:r>
      <w:r w:rsidRPr="00F014DC">
        <w:rPr>
          <w:rFonts w:ascii="Times New Roman" w:eastAsia="Times New Roman" w:hAnsi="Times New Roman" w:cs="Times New Roman"/>
          <w:i/>
          <w:iCs/>
          <w:color w:val="222222"/>
          <w:sz w:val="24"/>
          <w:szCs w:val="24"/>
          <w:highlight w:val="white"/>
        </w:rPr>
        <w:t>Chem. Eng. Trans</w:t>
      </w:r>
      <w:r w:rsidRPr="00F014DC">
        <w:rPr>
          <w:rFonts w:ascii="Times New Roman" w:eastAsia="Times New Roman" w:hAnsi="Times New Roman" w:cs="Times New Roman"/>
          <w:color w:val="222222"/>
          <w:sz w:val="24"/>
          <w:szCs w:val="24"/>
          <w:highlight w:val="white"/>
        </w:rPr>
        <w:t>.</w:t>
      </w:r>
      <w:hyperlink r:id="rId20">
        <w:r w:rsidRPr="00F014DC">
          <w:rPr>
            <w:rFonts w:ascii="Times New Roman" w:eastAsia="Times New Roman" w:hAnsi="Times New Roman" w:cs="Times New Roman"/>
            <w:color w:val="1155CC"/>
            <w:sz w:val="24"/>
            <w:szCs w:val="24"/>
            <w:highlight w:val="white"/>
            <w:u w:val="single"/>
          </w:rPr>
          <w:t>https://www.academia.edu/download/107401381/037.pdf</w:t>
        </w:r>
      </w:hyperlink>
    </w:p>
    <w:p w14:paraId="24D6AE75"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color w:val="222222"/>
          <w:sz w:val="24"/>
          <w:szCs w:val="24"/>
          <w:highlight w:val="white"/>
        </w:rPr>
        <w:t xml:space="preserve">Pfeffer, J. and Salancik, G., (2015). External control of organizations—Resource dependence perspective. In </w:t>
      </w:r>
      <w:r w:rsidRPr="00F014DC">
        <w:rPr>
          <w:rFonts w:ascii="Times New Roman" w:eastAsia="Times New Roman" w:hAnsi="Times New Roman" w:cs="Times New Roman"/>
          <w:i/>
          <w:iCs/>
          <w:color w:val="222222"/>
          <w:sz w:val="24"/>
          <w:szCs w:val="24"/>
          <w:highlight w:val="white"/>
        </w:rPr>
        <w:t>Organizational behavior 2</w:t>
      </w:r>
      <w:r w:rsidRPr="00F014DC">
        <w:rPr>
          <w:rFonts w:ascii="Times New Roman" w:eastAsia="Times New Roman" w:hAnsi="Times New Roman" w:cs="Times New Roman"/>
          <w:color w:val="222222"/>
          <w:sz w:val="24"/>
          <w:szCs w:val="24"/>
          <w:highlight w:val="white"/>
        </w:rPr>
        <w:t xml:space="preserve"> (pp. 355-370). Routledge. </w:t>
      </w:r>
    </w:p>
    <w:p w14:paraId="5AEF7C05"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Schibi, O., (2013). </w:t>
      </w:r>
      <w:r w:rsidRPr="00F014DC">
        <w:rPr>
          <w:rFonts w:ascii="Times New Roman" w:eastAsia="Times New Roman" w:hAnsi="Times New Roman" w:cs="Times New Roman"/>
          <w:i/>
          <w:iCs/>
          <w:color w:val="222222"/>
          <w:sz w:val="24"/>
          <w:szCs w:val="24"/>
          <w:highlight w:val="white"/>
        </w:rPr>
        <w:t>Managing stakeholder expectations for project success: A knowledge integration framework and value focused approach</w:t>
      </w:r>
      <w:r w:rsidRPr="00F014DC">
        <w:rPr>
          <w:rFonts w:ascii="Times New Roman" w:eastAsia="Times New Roman" w:hAnsi="Times New Roman" w:cs="Times New Roman"/>
          <w:color w:val="222222"/>
          <w:sz w:val="24"/>
          <w:szCs w:val="24"/>
          <w:highlight w:val="white"/>
        </w:rPr>
        <w:t>. J. Ross Publishing.</w:t>
      </w:r>
      <w:hyperlink r:id="rId21">
        <w:r w:rsidRPr="00F014DC">
          <w:rPr>
            <w:rFonts w:ascii="Times New Roman" w:eastAsia="Times New Roman" w:hAnsi="Times New Roman" w:cs="Times New Roman"/>
            <w:color w:val="1155CC"/>
            <w:sz w:val="24"/>
            <w:szCs w:val="24"/>
            <w:highlight w:val="white"/>
            <w:u w:val="single"/>
          </w:rPr>
          <w:t>https://books.google.com/books?hl=en&amp;lr=&amp;id=WLJpAgAAQBAJ&amp;oi=fnd&amp;pg=PP1&amp;dq=PMI+Stakeholder+Framework&amp;ots=6t-sVFi-k-&amp;sig=GnzYkXdYyASAW9k2y_LaMMI1jSg</w:t>
        </w:r>
      </w:hyperlink>
    </w:p>
    <w:p w14:paraId="3075AA87"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Shannon, C.E. and Weaver, W., (1998). </w:t>
      </w:r>
      <w:r w:rsidRPr="00F014DC">
        <w:rPr>
          <w:rFonts w:ascii="Times New Roman" w:eastAsia="Times New Roman" w:hAnsi="Times New Roman" w:cs="Times New Roman"/>
          <w:i/>
          <w:iCs/>
          <w:color w:val="222222"/>
          <w:sz w:val="24"/>
          <w:szCs w:val="24"/>
          <w:highlight w:val="white"/>
        </w:rPr>
        <w:t>The mathematical theory of communication</w:t>
      </w:r>
      <w:r w:rsidRPr="00F014DC">
        <w:rPr>
          <w:rFonts w:ascii="Times New Roman" w:eastAsia="Times New Roman" w:hAnsi="Times New Roman" w:cs="Times New Roman"/>
          <w:color w:val="222222"/>
          <w:sz w:val="24"/>
          <w:szCs w:val="24"/>
          <w:highlight w:val="white"/>
        </w:rPr>
        <w:t>. University of Illinois press.</w:t>
      </w:r>
      <w:hyperlink r:id="rId22">
        <w:r w:rsidRPr="00F014DC">
          <w:rPr>
            <w:rFonts w:ascii="Times New Roman" w:eastAsia="Times New Roman" w:hAnsi="Times New Roman" w:cs="Times New Roman"/>
            <w:color w:val="1155CC"/>
            <w:sz w:val="24"/>
            <w:szCs w:val="24"/>
            <w:highlight w:val="white"/>
            <w:u w:val="single"/>
          </w:rPr>
          <w:t>https://pure.mpg.de/rest/items/item_2383164/component/file_2383163/content</w:t>
        </w:r>
      </w:hyperlink>
    </w:p>
    <w:p w14:paraId="2D1BC74C" w14:textId="77777777" w:rsidR="00C85CE5" w:rsidRPr="00F014DC" w:rsidRDefault="00C85CE5">
      <w:pPr>
        <w:spacing w:before="240" w:after="240" w:line="360" w:lineRule="auto"/>
        <w:jc w:val="both"/>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t>T</w:t>
      </w:r>
      <w:hyperlink r:id="rId23">
        <w:r w:rsidRPr="00F014DC">
          <w:rPr>
            <w:rFonts w:ascii="Times New Roman" w:eastAsia="Times New Roman" w:hAnsi="Times New Roman" w:cs="Times New Roman"/>
            <w:sz w:val="24"/>
            <w:szCs w:val="24"/>
          </w:rPr>
          <w:t>egnum.edu</w:t>
        </w:r>
      </w:hyperlink>
      <w:r w:rsidRPr="00F014DC">
        <w:rPr>
          <w:rFonts w:ascii="Times New Roman" w:eastAsia="Times New Roman" w:hAnsi="Times New Roman" w:cs="Times New Roman"/>
          <w:sz w:val="24"/>
          <w:szCs w:val="24"/>
        </w:rPr>
        <w:t xml:space="preserve">. (2024) </w:t>
      </w:r>
      <w:r w:rsidRPr="00F014DC">
        <w:rPr>
          <w:rFonts w:ascii="Times New Roman" w:eastAsia="Times New Roman" w:hAnsi="Times New Roman" w:cs="Times New Roman"/>
          <w:i/>
          <w:iCs/>
          <w:sz w:val="24"/>
          <w:szCs w:val="24"/>
        </w:rPr>
        <w:t>A guide to the Project Management Body of Knowledge</w:t>
      </w:r>
      <w:r w:rsidRPr="00F014DC">
        <w:rPr>
          <w:rFonts w:ascii="Times New Roman" w:eastAsia="Times New Roman" w:hAnsi="Times New Roman" w:cs="Times New Roman"/>
          <w:sz w:val="24"/>
          <w:szCs w:val="24"/>
        </w:rPr>
        <w:t xml:space="preserve">. Available at: https://tegnum.edu.pe/wp-content/uploads/2023/09/Project-Management-Institute-A-Guide-to-the-Project-Management-Body-of-Knowledge-PMBOK-R-Guide-PMBOK%C2%AE%EF%B8%8F-Guide-Project-Management-Institute-2021.pdf (Accessed: 28 November 2025). </w:t>
      </w:r>
    </w:p>
    <w:p w14:paraId="1DB988AD"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lastRenderedPageBreak/>
        <w:t xml:space="preserve">Wood, D.J., Mitchell, R.K., Agle, B.R. and Bryan, L.M., (2021). Stakeholder identification and salience after 20 years: Progress, problems, and prospects. </w:t>
      </w:r>
      <w:r w:rsidRPr="00F014DC">
        <w:rPr>
          <w:rFonts w:ascii="Times New Roman" w:eastAsia="Times New Roman" w:hAnsi="Times New Roman" w:cs="Times New Roman"/>
          <w:i/>
          <w:iCs/>
          <w:color w:val="222222"/>
          <w:sz w:val="24"/>
          <w:szCs w:val="24"/>
          <w:highlight w:val="white"/>
        </w:rPr>
        <w:t>Business &amp; Society</w:t>
      </w:r>
      <w:r w:rsidRPr="00F014DC">
        <w:rPr>
          <w:rFonts w:ascii="Times New Roman" w:eastAsia="Times New Roman" w:hAnsi="Times New Roman" w:cs="Times New Roman"/>
          <w:color w:val="222222"/>
          <w:sz w:val="24"/>
          <w:szCs w:val="24"/>
          <w:highlight w:val="white"/>
        </w:rPr>
        <w:t xml:space="preserve">, </w:t>
      </w:r>
      <w:r w:rsidRPr="00F014DC">
        <w:rPr>
          <w:rFonts w:ascii="Times New Roman" w:eastAsia="Times New Roman" w:hAnsi="Times New Roman" w:cs="Times New Roman"/>
          <w:i/>
          <w:iCs/>
          <w:color w:val="222222"/>
          <w:sz w:val="24"/>
          <w:szCs w:val="24"/>
          <w:highlight w:val="white"/>
        </w:rPr>
        <w:t>60</w:t>
      </w:r>
      <w:r w:rsidRPr="00F014DC">
        <w:rPr>
          <w:rFonts w:ascii="Times New Roman" w:eastAsia="Times New Roman" w:hAnsi="Times New Roman" w:cs="Times New Roman"/>
          <w:color w:val="222222"/>
          <w:sz w:val="24"/>
          <w:szCs w:val="24"/>
          <w:highlight w:val="white"/>
        </w:rPr>
        <w:t>(1), pp.196-245.</w:t>
      </w:r>
      <w:hyperlink r:id="rId24">
        <w:r w:rsidRPr="00F014DC">
          <w:rPr>
            <w:rFonts w:ascii="Times New Roman" w:eastAsia="Times New Roman" w:hAnsi="Times New Roman" w:cs="Times New Roman"/>
            <w:color w:val="1155CC"/>
            <w:sz w:val="24"/>
            <w:szCs w:val="24"/>
            <w:highlight w:val="white"/>
            <w:u w:val="single"/>
          </w:rPr>
          <w:t>https://papers.ssrn.com/sol3/Delivery.cfm?abstractid=3360193</w:t>
        </w:r>
      </w:hyperlink>
    </w:p>
    <w:p w14:paraId="71BD150F" w14:textId="77777777" w:rsidR="00C85CE5" w:rsidRPr="00F014DC" w:rsidRDefault="00C85CE5">
      <w:pPr>
        <w:spacing w:before="240" w:after="240" w:line="360" w:lineRule="auto"/>
        <w:jc w:val="both"/>
        <w:rPr>
          <w:rFonts w:ascii="Times New Roman" w:eastAsia="Times New Roman" w:hAnsi="Times New Roman" w:cs="Times New Roman"/>
          <w:color w:val="222222"/>
          <w:sz w:val="24"/>
          <w:szCs w:val="24"/>
          <w:highlight w:val="white"/>
        </w:rPr>
      </w:pPr>
      <w:r w:rsidRPr="00F014DC">
        <w:rPr>
          <w:rFonts w:ascii="Times New Roman" w:eastAsia="Times New Roman" w:hAnsi="Times New Roman" w:cs="Times New Roman"/>
          <w:color w:val="222222"/>
          <w:sz w:val="24"/>
          <w:szCs w:val="24"/>
          <w:highlight w:val="white"/>
        </w:rPr>
        <w:t xml:space="preserve">Yada, H. and Soejima, K., (2025). Digital Transformation in Cardiology―Mobile Health―. </w:t>
      </w:r>
      <w:r w:rsidRPr="00F014DC">
        <w:rPr>
          <w:rFonts w:ascii="Times New Roman" w:eastAsia="Times New Roman" w:hAnsi="Times New Roman" w:cs="Times New Roman"/>
          <w:i/>
          <w:iCs/>
          <w:color w:val="222222"/>
          <w:sz w:val="24"/>
          <w:szCs w:val="24"/>
          <w:highlight w:val="white"/>
        </w:rPr>
        <w:t>Circulation Journal</w:t>
      </w:r>
      <w:r w:rsidRPr="00F014DC">
        <w:rPr>
          <w:rFonts w:ascii="Times New Roman" w:eastAsia="Times New Roman" w:hAnsi="Times New Roman" w:cs="Times New Roman"/>
          <w:color w:val="222222"/>
          <w:sz w:val="24"/>
          <w:szCs w:val="24"/>
          <w:highlight w:val="white"/>
        </w:rPr>
        <w:t xml:space="preserve">, </w:t>
      </w:r>
      <w:hyperlink r:id="rId25">
        <w:r w:rsidRPr="00F014DC">
          <w:rPr>
            <w:rFonts w:ascii="Times New Roman" w:eastAsia="Times New Roman" w:hAnsi="Times New Roman" w:cs="Times New Roman"/>
            <w:color w:val="1155CC"/>
            <w:sz w:val="24"/>
            <w:szCs w:val="24"/>
            <w:highlight w:val="white"/>
            <w:u w:val="single"/>
          </w:rPr>
          <w:t>pp.CJ</w:t>
        </w:r>
      </w:hyperlink>
      <w:r w:rsidRPr="00F014DC">
        <w:rPr>
          <w:rFonts w:ascii="Times New Roman" w:eastAsia="Times New Roman" w:hAnsi="Times New Roman" w:cs="Times New Roman"/>
          <w:color w:val="222222"/>
          <w:sz w:val="24"/>
          <w:szCs w:val="24"/>
          <w:highlight w:val="white"/>
        </w:rPr>
        <w:t>-24.https://www.jstage.jst.go.jp/article/circj/advpub/0/advpub_CJ-24-0654/_pdf</w:t>
      </w:r>
    </w:p>
    <w:p w14:paraId="260A79A4" w14:textId="77777777" w:rsidR="006A27D9" w:rsidRPr="00F014DC" w:rsidRDefault="006A27D9">
      <w:pPr>
        <w:spacing w:before="240" w:after="240" w:line="360" w:lineRule="auto"/>
        <w:jc w:val="both"/>
        <w:rPr>
          <w:rFonts w:ascii="Times New Roman" w:eastAsia="Times New Roman" w:hAnsi="Times New Roman" w:cs="Times New Roman"/>
          <w:sz w:val="24"/>
          <w:szCs w:val="24"/>
        </w:rPr>
      </w:pPr>
    </w:p>
    <w:p w14:paraId="7AE95454" w14:textId="77777777" w:rsidR="006A27D9" w:rsidRDefault="006A27D9">
      <w:pPr>
        <w:spacing w:line="360" w:lineRule="auto"/>
        <w:jc w:val="both"/>
        <w:rPr>
          <w:rFonts w:ascii="Times New Roman" w:eastAsia="Times New Roman" w:hAnsi="Times New Roman" w:cs="Times New Roman"/>
          <w:sz w:val="24"/>
          <w:szCs w:val="24"/>
        </w:rPr>
      </w:pPr>
    </w:p>
    <w:sectPr w:rsidR="006A27D9">
      <w:footerReference w:type="default" r:id="rId26"/>
      <w:footerReference w:type="first" r:id="rId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0626" w14:textId="77777777" w:rsidR="00125C0F" w:rsidRPr="00F014DC" w:rsidRDefault="00125C0F">
      <w:pPr>
        <w:spacing w:line="240" w:lineRule="auto"/>
      </w:pPr>
      <w:r w:rsidRPr="00F014DC">
        <w:separator/>
      </w:r>
    </w:p>
  </w:endnote>
  <w:endnote w:type="continuationSeparator" w:id="0">
    <w:p w14:paraId="0B0CC0D3" w14:textId="77777777" w:rsidR="00125C0F" w:rsidRPr="00F014DC" w:rsidRDefault="00125C0F">
      <w:pPr>
        <w:spacing w:line="240" w:lineRule="auto"/>
      </w:pPr>
      <w:r w:rsidRPr="00F014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EBFDB6-884C-40A5-A267-3138975C71CD}"/>
    <w:embedBold r:id="rId2" w:fontKey="{3B3449AD-D488-488E-927C-7DC4188C2CF9}"/>
  </w:font>
  <w:font w:name="Cambria">
    <w:panose1 w:val="02040503050406030204"/>
    <w:charset w:val="00"/>
    <w:family w:val="roman"/>
    <w:pitch w:val="variable"/>
    <w:sig w:usb0="E00006FF" w:usb1="420024FF" w:usb2="02000000" w:usb3="00000000" w:csb0="0000019F" w:csb1="00000000"/>
    <w:embedRegular r:id="rId3" w:fontKey="{ABFBBE26-1197-41B7-B3F6-BAC3CC30F3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6C92B" w14:textId="77777777" w:rsidR="006A27D9" w:rsidRPr="00F014DC" w:rsidRDefault="00000000">
    <w:pPr>
      <w:jc w:val="right"/>
      <w:rPr>
        <w:rFonts w:ascii="Times New Roman" w:eastAsia="Times New Roman" w:hAnsi="Times New Roman" w:cs="Times New Roman"/>
        <w:sz w:val="24"/>
        <w:szCs w:val="24"/>
      </w:rPr>
    </w:pPr>
    <w:r w:rsidRPr="00F014DC">
      <w:rPr>
        <w:rFonts w:ascii="Times New Roman" w:eastAsia="Times New Roman" w:hAnsi="Times New Roman" w:cs="Times New Roman"/>
        <w:sz w:val="24"/>
        <w:szCs w:val="24"/>
      </w:rPr>
      <w:fldChar w:fldCharType="begin"/>
    </w:r>
    <w:r w:rsidRPr="00F014DC">
      <w:rPr>
        <w:rFonts w:ascii="Times New Roman" w:eastAsia="Times New Roman" w:hAnsi="Times New Roman" w:cs="Times New Roman"/>
        <w:sz w:val="24"/>
        <w:szCs w:val="24"/>
      </w:rPr>
      <w:instrText>PAGE</w:instrText>
    </w:r>
    <w:r w:rsidRPr="00F014DC">
      <w:rPr>
        <w:rFonts w:ascii="Times New Roman" w:eastAsia="Times New Roman" w:hAnsi="Times New Roman" w:cs="Times New Roman"/>
        <w:sz w:val="24"/>
        <w:szCs w:val="24"/>
      </w:rPr>
      <w:fldChar w:fldCharType="separate"/>
    </w:r>
    <w:r w:rsidR="00C85CE5" w:rsidRPr="00F014DC">
      <w:rPr>
        <w:rFonts w:ascii="Times New Roman" w:eastAsia="Times New Roman" w:hAnsi="Times New Roman" w:cs="Times New Roman"/>
        <w:sz w:val="24"/>
        <w:szCs w:val="24"/>
      </w:rPr>
      <w:t>1</w:t>
    </w:r>
    <w:r w:rsidRPr="00F014DC">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8370" w14:textId="5B8FBF2C" w:rsidR="00C85CE5" w:rsidRPr="00F014DC" w:rsidRDefault="00C85CE5">
    <w:pPr>
      <w:pStyle w:val="Footer"/>
      <w:jc w:val="right"/>
    </w:pPr>
  </w:p>
  <w:p w14:paraId="3EBAEC19" w14:textId="77777777" w:rsidR="006A27D9" w:rsidRPr="00F014DC" w:rsidRDefault="006A27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E41E0" w14:textId="77777777" w:rsidR="00125C0F" w:rsidRPr="00F014DC" w:rsidRDefault="00125C0F">
      <w:pPr>
        <w:spacing w:line="240" w:lineRule="auto"/>
      </w:pPr>
      <w:r w:rsidRPr="00F014DC">
        <w:separator/>
      </w:r>
    </w:p>
  </w:footnote>
  <w:footnote w:type="continuationSeparator" w:id="0">
    <w:p w14:paraId="01B658F7" w14:textId="77777777" w:rsidR="00125C0F" w:rsidRPr="00F014DC" w:rsidRDefault="00125C0F">
      <w:pPr>
        <w:spacing w:line="240" w:lineRule="auto"/>
      </w:pPr>
      <w:r w:rsidRPr="00F014D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7270F"/>
    <w:multiLevelType w:val="multilevel"/>
    <w:tmpl w:val="3E721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D4621BD"/>
    <w:multiLevelType w:val="multilevel"/>
    <w:tmpl w:val="2B6E5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35123569">
    <w:abstractNumId w:val="0"/>
  </w:num>
  <w:num w:numId="2" w16cid:durableId="125436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7D9"/>
    <w:rsid w:val="00125C0F"/>
    <w:rsid w:val="001757D5"/>
    <w:rsid w:val="003A38C4"/>
    <w:rsid w:val="006A27D9"/>
    <w:rsid w:val="00811F3C"/>
    <w:rsid w:val="00BE06EF"/>
    <w:rsid w:val="00C85CE5"/>
    <w:rsid w:val="00F014DC"/>
    <w:rsid w:val="00F46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479B4"/>
  <w15:docId w15:val="{A90B405D-26B7-48F2-AD08-F5074FB1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C85CE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C85CE5"/>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C85CE5"/>
    <w:pPr>
      <w:tabs>
        <w:tab w:val="center" w:pos="4513"/>
        <w:tab w:val="right" w:pos="9026"/>
      </w:tabs>
      <w:spacing w:line="240" w:lineRule="auto"/>
    </w:pPr>
  </w:style>
  <w:style w:type="character" w:customStyle="1" w:styleId="HeaderChar">
    <w:name w:val="Header Char"/>
    <w:basedOn w:val="DefaultParagraphFont"/>
    <w:link w:val="Header"/>
    <w:uiPriority w:val="99"/>
    <w:rsid w:val="00C85CE5"/>
  </w:style>
  <w:style w:type="paragraph" w:styleId="Footer">
    <w:name w:val="footer"/>
    <w:basedOn w:val="Normal"/>
    <w:link w:val="FooterChar"/>
    <w:uiPriority w:val="99"/>
    <w:unhideWhenUsed/>
    <w:rsid w:val="00C85CE5"/>
    <w:pPr>
      <w:tabs>
        <w:tab w:val="center" w:pos="4513"/>
        <w:tab w:val="right" w:pos="9026"/>
      </w:tabs>
      <w:spacing w:line="240" w:lineRule="auto"/>
    </w:pPr>
  </w:style>
  <w:style w:type="character" w:customStyle="1" w:styleId="FooterChar">
    <w:name w:val="Footer Char"/>
    <w:basedOn w:val="DefaultParagraphFont"/>
    <w:link w:val="Footer"/>
    <w:uiPriority w:val="99"/>
    <w:rsid w:val="00C85CE5"/>
  </w:style>
  <w:style w:type="paragraph" w:styleId="TOCHeading">
    <w:name w:val="TOC Heading"/>
    <w:basedOn w:val="Heading1"/>
    <w:next w:val="Normal"/>
    <w:uiPriority w:val="39"/>
    <w:unhideWhenUsed/>
    <w:qFormat/>
    <w:rsid w:val="00C85CE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3">
    <w:name w:val="toc 3"/>
    <w:basedOn w:val="Normal"/>
    <w:next w:val="Normal"/>
    <w:autoRedefine/>
    <w:uiPriority w:val="39"/>
    <w:unhideWhenUsed/>
    <w:rsid w:val="00C85CE5"/>
    <w:pPr>
      <w:spacing w:after="100"/>
      <w:ind w:left="440"/>
    </w:pPr>
  </w:style>
  <w:style w:type="paragraph" w:styleId="TOC1">
    <w:name w:val="toc 1"/>
    <w:basedOn w:val="Normal"/>
    <w:next w:val="Normal"/>
    <w:autoRedefine/>
    <w:uiPriority w:val="39"/>
    <w:unhideWhenUsed/>
    <w:rsid w:val="00C85CE5"/>
    <w:pPr>
      <w:spacing w:after="100"/>
    </w:pPr>
  </w:style>
  <w:style w:type="character" w:styleId="Hyperlink">
    <w:name w:val="Hyperlink"/>
    <w:basedOn w:val="DefaultParagraphFont"/>
    <w:uiPriority w:val="99"/>
    <w:unhideWhenUsed/>
    <w:rsid w:val="00C85CE5"/>
    <w:rPr>
      <w:color w:val="0000FF" w:themeColor="hyperlink"/>
      <w:u w:val="single"/>
    </w:rPr>
  </w:style>
  <w:style w:type="paragraph" w:styleId="TOC2">
    <w:name w:val="toc 2"/>
    <w:basedOn w:val="Normal"/>
    <w:next w:val="Normal"/>
    <w:autoRedefine/>
    <w:uiPriority w:val="39"/>
    <w:unhideWhenUsed/>
    <w:rsid w:val="00C85CE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talpykla.vilniustech.lt/bitstream/handle/123456789/155774/cibmee.2019.046.pdf?sequence=1" TargetMode="External"/><Relationship Id="rId18" Type="http://schemas.openxmlformats.org/officeDocument/2006/relationships/hyperlink" Target="https://books.google.com/books?hl=en&amp;lr=&amp;id=0mVhCwAAQBAJ&amp;oi=fnd&amp;pg=PP3&amp;dq=Balanced+Scorecard+by+Kaplan+and+Norton&amp;ots=C-vAzEpg63&amp;sig=AJyyahAzYlUgBnMufqcJCf--lq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ooks.google.com/books?hl=en&amp;lr=&amp;id=WLJpAgAAQBAJ&amp;oi=fnd&amp;pg=PP1&amp;dq=PMI+Stakeholder+Framework&amp;ots=6t-sVFi-k-&amp;sig=GnzYkXdYyASAW9k2y_LaMMI1jSg" TargetMode="External"/><Relationship Id="rId7" Type="http://schemas.openxmlformats.org/officeDocument/2006/relationships/endnotes" Target="endnotes.xml"/><Relationship Id="rId12" Type="http://schemas.openxmlformats.org/officeDocument/2006/relationships/hyperlink" Target="http://ssets.cambridge.org" TargetMode="External"/><Relationship Id="rId17" Type="http://schemas.openxmlformats.org/officeDocument/2006/relationships/hyperlink" Target="https://www.academia.edu/download/37786595/jensen-meckling.pdf" TargetMode="External"/><Relationship Id="rId25" Type="http://schemas.openxmlformats.org/officeDocument/2006/relationships/hyperlink" Target="http://pp.cj" TargetMode="External"/><Relationship Id="rId2" Type="http://schemas.openxmlformats.org/officeDocument/2006/relationships/numbering" Target="numbering.xml"/><Relationship Id="rId16" Type="http://schemas.openxmlformats.org/officeDocument/2006/relationships/hyperlink" Target="https://about.openlibhums.org/fetch.php/fill-and-sign-pdf-form/4wIBrH/Leadership-The-Power-Of-Emotional-Intelligence-Daniel-Goleman.pdf" TargetMode="External"/><Relationship Id="rId20" Type="http://schemas.openxmlformats.org/officeDocument/2006/relationships/hyperlink" Target="https://www.academia.edu/download/107401381/037.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chapters/edit/10.4324/9781003080572-11/corporate-multi-channel-branding-awele-achi-ogechi-adeola-chukwuedo-francis-achi" TargetMode="External"/><Relationship Id="rId24" Type="http://schemas.openxmlformats.org/officeDocument/2006/relationships/hyperlink" Target="https://papers.ssrn.com/sol3/Delivery.cfm?abstractid=3360193" TargetMode="External"/><Relationship Id="rId5" Type="http://schemas.openxmlformats.org/officeDocument/2006/relationships/webSettings" Target="webSettings.xml"/><Relationship Id="rId15" Type="http://schemas.openxmlformats.org/officeDocument/2006/relationships/hyperlink" Target="https://books.google.com/books?hl=en&amp;lr=&amp;id=hRJGrsGnMXcC&amp;oi=fnd&amp;pg=PA49&amp;dq=Triple+Bottom+Line+model+Elkington+book&amp;ots=0gqACMRuaK&amp;sig=o8VdP6a8gLV4JWlZ-HwZRqwEswg" TargetMode="External"/><Relationship Id="rId23" Type="http://schemas.openxmlformats.org/officeDocument/2006/relationships/hyperlink" Target="http://tegnum.edu" TargetMode="External"/><Relationship Id="rId28" Type="http://schemas.openxmlformats.org/officeDocument/2006/relationships/fontTable" Target="fontTable.xml"/><Relationship Id="rId10" Type="http://schemas.openxmlformats.org/officeDocument/2006/relationships/hyperlink" Target="http://tegnum.edu" TargetMode="External"/><Relationship Id="rId19" Type="http://schemas.openxmlformats.org/officeDocument/2006/relationships/hyperlink" Target="https://elibrary.tucl.edu.np/bitstreams/830cfbd1-bd42-4891-b784-2d1f510a79cf/download" TargetMode="External"/><Relationship Id="rId4" Type="http://schemas.openxmlformats.org/officeDocument/2006/relationships/settings" Target="settings.xml"/><Relationship Id="rId9" Type="http://schemas.openxmlformats.org/officeDocument/2006/relationships/hyperlink" Target="http://ssets.cambridge.org" TargetMode="External"/><Relationship Id="rId14" Type="http://schemas.openxmlformats.org/officeDocument/2006/relationships/hyperlink" Target="https://books.google.com/books?hl=en&amp;lr=&amp;id=RlW0DAAAQBAJ&amp;oi=fnd&amp;pg=PP1&amp;dq=structured+communication,+Clampitt+(2013)&amp;ots=JQqTuS15hX&amp;sig=HjJ0NodLZAcYPW4258qDgFyUmK0" TargetMode="External"/><Relationship Id="rId22" Type="http://schemas.openxmlformats.org/officeDocument/2006/relationships/hyperlink" Target="https://pure.mpg.de/rest/items/item_2383164/component/file_2383163/content" TargetMode="External"/><Relationship Id="rId27"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1EAB3-C499-4861-9AD0-716804312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6361</Words>
  <Characters>36258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 i3</cp:lastModifiedBy>
  <cp:revision>8</cp:revision>
  <dcterms:created xsi:type="dcterms:W3CDTF">2025-11-28T12:22:00Z</dcterms:created>
  <dcterms:modified xsi:type="dcterms:W3CDTF">2025-11-28T12:32:00Z</dcterms:modified>
</cp:coreProperties>
</file>