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533AD" w:rsidRPr="00EE5BC3" w:rsidRDefault="005533AD" w:rsidP="005533AD">
      <w:pPr>
        <w:jc w:val="center"/>
        <w:rPr>
          <w:b/>
          <w:sz w:val="28"/>
          <w:szCs w:val="28"/>
        </w:rPr>
      </w:pPr>
      <w:r w:rsidRPr="00EE5BC3">
        <w:rPr>
          <w:b/>
          <w:sz w:val="28"/>
          <w:szCs w:val="28"/>
        </w:rPr>
        <w:t>Task 4</w:t>
      </w:r>
    </w:p>
    <w:p w:rsidR="005533AD" w:rsidRPr="00EE5BC3" w:rsidRDefault="005533AD" w:rsidP="005533AD">
      <w:pPr>
        <w:jc w:val="center"/>
        <w:rPr>
          <w:b/>
          <w:sz w:val="28"/>
          <w:szCs w:val="28"/>
        </w:rPr>
      </w:pPr>
    </w:p>
    <w:p w:rsidR="005533AD" w:rsidRPr="00EE5BC3" w:rsidRDefault="005533AD" w:rsidP="005533AD">
      <w:pPr>
        <w:jc w:val="center"/>
        <w:rPr>
          <w:b/>
          <w:sz w:val="28"/>
          <w:szCs w:val="28"/>
        </w:rPr>
      </w:pPr>
      <w:r w:rsidRPr="00EE5BC3">
        <w:rPr>
          <w:b/>
          <w:sz w:val="28"/>
          <w:szCs w:val="28"/>
        </w:rPr>
        <w:t>Safeguarding</w:t>
      </w:r>
      <w:r>
        <w:rPr>
          <w:b/>
          <w:sz w:val="28"/>
          <w:szCs w:val="28"/>
        </w:rPr>
        <w:t xml:space="preserve"> in an area which is not your main area of work</w:t>
      </w:r>
    </w:p>
    <w:p w:rsidR="005533AD" w:rsidRPr="008B28E7" w:rsidRDefault="005533AD" w:rsidP="005533AD">
      <w:pPr>
        <w:jc w:val="both"/>
        <w:rPr>
          <w:b/>
          <w:sz w:val="24"/>
          <w:szCs w:val="24"/>
        </w:rPr>
      </w:pPr>
    </w:p>
    <w:p w:rsidR="005533AD" w:rsidRPr="00EE5BC3" w:rsidRDefault="005533AD" w:rsidP="005533AD">
      <w:pPr>
        <w:ind w:left="-90"/>
        <w:jc w:val="both"/>
        <w:rPr>
          <w:b/>
          <w:i/>
          <w:sz w:val="24"/>
          <w:szCs w:val="24"/>
        </w:rPr>
      </w:pPr>
      <w:r w:rsidRPr="00EE5BC3">
        <w:rPr>
          <w:b/>
          <w:i/>
          <w:sz w:val="24"/>
          <w:szCs w:val="24"/>
        </w:rPr>
        <w:t xml:space="preserve">Guidance: </w:t>
      </w:r>
    </w:p>
    <w:p w:rsidR="005533AD" w:rsidRPr="00706BB5" w:rsidRDefault="005533AD" w:rsidP="005533AD">
      <w:pPr>
        <w:ind w:left="-90"/>
        <w:jc w:val="both"/>
        <w:rPr>
          <w:i/>
          <w:iCs/>
          <w:sz w:val="24"/>
          <w:szCs w:val="24"/>
        </w:rPr>
      </w:pPr>
      <w:r w:rsidRPr="00F15354">
        <w:rPr>
          <w:i/>
          <w:iCs/>
          <w:sz w:val="24"/>
          <w:szCs w:val="24"/>
        </w:rPr>
        <w:t>Social Care Wales</w:t>
      </w:r>
      <w:r w:rsidRPr="006179BB">
        <w:rPr>
          <w:i/>
          <w:iCs/>
          <w:sz w:val="24"/>
          <w:szCs w:val="24"/>
        </w:rPr>
        <w:t xml:space="preserve"> require newly qualified social workers to provide evidence of </w:t>
      </w:r>
      <w:r w:rsidRPr="00A5656A">
        <w:rPr>
          <w:i/>
          <w:iCs/>
          <w:sz w:val="24"/>
          <w:szCs w:val="24"/>
        </w:rPr>
        <w:t>their understanding of safeguarding work with adults and children</w:t>
      </w:r>
      <w:r w:rsidRPr="009C7342">
        <w:rPr>
          <w:i/>
          <w:iCs/>
          <w:sz w:val="24"/>
          <w:szCs w:val="24"/>
        </w:rPr>
        <w:t xml:space="preserve">. </w:t>
      </w:r>
      <w:r w:rsidRPr="00706BB5">
        <w:rPr>
          <w:i/>
          <w:iCs/>
          <w:sz w:val="24"/>
          <w:szCs w:val="24"/>
        </w:rPr>
        <w:t xml:space="preserve">The assignment below will enable you to demonstrate this. </w:t>
      </w:r>
      <w:r w:rsidRPr="00706BB5">
        <w:rPr>
          <w:b/>
          <w:bCs/>
          <w:i/>
          <w:iCs/>
          <w:sz w:val="24"/>
          <w:szCs w:val="24"/>
        </w:rPr>
        <w:t>N.B</w:t>
      </w:r>
      <w:r w:rsidRPr="00706BB5">
        <w:rPr>
          <w:i/>
          <w:iCs/>
          <w:sz w:val="24"/>
          <w:szCs w:val="24"/>
        </w:rPr>
        <w:t xml:space="preserve">. if your usual area of work is with children please write about adult safeguarding. If you usually work with adults, then write about child safeguarding.  Ensure you meet the learning out comes for this task (see appendix </w:t>
      </w:r>
      <w:r>
        <w:rPr>
          <w:i/>
          <w:iCs/>
          <w:sz w:val="24"/>
          <w:szCs w:val="24"/>
        </w:rPr>
        <w:t>5</w:t>
      </w:r>
      <w:r w:rsidRPr="00706BB5">
        <w:rPr>
          <w:i/>
          <w:iCs/>
          <w:sz w:val="24"/>
          <w:szCs w:val="24"/>
        </w:rPr>
        <w:t xml:space="preserve"> </w:t>
      </w:r>
      <w:r w:rsidRPr="00F15354">
        <w:rPr>
          <w:i/>
          <w:iCs/>
          <w:sz w:val="24"/>
          <w:szCs w:val="24"/>
        </w:rPr>
        <w:t>of the</w:t>
      </w:r>
      <w:r w:rsidRPr="4EC15626">
        <w:rPr>
          <w:i/>
          <w:iCs/>
          <w:sz w:val="24"/>
          <w:szCs w:val="24"/>
        </w:rPr>
        <w:t xml:space="preserve"> h</w:t>
      </w:r>
      <w:r w:rsidRPr="00F15354">
        <w:rPr>
          <w:i/>
          <w:iCs/>
          <w:sz w:val="24"/>
          <w:szCs w:val="24"/>
        </w:rPr>
        <w:t>andbook</w:t>
      </w:r>
      <w:r w:rsidRPr="006179BB">
        <w:rPr>
          <w:i/>
          <w:iCs/>
          <w:sz w:val="24"/>
          <w:szCs w:val="24"/>
        </w:rPr>
        <w:t>).</w:t>
      </w:r>
    </w:p>
    <w:p w:rsidR="005533AD" w:rsidRPr="008B28E7" w:rsidRDefault="005533AD" w:rsidP="005533AD">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5533AD" w:rsidRPr="008B28E7" w:rsidTr="00EE6DD6">
        <w:tc>
          <w:tcPr>
            <w:tcW w:w="10188" w:type="dxa"/>
            <w:shd w:val="clear" w:color="auto" w:fill="auto"/>
          </w:tcPr>
          <w:p w:rsidR="005533AD" w:rsidRPr="00EB695F" w:rsidRDefault="005533AD" w:rsidP="00EE6DD6">
            <w:pPr>
              <w:jc w:val="both"/>
              <w:rPr>
                <w:b/>
                <w:sz w:val="24"/>
                <w:szCs w:val="24"/>
              </w:rPr>
            </w:pPr>
            <w:r w:rsidRPr="00EB695F">
              <w:rPr>
                <w:b/>
                <w:sz w:val="24"/>
                <w:szCs w:val="24"/>
              </w:rPr>
              <w:t>Question</w:t>
            </w:r>
            <w:r>
              <w:rPr>
                <w:b/>
                <w:sz w:val="24"/>
                <w:szCs w:val="24"/>
              </w:rPr>
              <w:t xml:space="preserve"> a:</w:t>
            </w:r>
          </w:p>
          <w:p w:rsidR="005533AD" w:rsidRDefault="005533AD" w:rsidP="00EE6DD6">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explain </w:t>
            </w:r>
            <w:r w:rsidRPr="006108C9">
              <w:rPr>
                <w:sz w:val="24"/>
                <w:szCs w:val="24"/>
              </w:rPr>
              <w:t xml:space="preserve">the relevant </w:t>
            </w:r>
            <w:r>
              <w:rPr>
                <w:sz w:val="24"/>
                <w:szCs w:val="24"/>
              </w:rPr>
              <w:t xml:space="preserve">legislation, and the </w:t>
            </w:r>
            <w:r w:rsidRPr="006108C9">
              <w:rPr>
                <w:sz w:val="24"/>
                <w:szCs w:val="24"/>
              </w:rPr>
              <w:t>national, local and organisational policies and procedures</w:t>
            </w:r>
            <w:r>
              <w:rPr>
                <w:sz w:val="24"/>
                <w:szCs w:val="24"/>
              </w:rPr>
              <w:t xml:space="preserve"> for safeguarding.</w:t>
            </w:r>
          </w:p>
          <w:p w:rsidR="005533AD" w:rsidRDefault="005533AD" w:rsidP="00EE6DD6">
            <w:pPr>
              <w:jc w:val="both"/>
              <w:rPr>
                <w:i/>
                <w:sz w:val="24"/>
                <w:szCs w:val="24"/>
              </w:rPr>
            </w:pPr>
          </w:p>
          <w:p w:rsidR="005533AD" w:rsidRDefault="005533AD" w:rsidP="00EE6DD6">
            <w:pPr>
              <w:jc w:val="both"/>
              <w:rPr>
                <w:sz w:val="24"/>
                <w:szCs w:val="24"/>
              </w:rPr>
            </w:pPr>
            <w:r w:rsidRPr="006108C9">
              <w:rPr>
                <w:i/>
                <w:sz w:val="24"/>
                <w:szCs w:val="24"/>
              </w:rPr>
              <w:t>500 words</w:t>
            </w:r>
            <w:r w:rsidRPr="006108C9">
              <w:rPr>
                <w:sz w:val="24"/>
                <w:szCs w:val="24"/>
              </w:rPr>
              <w:t xml:space="preserve"> (+/- 10%: include your actual word count at the end of each section)</w:t>
            </w:r>
            <w:r>
              <w:rPr>
                <w:sz w:val="24"/>
                <w:szCs w:val="24"/>
              </w:rPr>
              <w:t>.</w:t>
            </w:r>
          </w:p>
          <w:p w:rsidR="005533AD" w:rsidRDefault="005533AD" w:rsidP="00EE6DD6">
            <w:pPr>
              <w:spacing w:line="480" w:lineRule="auto"/>
              <w:rPr>
                <w:rFonts w:ascii="Times New Roman" w:hAnsi="Times New Roman" w:cs="Times New Roman"/>
                <w:sz w:val="24"/>
                <w:szCs w:val="24"/>
              </w:rPr>
            </w:pPr>
          </w:p>
          <w:p w:rsidR="005533AD" w:rsidRDefault="005533AD" w:rsidP="00EE6DD6">
            <w:pPr>
              <w:spacing w:line="480" w:lineRule="auto"/>
              <w:rPr>
                <w:rFonts w:ascii="Times New Roman" w:hAnsi="Times New Roman" w:cs="Times New Roman"/>
                <w:sz w:val="24"/>
                <w:szCs w:val="24"/>
              </w:rPr>
            </w:pPr>
            <w:r w:rsidRPr="00555DE6">
              <w:rPr>
                <w:rFonts w:ascii="Times New Roman" w:hAnsi="Times New Roman" w:cs="Times New Roman"/>
                <w:sz w:val="24"/>
                <w:szCs w:val="24"/>
              </w:rPr>
              <w:t>“Safeguarding and protecting is everybody’s responsibility” (</w:t>
            </w:r>
            <w:r>
              <w:rPr>
                <w:rFonts w:ascii="Times New Roman" w:hAnsi="Times New Roman" w:cs="Times New Roman"/>
                <w:sz w:val="24"/>
                <w:szCs w:val="24"/>
              </w:rPr>
              <w:t xml:space="preserve">SCW, 2022), with all social workers </w:t>
            </w:r>
            <w:r w:rsidRPr="00555DE6">
              <w:rPr>
                <w:rFonts w:ascii="Times New Roman" w:hAnsi="Times New Roman" w:cs="Times New Roman"/>
                <w:sz w:val="24"/>
                <w:szCs w:val="24"/>
              </w:rPr>
              <w:t>hav</w:t>
            </w:r>
            <w:r>
              <w:rPr>
                <w:rFonts w:ascii="Times New Roman" w:hAnsi="Times New Roman" w:cs="Times New Roman"/>
                <w:sz w:val="24"/>
                <w:szCs w:val="24"/>
              </w:rPr>
              <w:t>ing an obligation</w:t>
            </w:r>
            <w:r w:rsidRPr="00555DE6">
              <w:rPr>
                <w:rFonts w:ascii="Times New Roman" w:hAnsi="Times New Roman" w:cs="Times New Roman"/>
                <w:sz w:val="24"/>
                <w:szCs w:val="24"/>
              </w:rPr>
              <w:t xml:space="preserve"> to identify </w:t>
            </w:r>
            <w:r>
              <w:rPr>
                <w:rFonts w:ascii="Times New Roman" w:hAnsi="Times New Roman" w:cs="Times New Roman"/>
                <w:sz w:val="24"/>
                <w:szCs w:val="24"/>
              </w:rPr>
              <w:t xml:space="preserve">any </w:t>
            </w:r>
            <w:r w:rsidRPr="00555DE6">
              <w:rPr>
                <w:rFonts w:ascii="Times New Roman" w:hAnsi="Times New Roman" w:cs="Times New Roman"/>
                <w:sz w:val="24"/>
                <w:szCs w:val="24"/>
              </w:rPr>
              <w:t xml:space="preserve">abuse </w:t>
            </w:r>
            <w:r>
              <w:rPr>
                <w:rFonts w:ascii="Times New Roman" w:hAnsi="Times New Roman" w:cs="Times New Roman"/>
                <w:sz w:val="24"/>
                <w:szCs w:val="24"/>
              </w:rPr>
              <w:t xml:space="preserve">or </w:t>
            </w:r>
            <w:r w:rsidRPr="00555DE6">
              <w:rPr>
                <w:rFonts w:ascii="Times New Roman" w:hAnsi="Times New Roman" w:cs="Times New Roman"/>
                <w:sz w:val="24"/>
                <w:szCs w:val="24"/>
              </w:rPr>
              <w:t xml:space="preserve">neglect of children, even if the main focus of their </w:t>
            </w:r>
            <w:r>
              <w:rPr>
                <w:rFonts w:ascii="Times New Roman" w:hAnsi="Times New Roman" w:cs="Times New Roman"/>
                <w:sz w:val="24"/>
                <w:szCs w:val="24"/>
              </w:rPr>
              <w:t>work</w:t>
            </w:r>
            <w:r w:rsidRPr="00555DE6">
              <w:rPr>
                <w:rFonts w:ascii="Times New Roman" w:hAnsi="Times New Roman" w:cs="Times New Roman"/>
                <w:sz w:val="24"/>
                <w:szCs w:val="24"/>
              </w:rPr>
              <w:t xml:space="preserve"> would not</w:t>
            </w:r>
            <w:r>
              <w:rPr>
                <w:rFonts w:ascii="Times New Roman" w:hAnsi="Times New Roman" w:cs="Times New Roman"/>
                <w:sz w:val="24"/>
                <w:szCs w:val="24"/>
              </w:rPr>
              <w:t xml:space="preserve"> ordinarily</w:t>
            </w:r>
            <w:r w:rsidRPr="00555DE6">
              <w:rPr>
                <w:rFonts w:ascii="Times New Roman" w:hAnsi="Times New Roman" w:cs="Times New Roman"/>
                <w:sz w:val="24"/>
                <w:szCs w:val="24"/>
              </w:rPr>
              <w:t xml:space="preserve"> </w:t>
            </w:r>
            <w:r>
              <w:rPr>
                <w:rFonts w:ascii="Times New Roman" w:hAnsi="Times New Roman" w:cs="Times New Roman"/>
                <w:sz w:val="24"/>
                <w:szCs w:val="24"/>
              </w:rPr>
              <w:t>include the</w:t>
            </w:r>
            <w:r w:rsidRPr="00555DE6">
              <w:rPr>
                <w:rFonts w:ascii="Times New Roman" w:hAnsi="Times New Roman" w:cs="Times New Roman"/>
                <w:sz w:val="24"/>
                <w:szCs w:val="24"/>
              </w:rPr>
              <w:t xml:space="preserve"> duty </w:t>
            </w:r>
            <w:r>
              <w:rPr>
                <w:rFonts w:ascii="Times New Roman" w:hAnsi="Times New Roman" w:cs="Times New Roman"/>
                <w:sz w:val="24"/>
                <w:szCs w:val="24"/>
              </w:rPr>
              <w:t xml:space="preserve">to </w:t>
            </w:r>
            <w:r w:rsidRPr="00555DE6">
              <w:rPr>
                <w:rFonts w:ascii="Times New Roman" w:hAnsi="Times New Roman" w:cs="Times New Roman"/>
                <w:sz w:val="24"/>
                <w:szCs w:val="24"/>
              </w:rPr>
              <w:t xml:space="preserve">assess and intervene. </w:t>
            </w:r>
            <w:r>
              <w:rPr>
                <w:rFonts w:ascii="Times New Roman" w:hAnsi="Times New Roman" w:cs="Times New Roman"/>
                <w:sz w:val="24"/>
                <w:szCs w:val="24"/>
              </w:rPr>
              <w:t xml:space="preserve"> As with adults, the roles, responsibilities and principles underpinning safeguarding practice with children are legislated for within the Social Services and Well-being (Wales) Act 2014 (SSWBA).  A </w:t>
            </w:r>
            <w:r w:rsidRPr="00555DE6">
              <w:rPr>
                <w:rFonts w:ascii="Times New Roman" w:hAnsi="Times New Roman" w:cs="Times New Roman"/>
                <w:sz w:val="24"/>
                <w:szCs w:val="24"/>
              </w:rPr>
              <w:t>child at risk</w:t>
            </w:r>
            <w:r>
              <w:rPr>
                <w:rFonts w:ascii="Times New Roman" w:hAnsi="Times New Roman" w:cs="Times New Roman"/>
                <w:sz w:val="24"/>
                <w:szCs w:val="24"/>
              </w:rPr>
              <w:t xml:space="preserve"> is defined as a person under the age of eighteen who:</w:t>
            </w:r>
          </w:p>
          <w:p w:rsidR="005533AD" w:rsidRPr="00AA6584" w:rsidRDefault="005533AD" w:rsidP="00EE6DD6">
            <w:pPr>
              <w:spacing w:line="480" w:lineRule="auto"/>
              <w:rPr>
                <w:rFonts w:ascii="Times New Roman" w:hAnsi="Times New Roman" w:cs="Times New Roman"/>
                <w:i/>
                <w:sz w:val="24"/>
                <w:szCs w:val="24"/>
              </w:rPr>
            </w:pPr>
            <w:r>
              <w:rPr>
                <w:rFonts w:ascii="Times New Roman" w:hAnsi="Times New Roman" w:cs="Times New Roman"/>
                <w:i/>
                <w:sz w:val="24"/>
                <w:szCs w:val="24"/>
              </w:rPr>
              <w:t xml:space="preserve">“1. </w:t>
            </w:r>
            <w:r w:rsidRPr="00AA6584">
              <w:rPr>
                <w:rFonts w:ascii="Times New Roman" w:hAnsi="Times New Roman" w:cs="Times New Roman"/>
                <w:i/>
                <w:sz w:val="24"/>
                <w:szCs w:val="24"/>
              </w:rPr>
              <w:t>Is experiencing or is at risk of abuse, neglect or other kinds of harm;</w:t>
            </w:r>
          </w:p>
          <w:p w:rsidR="005533AD" w:rsidRDefault="005533AD" w:rsidP="00EE6DD6">
            <w:pPr>
              <w:spacing w:line="480" w:lineRule="auto"/>
              <w:rPr>
                <w:rFonts w:ascii="Times New Roman" w:hAnsi="Times New Roman" w:cs="Times New Roman"/>
                <w:sz w:val="24"/>
                <w:szCs w:val="24"/>
              </w:rPr>
            </w:pPr>
            <w:r>
              <w:rPr>
                <w:rFonts w:ascii="Times New Roman" w:hAnsi="Times New Roman" w:cs="Times New Roman"/>
                <w:i/>
                <w:sz w:val="24"/>
                <w:szCs w:val="24"/>
              </w:rPr>
              <w:t xml:space="preserve">2. </w:t>
            </w:r>
            <w:r w:rsidRPr="00AA6584">
              <w:rPr>
                <w:rFonts w:ascii="Times New Roman" w:hAnsi="Times New Roman" w:cs="Times New Roman"/>
                <w:i/>
                <w:sz w:val="24"/>
                <w:szCs w:val="24"/>
              </w:rPr>
              <w:t>Has needs for care and support (whether or not the authority is meeting any of those needs)</w:t>
            </w:r>
            <w:r>
              <w:rPr>
                <w:rFonts w:ascii="Times New Roman" w:hAnsi="Times New Roman" w:cs="Times New Roman"/>
                <w:i/>
                <w:sz w:val="24"/>
                <w:szCs w:val="24"/>
              </w:rPr>
              <w:t xml:space="preserve">” </w:t>
            </w:r>
            <w:r>
              <w:rPr>
                <w:rFonts w:ascii="Times New Roman" w:hAnsi="Times New Roman" w:cs="Times New Roman"/>
                <w:sz w:val="24"/>
                <w:szCs w:val="24"/>
              </w:rPr>
              <w:t>(SSWBA 2014)</w:t>
            </w:r>
            <w:r w:rsidRPr="00555DE6">
              <w:rPr>
                <w:rFonts w:ascii="Times New Roman" w:hAnsi="Times New Roman" w:cs="Times New Roman"/>
                <w:sz w:val="24"/>
                <w:szCs w:val="24"/>
              </w:rPr>
              <w:t xml:space="preserve">.  </w:t>
            </w:r>
          </w:p>
          <w:p w:rsidR="005533AD" w:rsidRDefault="005533AD" w:rsidP="00EE6DD6">
            <w:pPr>
              <w:spacing w:line="480" w:lineRule="auto"/>
              <w:rPr>
                <w:rFonts w:ascii="Times New Roman" w:hAnsi="Times New Roman" w:cs="Times New Roman"/>
                <w:sz w:val="24"/>
                <w:szCs w:val="24"/>
              </w:rPr>
            </w:pPr>
            <w:r>
              <w:rPr>
                <w:rFonts w:ascii="Times New Roman" w:hAnsi="Times New Roman" w:cs="Times New Roman"/>
                <w:sz w:val="24"/>
                <w:szCs w:val="24"/>
              </w:rPr>
              <w:t>The harm, neglect or abuse could be physical, emotional/psychological, sexual, financial, or neglectful and may also be linked to organised crime, slavery or radicalisation (SCW, 2022).  The risk of harm means that early intervention may need to be taken as a preventative measure; however if there are concerns about significant harm (impactful upon health or development) having occurred or being likely to occur, there is a duty for enquiries to be conducted under section 47 of the Children Act 1989.</w:t>
            </w:r>
          </w:p>
          <w:p w:rsidR="005533AD" w:rsidRDefault="005533AD" w:rsidP="00EE6DD6">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Anyone who has concerns about a child experiencing harm has a d</w:t>
            </w:r>
            <w:r w:rsidRPr="00555DE6">
              <w:rPr>
                <w:rFonts w:ascii="Times New Roman" w:hAnsi="Times New Roman" w:cs="Times New Roman"/>
                <w:sz w:val="24"/>
                <w:szCs w:val="24"/>
              </w:rPr>
              <w:t>uty to report</w:t>
            </w:r>
            <w:r>
              <w:rPr>
                <w:rFonts w:ascii="Times New Roman" w:hAnsi="Times New Roman" w:cs="Times New Roman"/>
                <w:sz w:val="24"/>
                <w:szCs w:val="24"/>
              </w:rPr>
              <w:t xml:space="preserve"> this to social services or police.  Indicators that something concerning may be occurring in a child’s life include changes in presentation, difficulties with relationships, age-inappropriate behaviours and missing episodes (NSPCC, 2022).  Once a report is received, within one working day the local authority needs to gather information to determine what action to follow to ensure the child is safe.  This process can involve checking records and speaking with other agencies involved with the family.  Outcomes of enquires may be no further action, care and support assessment, immediate protection, or s.47 enquiry.</w:t>
            </w:r>
          </w:p>
          <w:p w:rsidR="005533AD" w:rsidRDefault="005533AD" w:rsidP="00EE6DD6">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guidance given by the Wales Safeguarding Procedures involves taking a child centred approach, eliciting the ‘voice of the child’ regarding their needs and preferred outcomes throughout the process, with the aim of coming to the best solution for them (SCW, 2022).  By establishing what changes the child would like to see in their daily life, a practitioner can gain insight into the impact that the abuse/neglect is having.  Some children may need an advocate to support their participation.  Whilst their views and wishes should be heard and respected, they will not override solutions judged to be in the best interests of that child (SSWBA, 2014).</w:t>
            </w:r>
          </w:p>
          <w:p w:rsidR="005533AD" w:rsidRDefault="005533AD" w:rsidP="00EE6DD6">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An effective system not only includes individual practitioners and effective management, but also input from Regional Safeguarding Boards (SCW, 2022).  Local authorities have a duty to establish Safeguarding Children Boards, composed to multi-agency members including police, health, probation and youth offending (SSWBA, 2014).  A multi-agency approach ensures that appropriate information can be shared and co-operative solutions reached.  All information gathering and sharing must be done in accordance with General Data Protection Regulations and the Data Protection Act 2018.  Early intervention and preventative work which mean situations of harm, abuse or neglect are avoided, as well as intervention to safeguard when significant harm has occurred, </w:t>
            </w:r>
            <w:r>
              <w:rPr>
                <w:rFonts w:ascii="Times New Roman" w:hAnsi="Times New Roman" w:cs="Times New Roman"/>
                <w:sz w:val="24"/>
                <w:szCs w:val="24"/>
              </w:rPr>
              <w:lastRenderedPageBreak/>
              <w:t>conforms with t</w:t>
            </w:r>
            <w:r w:rsidRPr="00555DE6">
              <w:rPr>
                <w:rFonts w:ascii="Times New Roman" w:hAnsi="Times New Roman" w:cs="Times New Roman"/>
                <w:sz w:val="24"/>
                <w:szCs w:val="24"/>
              </w:rPr>
              <w:t>he</w:t>
            </w:r>
            <w:r>
              <w:rPr>
                <w:rFonts w:ascii="Times New Roman" w:hAnsi="Times New Roman" w:cs="Times New Roman"/>
                <w:sz w:val="24"/>
                <w:szCs w:val="24"/>
              </w:rPr>
              <w:t xml:space="preserve"> articles within the</w:t>
            </w:r>
            <w:r w:rsidRPr="00555DE6">
              <w:rPr>
                <w:rFonts w:ascii="Times New Roman" w:hAnsi="Times New Roman" w:cs="Times New Roman"/>
                <w:sz w:val="24"/>
                <w:szCs w:val="24"/>
              </w:rPr>
              <w:t xml:space="preserve"> United Nations Conventions on the Rights of the Child (UNGA, 1982)</w:t>
            </w:r>
            <w:r>
              <w:rPr>
                <w:rFonts w:ascii="Times New Roman" w:hAnsi="Times New Roman" w:cs="Times New Roman"/>
                <w:sz w:val="24"/>
                <w:szCs w:val="24"/>
              </w:rPr>
              <w:t>, with human rights being a central tenet of social work practice</w:t>
            </w:r>
            <w:r w:rsidRPr="00555DE6">
              <w:rPr>
                <w:rFonts w:ascii="Times New Roman" w:hAnsi="Times New Roman" w:cs="Times New Roman"/>
                <w:sz w:val="24"/>
                <w:szCs w:val="24"/>
              </w:rPr>
              <w:t xml:space="preserve">.   </w:t>
            </w:r>
          </w:p>
          <w:p w:rsidR="005533AD" w:rsidRDefault="005533AD" w:rsidP="00EE6DD6">
            <w:pPr>
              <w:rPr>
                <w:rFonts w:ascii="Times New Roman" w:hAnsi="Times New Roman" w:cs="Times New Roman"/>
                <w:sz w:val="24"/>
                <w:szCs w:val="24"/>
              </w:rPr>
            </w:pPr>
          </w:p>
          <w:p w:rsidR="005533AD" w:rsidRPr="002351E8" w:rsidRDefault="005533AD" w:rsidP="00EE6DD6">
            <w:pPr>
              <w:rPr>
                <w:rFonts w:ascii="Times New Roman" w:hAnsi="Times New Roman" w:cs="Times New Roman"/>
                <w:b/>
                <w:sz w:val="24"/>
                <w:szCs w:val="24"/>
              </w:rPr>
            </w:pPr>
            <w:r>
              <w:rPr>
                <w:rFonts w:ascii="Times New Roman" w:hAnsi="Times New Roman" w:cs="Times New Roman"/>
                <w:b/>
                <w:sz w:val="24"/>
                <w:szCs w:val="24"/>
              </w:rPr>
              <w:t>Word Count: 540</w:t>
            </w:r>
          </w:p>
          <w:p w:rsidR="005533AD" w:rsidRPr="008B28E7" w:rsidRDefault="005533AD" w:rsidP="00EE6DD6">
            <w:pPr>
              <w:jc w:val="both"/>
              <w:rPr>
                <w:b/>
                <w:sz w:val="24"/>
                <w:szCs w:val="24"/>
              </w:rPr>
            </w:pPr>
          </w:p>
        </w:tc>
      </w:tr>
    </w:tbl>
    <w:p w:rsidR="005533AD" w:rsidRPr="008B28E7" w:rsidRDefault="005533AD" w:rsidP="005533AD">
      <w:pPr>
        <w:jc w:val="both"/>
        <w:rPr>
          <w:sz w:val="24"/>
          <w:szCs w:val="24"/>
        </w:rPr>
      </w:pPr>
    </w:p>
    <w:p w:rsidR="005533AD" w:rsidRPr="008B28E7" w:rsidRDefault="005533AD" w:rsidP="005533AD">
      <w:pPr>
        <w:jc w:val="both"/>
        <w:rPr>
          <w:sz w:val="24"/>
          <w:szCs w:val="24"/>
        </w:rPr>
      </w:pPr>
    </w:p>
    <w:p w:rsidR="005533AD" w:rsidRDefault="005533AD" w:rsidP="005533AD">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5533AD" w:rsidRPr="008B28E7" w:rsidTr="00EE6DD6">
        <w:tc>
          <w:tcPr>
            <w:tcW w:w="10278" w:type="dxa"/>
            <w:shd w:val="clear" w:color="auto" w:fill="auto"/>
          </w:tcPr>
          <w:p w:rsidR="005533AD" w:rsidRPr="00EB695F" w:rsidRDefault="005533AD" w:rsidP="00EE6DD6">
            <w:pPr>
              <w:jc w:val="both"/>
              <w:rPr>
                <w:b/>
                <w:sz w:val="24"/>
                <w:szCs w:val="24"/>
              </w:rPr>
            </w:pPr>
            <w:r w:rsidRPr="00EB695F">
              <w:rPr>
                <w:b/>
                <w:sz w:val="24"/>
                <w:szCs w:val="24"/>
              </w:rPr>
              <w:t>Question</w:t>
            </w:r>
            <w:r>
              <w:rPr>
                <w:b/>
                <w:sz w:val="24"/>
                <w:szCs w:val="24"/>
              </w:rPr>
              <w:t xml:space="preserve"> b</w:t>
            </w:r>
            <w:r w:rsidRPr="00EB695F">
              <w:rPr>
                <w:b/>
                <w:sz w:val="24"/>
                <w:szCs w:val="24"/>
              </w:rPr>
              <w:t>:</w:t>
            </w:r>
          </w:p>
          <w:p w:rsidR="005533AD" w:rsidRDefault="005533AD" w:rsidP="00EE6DD6">
            <w:pPr>
              <w:jc w:val="both"/>
              <w:rPr>
                <w:sz w:val="24"/>
                <w:szCs w:val="24"/>
              </w:rPr>
            </w:pPr>
            <w:r w:rsidRPr="006108C9">
              <w:rPr>
                <w:sz w:val="24"/>
                <w:szCs w:val="24"/>
              </w:rPr>
              <w:t>Reflect on the difference between safeguarding in adul</w:t>
            </w:r>
            <w:r w:rsidRPr="00EC3A85">
              <w:rPr>
                <w:sz w:val="24"/>
                <w:szCs w:val="24"/>
              </w:rPr>
              <w:t>ts’</w:t>
            </w:r>
            <w:r w:rsidRPr="006108C9">
              <w:rPr>
                <w:sz w:val="24"/>
                <w:szCs w:val="24"/>
              </w:rPr>
              <w:t xml:space="preserve"> and children</w:t>
            </w:r>
            <w:r>
              <w:rPr>
                <w:sz w:val="24"/>
                <w:szCs w:val="24"/>
              </w:rPr>
              <w:t>’s</w:t>
            </w:r>
            <w:r w:rsidRPr="006108C9">
              <w:rPr>
                <w:sz w:val="24"/>
                <w:szCs w:val="24"/>
              </w:rPr>
              <w:t xml:space="preserve"> work</w:t>
            </w:r>
          </w:p>
          <w:p w:rsidR="005533AD" w:rsidRDefault="005533AD" w:rsidP="00EE6DD6">
            <w:pPr>
              <w:jc w:val="both"/>
              <w:rPr>
                <w:sz w:val="24"/>
                <w:szCs w:val="24"/>
              </w:rPr>
            </w:pPr>
          </w:p>
          <w:p w:rsidR="005533AD" w:rsidRDefault="005533AD" w:rsidP="00EE6DD6">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Pr>
                <w:i/>
                <w:sz w:val="24"/>
                <w:szCs w:val="24"/>
              </w:rPr>
              <w:t>.</w:t>
            </w:r>
          </w:p>
          <w:p w:rsidR="005533AD" w:rsidRDefault="005533AD" w:rsidP="00EE6DD6">
            <w:pPr>
              <w:jc w:val="both"/>
              <w:rPr>
                <w:sz w:val="24"/>
                <w:szCs w:val="24"/>
              </w:rPr>
            </w:pPr>
          </w:p>
          <w:p w:rsidR="005533AD" w:rsidRDefault="005533AD" w:rsidP="00EE6DD6">
            <w:pPr>
              <w:spacing w:line="480" w:lineRule="auto"/>
              <w:rPr>
                <w:rFonts w:ascii="Times New Roman" w:hAnsi="Times New Roman" w:cs="Times New Roman"/>
                <w:sz w:val="24"/>
              </w:rPr>
            </w:pPr>
            <w:r w:rsidRPr="00FA3B63">
              <w:rPr>
                <w:rFonts w:ascii="Times New Roman" w:hAnsi="Times New Roman" w:cs="Times New Roman"/>
                <w:sz w:val="24"/>
              </w:rPr>
              <w:t xml:space="preserve">Whenever harm, neglect or abuse is suspected and a safeguarding concern is reported, the Local Authority has a statutory duty to investigate, assess and respond - whether the report be in relation to an adult or to a child (SSWBA, 2014).  There are some differences </w:t>
            </w:r>
            <w:r>
              <w:rPr>
                <w:rFonts w:ascii="Times New Roman" w:hAnsi="Times New Roman" w:cs="Times New Roman"/>
                <w:sz w:val="24"/>
              </w:rPr>
              <w:t>between</w:t>
            </w:r>
            <w:r w:rsidRPr="00FA3B63">
              <w:rPr>
                <w:rFonts w:ascii="Times New Roman" w:hAnsi="Times New Roman" w:cs="Times New Roman"/>
                <w:sz w:val="24"/>
              </w:rPr>
              <w:t xml:space="preserve"> </w:t>
            </w:r>
            <w:r>
              <w:rPr>
                <w:rFonts w:ascii="Times New Roman" w:hAnsi="Times New Roman" w:cs="Times New Roman"/>
                <w:sz w:val="24"/>
              </w:rPr>
              <w:t>policies</w:t>
            </w:r>
            <w:r w:rsidRPr="00FA3B63">
              <w:rPr>
                <w:rFonts w:ascii="Times New Roman" w:hAnsi="Times New Roman" w:cs="Times New Roman"/>
                <w:sz w:val="24"/>
              </w:rPr>
              <w:t xml:space="preserve"> </w:t>
            </w:r>
            <w:r>
              <w:rPr>
                <w:rFonts w:ascii="Times New Roman" w:hAnsi="Times New Roman" w:cs="Times New Roman"/>
                <w:sz w:val="24"/>
              </w:rPr>
              <w:t xml:space="preserve">for safeguarding practice with adults and </w:t>
            </w:r>
            <w:r w:rsidRPr="00FA3B63">
              <w:rPr>
                <w:rFonts w:ascii="Times New Roman" w:hAnsi="Times New Roman" w:cs="Times New Roman"/>
                <w:sz w:val="24"/>
              </w:rPr>
              <w:t xml:space="preserve">when </w:t>
            </w:r>
            <w:r>
              <w:rPr>
                <w:rFonts w:ascii="Times New Roman" w:hAnsi="Times New Roman" w:cs="Times New Roman"/>
                <w:sz w:val="24"/>
              </w:rPr>
              <w:t>working with children</w:t>
            </w:r>
            <w:r w:rsidRPr="00FA3B63">
              <w:rPr>
                <w:rFonts w:ascii="Times New Roman" w:hAnsi="Times New Roman" w:cs="Times New Roman"/>
                <w:sz w:val="24"/>
              </w:rPr>
              <w:t xml:space="preserve">.  </w:t>
            </w:r>
            <w:r>
              <w:rPr>
                <w:rFonts w:ascii="Times New Roman" w:hAnsi="Times New Roman" w:cs="Times New Roman"/>
                <w:sz w:val="24"/>
              </w:rPr>
              <w:t xml:space="preserve">Indeed there are separate Children’s and Adult Safeguarding Boards and differing sets of guidance within the </w:t>
            </w:r>
            <w:r w:rsidRPr="00FA3B63">
              <w:rPr>
                <w:rFonts w:ascii="Times New Roman" w:hAnsi="Times New Roman" w:cs="Times New Roman"/>
                <w:sz w:val="24"/>
              </w:rPr>
              <w:t>Wales Safeguarding Procedures</w:t>
            </w:r>
            <w:r>
              <w:rPr>
                <w:rFonts w:ascii="Times New Roman" w:hAnsi="Times New Roman" w:cs="Times New Roman"/>
                <w:sz w:val="24"/>
              </w:rPr>
              <w:t xml:space="preserve"> (NWSB, 2023).  Whilst categories of abuse for children and adults are very similar, separate approaches are important due to variations in the</w:t>
            </w:r>
            <w:r w:rsidRPr="00FA3B63">
              <w:rPr>
                <w:rFonts w:ascii="Times New Roman" w:hAnsi="Times New Roman" w:cs="Times New Roman"/>
                <w:sz w:val="24"/>
              </w:rPr>
              <w:t xml:space="preserve"> </w:t>
            </w:r>
            <w:r>
              <w:rPr>
                <w:rFonts w:ascii="Times New Roman" w:hAnsi="Times New Roman" w:cs="Times New Roman"/>
                <w:sz w:val="24"/>
              </w:rPr>
              <w:t>types of harm experienced by children and adults, as well as the differing impacts (NSAB, 2021)</w:t>
            </w:r>
            <w:r w:rsidRPr="00FA3B63">
              <w:rPr>
                <w:rFonts w:ascii="Times New Roman" w:hAnsi="Times New Roman" w:cs="Times New Roman"/>
                <w:sz w:val="24"/>
              </w:rPr>
              <w:t xml:space="preserve">.  </w:t>
            </w:r>
          </w:p>
          <w:p w:rsidR="005533AD" w:rsidRPr="00A859F9" w:rsidRDefault="005533AD" w:rsidP="00EE6DD6">
            <w:pPr>
              <w:spacing w:line="480" w:lineRule="auto"/>
              <w:ind w:firstLine="720"/>
              <w:rPr>
                <w:rFonts w:ascii="Times New Roman" w:hAnsi="Times New Roman" w:cs="Times New Roman"/>
                <w:sz w:val="24"/>
              </w:rPr>
            </w:pPr>
            <w:r>
              <w:rPr>
                <w:rFonts w:ascii="Times New Roman" w:hAnsi="Times New Roman" w:cs="Times New Roman"/>
                <w:sz w:val="24"/>
              </w:rPr>
              <w:t xml:space="preserve">Experiencing of harm during childhood has been found to have a significant impact upon individuals throughout the course of their lives (PHW, 2018).  There is divergence within the national well-being outcomes listed in Part 2 of the SSWBA, with healthy development forming part of the framework for children.  An additional well-being outcome for adults is “control over day-to-day life” (WG, 2019).  </w:t>
            </w:r>
            <w:r>
              <w:rPr>
                <w:rFonts w:ascii="Times New Roman" w:hAnsi="Times New Roman" w:cs="Times New Roman"/>
                <w:sz w:val="24"/>
                <w:szCs w:val="24"/>
              </w:rPr>
              <w:t xml:space="preserve">In line with the ethos of the Mental </w:t>
            </w:r>
            <w:r w:rsidRPr="00FA3B63">
              <w:rPr>
                <w:rFonts w:ascii="Times New Roman" w:hAnsi="Times New Roman" w:cs="Times New Roman"/>
                <w:sz w:val="24"/>
                <w:szCs w:val="24"/>
              </w:rPr>
              <w:t>Capacity Act</w:t>
            </w:r>
            <w:r>
              <w:rPr>
                <w:rFonts w:ascii="Times New Roman" w:hAnsi="Times New Roman" w:cs="Times New Roman"/>
                <w:sz w:val="24"/>
                <w:szCs w:val="24"/>
              </w:rPr>
              <w:t xml:space="preserve"> 2005, those over the age of eighteen have the right to make unwise decisions.  When safeguarding themselves, adults may make their own choices around actions to protect themselves, or choose not to act at all.</w:t>
            </w:r>
          </w:p>
          <w:p w:rsidR="005533AD" w:rsidRDefault="005533AD" w:rsidP="00EE6DD6">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Perhaps the greatest difference then is that “there are duties to safeguard all children – but not all adults will need safeguarding” (NSAB, 2021).  However, </w:t>
            </w:r>
            <w:proofErr w:type="spellStart"/>
            <w:r>
              <w:rPr>
                <w:rFonts w:ascii="Times New Roman" w:hAnsi="Times New Roman" w:cs="Times New Roman"/>
                <w:sz w:val="24"/>
                <w:szCs w:val="24"/>
              </w:rPr>
              <w:t>Gillick</w:t>
            </w:r>
            <w:proofErr w:type="spellEnd"/>
            <w:r>
              <w:rPr>
                <w:rFonts w:ascii="Times New Roman" w:hAnsi="Times New Roman" w:cs="Times New Roman"/>
                <w:sz w:val="24"/>
                <w:szCs w:val="24"/>
              </w:rPr>
              <w:t xml:space="preserve"> competence, where a child can consent if they possess sufficient understanding, is an important consideration in children’s safeguarding.  This principle can aid practitioners in their assessment of a child’s understanding when making decisions (</w:t>
            </w:r>
            <w:proofErr w:type="spellStart"/>
            <w:r>
              <w:rPr>
                <w:rFonts w:ascii="Times New Roman" w:hAnsi="Times New Roman" w:cs="Times New Roman"/>
                <w:sz w:val="24"/>
                <w:szCs w:val="24"/>
              </w:rPr>
              <w:t>SafeguardingHub</w:t>
            </w:r>
            <w:proofErr w:type="spellEnd"/>
            <w:r>
              <w:rPr>
                <w:rFonts w:ascii="Times New Roman" w:hAnsi="Times New Roman" w:cs="Times New Roman"/>
                <w:sz w:val="24"/>
                <w:szCs w:val="24"/>
              </w:rPr>
              <w:t>, 2022).  It may provide some balance between respecting their views and wishes with the responsibility to safeguard them from harm.</w:t>
            </w:r>
          </w:p>
          <w:p w:rsidR="005533AD" w:rsidRPr="00A859F9" w:rsidRDefault="005533AD" w:rsidP="00EE6DD6">
            <w:pPr>
              <w:spacing w:line="480" w:lineRule="auto"/>
              <w:ind w:firstLine="720"/>
              <w:rPr>
                <w:rFonts w:ascii="Times New Roman" w:hAnsi="Times New Roman" w:cs="Times New Roman"/>
                <w:sz w:val="24"/>
                <w:szCs w:val="24"/>
              </w:rPr>
            </w:pPr>
            <w:r>
              <w:rPr>
                <w:rFonts w:ascii="Times New Roman" w:hAnsi="Times New Roman" w:cs="Times New Roman"/>
                <w:sz w:val="24"/>
              </w:rPr>
              <w:t>Human rights are also an important consideration within safeguarding practice, therefore the different articles within the different conventions for the different populations should be acknowledged (Harms-Smith et al., 2019).  The Convention on the Rights of the Child sets out additional rights to give children extra protections due to their dependence on others for development and guidance (UNICEF, 2023).  The Article 5 right of those over the age of eighteen is protected by Deprivation of Liberty Safeguards, however children are still entitled to this right.  Safeguarding of</w:t>
            </w:r>
            <w:r w:rsidRPr="002826B6">
              <w:rPr>
                <w:rFonts w:ascii="Times New Roman" w:hAnsi="Times New Roman" w:cs="Times New Roman"/>
                <w:sz w:val="24"/>
              </w:rPr>
              <w:t xml:space="preserve"> </w:t>
            </w:r>
            <w:r>
              <w:rPr>
                <w:rFonts w:ascii="Times New Roman" w:hAnsi="Times New Roman" w:cs="Times New Roman"/>
                <w:sz w:val="24"/>
              </w:rPr>
              <w:t>their liberty requires the application of other statues, namely: section 25 of the Children Act 1989; the Mental Health Act 1983; and youth offending and court sentencing legislation (Schwehr, 2016).  However the ‘acid test’ of the Cheshire West criteria applies to all (ADASS, 2014).</w:t>
            </w:r>
          </w:p>
          <w:p w:rsidR="005533AD" w:rsidRPr="00FA3B63" w:rsidRDefault="005533AD" w:rsidP="00EE6DD6">
            <w:pPr>
              <w:rPr>
                <w:rFonts w:ascii="Times New Roman" w:hAnsi="Times New Roman" w:cs="Times New Roman"/>
                <w:sz w:val="24"/>
                <w:szCs w:val="24"/>
              </w:rPr>
            </w:pPr>
          </w:p>
          <w:p w:rsidR="005533AD" w:rsidRPr="00FA3B63" w:rsidRDefault="005533AD" w:rsidP="00EE6DD6">
            <w:pPr>
              <w:rPr>
                <w:rFonts w:ascii="Times New Roman" w:hAnsi="Times New Roman" w:cs="Times New Roman"/>
                <w:b/>
                <w:sz w:val="24"/>
                <w:szCs w:val="24"/>
              </w:rPr>
            </w:pPr>
            <w:r w:rsidRPr="00FA3B63">
              <w:rPr>
                <w:rFonts w:ascii="Times New Roman" w:hAnsi="Times New Roman" w:cs="Times New Roman"/>
                <w:b/>
                <w:sz w:val="24"/>
                <w:szCs w:val="24"/>
              </w:rPr>
              <w:t>Word Count:</w:t>
            </w:r>
            <w:r>
              <w:rPr>
                <w:rFonts w:ascii="Times New Roman" w:hAnsi="Times New Roman" w:cs="Times New Roman"/>
                <w:b/>
                <w:sz w:val="24"/>
                <w:szCs w:val="24"/>
              </w:rPr>
              <w:t xml:space="preserve"> 429</w:t>
            </w:r>
          </w:p>
          <w:p w:rsidR="005533AD" w:rsidRPr="006108C9" w:rsidRDefault="005533AD" w:rsidP="00EE6DD6">
            <w:pPr>
              <w:jc w:val="both"/>
              <w:rPr>
                <w:sz w:val="24"/>
                <w:szCs w:val="24"/>
              </w:rPr>
            </w:pPr>
          </w:p>
        </w:tc>
      </w:tr>
    </w:tbl>
    <w:p w:rsidR="005533AD" w:rsidRDefault="005533AD" w:rsidP="005533AD">
      <w:pPr>
        <w:jc w:val="both"/>
        <w:rPr>
          <w:sz w:val="24"/>
          <w:szCs w:val="24"/>
        </w:rPr>
      </w:pPr>
    </w:p>
    <w:p w:rsidR="005533AD" w:rsidRDefault="005533AD" w:rsidP="005533AD">
      <w:pPr>
        <w:jc w:val="both"/>
        <w:rPr>
          <w:sz w:val="24"/>
          <w:szCs w:val="24"/>
        </w:rPr>
      </w:pPr>
    </w:p>
    <w:p w:rsidR="005533AD" w:rsidRDefault="005533AD" w:rsidP="005533AD">
      <w:pPr>
        <w:rPr>
          <w:sz w:val="24"/>
          <w:szCs w:val="24"/>
        </w:rPr>
      </w:pPr>
    </w:p>
    <w:p w:rsidR="00E83C79" w:rsidRPr="005533AD" w:rsidRDefault="00E83C79" w:rsidP="005533AD">
      <w:pPr>
        <w:overflowPunct/>
        <w:autoSpaceDE/>
        <w:autoSpaceDN/>
        <w:adjustRightInd/>
        <w:textAlignment w:val="auto"/>
        <w:rPr>
          <w:b/>
          <w:sz w:val="28"/>
          <w:szCs w:val="28"/>
        </w:rPr>
      </w:pPr>
      <w:bookmarkStart w:id="0" w:name="_GoBack"/>
      <w:bookmarkEnd w:id="0"/>
    </w:p>
    <w:sectPr w:rsidR="00E83C79" w:rsidRPr="005533AD">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C0AE4" w:rsidRDefault="00AC0AE4" w:rsidP="005533AD">
      <w:r>
        <w:separator/>
      </w:r>
    </w:p>
  </w:endnote>
  <w:endnote w:type="continuationSeparator" w:id="0">
    <w:p w:rsidR="00AC0AE4" w:rsidRDefault="00AC0AE4" w:rsidP="005533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45359029"/>
      <w:docPartObj>
        <w:docPartGallery w:val="Page Numbers (Bottom of Page)"/>
        <w:docPartUnique/>
      </w:docPartObj>
    </w:sdtPr>
    <w:sdtEndPr>
      <w:rPr>
        <w:noProof/>
      </w:rPr>
    </w:sdtEndPr>
    <w:sdtContent>
      <w:p w:rsidR="005533AD" w:rsidRDefault="005533AD">
        <w:pPr>
          <w:pStyle w:val="Footer"/>
          <w:jc w:val="center"/>
        </w:pPr>
        <w:r>
          <w:fldChar w:fldCharType="begin"/>
        </w:r>
        <w:r>
          <w:instrText xml:space="preserve"> PAGE   \* MERGEFORMAT </w:instrText>
        </w:r>
        <w:r>
          <w:fldChar w:fldCharType="separate"/>
        </w:r>
        <w:r>
          <w:rPr>
            <w:noProof/>
          </w:rPr>
          <w:t>4</w:t>
        </w:r>
        <w:r>
          <w:rPr>
            <w:noProof/>
          </w:rPr>
          <w:fldChar w:fldCharType="end"/>
        </w:r>
      </w:p>
    </w:sdtContent>
  </w:sdt>
  <w:p w:rsidR="005533AD" w:rsidRDefault="005533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C0AE4" w:rsidRDefault="00AC0AE4" w:rsidP="005533AD">
      <w:r>
        <w:separator/>
      </w:r>
    </w:p>
  </w:footnote>
  <w:footnote w:type="continuationSeparator" w:id="0">
    <w:p w:rsidR="00AC0AE4" w:rsidRDefault="00AC0AE4" w:rsidP="005533A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D2080"/>
    <w:rsid w:val="00134162"/>
    <w:rsid w:val="005533AD"/>
    <w:rsid w:val="00AC0AE4"/>
    <w:rsid w:val="00E83C79"/>
    <w:rsid w:val="00FD20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445452"/>
  <w15:chartTrackingRefBased/>
  <w15:docId w15:val="{89A12FF2-21B9-488A-A0CA-A3D7780FE0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533AD"/>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533AD"/>
    <w:pPr>
      <w:tabs>
        <w:tab w:val="center" w:pos="4513"/>
        <w:tab w:val="right" w:pos="9026"/>
      </w:tabs>
    </w:pPr>
  </w:style>
  <w:style w:type="character" w:customStyle="1" w:styleId="HeaderChar">
    <w:name w:val="Header Char"/>
    <w:basedOn w:val="DefaultParagraphFont"/>
    <w:link w:val="Header"/>
    <w:uiPriority w:val="99"/>
    <w:rsid w:val="005533AD"/>
    <w:rPr>
      <w:rFonts w:ascii="Arial" w:eastAsia="Times New Roman" w:hAnsi="Arial" w:cs="Arial"/>
      <w:color w:val="000000"/>
      <w:sz w:val="20"/>
      <w:szCs w:val="20"/>
      <w:lang w:eastAsia="en-GB"/>
    </w:rPr>
  </w:style>
  <w:style w:type="paragraph" w:styleId="Footer">
    <w:name w:val="footer"/>
    <w:basedOn w:val="Normal"/>
    <w:link w:val="FooterChar"/>
    <w:uiPriority w:val="99"/>
    <w:unhideWhenUsed/>
    <w:rsid w:val="005533AD"/>
    <w:pPr>
      <w:tabs>
        <w:tab w:val="center" w:pos="4513"/>
        <w:tab w:val="right" w:pos="9026"/>
      </w:tabs>
    </w:pPr>
  </w:style>
  <w:style w:type="character" w:customStyle="1" w:styleId="FooterChar">
    <w:name w:val="Footer Char"/>
    <w:basedOn w:val="DefaultParagraphFont"/>
    <w:link w:val="Footer"/>
    <w:uiPriority w:val="99"/>
    <w:rsid w:val="005533AD"/>
    <w:rPr>
      <w:rFonts w:ascii="Arial" w:eastAsia="Times New Roman" w:hAnsi="Arial" w:cs="Arial"/>
      <w:color w:val="000000"/>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4</Pages>
  <Words>1099</Words>
  <Characters>6267</Characters>
  <Application>Microsoft Office Word</Application>
  <DocSecurity>0</DocSecurity>
  <Lines>52</Lines>
  <Paragraphs>14</Paragraphs>
  <ScaleCrop>false</ScaleCrop>
  <Company>Conwy County Borough Council</Company>
  <LinksUpToDate>false</LinksUpToDate>
  <CharactersWithSpaces>7352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Thomas</dc:creator>
  <cp:keywords/>
  <dc:description/>
  <cp:lastModifiedBy>Kate Thomas</cp:lastModifiedBy>
  <cp:revision>2</cp:revision>
  <dcterms:created xsi:type="dcterms:W3CDTF">2023-02-09T19:05:00Z</dcterms:created>
  <dcterms:modified xsi:type="dcterms:W3CDTF">2023-02-09T19:11:00Z</dcterms:modified>
</cp:coreProperties>
</file>