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BBBB4" w14:textId="0848284D" w:rsidR="00086EA1" w:rsidRDefault="00086EA1" w:rsidP="00086EA1">
      <w:pPr>
        <w:jc w:val="center"/>
        <w:rPr>
          <w:b/>
          <w:bCs/>
          <w:sz w:val="28"/>
          <w:szCs w:val="28"/>
          <w:u w:val="single"/>
        </w:rPr>
      </w:pPr>
      <w:r w:rsidRPr="00086EA1">
        <w:rPr>
          <w:b/>
          <w:bCs/>
          <w:sz w:val="28"/>
          <w:szCs w:val="28"/>
          <w:u w:val="single"/>
        </w:rPr>
        <w:t>Zoe Gabrielle COOMBES 2029331</w:t>
      </w:r>
    </w:p>
    <w:p w14:paraId="273BB8EA" w14:textId="54F7099C" w:rsidR="00086EA1" w:rsidRDefault="00086EA1" w:rsidP="004B02FA">
      <w:pPr>
        <w:ind w:right="531"/>
        <w:jc w:val="both"/>
        <w:rPr>
          <w:rFonts w:ascii="Arial" w:eastAsia="Calibri" w:hAnsi="Arial" w:cs="Arial"/>
          <w:b/>
          <w:bCs/>
        </w:rPr>
      </w:pPr>
      <w:r>
        <w:rPr>
          <w:rFonts w:ascii="Arial" w:eastAsia="Calibri" w:hAnsi="Arial" w:cs="Arial"/>
          <w:b/>
          <w:bCs/>
        </w:rPr>
        <w:t>Essay one:</w:t>
      </w:r>
      <w:r w:rsidR="004B02FA">
        <w:rPr>
          <w:rFonts w:ascii="Arial" w:eastAsia="Calibri" w:hAnsi="Arial" w:cs="Arial"/>
          <w:b/>
          <w:bCs/>
        </w:rPr>
        <w:t xml:space="preserve"> Professionalisation within the police service</w:t>
      </w:r>
    </w:p>
    <w:p w14:paraId="42825698" w14:textId="6515601D" w:rsidR="00DF616A" w:rsidRDefault="00DF616A" w:rsidP="00086EA1">
      <w:pPr>
        <w:rPr>
          <w:sz w:val="24"/>
          <w:szCs w:val="24"/>
        </w:rPr>
      </w:pPr>
      <w:r>
        <w:rPr>
          <w:sz w:val="24"/>
          <w:szCs w:val="24"/>
        </w:rPr>
        <w:t xml:space="preserve">In this essay I will be critically evaluating professionalisation within the police service, I will be assessing how coaching, and mentoring can help to contribute to maintaining professional standards, including ethics and inclusion.  </w:t>
      </w:r>
      <w:r w:rsidR="00241C10">
        <w:rPr>
          <w:sz w:val="24"/>
          <w:szCs w:val="24"/>
        </w:rPr>
        <w:t xml:space="preserve">When critically evaluating the concept of </w:t>
      </w:r>
      <w:r>
        <w:rPr>
          <w:sz w:val="24"/>
          <w:szCs w:val="24"/>
        </w:rPr>
        <w:t>‘</w:t>
      </w:r>
      <w:r w:rsidR="00241C10">
        <w:rPr>
          <w:sz w:val="24"/>
          <w:szCs w:val="24"/>
        </w:rPr>
        <w:t>the professionalisation of the police service</w:t>
      </w:r>
      <w:r>
        <w:rPr>
          <w:sz w:val="24"/>
          <w:szCs w:val="24"/>
        </w:rPr>
        <w:t>’</w:t>
      </w:r>
      <w:r w:rsidR="00241C10">
        <w:rPr>
          <w:sz w:val="24"/>
          <w:szCs w:val="24"/>
        </w:rPr>
        <w:t xml:space="preserve"> </w:t>
      </w:r>
      <w:r w:rsidR="00547B8A">
        <w:rPr>
          <w:sz w:val="24"/>
          <w:szCs w:val="24"/>
        </w:rPr>
        <w:t>we need to first consider the definition of ‘profession’, however there is no ‘university accepted definition of profession’, (Blackstone’s Handbook for Policing Students, 2021)</w:t>
      </w:r>
      <w:r>
        <w:rPr>
          <w:sz w:val="24"/>
          <w:szCs w:val="24"/>
        </w:rPr>
        <w:t xml:space="preserve">.  I can see that professionalism has many factors that can positively impact the police service, which will therefore influence relationships within the community and criminal justice system.  </w:t>
      </w:r>
    </w:p>
    <w:p w14:paraId="50BB3EFF" w14:textId="1D40E761" w:rsidR="00547B8A" w:rsidRDefault="00547B8A" w:rsidP="00086EA1">
      <w:pPr>
        <w:rPr>
          <w:sz w:val="24"/>
          <w:szCs w:val="24"/>
        </w:rPr>
      </w:pPr>
      <w:r>
        <w:rPr>
          <w:sz w:val="24"/>
          <w:szCs w:val="24"/>
        </w:rPr>
        <w:t>T</w:t>
      </w:r>
      <w:r w:rsidR="003C08EE">
        <w:rPr>
          <w:sz w:val="24"/>
          <w:szCs w:val="24"/>
        </w:rPr>
        <w:t>he UK’s College of Policin</w:t>
      </w:r>
      <w:r w:rsidR="003C08EE" w:rsidRPr="00884AB9">
        <w:rPr>
          <w:sz w:val="24"/>
          <w:szCs w:val="24"/>
        </w:rPr>
        <w:t xml:space="preserve">g (COP, 2016) announced </w:t>
      </w:r>
      <w:r w:rsidR="003C08EE">
        <w:rPr>
          <w:sz w:val="24"/>
          <w:szCs w:val="24"/>
        </w:rPr>
        <w:t xml:space="preserve">the Policing Education Qualifications Framework (PEQF).  All new police constable recruits are expected to get a degree level qualification either at the start of their career with the police service or to have got this prior to starting. </w:t>
      </w:r>
      <w:r w:rsidR="00DF616A">
        <w:rPr>
          <w:sz w:val="24"/>
          <w:szCs w:val="24"/>
        </w:rPr>
        <w:t xml:space="preserve">Academic education can be seen to be a crucial characteristic for a profession within policing, this is reflected in the complex nature and variety of work, as well as the ‘position of power and responsibility, and the guarantee of competence educational qualifications bring’ (Scholarly Detectives: Police Professionalisation via academic education Katja M Hallenberg School of Law, n.d.).  Professionalisation within the police service may be seen to be establishing themselves as a profession by developing the skills and knowledge requirement, this is a procedure and a notion which will need to be implemented. </w:t>
      </w:r>
    </w:p>
    <w:p w14:paraId="7106CCD0" w14:textId="468C03BF" w:rsidR="00547B8A" w:rsidRDefault="00547B8A" w:rsidP="00086EA1">
      <w:pPr>
        <w:rPr>
          <w:sz w:val="24"/>
          <w:szCs w:val="24"/>
        </w:rPr>
      </w:pPr>
      <w:r>
        <w:rPr>
          <w:sz w:val="24"/>
          <w:szCs w:val="24"/>
        </w:rPr>
        <w:t>An approach to developing and upholding policing as a full profession could be viewed as developing the body of knowledge and skills required for modern-day policing, to protect the right of the police and to regulate themselves, to improve public confidence in the work of the police by providing a full professional register implying the need for its members to regularly demonstrate that they have met the requirement to maintain their skills and knowledge and to distinguish the work and the professional standing of the police officer from others (Blackstone’s Handbook for Policing Students, 2021)</w:t>
      </w:r>
      <w:r w:rsidR="00DF616A">
        <w:rPr>
          <w:sz w:val="24"/>
          <w:szCs w:val="24"/>
        </w:rPr>
        <w:t>.  ‘Whilst engaging with a university programme of study it is not in itself for sufficient for guaranteeing the qualities expected of a police officer, it is increasingly being recognised that such an engagement is nonetheless a necessary condition of achieving these ends’ (</w:t>
      </w:r>
      <w:r w:rsidR="00DF616A" w:rsidRPr="00DF616A">
        <w:rPr>
          <w:sz w:val="24"/>
          <w:szCs w:val="24"/>
        </w:rPr>
        <w:t xml:space="preserve">Wood &amp; Tong, 2009: 296-7).  </w:t>
      </w:r>
      <w:r w:rsidR="00DF616A">
        <w:rPr>
          <w:sz w:val="24"/>
          <w:szCs w:val="24"/>
        </w:rPr>
        <w:t>This is reflected in the day-to-day duties for the police service to uphold, maintaining these professional standards set out by the College of Policing as it is critical for the public and other services to have confidence in the police service and their actions</w:t>
      </w:r>
      <w:r w:rsidR="006E3C40">
        <w:rPr>
          <w:sz w:val="24"/>
          <w:szCs w:val="24"/>
        </w:rPr>
        <w:t>, however this unfortunately is not always the case</w:t>
      </w:r>
      <w:r w:rsidR="004B02FA">
        <w:rPr>
          <w:sz w:val="24"/>
          <w:szCs w:val="24"/>
        </w:rPr>
        <w:t xml:space="preserve"> as seen in the Sarah Everard’s case.  As a police service, ‘trust needs to be re-built through the professionalism and public service of police officers and staff in their everyday actions’ (National Police Chief’s Council (NPCC), n.d.).  </w:t>
      </w:r>
    </w:p>
    <w:p w14:paraId="533ED8EE" w14:textId="6DE057C0" w:rsidR="00086EA1" w:rsidRDefault="003C08EE" w:rsidP="00086EA1">
      <w:pPr>
        <w:rPr>
          <w:sz w:val="24"/>
          <w:szCs w:val="24"/>
        </w:rPr>
      </w:pPr>
      <w:r>
        <w:rPr>
          <w:sz w:val="24"/>
          <w:szCs w:val="24"/>
        </w:rPr>
        <w:t xml:space="preserve">Policy research relates to Evidence Based Policing as this promotes ‘the use of the best available research on the outcomes of police work </w:t>
      </w:r>
      <w:r w:rsidRPr="00884AB9">
        <w:rPr>
          <w:sz w:val="24"/>
          <w:szCs w:val="24"/>
        </w:rPr>
        <w:t xml:space="preserve">to implement guidelines and evaluate agencies, units, and officers’ (Sherman, 1998: 3).  Evidence Based Policing could be seen as the centre of the police officers </w:t>
      </w:r>
      <w:r>
        <w:rPr>
          <w:sz w:val="24"/>
          <w:szCs w:val="24"/>
        </w:rPr>
        <w:t xml:space="preserve">conducting and applying research evidence to improve their </w:t>
      </w:r>
      <w:r>
        <w:rPr>
          <w:sz w:val="24"/>
          <w:szCs w:val="24"/>
        </w:rPr>
        <w:lastRenderedPageBreak/>
        <w:t xml:space="preserve">practice, in collaboration with other partners and </w:t>
      </w:r>
      <w:r w:rsidRPr="00884AB9">
        <w:rPr>
          <w:sz w:val="24"/>
          <w:szCs w:val="24"/>
        </w:rPr>
        <w:t xml:space="preserve">academics (COP, n.d.: CCEBP, n.d.).  </w:t>
      </w:r>
      <w:r w:rsidR="00EB5BAF" w:rsidRPr="00884AB9">
        <w:rPr>
          <w:sz w:val="24"/>
          <w:szCs w:val="24"/>
        </w:rPr>
        <w:t xml:space="preserve">By </w:t>
      </w:r>
      <w:r w:rsidR="00EB5BAF">
        <w:rPr>
          <w:sz w:val="24"/>
          <w:szCs w:val="24"/>
        </w:rPr>
        <w:t xml:space="preserve">adding in the concept of professionalisation into the police service it may be seen to ‘weaken the negative elements of the occupational </w:t>
      </w:r>
      <w:r w:rsidR="00EB5BAF" w:rsidRPr="00884AB9">
        <w:rPr>
          <w:sz w:val="24"/>
          <w:szCs w:val="24"/>
        </w:rPr>
        <w:t xml:space="preserve">culture’ (Home Office 1999:79) and by </w:t>
      </w:r>
      <w:r w:rsidR="00EB5BAF">
        <w:rPr>
          <w:sz w:val="24"/>
          <w:szCs w:val="24"/>
        </w:rPr>
        <w:t xml:space="preserve">brining in academic recruits with higher education or providing recruits with the benefits of this it will assist with brining the police into alignment with other UK public service professionals such as nursing teaching and social </w:t>
      </w:r>
      <w:r w:rsidR="00EB5BAF" w:rsidRPr="00884AB9">
        <w:rPr>
          <w:sz w:val="24"/>
          <w:szCs w:val="24"/>
        </w:rPr>
        <w:t xml:space="preserve">work (Christopher, 2015).  </w:t>
      </w:r>
    </w:p>
    <w:p w14:paraId="5694FA15" w14:textId="4FF05402" w:rsidR="00E50E39" w:rsidRDefault="00277C8B" w:rsidP="00086EA1">
      <w:pPr>
        <w:rPr>
          <w:sz w:val="24"/>
          <w:szCs w:val="24"/>
        </w:rPr>
      </w:pPr>
      <w:r>
        <w:rPr>
          <w:sz w:val="24"/>
          <w:szCs w:val="24"/>
        </w:rPr>
        <w:t xml:space="preserve">When maintaining a professional boundary between police and members of the public, the </w:t>
      </w:r>
      <w:r w:rsidRPr="00277C8B">
        <w:rPr>
          <w:sz w:val="24"/>
          <w:szCs w:val="24"/>
        </w:rPr>
        <w:t xml:space="preserve">Code of Ethics </w:t>
      </w:r>
      <w:r>
        <w:rPr>
          <w:sz w:val="24"/>
          <w:szCs w:val="24"/>
        </w:rPr>
        <w:t xml:space="preserve">is used, this can allow police officers to have principles to support decision making and professionalism.  Police officers have an obligation to act ethically and professionally, treating individuals with dignity and respect. The Code of Ethics ‘states that officers must not engage in sexual conduct or other inappropriate behaviour on duty and must not establish or pursue an improper sexual or emotional relationship with a person with whom they come into contact in the course of their work who may be vulnerable to an abuse of trust or power’ (College.police.uk, n.d.).  </w:t>
      </w:r>
      <w:r w:rsidR="004B02FA">
        <w:rPr>
          <w:sz w:val="24"/>
          <w:szCs w:val="24"/>
        </w:rPr>
        <w:t xml:space="preserve">This refers to Robert Peel’s 9 Principles of Policing, by providing the best outcome for the community from this service. </w:t>
      </w:r>
    </w:p>
    <w:p w14:paraId="4D137D1C" w14:textId="1DD5F550" w:rsidR="00E50E39" w:rsidRDefault="00277C8B" w:rsidP="00086EA1">
      <w:pPr>
        <w:rPr>
          <w:sz w:val="24"/>
          <w:szCs w:val="24"/>
        </w:rPr>
      </w:pPr>
      <w:r>
        <w:rPr>
          <w:sz w:val="24"/>
          <w:szCs w:val="24"/>
        </w:rPr>
        <w:t>The Code Of Ethics are the standards of professional behaviour</w:t>
      </w:r>
      <w:r w:rsidR="004B02FA">
        <w:rPr>
          <w:sz w:val="24"/>
          <w:szCs w:val="24"/>
        </w:rPr>
        <w:t xml:space="preserve"> introduced by the College of Policing in 2014</w:t>
      </w:r>
      <w:r>
        <w:rPr>
          <w:sz w:val="24"/>
          <w:szCs w:val="24"/>
        </w:rPr>
        <w:t xml:space="preserve">, which are; honesty and integrity, authority, respect and courtesy, equality and diversity, use of force, orders and instructions, duties and responsibilities, confidentiality, fitness for duty, discreditable conduct and challenging and reporting improper conduct (Home Office, 2020).  As police professionals there is an expectation in accepting to abide by the Coode of Ethics, ‘committing to principles and standards of behaviour that are designed to support and guide’ (College of Policing, 2014).  The Code of Ethics was not proposed to cover every situation but sets out the broad principles to support decision making and professionalism.  </w:t>
      </w:r>
    </w:p>
    <w:p w14:paraId="3DC5DC5E" w14:textId="7DCD0E08" w:rsidR="004B02FA" w:rsidRDefault="004B02FA" w:rsidP="00086EA1">
      <w:pPr>
        <w:rPr>
          <w:sz w:val="24"/>
          <w:szCs w:val="24"/>
        </w:rPr>
      </w:pPr>
      <w:r>
        <w:rPr>
          <w:sz w:val="24"/>
          <w:szCs w:val="24"/>
        </w:rPr>
        <w:t xml:space="preserve">By ensuring a diverse workforce, it can be seen to be a vital role in professionalisation within the police service as this will assist with the public and communities being able to ‘identify and co-operate with those whom they feel are similar to them’ (Farrow, 2022).  This is reflected within the role of a tutor and student officer as if the mentor is not ‘policing by consent’ and unable to perform their role and maintain this, then the level of student will be impacted, leaving the student having a lack of trust as well as the public.   </w:t>
      </w:r>
    </w:p>
    <w:p w14:paraId="43AB150F" w14:textId="224A7778" w:rsidR="004B02FA" w:rsidRDefault="004B02FA" w:rsidP="00086EA1">
      <w:pPr>
        <w:rPr>
          <w:sz w:val="24"/>
          <w:szCs w:val="24"/>
        </w:rPr>
      </w:pPr>
      <w:r>
        <w:rPr>
          <w:sz w:val="24"/>
          <w:szCs w:val="24"/>
        </w:rPr>
        <w:t xml:space="preserve">In conclusion, for professionalisation in police service to be maintained and improved it is critical for police to restore public confidence, improving the quality of interactions with the public.  For ‘Policing by consent’ to be effective, all members of the public must believe that the police service are there to assist and serve them whilst being treated with respect and fairly. </w:t>
      </w:r>
    </w:p>
    <w:p w14:paraId="1FF1565E" w14:textId="1FAE7701" w:rsidR="004B02FA" w:rsidRPr="004B02FA" w:rsidRDefault="004B02FA" w:rsidP="00086EA1">
      <w:pPr>
        <w:rPr>
          <w:b/>
          <w:bCs/>
          <w:sz w:val="24"/>
          <w:szCs w:val="24"/>
        </w:rPr>
      </w:pPr>
      <w:r w:rsidRPr="004B02FA">
        <w:rPr>
          <w:b/>
          <w:bCs/>
          <w:sz w:val="24"/>
          <w:szCs w:val="24"/>
        </w:rPr>
        <w:t xml:space="preserve">Word Count: 997.  </w:t>
      </w:r>
    </w:p>
    <w:p w14:paraId="0360B441" w14:textId="77777777" w:rsidR="00FC6035" w:rsidRDefault="00FC6035" w:rsidP="00FC6035">
      <w:pPr>
        <w:spacing w:line="257" w:lineRule="auto"/>
        <w:ind w:right="531"/>
        <w:rPr>
          <w:sz w:val="24"/>
          <w:szCs w:val="24"/>
        </w:rPr>
      </w:pPr>
    </w:p>
    <w:p w14:paraId="1DA6925A" w14:textId="77777777" w:rsidR="00FC6035" w:rsidRDefault="00FC6035" w:rsidP="00FC6035">
      <w:pPr>
        <w:spacing w:line="257" w:lineRule="auto"/>
        <w:ind w:right="531"/>
        <w:rPr>
          <w:sz w:val="24"/>
          <w:szCs w:val="24"/>
        </w:rPr>
      </w:pPr>
    </w:p>
    <w:p w14:paraId="10E62B97" w14:textId="77777777" w:rsidR="00392E50" w:rsidRDefault="00392E50" w:rsidP="00FC6035">
      <w:pPr>
        <w:spacing w:line="257" w:lineRule="auto"/>
        <w:ind w:right="531"/>
        <w:rPr>
          <w:rFonts w:ascii="Arial" w:hAnsi="Arial" w:cs="Arial"/>
          <w:b/>
          <w:bCs/>
        </w:rPr>
      </w:pPr>
    </w:p>
    <w:p w14:paraId="62A71E9F" w14:textId="21D559E3" w:rsidR="004B02FA" w:rsidRPr="00FC6035" w:rsidRDefault="004B02FA" w:rsidP="00FC6035">
      <w:pPr>
        <w:spacing w:line="257" w:lineRule="auto"/>
        <w:ind w:right="531"/>
        <w:rPr>
          <w:rFonts w:ascii="Arial" w:hAnsi="Arial" w:cs="Arial"/>
          <w:b/>
          <w:bCs/>
        </w:rPr>
      </w:pPr>
      <w:r w:rsidRPr="00693B87">
        <w:rPr>
          <w:rFonts w:ascii="Arial" w:hAnsi="Arial" w:cs="Arial"/>
          <w:b/>
          <w:bCs/>
        </w:rPr>
        <w:lastRenderedPageBreak/>
        <w:t>Essay two:</w:t>
      </w:r>
      <w:r w:rsidR="00FC6035">
        <w:rPr>
          <w:rFonts w:ascii="Arial" w:hAnsi="Arial" w:cs="Arial"/>
          <w:b/>
          <w:bCs/>
        </w:rPr>
        <w:t xml:space="preserve"> </w:t>
      </w:r>
      <w:r w:rsidRPr="00FC6035">
        <w:rPr>
          <w:rFonts w:ascii="Arial" w:eastAsia="Arial" w:hAnsi="Arial" w:cs="Arial"/>
          <w:b/>
          <w:bCs/>
        </w:rPr>
        <w:t>Response policing</w:t>
      </w:r>
    </w:p>
    <w:p w14:paraId="59A764BA" w14:textId="23873C96" w:rsidR="004B02FA" w:rsidRDefault="00FC6035" w:rsidP="004B02FA">
      <w:pPr>
        <w:ind w:right="531"/>
        <w:jc w:val="both"/>
        <w:rPr>
          <w:rFonts w:ascii="Arial" w:hAnsi="Arial" w:cs="Arial"/>
        </w:rPr>
      </w:pPr>
      <w:r>
        <w:rPr>
          <w:rFonts w:ascii="Arial" w:hAnsi="Arial" w:cs="Arial"/>
        </w:rPr>
        <w:t xml:space="preserve">During this essay it will evaluate the role of response police in dealing with critical major incidents and demonstrate the importance of managing trauma and mental wellbeing.  Response policing is police constables who respond to emergency and non-emergency calls for incidents that members of the public have reported.  The response policing teams consist of a range of experience and different ranking officers, from police constables, sergeants and an inspector who will manage a response shift </w:t>
      </w:r>
      <w:r w:rsidRPr="00392E50">
        <w:rPr>
          <w:rFonts w:ascii="Arial" w:hAnsi="Arial" w:cs="Arial"/>
        </w:rPr>
        <w:t xml:space="preserve">(College of Policing 2022).  </w:t>
      </w:r>
    </w:p>
    <w:p w14:paraId="4DD3247E" w14:textId="72CB137D" w:rsidR="004B02FA" w:rsidRDefault="00A76A4B" w:rsidP="00A76A4B">
      <w:pPr>
        <w:ind w:right="531"/>
        <w:jc w:val="both"/>
        <w:rPr>
          <w:rFonts w:ascii="Arial" w:hAnsi="Arial" w:cs="Arial"/>
        </w:rPr>
      </w:pPr>
      <w:r>
        <w:rPr>
          <w:rFonts w:ascii="Arial" w:hAnsi="Arial" w:cs="Arial"/>
        </w:rPr>
        <w:t xml:space="preserve">A major incident is an event or situation requiring a response under one or more of the emergency services’ major incident plans.  This will usually include involving large numbers of people, either directly or indirectly, (College of Policing, 2018).  </w:t>
      </w:r>
    </w:p>
    <w:p w14:paraId="73B79A11" w14:textId="36A7EB31" w:rsidR="00A76A4B" w:rsidRDefault="00A76A4B" w:rsidP="00A76A4B">
      <w:pPr>
        <w:spacing w:before="240"/>
        <w:ind w:right="531"/>
        <w:jc w:val="both"/>
        <w:rPr>
          <w:rFonts w:ascii="Arial" w:hAnsi="Arial" w:cs="Arial"/>
        </w:rPr>
      </w:pPr>
      <w:r>
        <w:rPr>
          <w:rFonts w:ascii="Arial" w:hAnsi="Arial" w:cs="Arial"/>
        </w:rPr>
        <w:t xml:space="preserve">Response officers are vital in any incident when responding as they are often the first on the scene, whilst fulfilling their duty as a response officer they will face many challenges such as protecting the public, applying conflict management techniques, identify and obtain appropriate help and support for vulnerable people and one more specifically is managing critical or major incidents (College of Policing, 2022).  A major incident can occur without any warning at all and when they do happen the size of the incident means that special requirements are vital to help organisations work together and respond as quickly and efficiently as possible.  However, it is not always possible to predict the impact that a major may have on a community or more specifically an individual or why.  It is likely, however that the greater the impact an incident has on those closely affected by it, the greater their expectations will be about the quality of the police response </w:t>
      </w:r>
      <w:r w:rsidRPr="00AF3622">
        <w:rPr>
          <w:rFonts w:ascii="Arial" w:hAnsi="Arial" w:cs="Arial"/>
        </w:rPr>
        <w:t xml:space="preserve">(College of policing, 2013).   </w:t>
      </w:r>
    </w:p>
    <w:p w14:paraId="62F69522" w14:textId="16EA57F2" w:rsidR="00AF6E2B" w:rsidRDefault="006A1D46" w:rsidP="00A76A4B">
      <w:pPr>
        <w:spacing w:before="240"/>
        <w:ind w:right="531"/>
        <w:jc w:val="both"/>
        <w:rPr>
          <w:rFonts w:ascii="Arial" w:hAnsi="Arial" w:cs="Arial"/>
        </w:rPr>
      </w:pPr>
      <w:r>
        <w:rPr>
          <w:rFonts w:ascii="Arial" w:hAnsi="Arial" w:cs="Arial"/>
        </w:rPr>
        <w:t xml:space="preserve">Major incidents can have a devastating effect on the public and be disruptive to society in general.  These effects can be minimised and mitigated by a well-coordinated emergency response.  However, research suggests that emergency response is often hindered due to factors such as poor communication, poor information sharing and ineffective coordination between emergency responders (College of Policing, n.d.).  It is often that response officers are the first people on scene, whilst important </w:t>
      </w:r>
      <w:r w:rsidR="001408AD">
        <w:rPr>
          <w:rFonts w:ascii="Arial" w:hAnsi="Arial" w:cs="Arial"/>
        </w:rPr>
        <w:t xml:space="preserve">for response officers to inform the required departments and other agencies.  However, research suggests that emergency response is often hindered due to factors such as poor communication, poor information sharing and ineffective coordination between emergency responders.  The Home Office developed the Joint Emergency Services Interoperability Programme (JESIP) in 2012 to improve emergency response to a major incident and promote successful joint working between agencies (College of Policing, n.d.).  </w:t>
      </w:r>
    </w:p>
    <w:p w14:paraId="373CA366" w14:textId="305E84BE" w:rsidR="001408AD" w:rsidRDefault="001408AD" w:rsidP="00A76A4B">
      <w:pPr>
        <w:spacing w:before="240"/>
        <w:ind w:right="531"/>
        <w:jc w:val="both"/>
        <w:rPr>
          <w:rFonts w:ascii="Arial" w:hAnsi="Arial" w:cs="Arial"/>
        </w:rPr>
      </w:pPr>
      <w:r>
        <w:rPr>
          <w:rFonts w:ascii="Arial" w:hAnsi="Arial" w:cs="Arial"/>
        </w:rPr>
        <w:t>Once an incident has occurred, it is crucial for police and other agencies to undertake Golden Hour investigations.  The Golden Hour is the term used for the period immediately after an offence has been committed</w:t>
      </w:r>
      <w:r w:rsidR="00AF3622">
        <w:rPr>
          <w:rFonts w:ascii="Arial" w:hAnsi="Arial" w:cs="Arial"/>
        </w:rPr>
        <w:t xml:space="preserve">, when material is readily available in high volumes to the police (College of Policing, 2021).  Within the Golden Hour it is key to establish a perimeter and secure the scene and manage the incident correctly.  The principles for joint working should be used during all phases of an incident, these principles can also be applied during the recovery phase (JESIP, n.d.).  </w:t>
      </w:r>
    </w:p>
    <w:p w14:paraId="1225501D" w14:textId="37E44277" w:rsidR="004B02FA" w:rsidRDefault="00AF3622" w:rsidP="00AF3622">
      <w:pPr>
        <w:spacing w:before="240"/>
        <w:ind w:right="531"/>
        <w:jc w:val="both"/>
        <w:rPr>
          <w:rFonts w:ascii="Arial" w:hAnsi="Arial" w:cs="Arial"/>
        </w:rPr>
      </w:pPr>
      <w:r>
        <w:rPr>
          <w:rFonts w:ascii="Arial" w:hAnsi="Arial" w:cs="Arial"/>
        </w:rPr>
        <w:t xml:space="preserve">The importance for services and agencies to work together efficiently when dealing with a major incident is high as this can have an impact on the perception to the public as well as the efficiency, providing confidence within the police service as well as other </w:t>
      </w:r>
      <w:r>
        <w:rPr>
          <w:rFonts w:ascii="Arial" w:hAnsi="Arial" w:cs="Arial"/>
        </w:rPr>
        <w:lastRenderedPageBreak/>
        <w:t xml:space="preserve">agencies.  These agencies include councils, fire service and ambulance, and internally within the police force there are specialist departments such as Crime Scene Investigation, Disaster victim identification, Special search, and recovery teams.  </w:t>
      </w:r>
    </w:p>
    <w:p w14:paraId="4AD6AD44" w14:textId="643C8D8F" w:rsidR="00AF3622" w:rsidRDefault="00AF3622" w:rsidP="00AF3622">
      <w:pPr>
        <w:spacing w:before="240"/>
        <w:ind w:right="531"/>
        <w:jc w:val="both"/>
        <w:rPr>
          <w:rFonts w:ascii="Arial" w:hAnsi="Arial" w:cs="Arial"/>
        </w:rPr>
      </w:pPr>
      <w:r>
        <w:rPr>
          <w:rFonts w:ascii="Arial" w:hAnsi="Arial" w:cs="Arial"/>
        </w:rPr>
        <w:t xml:space="preserve">During the major incident a member of public often has first contact with a police officer, positively impacting their feelings, affecting the public perception or individual persons views of the police service.  Regardless of the scale of the incident the presence of the police service and other agencies can create relief for the public.  However, this can also have a negative impact on public perception or an individual’s confidence as it can confirm the lack of trust and therefore lack of public confidence within the police force, resulting in the importance of implementing a management plan to recover this.  Public and individuals who are directly impacted must be convinced that any issues presented </w:t>
      </w:r>
      <w:r w:rsidR="00F935CD">
        <w:rPr>
          <w:rFonts w:ascii="Arial" w:hAnsi="Arial" w:cs="Arial"/>
        </w:rPr>
        <w:t xml:space="preserve">are dealt with quickly, fairly, and transparently if the public is to have their trust restored (College of Policing).  </w:t>
      </w:r>
    </w:p>
    <w:p w14:paraId="020F8EF4" w14:textId="7A097D81" w:rsidR="00F935CD" w:rsidRDefault="00F935CD" w:rsidP="00AF3622">
      <w:pPr>
        <w:spacing w:before="240"/>
        <w:ind w:right="531"/>
        <w:jc w:val="both"/>
        <w:rPr>
          <w:rFonts w:ascii="Arial" w:hAnsi="Arial" w:cs="Arial"/>
        </w:rPr>
      </w:pPr>
      <w:r>
        <w:rPr>
          <w:rFonts w:ascii="Arial" w:hAnsi="Arial" w:cs="Arial"/>
        </w:rPr>
        <w:t xml:space="preserve">When managing trauma and wellbeing for police officers after a major incident is vital within the police force, major incidents can vary from a natural disaster, terror attack or to a large-scale road traffic collision involving infants.  The sense of invulnerability is perpetuated in the field training an officer, new recruits learn from senior officers that police work requires the inhibition of affective responses.  When an officer arrives to the scene of a fatality, they are required to remain emotionless (Moad, 2011).  Officers </w:t>
      </w:r>
      <w:r w:rsidR="00392E50">
        <w:rPr>
          <w:rFonts w:ascii="Arial" w:hAnsi="Arial" w:cs="Arial"/>
        </w:rPr>
        <w:t xml:space="preserve">experience many different and deep emotional reactions, as all human beings do to a critical or major incident (Soloman, 2011), this can be difficult for an individual within the police force to experience, the climate of the police culture makes it even more difficult to police officers to acknowledge distress.  </w:t>
      </w:r>
    </w:p>
    <w:p w14:paraId="44574D48" w14:textId="7EFFD7D7" w:rsidR="00F935CD" w:rsidRDefault="00392E50" w:rsidP="00AF3622">
      <w:pPr>
        <w:spacing w:before="240"/>
        <w:ind w:right="531"/>
        <w:jc w:val="both"/>
        <w:rPr>
          <w:rFonts w:ascii="Arial" w:hAnsi="Arial" w:cs="Arial"/>
        </w:rPr>
      </w:pPr>
      <w:r>
        <w:rPr>
          <w:rFonts w:ascii="Arial" w:hAnsi="Arial" w:cs="Arial"/>
        </w:rPr>
        <w:t xml:space="preserve">The combination of exposure to critical incidents and the suppression of normal human emotions makes police officers vulnerable to the development of PTSD symptoms (Clair, 2006).  This links to the public perception of the police service for the police officers to be unemotional, with the expectation of setting a calming effect as well as order.  Within the police service there is a process called Trauma Risk Management which is available for police officers relating to a different variety of trauma that officers may experience, enabling them support to overcome said trauma.  </w:t>
      </w:r>
    </w:p>
    <w:p w14:paraId="4460882E" w14:textId="155883B2" w:rsidR="00392E50" w:rsidRPr="00AF3622" w:rsidRDefault="00392E50" w:rsidP="00AF3622">
      <w:pPr>
        <w:spacing w:before="240"/>
        <w:ind w:right="531"/>
        <w:jc w:val="both"/>
        <w:rPr>
          <w:rFonts w:ascii="Arial" w:hAnsi="Arial" w:cs="Arial"/>
        </w:rPr>
      </w:pPr>
      <w:r>
        <w:rPr>
          <w:rFonts w:ascii="Arial" w:hAnsi="Arial" w:cs="Arial"/>
        </w:rPr>
        <w:t xml:space="preserve">In conclusion a major or critical incident cannot be fully prepared for as it is unknown as to when it may exactly occur or to what seriousness, but it is the police service who ensure that individuals are aware of the expectations on how to react and respond to the variety of incidents effectively.  </w:t>
      </w:r>
    </w:p>
    <w:p w14:paraId="74A18267" w14:textId="4865C786" w:rsidR="004B02FA" w:rsidRDefault="00392E50" w:rsidP="00392E50">
      <w:pPr>
        <w:ind w:right="531"/>
        <w:jc w:val="both"/>
        <w:rPr>
          <w:rFonts w:ascii="Arial" w:hAnsi="Arial" w:cs="Arial"/>
          <w:b/>
          <w:bCs/>
        </w:rPr>
      </w:pPr>
      <w:r>
        <w:rPr>
          <w:rFonts w:ascii="Arial" w:hAnsi="Arial" w:cs="Arial"/>
          <w:b/>
          <w:bCs/>
        </w:rPr>
        <w:t xml:space="preserve">Word Count: 1004 </w:t>
      </w:r>
    </w:p>
    <w:p w14:paraId="3B2E4D6D" w14:textId="77777777" w:rsidR="00392E50" w:rsidRDefault="00392E50" w:rsidP="00392E50">
      <w:pPr>
        <w:ind w:right="531"/>
        <w:jc w:val="both"/>
        <w:rPr>
          <w:rFonts w:ascii="Arial" w:hAnsi="Arial" w:cs="Arial"/>
          <w:b/>
          <w:bCs/>
        </w:rPr>
      </w:pPr>
    </w:p>
    <w:p w14:paraId="605E5F75" w14:textId="77777777" w:rsidR="00392E50" w:rsidRDefault="00392E50" w:rsidP="00392E50">
      <w:pPr>
        <w:ind w:right="531"/>
        <w:jc w:val="both"/>
        <w:rPr>
          <w:rFonts w:ascii="Arial" w:hAnsi="Arial" w:cs="Arial"/>
          <w:b/>
          <w:bCs/>
        </w:rPr>
      </w:pPr>
    </w:p>
    <w:p w14:paraId="2FD6E80A" w14:textId="77777777" w:rsidR="00392E50" w:rsidRDefault="00392E50" w:rsidP="00392E50">
      <w:pPr>
        <w:ind w:right="531"/>
        <w:jc w:val="both"/>
        <w:rPr>
          <w:rFonts w:ascii="Arial" w:hAnsi="Arial" w:cs="Arial"/>
          <w:b/>
          <w:bCs/>
        </w:rPr>
      </w:pPr>
    </w:p>
    <w:p w14:paraId="5CD826F2" w14:textId="77777777" w:rsidR="00392E50" w:rsidRDefault="00392E50" w:rsidP="00392E50">
      <w:pPr>
        <w:ind w:right="531"/>
        <w:jc w:val="both"/>
        <w:rPr>
          <w:rFonts w:ascii="Arial" w:hAnsi="Arial" w:cs="Arial"/>
          <w:b/>
          <w:bCs/>
        </w:rPr>
      </w:pPr>
    </w:p>
    <w:p w14:paraId="1AAE55CE" w14:textId="77777777" w:rsidR="00392E50" w:rsidRDefault="00392E50" w:rsidP="00392E50">
      <w:pPr>
        <w:ind w:right="531"/>
        <w:jc w:val="both"/>
        <w:rPr>
          <w:rFonts w:ascii="Arial" w:hAnsi="Arial" w:cs="Arial"/>
          <w:b/>
          <w:bCs/>
        </w:rPr>
      </w:pPr>
    </w:p>
    <w:p w14:paraId="7D50D060" w14:textId="77777777" w:rsidR="00392E50" w:rsidRDefault="00392E50" w:rsidP="00392E50">
      <w:pPr>
        <w:ind w:right="531"/>
        <w:jc w:val="both"/>
        <w:rPr>
          <w:rFonts w:ascii="Arial" w:hAnsi="Arial" w:cs="Arial"/>
          <w:b/>
          <w:bCs/>
        </w:rPr>
      </w:pPr>
    </w:p>
    <w:p w14:paraId="09480159" w14:textId="77777777" w:rsidR="00392E50" w:rsidRDefault="00392E50" w:rsidP="00392E50">
      <w:pPr>
        <w:ind w:right="531"/>
        <w:jc w:val="both"/>
        <w:rPr>
          <w:rFonts w:ascii="Arial" w:hAnsi="Arial" w:cs="Arial"/>
          <w:b/>
          <w:bCs/>
        </w:rPr>
      </w:pPr>
    </w:p>
    <w:p w14:paraId="223C58CE" w14:textId="0027933B" w:rsidR="00392E50" w:rsidRDefault="004B02FA" w:rsidP="00392E50">
      <w:pPr>
        <w:ind w:right="531"/>
        <w:jc w:val="both"/>
        <w:rPr>
          <w:rFonts w:ascii="Arial" w:hAnsi="Arial" w:cs="Arial"/>
          <w:b/>
          <w:bCs/>
        </w:rPr>
      </w:pPr>
      <w:r w:rsidRPr="00693B87">
        <w:rPr>
          <w:rFonts w:ascii="Arial" w:hAnsi="Arial" w:cs="Arial"/>
          <w:b/>
          <w:bCs/>
        </w:rPr>
        <w:lastRenderedPageBreak/>
        <w:t>Essay three:</w:t>
      </w:r>
      <w:r w:rsidR="00392E50">
        <w:rPr>
          <w:rFonts w:ascii="Arial" w:hAnsi="Arial" w:cs="Arial"/>
          <w:b/>
          <w:bCs/>
        </w:rPr>
        <w:t xml:space="preserve"> Gathering Information and Intelligence </w:t>
      </w:r>
    </w:p>
    <w:p w14:paraId="40F1EC72" w14:textId="0AAEA00B" w:rsidR="00392E50" w:rsidRDefault="00392E50" w:rsidP="00392E50">
      <w:pPr>
        <w:spacing w:line="257" w:lineRule="auto"/>
        <w:ind w:right="531"/>
        <w:rPr>
          <w:rFonts w:ascii="Arial" w:eastAsia="Calibri" w:hAnsi="Arial" w:cs="Arial"/>
        </w:rPr>
      </w:pPr>
      <w:r>
        <w:rPr>
          <w:rFonts w:ascii="Arial" w:eastAsia="Calibri" w:hAnsi="Arial" w:cs="Arial"/>
        </w:rPr>
        <w:t xml:space="preserve">In this essay I will critically evaluate how the police force gathers information and intelligence and methods of intelligence-gathering.  Specifically identifying how information is transformed into intelligence and how this can be distributed into the police service.  </w:t>
      </w:r>
      <w:r w:rsidR="00954929">
        <w:rPr>
          <w:rFonts w:ascii="Arial" w:eastAsia="Calibri" w:hAnsi="Arial" w:cs="Arial"/>
        </w:rPr>
        <w:t xml:space="preserve">There are many models that can be used and reflected, however I will be looking at the 3x5x2 model specifically, and how this works alongside South Wales police force as well as other forces in England and Wales.  </w:t>
      </w:r>
    </w:p>
    <w:p w14:paraId="358EE8D0" w14:textId="467A414C" w:rsidR="00392E50" w:rsidRDefault="00392E50" w:rsidP="00392E50">
      <w:pPr>
        <w:spacing w:line="257" w:lineRule="auto"/>
        <w:ind w:right="531"/>
        <w:rPr>
          <w:rFonts w:ascii="Arial" w:eastAsia="Calibri" w:hAnsi="Arial" w:cs="Arial"/>
        </w:rPr>
      </w:pPr>
      <w:r>
        <w:rPr>
          <w:rFonts w:ascii="Arial" w:eastAsia="Calibri" w:hAnsi="Arial" w:cs="Arial"/>
        </w:rPr>
        <w:t>Police forces use a specific technique to gather information and intelligence which is called an Intelligence Report (IR), this is used to submit and evaluate information and to manage the dissemination of intelligence, which is important as it protects the source and contributes to an audit trail of the intelligence (College of Policing, 2022).  A method of intelligence gathering is the 3x5x2 model which is the evaluation procedure as described in the Intelligence Report (IR).  Intelligence is graded by using the 3x5x2 aspect of the National Intelligence Model, the use of this 3x5x2 grading system means uniformity to all pieces of intelligence.  Standardisation of reporting provides a shared confidence between law enforcement communities and partner agencies</w:t>
      </w:r>
      <w:r w:rsidR="00954929">
        <w:rPr>
          <w:rFonts w:ascii="Arial" w:eastAsia="Calibri" w:hAnsi="Arial" w:cs="Arial"/>
        </w:rPr>
        <w:t xml:space="preserve"> (College of Policing, 2015)</w:t>
      </w:r>
      <w:r>
        <w:rPr>
          <w:rFonts w:ascii="Arial" w:eastAsia="Calibri" w:hAnsi="Arial" w:cs="Arial"/>
        </w:rPr>
        <w:t xml:space="preserve">.  When looking into the grading of this model and source evaluation, it is broken down into whether the information is reliable, or untested relating to a source that has not previously provided information to the person receiving It or has provided information that has not been sustained.  This model can be used by the police force </w:t>
      </w:r>
      <w:r w:rsidR="00954929">
        <w:rPr>
          <w:rFonts w:ascii="Arial" w:eastAsia="Calibri" w:hAnsi="Arial" w:cs="Arial"/>
        </w:rPr>
        <w:t xml:space="preserve">such as PC’s and PCSO’s following engagement with the public, other agencies, and social media platforms (NAFN, n.d.).  </w:t>
      </w:r>
    </w:p>
    <w:p w14:paraId="5B27DA5F" w14:textId="519EEB87" w:rsidR="00954929" w:rsidRDefault="00954929" w:rsidP="00392E50">
      <w:pPr>
        <w:spacing w:line="257" w:lineRule="auto"/>
        <w:ind w:right="531"/>
        <w:rPr>
          <w:rFonts w:ascii="Arial" w:eastAsia="Calibri" w:hAnsi="Arial" w:cs="Arial"/>
        </w:rPr>
      </w:pPr>
      <w:r>
        <w:rPr>
          <w:rFonts w:ascii="Arial" w:eastAsia="Calibri" w:hAnsi="Arial" w:cs="Arial"/>
        </w:rPr>
        <w:t xml:space="preserve">There are three source grading; Reliable - this grading is used when the source is believed to be both competent and information received is generally reliable, Untested – this relates to a source that has not previously provided information to the person receiving it or has provided information that has not been substantiated, and Not Reliable – which should be used where there are reasonable grounds to doubt the reliability of the source, these should be specified within the IR risk assessment and may include concerns regarding the authenticity, trustworthiness, competence or motive of the source or confidence in the technical equipment (College of Policing, 2015).  </w:t>
      </w:r>
    </w:p>
    <w:p w14:paraId="58BE6F3C" w14:textId="07A5042D" w:rsidR="00954929" w:rsidRDefault="00954929" w:rsidP="00392E50">
      <w:pPr>
        <w:spacing w:line="257" w:lineRule="auto"/>
        <w:ind w:right="531"/>
        <w:rPr>
          <w:rFonts w:ascii="Arial" w:eastAsia="Calibri" w:hAnsi="Arial" w:cs="Arial"/>
        </w:rPr>
      </w:pPr>
      <w:r>
        <w:rPr>
          <w:rFonts w:ascii="Arial" w:eastAsia="Calibri" w:hAnsi="Arial" w:cs="Arial"/>
        </w:rPr>
        <w:t xml:space="preserve">When looking at the information/intelligence assessment this describes the reliability of the information based on how it became known to the source and from other available intelligence.  Intelligence can be seen to be intelligence when it has been put through this model.  Information needs to be clear and concise, especially when lawful sharing is permitted, meaning in order to share this intelligence there must be a policing purpose, local protocols in place, and a legitimate need to receive it.  Lawful sharing includes other government departments, private and voluntary sectors.  </w:t>
      </w:r>
    </w:p>
    <w:p w14:paraId="497BBE19" w14:textId="24A98787" w:rsidR="00954929" w:rsidRDefault="00954929" w:rsidP="00392E50">
      <w:pPr>
        <w:spacing w:line="257" w:lineRule="auto"/>
        <w:ind w:right="531"/>
        <w:rPr>
          <w:rFonts w:ascii="Arial" w:eastAsia="Calibri" w:hAnsi="Arial" w:cs="Arial"/>
        </w:rPr>
      </w:pPr>
      <w:r>
        <w:rPr>
          <w:rFonts w:ascii="Arial" w:eastAsia="Calibri" w:hAnsi="Arial" w:cs="Arial"/>
        </w:rPr>
        <w:t xml:space="preserve">When looking at South Wales Police Force more specifically, a way of gathering information and intelligence is by social media platforms, with South Wales Police force having social media accounts such as Facebook, Instagram and twitter.  These social media platforms are used for community engagement but allowing the force to produce photographs of known suspects so that the public can help with identifying individuals, other ways of identifying suspects is by CCTV upload, this also shows the public that the force is engaging and communicating with them, using a more face to face approach.  </w:t>
      </w:r>
    </w:p>
    <w:p w14:paraId="16C11878" w14:textId="003A295E" w:rsidR="00954929" w:rsidRDefault="00954929" w:rsidP="00392E50">
      <w:pPr>
        <w:spacing w:line="257" w:lineRule="auto"/>
        <w:ind w:right="531"/>
        <w:rPr>
          <w:rFonts w:ascii="Arial" w:eastAsia="Calibri" w:hAnsi="Arial" w:cs="Arial"/>
        </w:rPr>
      </w:pPr>
      <w:r>
        <w:rPr>
          <w:rFonts w:ascii="Arial" w:eastAsia="Calibri" w:hAnsi="Arial" w:cs="Arial"/>
        </w:rPr>
        <w:t xml:space="preserve">In the police forces of England and Wales intelligence gathering functions are often fulfilled by Forward Intelligence Teams, these teams are made up of pairs of groups of </w:t>
      </w:r>
      <w:r>
        <w:rPr>
          <w:rFonts w:ascii="Arial" w:eastAsia="Calibri" w:hAnsi="Arial" w:cs="Arial"/>
        </w:rPr>
        <w:lastRenderedPageBreak/>
        <w:t>trained officers.  Evidence Gathering Teams will often also be deployed to secure evidence to support investigation and prosecution.  Intelligence-led tactics can offer benefits to both the police and members of the public (</w:t>
      </w:r>
      <w:hyperlink r:id="rId7" w:history="1">
        <w:r w:rsidRPr="009D055A">
          <w:rPr>
            <w:rStyle w:val="Hyperlink"/>
            <w:rFonts w:ascii="Arial" w:eastAsia="Calibri" w:hAnsi="Arial" w:cs="Arial"/>
          </w:rPr>
          <w:t>www.crimeandjustice.org.uk</w:t>
        </w:r>
      </w:hyperlink>
      <w:r>
        <w:rPr>
          <w:rFonts w:ascii="Arial" w:eastAsia="Calibri" w:hAnsi="Arial" w:cs="Arial"/>
        </w:rPr>
        <w:t xml:space="preserve">, n.d.).  </w:t>
      </w:r>
    </w:p>
    <w:p w14:paraId="73C5430C" w14:textId="593E85E7" w:rsidR="00954929" w:rsidRDefault="00954929" w:rsidP="00392E50">
      <w:pPr>
        <w:spacing w:line="257" w:lineRule="auto"/>
        <w:ind w:right="531"/>
        <w:rPr>
          <w:rFonts w:ascii="Arial" w:eastAsia="Calibri" w:hAnsi="Arial" w:cs="Arial"/>
        </w:rPr>
      </w:pPr>
      <w:r>
        <w:rPr>
          <w:rFonts w:ascii="Arial" w:eastAsia="Calibri" w:hAnsi="Arial" w:cs="Arial"/>
        </w:rPr>
        <w:t xml:space="preserve">There are two main points to sharing intelligence which are lawful sharing permitted (P) and Lawful Sharing permitted with conditions (C), which are identified as handling codes, with the role to be a control mechanism for sharing intelligence and these handling codes support the need to share intelligence by applying conditions (College of Policing, 2015).  Lawful sharing permitted, in order for this intelligence to be shared with other agencies there must be a number of conditions applied for before doing so, such as there must be a legitimate need and cause for receiving information, but it must be for a policing purpose.  </w:t>
      </w:r>
    </w:p>
    <w:p w14:paraId="6B9D1818" w14:textId="40E6141C" w:rsidR="00954929" w:rsidRDefault="00954929" w:rsidP="00392E50">
      <w:pPr>
        <w:spacing w:line="257" w:lineRule="auto"/>
        <w:ind w:right="531"/>
        <w:rPr>
          <w:rFonts w:ascii="Arial" w:eastAsia="Calibri" w:hAnsi="Arial" w:cs="Arial"/>
        </w:rPr>
      </w:pPr>
      <w:r>
        <w:rPr>
          <w:rFonts w:ascii="Arial" w:eastAsia="Calibri" w:hAnsi="Arial" w:cs="Arial"/>
        </w:rPr>
        <w:t xml:space="preserve">There are specific questions that are asked when disseminating is to be considered, if there are concerns as to why the intelligence is being disseminated, Code C applies.  Other agencies must adhere to the same rules, Code C authorises dissemination. It is key for all agencies to adhere to these rules, the IR risk assessment is necessary.  </w:t>
      </w:r>
    </w:p>
    <w:p w14:paraId="4EA3E010" w14:textId="79E94939" w:rsidR="00954929" w:rsidRDefault="00954929" w:rsidP="00392E50">
      <w:pPr>
        <w:spacing w:line="257" w:lineRule="auto"/>
        <w:ind w:right="531"/>
        <w:rPr>
          <w:rFonts w:ascii="Arial" w:eastAsia="Calibri" w:hAnsi="Arial" w:cs="Arial"/>
        </w:rPr>
      </w:pPr>
      <w:r>
        <w:rPr>
          <w:rFonts w:ascii="Arial" w:eastAsia="Calibri" w:hAnsi="Arial" w:cs="Arial"/>
        </w:rPr>
        <w:t xml:space="preserve">In conclusion, gathering information and intelligence is a key factor when helping police forces and other agencies to tackle and deter crime.  Information and intelligence allow forces as well as other agencies to be combatting crime, which involves in the sharing of intelligence ensuring that the police force and other agencies are functioning efficiently and effectively.  Information gathering can be seen to be vital within the police service as well as other agencies as it allows a review of intelligence daily which can be seen to be crucial when deterring crime.  Information and Intelligence teams have a great responsibility in keep accurate information to then ensure the safety of the police force and the public, this information and intelligence can often change and will continue to need to be updated and data collected, helping with the more proportionate and clear police risks. </w:t>
      </w:r>
    </w:p>
    <w:p w14:paraId="4B7F7098" w14:textId="77777777" w:rsidR="00954929" w:rsidRDefault="00954929" w:rsidP="00954929">
      <w:pPr>
        <w:spacing w:line="257" w:lineRule="auto"/>
        <w:ind w:right="531"/>
        <w:rPr>
          <w:rFonts w:ascii="Arial" w:eastAsia="Calibri" w:hAnsi="Arial" w:cs="Arial"/>
          <w:b/>
          <w:bCs/>
        </w:rPr>
      </w:pPr>
      <w:r w:rsidRPr="00954929">
        <w:rPr>
          <w:rFonts w:ascii="Arial" w:eastAsia="Calibri" w:hAnsi="Arial" w:cs="Arial"/>
          <w:b/>
          <w:bCs/>
        </w:rPr>
        <w:t>Word Count: 919</w:t>
      </w:r>
      <w:r>
        <w:rPr>
          <w:rFonts w:ascii="Arial" w:eastAsia="Calibri" w:hAnsi="Arial" w:cs="Arial"/>
          <w:b/>
          <w:bCs/>
        </w:rPr>
        <w:t xml:space="preserve"> </w:t>
      </w:r>
    </w:p>
    <w:p w14:paraId="2E913385" w14:textId="77777777" w:rsidR="00954929" w:rsidRDefault="00954929" w:rsidP="00954929">
      <w:pPr>
        <w:spacing w:line="257" w:lineRule="auto"/>
        <w:ind w:right="531"/>
        <w:rPr>
          <w:rFonts w:ascii="Arial" w:eastAsia="Calibri" w:hAnsi="Arial" w:cs="Arial"/>
          <w:b/>
          <w:bCs/>
        </w:rPr>
      </w:pPr>
    </w:p>
    <w:p w14:paraId="3FA6F0C2" w14:textId="77777777" w:rsidR="00CD1668" w:rsidRDefault="00CD1668" w:rsidP="00954929">
      <w:pPr>
        <w:spacing w:line="257" w:lineRule="auto"/>
        <w:ind w:right="531"/>
        <w:rPr>
          <w:rFonts w:ascii="Arial" w:hAnsi="Arial" w:cs="Arial"/>
          <w:b/>
          <w:bCs/>
        </w:rPr>
      </w:pPr>
    </w:p>
    <w:p w14:paraId="7CB214AE" w14:textId="77777777" w:rsidR="00CD1668" w:rsidRDefault="00CD1668" w:rsidP="00954929">
      <w:pPr>
        <w:spacing w:line="257" w:lineRule="auto"/>
        <w:ind w:right="531"/>
        <w:rPr>
          <w:rFonts w:ascii="Arial" w:hAnsi="Arial" w:cs="Arial"/>
          <w:b/>
          <w:bCs/>
        </w:rPr>
      </w:pPr>
    </w:p>
    <w:p w14:paraId="0FD93BA7" w14:textId="77777777" w:rsidR="00CD1668" w:rsidRDefault="00CD1668" w:rsidP="00954929">
      <w:pPr>
        <w:spacing w:line="257" w:lineRule="auto"/>
        <w:ind w:right="531"/>
        <w:rPr>
          <w:rFonts w:ascii="Arial" w:hAnsi="Arial" w:cs="Arial"/>
          <w:b/>
          <w:bCs/>
        </w:rPr>
      </w:pPr>
    </w:p>
    <w:p w14:paraId="6BDCBB71" w14:textId="77777777" w:rsidR="00CD1668" w:rsidRDefault="00CD1668" w:rsidP="00954929">
      <w:pPr>
        <w:spacing w:line="257" w:lineRule="auto"/>
        <w:ind w:right="531"/>
        <w:rPr>
          <w:rFonts w:ascii="Arial" w:hAnsi="Arial" w:cs="Arial"/>
          <w:b/>
          <w:bCs/>
        </w:rPr>
      </w:pPr>
    </w:p>
    <w:p w14:paraId="110D9DF4" w14:textId="77777777" w:rsidR="00CD1668" w:rsidRDefault="00CD1668" w:rsidP="00954929">
      <w:pPr>
        <w:spacing w:line="257" w:lineRule="auto"/>
        <w:ind w:right="531"/>
        <w:rPr>
          <w:rFonts w:ascii="Arial" w:hAnsi="Arial" w:cs="Arial"/>
          <w:b/>
          <w:bCs/>
        </w:rPr>
      </w:pPr>
    </w:p>
    <w:p w14:paraId="60B95D48" w14:textId="77777777" w:rsidR="00CD1668" w:rsidRDefault="00CD1668" w:rsidP="00954929">
      <w:pPr>
        <w:spacing w:line="257" w:lineRule="auto"/>
        <w:ind w:right="531"/>
        <w:rPr>
          <w:rFonts w:ascii="Arial" w:hAnsi="Arial" w:cs="Arial"/>
          <w:b/>
          <w:bCs/>
        </w:rPr>
      </w:pPr>
    </w:p>
    <w:p w14:paraId="27AEF073" w14:textId="77777777" w:rsidR="00CD1668" w:rsidRDefault="00CD1668" w:rsidP="00954929">
      <w:pPr>
        <w:spacing w:line="257" w:lineRule="auto"/>
        <w:ind w:right="531"/>
        <w:rPr>
          <w:rFonts w:ascii="Arial" w:hAnsi="Arial" w:cs="Arial"/>
          <w:b/>
          <w:bCs/>
        </w:rPr>
      </w:pPr>
    </w:p>
    <w:p w14:paraId="4B3935E4" w14:textId="77777777" w:rsidR="00CD1668" w:rsidRDefault="00CD1668" w:rsidP="00954929">
      <w:pPr>
        <w:spacing w:line="257" w:lineRule="auto"/>
        <w:ind w:right="531"/>
        <w:rPr>
          <w:rFonts w:ascii="Arial" w:hAnsi="Arial" w:cs="Arial"/>
          <w:b/>
          <w:bCs/>
        </w:rPr>
      </w:pPr>
    </w:p>
    <w:p w14:paraId="4BDBCE6F" w14:textId="77777777" w:rsidR="00CD1668" w:rsidRDefault="00CD1668" w:rsidP="00954929">
      <w:pPr>
        <w:spacing w:line="257" w:lineRule="auto"/>
        <w:ind w:right="531"/>
        <w:rPr>
          <w:rFonts w:ascii="Arial" w:hAnsi="Arial" w:cs="Arial"/>
          <w:b/>
          <w:bCs/>
        </w:rPr>
      </w:pPr>
    </w:p>
    <w:p w14:paraId="5BE1FDB1" w14:textId="77777777" w:rsidR="00CD1668" w:rsidRDefault="00CD1668" w:rsidP="00954929">
      <w:pPr>
        <w:spacing w:line="257" w:lineRule="auto"/>
        <w:ind w:right="531"/>
        <w:rPr>
          <w:rFonts w:ascii="Arial" w:hAnsi="Arial" w:cs="Arial"/>
          <w:b/>
          <w:bCs/>
        </w:rPr>
      </w:pPr>
    </w:p>
    <w:p w14:paraId="0F3D82BD" w14:textId="77777777" w:rsidR="00CD1668" w:rsidRDefault="00CD1668" w:rsidP="00954929">
      <w:pPr>
        <w:spacing w:line="257" w:lineRule="auto"/>
        <w:ind w:right="531"/>
        <w:rPr>
          <w:rFonts w:ascii="Arial" w:hAnsi="Arial" w:cs="Arial"/>
          <w:b/>
          <w:bCs/>
        </w:rPr>
      </w:pPr>
    </w:p>
    <w:p w14:paraId="6CEBDE5A" w14:textId="77777777" w:rsidR="00CD1668" w:rsidRDefault="00CD1668" w:rsidP="00954929">
      <w:pPr>
        <w:spacing w:line="257" w:lineRule="auto"/>
        <w:ind w:right="531"/>
        <w:rPr>
          <w:rFonts w:ascii="Arial" w:hAnsi="Arial" w:cs="Arial"/>
          <w:b/>
          <w:bCs/>
        </w:rPr>
      </w:pPr>
    </w:p>
    <w:p w14:paraId="7DBAD854" w14:textId="43BBC44B" w:rsidR="00954929" w:rsidRPr="0032612E" w:rsidRDefault="004B02FA" w:rsidP="00954929">
      <w:pPr>
        <w:spacing w:line="257" w:lineRule="auto"/>
        <w:ind w:right="531"/>
        <w:rPr>
          <w:rFonts w:ascii="Arial" w:eastAsia="Calibri" w:hAnsi="Arial" w:cs="Arial"/>
          <w:b/>
          <w:bCs/>
        </w:rPr>
      </w:pPr>
      <w:r w:rsidRPr="00693B87">
        <w:rPr>
          <w:rFonts w:ascii="Arial" w:hAnsi="Arial" w:cs="Arial"/>
          <w:b/>
          <w:bCs/>
        </w:rPr>
        <w:lastRenderedPageBreak/>
        <w:t xml:space="preserve">Essay four: </w:t>
      </w:r>
      <w:r w:rsidR="0032612E">
        <w:rPr>
          <w:rFonts w:ascii="Arial" w:eastAsia="Calibri" w:hAnsi="Arial" w:cs="Arial"/>
          <w:b/>
          <w:bCs/>
        </w:rPr>
        <w:t>Public Protection incidents</w:t>
      </w:r>
    </w:p>
    <w:p w14:paraId="227703DF" w14:textId="78F5CF8C" w:rsidR="00954929" w:rsidRDefault="0032612E" w:rsidP="00954929">
      <w:pPr>
        <w:spacing w:line="257" w:lineRule="auto"/>
        <w:ind w:right="531"/>
        <w:rPr>
          <w:rFonts w:ascii="Arial" w:hAnsi="Arial" w:cs="Arial"/>
        </w:rPr>
      </w:pPr>
      <w:r>
        <w:rPr>
          <w:rFonts w:ascii="Arial" w:hAnsi="Arial" w:cs="Arial"/>
        </w:rPr>
        <w:t xml:space="preserve">In this essay I will critically evaluate police strategies for dealing with public protection incidents, I will critically analyse public safety within policing.  I will assess and discuss the approaches that are considered when managing to protect the communities that the police force serves and assess the impacts of abuse on victims, whilst in view of connections between major organised crime and public safety.  </w:t>
      </w:r>
    </w:p>
    <w:p w14:paraId="16383214" w14:textId="77777777" w:rsidR="0032612E" w:rsidRDefault="0032612E" w:rsidP="0032612E">
      <w:pPr>
        <w:spacing w:line="257" w:lineRule="auto"/>
        <w:ind w:right="531"/>
        <w:rPr>
          <w:rFonts w:ascii="Arial" w:hAnsi="Arial" w:cs="Arial"/>
        </w:rPr>
      </w:pPr>
      <w:r>
        <w:rPr>
          <w:rFonts w:ascii="Arial" w:hAnsi="Arial" w:cs="Arial"/>
        </w:rPr>
        <w:t xml:space="preserve">As an officer within a police force we work alongside partner agencies, ensuring that the public and communities are safeguarded, whilst ensuring a public protection is completed.  One specific way of the police service helping to protect the public is by working alongside MAPPA, which is a Multi-Agency Public Protection Agency.  The Multi agency protection arrangements are used to safeguard the public, including former crime victims, from serious harm caused by sexual and violent offenders (Ministry of Justice, 2014).  The responsibility for protecting the public from sexual and violent crime offenders will lie with the criminal justice agencies themselves.  When looking at the efficiency of public protection, this cannot be done by the police service alone and will require more than a criminal justice response, such as other agencies who play a vital role in assisting with offenders like healthcare, accommodation, and employment, these all play a key role in enabling offenders to settle, which can positively impact the level of re-offending by individuals.  </w:t>
      </w:r>
    </w:p>
    <w:p w14:paraId="661D93CC" w14:textId="4B6F0D19" w:rsidR="0032612E" w:rsidRDefault="0032612E" w:rsidP="0032612E">
      <w:pPr>
        <w:spacing w:line="257" w:lineRule="auto"/>
        <w:ind w:right="531"/>
        <w:rPr>
          <w:rFonts w:ascii="Arial" w:hAnsi="Arial" w:cs="Arial"/>
        </w:rPr>
      </w:pPr>
      <w:r>
        <w:rPr>
          <w:rFonts w:ascii="Arial" w:hAnsi="Arial" w:cs="Arial"/>
        </w:rPr>
        <w:t>When looking at South Wales police force specifically there are policies and</w:t>
      </w:r>
      <w:r w:rsidRPr="0032612E">
        <w:rPr>
          <w:rFonts w:ascii="Arial" w:hAnsi="Arial" w:cs="Arial"/>
        </w:rPr>
        <w:t xml:space="preserve"> protections that</w:t>
      </w:r>
      <w:r>
        <w:rPr>
          <w:rFonts w:ascii="Arial" w:hAnsi="Arial" w:cs="Arial"/>
        </w:rPr>
        <w:t xml:space="preserve"> </w:t>
      </w:r>
      <w:r w:rsidRPr="0032612E">
        <w:rPr>
          <w:rFonts w:ascii="Arial" w:hAnsi="Arial" w:cs="Arial"/>
        </w:rPr>
        <w:t>are in place to combat different public protection issues. Information is shared with partner agencies</w:t>
      </w:r>
      <w:r>
        <w:rPr>
          <w:rFonts w:ascii="Arial" w:hAnsi="Arial" w:cs="Arial"/>
        </w:rPr>
        <w:t xml:space="preserve"> </w:t>
      </w:r>
      <w:r w:rsidRPr="0032612E">
        <w:rPr>
          <w:rFonts w:ascii="Arial" w:hAnsi="Arial" w:cs="Arial"/>
        </w:rPr>
        <w:t>such as the Public Protection Unit. When an officer attends an incident which is domestic related or</w:t>
      </w:r>
      <w:r>
        <w:rPr>
          <w:rFonts w:ascii="Arial" w:hAnsi="Arial" w:cs="Arial"/>
        </w:rPr>
        <w:t xml:space="preserve"> </w:t>
      </w:r>
      <w:r w:rsidRPr="0032612E">
        <w:rPr>
          <w:rFonts w:ascii="Arial" w:hAnsi="Arial" w:cs="Arial"/>
        </w:rPr>
        <w:t>a person is vulnerable in any way, an officer will submit a PPN (Public Protection Notification). A PPN</w:t>
      </w:r>
      <w:r>
        <w:rPr>
          <w:rFonts w:ascii="Arial" w:hAnsi="Arial" w:cs="Arial"/>
        </w:rPr>
        <w:t xml:space="preserve"> </w:t>
      </w:r>
      <w:r w:rsidRPr="0032612E">
        <w:rPr>
          <w:rFonts w:ascii="Arial" w:hAnsi="Arial" w:cs="Arial"/>
        </w:rPr>
        <w:t>is a tool which officers use to assess the risk of a particular incident and the effect that</w:t>
      </w:r>
      <w:r>
        <w:rPr>
          <w:rFonts w:ascii="Arial" w:hAnsi="Arial" w:cs="Arial"/>
        </w:rPr>
        <w:t xml:space="preserve"> </w:t>
      </w:r>
      <w:r w:rsidRPr="0032612E">
        <w:rPr>
          <w:rFonts w:ascii="Arial" w:hAnsi="Arial" w:cs="Arial"/>
        </w:rPr>
        <w:t>incident may have had on a particular individual that they deem as vulnerable. The attending officer</w:t>
      </w:r>
      <w:r>
        <w:rPr>
          <w:rFonts w:ascii="Arial" w:hAnsi="Arial" w:cs="Arial"/>
        </w:rPr>
        <w:t xml:space="preserve"> </w:t>
      </w:r>
      <w:r w:rsidRPr="0032612E">
        <w:rPr>
          <w:rFonts w:ascii="Arial" w:hAnsi="Arial" w:cs="Arial"/>
        </w:rPr>
        <w:t>will the write a brief report of the circumstances of the incident and apply their risk assessment to</w:t>
      </w:r>
      <w:r>
        <w:rPr>
          <w:rFonts w:ascii="Arial" w:hAnsi="Arial" w:cs="Arial"/>
        </w:rPr>
        <w:t xml:space="preserve"> </w:t>
      </w:r>
      <w:r w:rsidRPr="0032612E">
        <w:rPr>
          <w:rFonts w:ascii="Arial" w:hAnsi="Arial" w:cs="Arial"/>
        </w:rPr>
        <w:t>the report, which would be graded as either Standard, Medium or High risk. This is shared with the</w:t>
      </w:r>
      <w:r>
        <w:rPr>
          <w:rFonts w:ascii="Arial" w:hAnsi="Arial" w:cs="Arial"/>
        </w:rPr>
        <w:t xml:space="preserve"> </w:t>
      </w:r>
      <w:r w:rsidRPr="0032612E">
        <w:rPr>
          <w:rFonts w:ascii="Arial" w:hAnsi="Arial" w:cs="Arial"/>
        </w:rPr>
        <w:t>PPU (Public Protection Unit) by submitting the report and tasking the PPU department which will</w:t>
      </w:r>
      <w:r>
        <w:rPr>
          <w:rFonts w:ascii="Arial" w:hAnsi="Arial" w:cs="Arial"/>
        </w:rPr>
        <w:t xml:space="preserve"> </w:t>
      </w:r>
      <w:r w:rsidRPr="0032612E">
        <w:rPr>
          <w:rFonts w:ascii="Arial" w:hAnsi="Arial" w:cs="Arial"/>
        </w:rPr>
        <w:t>also show the risk on the probability of the threat, risk harm and possible exploitation which</w:t>
      </w:r>
      <w:r>
        <w:rPr>
          <w:rFonts w:ascii="Arial" w:hAnsi="Arial" w:cs="Arial"/>
        </w:rPr>
        <w:t xml:space="preserve"> </w:t>
      </w:r>
      <w:r w:rsidRPr="0032612E">
        <w:rPr>
          <w:rFonts w:ascii="Arial" w:hAnsi="Arial" w:cs="Arial"/>
        </w:rPr>
        <w:t>depends on the officers’ observations and the victim’s needs. If the incident is domestic related then</w:t>
      </w:r>
      <w:r>
        <w:rPr>
          <w:rFonts w:ascii="Arial" w:hAnsi="Arial" w:cs="Arial"/>
        </w:rPr>
        <w:t xml:space="preserve"> </w:t>
      </w:r>
      <w:r w:rsidRPr="0032612E">
        <w:rPr>
          <w:rFonts w:ascii="Arial" w:hAnsi="Arial" w:cs="Arial"/>
        </w:rPr>
        <w:t>the forces use its well-designed and clearly defined risk assessment tool, such as DASH (Domestic</w:t>
      </w:r>
      <w:r>
        <w:rPr>
          <w:rFonts w:ascii="Arial" w:hAnsi="Arial" w:cs="Arial"/>
        </w:rPr>
        <w:t xml:space="preserve"> </w:t>
      </w:r>
      <w:r w:rsidRPr="0032612E">
        <w:rPr>
          <w:rFonts w:ascii="Arial" w:hAnsi="Arial" w:cs="Arial"/>
        </w:rPr>
        <w:t>Abuse Harassment Stalking), which is again used by frontline staff to determine the level of risk or</w:t>
      </w:r>
      <w:r>
        <w:rPr>
          <w:rFonts w:ascii="Arial" w:hAnsi="Arial" w:cs="Arial"/>
        </w:rPr>
        <w:t xml:space="preserve"> </w:t>
      </w:r>
      <w:r w:rsidRPr="0032612E">
        <w:rPr>
          <w:rFonts w:ascii="Arial" w:hAnsi="Arial" w:cs="Arial"/>
        </w:rPr>
        <w:t>harm to a victim (HMIC, 2015).</w:t>
      </w:r>
      <w:r>
        <w:rPr>
          <w:rFonts w:ascii="Arial" w:hAnsi="Arial" w:cs="Arial"/>
        </w:rPr>
        <w:t xml:space="preserve">  </w:t>
      </w:r>
    </w:p>
    <w:p w14:paraId="7E565A62" w14:textId="4F9E0A6C" w:rsidR="00DD4371" w:rsidRDefault="00DD4371" w:rsidP="0032612E">
      <w:pPr>
        <w:spacing w:line="257" w:lineRule="auto"/>
        <w:ind w:right="531"/>
        <w:rPr>
          <w:rFonts w:ascii="Arial" w:hAnsi="Arial" w:cs="Arial"/>
        </w:rPr>
      </w:pPr>
      <w:r>
        <w:rPr>
          <w:rFonts w:ascii="Arial" w:hAnsi="Arial" w:cs="Arial"/>
        </w:rPr>
        <w:t xml:space="preserve">The definition of a victim is a person who has suffered harm, including physical, mental or emotional harm or economic loss which was directly caused by a criminal offence, a close relative of a person whose death was directly caused by a criminal offence (Ministry of Justice, 2021).  Individuals react to crime in different ways, and depending on their reaction can be defined by a variety of factors for example, the type of individual you are, the crime itself and the support circle that surrounds a person (Victim Support, 2021).  The police service, especially police officers can assist victims in many ways, by involving external agencies with consent, offering and providing free support such as Live Fear Free, IDVA (Independent Domestic Abuse Violence Advisor), BAWSO (Black Association of Women Step Out) and SARC (Sexual Abuse Referral Centre).  These are all charities that assist and provide free support to all victims of crime and help them cope and overcome these crimes.  </w:t>
      </w:r>
    </w:p>
    <w:p w14:paraId="7D02BA0E" w14:textId="2A107344" w:rsidR="00DD4371" w:rsidRDefault="00DD4371" w:rsidP="0032612E">
      <w:pPr>
        <w:spacing w:line="257" w:lineRule="auto"/>
        <w:ind w:right="531"/>
        <w:rPr>
          <w:rFonts w:ascii="Arial" w:hAnsi="Arial" w:cs="Arial"/>
        </w:rPr>
      </w:pPr>
      <w:r>
        <w:rPr>
          <w:rFonts w:ascii="Arial" w:hAnsi="Arial" w:cs="Arial"/>
        </w:rPr>
        <w:lastRenderedPageBreak/>
        <w:t xml:space="preserve">There are many different links associating public protection and organised crime, as serious and organised crime (SOC) is often thought of in a regional and national capacity, however these crimes do affect the rural and smaller communities.  Examples of these are that criminals often target the vulnerable such as young children and women which can relate to crimes such as drug or human trafficking (Local Government Association).  This leads to having a bias investigation, providing an issue for public protection as it could result in discriminatory effects, whether that bias is unconscious or conscious.  Conscious bias is a prejudice of which a person holds is aware, for example an officer who has a negative or positive view on a particular group or person (College of Policing, 2015).  </w:t>
      </w:r>
    </w:p>
    <w:p w14:paraId="3AACFC62" w14:textId="55BCE872" w:rsidR="00DD4371" w:rsidRDefault="00DD4371" w:rsidP="0032612E">
      <w:pPr>
        <w:spacing w:line="257" w:lineRule="auto"/>
        <w:ind w:right="531"/>
        <w:rPr>
          <w:rFonts w:ascii="Arial" w:hAnsi="Arial" w:cs="Arial"/>
        </w:rPr>
      </w:pPr>
      <w:r>
        <w:rPr>
          <w:rFonts w:ascii="Arial" w:hAnsi="Arial" w:cs="Arial"/>
        </w:rPr>
        <w:t xml:space="preserve">By having an unconscious or conscious bias, this can negatively impact the investigation, not only by gathering the incorrect information, which is based on this bias, but also by allowing a crime result to potentially be influenced, but also creating further distrust with the police force and the public, ensuring that all investigations need to be investigated impartially specifically adhering to the publics required needs.  There are processes in place by police forces where officers who have been known to have and to show these bias’s can partake in awareness-raising exercises to aide to help them identify some of their personal biases and how they anticipate how these may affect the public and their decision making (College of Policing, 2015).  </w:t>
      </w:r>
    </w:p>
    <w:p w14:paraId="4B2E4D48" w14:textId="777C1C7F" w:rsidR="00DD4371" w:rsidRDefault="00DD4371" w:rsidP="0032612E">
      <w:pPr>
        <w:spacing w:line="257" w:lineRule="auto"/>
        <w:ind w:right="531"/>
        <w:rPr>
          <w:rFonts w:ascii="Arial" w:hAnsi="Arial" w:cs="Arial"/>
        </w:rPr>
      </w:pPr>
      <w:r>
        <w:rPr>
          <w:rFonts w:ascii="Arial" w:hAnsi="Arial" w:cs="Arial"/>
        </w:rPr>
        <w:t xml:space="preserve">In conclusion the police force is often the main agency when referring to safeguarding and protecting the public.  Other organisations and safeguarding agencies will take on responsibility to assist the police in meeting the victim’s required needs.  With the police service having a public protection unit, the communities would be put at risk and harm, as it is with these PPU forms that assist in the safety and protection of the public whilst notifying the appropriate agencies.  </w:t>
      </w:r>
    </w:p>
    <w:p w14:paraId="176F7D91" w14:textId="57ABB609" w:rsidR="0032612E" w:rsidRPr="00DD4371" w:rsidRDefault="00DD4371" w:rsidP="00954929">
      <w:pPr>
        <w:spacing w:line="257" w:lineRule="auto"/>
        <w:ind w:right="531"/>
        <w:rPr>
          <w:rFonts w:ascii="Arial" w:hAnsi="Arial" w:cs="Arial"/>
          <w:b/>
          <w:bCs/>
        </w:rPr>
      </w:pPr>
      <w:r w:rsidRPr="00DD4371">
        <w:rPr>
          <w:rFonts w:ascii="Arial" w:hAnsi="Arial" w:cs="Arial"/>
          <w:b/>
          <w:bCs/>
        </w:rPr>
        <w:t>Word Count: 931</w:t>
      </w:r>
    </w:p>
    <w:p w14:paraId="0FE814BC" w14:textId="77777777" w:rsidR="0032612E" w:rsidRDefault="0032612E" w:rsidP="00954929">
      <w:pPr>
        <w:spacing w:line="257" w:lineRule="auto"/>
        <w:ind w:right="531"/>
        <w:rPr>
          <w:rFonts w:ascii="Arial" w:hAnsi="Arial" w:cs="Arial"/>
        </w:rPr>
      </w:pPr>
    </w:p>
    <w:p w14:paraId="52D017A2" w14:textId="14277A1F" w:rsidR="00954929" w:rsidRDefault="00954929" w:rsidP="00954929">
      <w:pPr>
        <w:spacing w:line="257" w:lineRule="auto"/>
        <w:ind w:right="531"/>
        <w:rPr>
          <w:rFonts w:ascii="Arial" w:hAnsi="Arial" w:cs="Arial"/>
        </w:rPr>
      </w:pPr>
    </w:p>
    <w:p w14:paraId="25DE9107" w14:textId="77777777" w:rsidR="00CD1668" w:rsidRDefault="00CD1668" w:rsidP="00DD4371">
      <w:pPr>
        <w:spacing w:line="257" w:lineRule="auto"/>
        <w:ind w:right="531"/>
        <w:rPr>
          <w:rFonts w:ascii="Arial" w:eastAsia="Calibri" w:hAnsi="Arial" w:cs="Arial"/>
          <w:b/>
          <w:bCs/>
        </w:rPr>
      </w:pPr>
    </w:p>
    <w:p w14:paraId="3A892EBE" w14:textId="77777777" w:rsidR="00CD1668" w:rsidRDefault="00CD1668" w:rsidP="00DD4371">
      <w:pPr>
        <w:spacing w:line="257" w:lineRule="auto"/>
        <w:ind w:right="531"/>
        <w:rPr>
          <w:rFonts w:ascii="Arial" w:eastAsia="Calibri" w:hAnsi="Arial" w:cs="Arial"/>
          <w:b/>
          <w:bCs/>
        </w:rPr>
      </w:pPr>
    </w:p>
    <w:p w14:paraId="26590261" w14:textId="77777777" w:rsidR="00CD1668" w:rsidRDefault="00CD1668" w:rsidP="00DD4371">
      <w:pPr>
        <w:spacing w:line="257" w:lineRule="auto"/>
        <w:ind w:right="531"/>
        <w:rPr>
          <w:rFonts w:ascii="Arial" w:eastAsia="Calibri" w:hAnsi="Arial" w:cs="Arial"/>
          <w:b/>
          <w:bCs/>
        </w:rPr>
      </w:pPr>
    </w:p>
    <w:p w14:paraId="50994D69" w14:textId="77777777" w:rsidR="00CD1668" w:rsidRDefault="00CD1668" w:rsidP="00DD4371">
      <w:pPr>
        <w:spacing w:line="257" w:lineRule="auto"/>
        <w:ind w:right="531"/>
        <w:rPr>
          <w:rFonts w:ascii="Arial" w:eastAsia="Calibri" w:hAnsi="Arial" w:cs="Arial"/>
          <w:b/>
          <w:bCs/>
        </w:rPr>
      </w:pPr>
    </w:p>
    <w:p w14:paraId="1A6DBC4B" w14:textId="77777777" w:rsidR="00CD1668" w:rsidRDefault="00CD1668" w:rsidP="00DD4371">
      <w:pPr>
        <w:spacing w:line="257" w:lineRule="auto"/>
        <w:ind w:right="531"/>
        <w:rPr>
          <w:rFonts w:ascii="Arial" w:eastAsia="Calibri" w:hAnsi="Arial" w:cs="Arial"/>
          <w:b/>
          <w:bCs/>
        </w:rPr>
      </w:pPr>
    </w:p>
    <w:p w14:paraId="09668BC3" w14:textId="77777777" w:rsidR="00CD1668" w:rsidRDefault="00CD1668" w:rsidP="00DD4371">
      <w:pPr>
        <w:spacing w:line="257" w:lineRule="auto"/>
        <w:ind w:right="531"/>
        <w:rPr>
          <w:rFonts w:ascii="Arial" w:eastAsia="Calibri" w:hAnsi="Arial" w:cs="Arial"/>
          <w:b/>
          <w:bCs/>
        </w:rPr>
      </w:pPr>
    </w:p>
    <w:p w14:paraId="7C0DE4A6" w14:textId="77777777" w:rsidR="00CD1668" w:rsidRDefault="00CD1668" w:rsidP="00DD4371">
      <w:pPr>
        <w:spacing w:line="257" w:lineRule="auto"/>
        <w:ind w:right="531"/>
        <w:rPr>
          <w:rFonts w:ascii="Arial" w:eastAsia="Calibri" w:hAnsi="Arial" w:cs="Arial"/>
          <w:b/>
          <w:bCs/>
        </w:rPr>
      </w:pPr>
    </w:p>
    <w:p w14:paraId="59DD824D" w14:textId="77777777" w:rsidR="00CD1668" w:rsidRDefault="00CD1668" w:rsidP="00DD4371">
      <w:pPr>
        <w:spacing w:line="257" w:lineRule="auto"/>
        <w:ind w:right="531"/>
        <w:rPr>
          <w:rFonts w:ascii="Arial" w:eastAsia="Calibri" w:hAnsi="Arial" w:cs="Arial"/>
          <w:b/>
          <w:bCs/>
        </w:rPr>
      </w:pPr>
    </w:p>
    <w:p w14:paraId="2ADDC0DC" w14:textId="77777777" w:rsidR="00CD1668" w:rsidRDefault="00CD1668" w:rsidP="00DD4371">
      <w:pPr>
        <w:spacing w:line="257" w:lineRule="auto"/>
        <w:ind w:right="531"/>
        <w:rPr>
          <w:rFonts w:ascii="Arial" w:eastAsia="Calibri" w:hAnsi="Arial" w:cs="Arial"/>
          <w:b/>
          <w:bCs/>
        </w:rPr>
      </w:pPr>
    </w:p>
    <w:p w14:paraId="665D5B43" w14:textId="77777777" w:rsidR="00CD1668" w:rsidRDefault="00CD1668" w:rsidP="00DD4371">
      <w:pPr>
        <w:spacing w:line="257" w:lineRule="auto"/>
        <w:ind w:right="531"/>
        <w:rPr>
          <w:rFonts w:ascii="Arial" w:eastAsia="Calibri" w:hAnsi="Arial" w:cs="Arial"/>
          <w:b/>
          <w:bCs/>
        </w:rPr>
      </w:pPr>
    </w:p>
    <w:p w14:paraId="731520F3" w14:textId="77777777" w:rsidR="00CD1668" w:rsidRDefault="00CD1668" w:rsidP="00DD4371">
      <w:pPr>
        <w:spacing w:line="257" w:lineRule="auto"/>
        <w:ind w:right="531"/>
        <w:rPr>
          <w:rFonts w:ascii="Arial" w:eastAsia="Calibri" w:hAnsi="Arial" w:cs="Arial"/>
          <w:b/>
          <w:bCs/>
        </w:rPr>
      </w:pPr>
    </w:p>
    <w:p w14:paraId="2286EA94" w14:textId="77777777" w:rsidR="00CD1668" w:rsidRDefault="00CD1668" w:rsidP="00DD4371">
      <w:pPr>
        <w:spacing w:line="257" w:lineRule="auto"/>
        <w:ind w:right="531"/>
        <w:rPr>
          <w:rFonts w:ascii="Arial" w:eastAsia="Calibri" w:hAnsi="Arial" w:cs="Arial"/>
          <w:b/>
          <w:bCs/>
        </w:rPr>
      </w:pPr>
    </w:p>
    <w:p w14:paraId="3AF12128" w14:textId="0C9DF32E" w:rsidR="004B02FA" w:rsidRPr="00693B87" w:rsidRDefault="004B02FA" w:rsidP="00DD4371">
      <w:pPr>
        <w:spacing w:line="257" w:lineRule="auto"/>
        <w:ind w:right="531"/>
        <w:rPr>
          <w:rFonts w:ascii="Arial" w:hAnsi="Arial" w:cs="Arial"/>
        </w:rPr>
      </w:pPr>
      <w:r w:rsidRPr="00693B87">
        <w:rPr>
          <w:rFonts w:ascii="Arial" w:eastAsia="Calibri" w:hAnsi="Arial" w:cs="Arial"/>
          <w:b/>
          <w:bCs/>
        </w:rPr>
        <w:lastRenderedPageBreak/>
        <w:t xml:space="preserve">Essay five: </w:t>
      </w:r>
      <w:r w:rsidR="00D46098">
        <w:rPr>
          <w:rFonts w:ascii="Arial" w:eastAsia="Calibri" w:hAnsi="Arial" w:cs="Arial"/>
          <w:b/>
          <w:bCs/>
        </w:rPr>
        <w:t xml:space="preserve">Evidence Based Policing </w:t>
      </w:r>
    </w:p>
    <w:p w14:paraId="26188D30" w14:textId="5B59918A" w:rsidR="004B02FA" w:rsidRDefault="00DD4371" w:rsidP="00DD4371">
      <w:pPr>
        <w:spacing w:line="257" w:lineRule="auto"/>
        <w:ind w:right="531"/>
        <w:rPr>
          <w:rFonts w:ascii="Arial" w:eastAsia="Calibri" w:hAnsi="Arial" w:cs="Arial"/>
        </w:rPr>
      </w:pPr>
      <w:r>
        <w:rPr>
          <w:rFonts w:ascii="Arial" w:eastAsia="Calibri" w:hAnsi="Arial" w:cs="Arial"/>
        </w:rPr>
        <w:t xml:space="preserve">In this essay I will critically analyse and evaluate evidence-based policing and what works, whilst researching the different crime prevention strategies and what options are available to decrease re-offending.  </w:t>
      </w:r>
      <w:r w:rsidR="00CD1668">
        <w:rPr>
          <w:rFonts w:ascii="Arial" w:eastAsia="Calibri" w:hAnsi="Arial" w:cs="Arial"/>
        </w:rPr>
        <w:t xml:space="preserve">With the adoption of evidence-based policing it is vital for researchers to ensure that it is in place to identify issues, research, implement, evaluate, and share solutions.  </w:t>
      </w:r>
    </w:p>
    <w:p w14:paraId="793745FD" w14:textId="2777F598" w:rsidR="00DD4371" w:rsidRDefault="00DD4371" w:rsidP="00DD4371">
      <w:pPr>
        <w:spacing w:line="257" w:lineRule="auto"/>
        <w:ind w:right="531"/>
        <w:rPr>
          <w:rFonts w:ascii="Arial" w:eastAsia="Calibri" w:hAnsi="Arial" w:cs="Arial"/>
        </w:rPr>
      </w:pPr>
      <w:r>
        <w:rPr>
          <w:rFonts w:ascii="Arial" w:eastAsia="Calibri" w:hAnsi="Arial" w:cs="Arial"/>
        </w:rPr>
        <w:t xml:space="preserve">‘Evidence-based policing is an approach that involves police officers and staff working with academics, </w:t>
      </w:r>
      <w:r w:rsidR="00D46098">
        <w:rPr>
          <w:rFonts w:ascii="Arial" w:eastAsia="Calibri" w:hAnsi="Arial" w:cs="Arial"/>
        </w:rPr>
        <w:t>partners,</w:t>
      </w:r>
      <w:r>
        <w:rPr>
          <w:rFonts w:ascii="Arial" w:eastAsia="Calibri" w:hAnsi="Arial" w:cs="Arial"/>
        </w:rPr>
        <w:t xml:space="preserve"> and colleagues to create, review and use the best available evidence to inform and challenge policing policies, practices and decisions’ (Wheller-Research and Standards Manager, 2019).  A crime prevention theory that the police use when tackling crime would be target hardening.  Target hardening is as simple as putting processes in place following a domestic incident for example additional locks fitted, installation of CCTV cameras on a property and fitting alarms to windows and doors to help prevent further incidents (The You Trust, 2021).  </w:t>
      </w:r>
      <w:r w:rsidR="00D46098">
        <w:rPr>
          <w:rFonts w:ascii="Arial" w:eastAsia="Calibri" w:hAnsi="Arial" w:cs="Arial"/>
        </w:rPr>
        <w:t xml:space="preserve">By target hardening it can discourage re-offending.  </w:t>
      </w:r>
      <w:r>
        <w:rPr>
          <w:rFonts w:ascii="Arial" w:eastAsia="Calibri" w:hAnsi="Arial" w:cs="Arial"/>
        </w:rPr>
        <w:t xml:space="preserve">A way in which police can analyse whether target hardening has been </w:t>
      </w:r>
      <w:r w:rsidR="00D46098">
        <w:rPr>
          <w:rFonts w:ascii="Arial" w:eastAsia="Calibri" w:hAnsi="Arial" w:cs="Arial"/>
        </w:rPr>
        <w:t>effective</w:t>
      </w:r>
      <w:r>
        <w:rPr>
          <w:rFonts w:ascii="Arial" w:eastAsia="Calibri" w:hAnsi="Arial" w:cs="Arial"/>
        </w:rPr>
        <w:t xml:space="preserve"> is by using the Maryland Scale</w:t>
      </w:r>
      <w:r w:rsidR="00D46098">
        <w:rPr>
          <w:rFonts w:ascii="Arial" w:eastAsia="Calibri" w:hAnsi="Arial" w:cs="Arial"/>
        </w:rPr>
        <w:t xml:space="preserve"> (College of Policing, n.d.)</w:t>
      </w:r>
      <w:r>
        <w:rPr>
          <w:rFonts w:ascii="Arial" w:eastAsia="Calibri" w:hAnsi="Arial" w:cs="Arial"/>
        </w:rPr>
        <w:t xml:space="preserve">.  This model indicates the different levels of study that can be analysed to inform an evaluation where we want to know what impact the police activity has had for instance </w:t>
      </w:r>
      <w:r w:rsidR="00D46098">
        <w:rPr>
          <w:rFonts w:ascii="Arial" w:eastAsia="Calibri" w:hAnsi="Arial" w:cs="Arial"/>
        </w:rPr>
        <w:t xml:space="preserve">in reducing crime (College of Policing, 2020).  This model has five levels which can define </w:t>
      </w:r>
      <w:r w:rsidR="00D46098" w:rsidRPr="00D46098">
        <w:rPr>
          <w:rFonts w:ascii="Arial" w:eastAsia="Calibri" w:hAnsi="Arial" w:cs="Arial"/>
        </w:rPr>
        <w:t xml:space="preserve">how analysts conclude their findings, which are Level 1- one off measure, Level 2 – Is a Level 1 but with a Before/After measures, Level 3 – Before and after measure, Level 4 – is an extension of level 3, and Level 5 which is gold standard with randomised control trials </w:t>
      </w:r>
      <w:r w:rsidR="00D46098" w:rsidRPr="00D46098">
        <w:rPr>
          <w:rFonts w:ascii="Arial" w:eastAsia="Calibri" w:hAnsi="Arial" w:cs="Arial"/>
        </w:rPr>
        <w:t>(College of Policing, n.d.).</w:t>
      </w:r>
      <w:r w:rsidR="00D46098" w:rsidRPr="00D46098">
        <w:rPr>
          <w:rFonts w:ascii="Arial" w:eastAsia="Calibri" w:hAnsi="Arial" w:cs="Arial"/>
        </w:rPr>
        <w:t xml:space="preserve">    </w:t>
      </w:r>
      <w:r w:rsidR="00D46098" w:rsidRPr="00D46098">
        <w:rPr>
          <w:rFonts w:ascii="Arial" w:eastAsia="Arial" w:hAnsi="Arial" w:cs="Arial"/>
          <w:color w:val="000000" w:themeColor="text1"/>
        </w:rPr>
        <w:t>Ministry of Justice (2011) states that repeat offending involves someone that has received a criminal justice sanction and goes on to commit another offence within a set timeframe.</w:t>
      </w:r>
    </w:p>
    <w:p w14:paraId="69812437" w14:textId="286162A8" w:rsidR="00DD4371" w:rsidRDefault="00D46098" w:rsidP="00D46098">
      <w:pPr>
        <w:spacing w:line="257" w:lineRule="auto"/>
        <w:ind w:right="531"/>
        <w:rPr>
          <w:rFonts w:ascii="Arial" w:eastAsia="Calibri" w:hAnsi="Arial" w:cs="Arial"/>
        </w:rPr>
      </w:pPr>
      <w:r>
        <w:rPr>
          <w:rFonts w:ascii="Arial" w:eastAsia="Calibri" w:hAnsi="Arial" w:cs="Arial"/>
        </w:rPr>
        <w:t xml:space="preserve">The SARA model is part of Problem-Orientated Policing and is a theory and decision-making model which incorporates analysis and research, tailoring solutions to specific problems and evaluates the effectiveness of those responses.  The SARA model is split into four components: the scanning phase, analysis phase, response phase and finally assessment phase.  The scanning phase of the model allows the identification and prioritisation of the problems that need addressing using police data along with community input, for example PACT (Police and Communities Together) meetings which gives the public their chance to outline community issues that need to be addressed by police.  The second stage is the analysis </w:t>
      </w:r>
      <w:r w:rsidRPr="00D46098">
        <w:rPr>
          <w:rFonts w:ascii="Arial" w:eastAsia="Calibri" w:hAnsi="Arial" w:cs="Arial"/>
        </w:rPr>
        <w:t>phase, where police investigate the root of the issue, including the</w:t>
      </w:r>
      <w:r>
        <w:rPr>
          <w:rFonts w:ascii="Arial" w:eastAsia="Calibri" w:hAnsi="Arial" w:cs="Arial"/>
        </w:rPr>
        <w:t xml:space="preserve"> </w:t>
      </w:r>
      <w:r w:rsidRPr="00D46098">
        <w:rPr>
          <w:rFonts w:ascii="Arial" w:eastAsia="Calibri" w:hAnsi="Arial" w:cs="Arial"/>
        </w:rPr>
        <w:t xml:space="preserve">reason why there are so many calls for crimes that are </w:t>
      </w:r>
      <w:r w:rsidRPr="00D46098">
        <w:rPr>
          <w:rFonts w:ascii="Arial" w:eastAsia="Calibri" w:hAnsi="Arial" w:cs="Arial"/>
        </w:rPr>
        <w:t>affecting</w:t>
      </w:r>
      <w:r w:rsidRPr="00D46098">
        <w:rPr>
          <w:rFonts w:ascii="Arial" w:eastAsia="Calibri" w:hAnsi="Arial" w:cs="Arial"/>
        </w:rPr>
        <w:t xml:space="preserve"> the public. The third phase is the</w:t>
      </w:r>
      <w:r>
        <w:rPr>
          <w:rFonts w:ascii="Arial" w:eastAsia="Calibri" w:hAnsi="Arial" w:cs="Arial"/>
        </w:rPr>
        <w:t xml:space="preserve"> </w:t>
      </w:r>
      <w:r w:rsidRPr="00D46098">
        <w:rPr>
          <w:rFonts w:ascii="Arial" w:eastAsia="Calibri" w:hAnsi="Arial" w:cs="Arial"/>
        </w:rPr>
        <w:t>application of a response by the police to the specific issue; whenever possible, these answers must</w:t>
      </w:r>
      <w:r>
        <w:rPr>
          <w:rFonts w:ascii="Arial" w:eastAsia="Calibri" w:hAnsi="Arial" w:cs="Arial"/>
        </w:rPr>
        <w:t xml:space="preserve"> </w:t>
      </w:r>
      <w:r w:rsidRPr="00D46098">
        <w:rPr>
          <w:rFonts w:ascii="Arial" w:eastAsia="Calibri" w:hAnsi="Arial" w:cs="Arial"/>
        </w:rPr>
        <w:t>be supported by evidence. And the last stage is the assessment phase, which is frequently the most</w:t>
      </w:r>
      <w:r>
        <w:rPr>
          <w:rFonts w:ascii="Arial" w:eastAsia="Calibri" w:hAnsi="Arial" w:cs="Arial"/>
        </w:rPr>
        <w:t xml:space="preserve"> </w:t>
      </w:r>
      <w:r w:rsidRPr="00D46098">
        <w:rPr>
          <w:rFonts w:ascii="Arial" w:eastAsia="Calibri" w:hAnsi="Arial" w:cs="Arial"/>
        </w:rPr>
        <w:t>neglected portion of the model. This is where the response</w:t>
      </w:r>
      <w:r>
        <w:rPr>
          <w:rFonts w:ascii="Arial" w:eastAsia="Calibri" w:hAnsi="Arial" w:cs="Arial"/>
        </w:rPr>
        <w:t xml:space="preserve"> is evaluated and assessed to see how effective the response has been (www.evidence-basedpolicing .org, n.d.).  </w:t>
      </w:r>
    </w:p>
    <w:p w14:paraId="78D3A89F" w14:textId="7C0909EB" w:rsidR="00D46098" w:rsidRDefault="00D46098" w:rsidP="00D46098">
      <w:pPr>
        <w:spacing w:line="257" w:lineRule="auto"/>
        <w:ind w:right="531"/>
        <w:rPr>
          <w:rFonts w:ascii="Arial" w:eastAsia="Calibri" w:hAnsi="Arial" w:cs="Arial"/>
        </w:rPr>
      </w:pPr>
      <w:r>
        <w:rPr>
          <w:rFonts w:ascii="Arial" w:eastAsia="Calibri" w:hAnsi="Arial" w:cs="Arial"/>
        </w:rPr>
        <w:t xml:space="preserve">When analysing and reducing re-offending there are a variety of options available to the police service, for example Restorative Justice Approach, drug awareness courses, driver or victim awareness.   With this clear accountability this can strengthen the police service as it clearly defines an outcome for victims and offenders to be aware of, leading to </w:t>
      </w:r>
      <w:r w:rsidR="00CD1668">
        <w:rPr>
          <w:rFonts w:ascii="Arial" w:eastAsia="Calibri" w:hAnsi="Arial" w:cs="Arial"/>
        </w:rPr>
        <w:t xml:space="preserve">greater transparency and accountability for individuals.  </w:t>
      </w:r>
    </w:p>
    <w:p w14:paraId="41D5D422" w14:textId="6A27DFA6" w:rsidR="00D46098" w:rsidRDefault="00D46098" w:rsidP="00D46098">
      <w:pPr>
        <w:spacing w:line="257" w:lineRule="auto"/>
        <w:ind w:right="531"/>
        <w:rPr>
          <w:rFonts w:ascii="Arial" w:eastAsia="Calibri" w:hAnsi="Arial" w:cs="Arial"/>
        </w:rPr>
      </w:pPr>
      <w:r>
        <w:rPr>
          <w:rFonts w:ascii="Arial" w:eastAsia="Calibri" w:hAnsi="Arial" w:cs="Arial"/>
        </w:rPr>
        <w:t xml:space="preserve">The restorative justice approach involves a victim and an offender, where both parties have to be in agreement to the resolution and gives the opportunity to the offender to apologise for their actions.  This can be seen to be effective for the victim as it restores </w:t>
      </w:r>
      <w:r>
        <w:rPr>
          <w:rFonts w:ascii="Arial" w:eastAsia="Calibri" w:hAnsi="Arial" w:cs="Arial"/>
        </w:rPr>
        <w:lastRenderedPageBreak/>
        <w:t xml:space="preserve">confidence back into the victim that the justice processes are fair, and parties can reach agreements about the best way of dealing with the offender.  </w:t>
      </w:r>
    </w:p>
    <w:p w14:paraId="548EF0C4" w14:textId="43D7AA1B" w:rsidR="00CD1668" w:rsidRDefault="00D46098" w:rsidP="00D46098">
      <w:pPr>
        <w:spacing w:line="257" w:lineRule="auto"/>
        <w:ind w:right="531"/>
        <w:rPr>
          <w:rFonts w:ascii="Arial" w:eastAsia="Calibri" w:hAnsi="Arial" w:cs="Arial"/>
        </w:rPr>
      </w:pPr>
      <w:r>
        <w:rPr>
          <w:rFonts w:ascii="Arial" w:eastAsia="Calibri" w:hAnsi="Arial" w:cs="Arial"/>
        </w:rPr>
        <w:t xml:space="preserve">In conclusion Evidence-based policing is the use of the best available research on the outcomes of police work to implement guidelines and evaluate agencies, units and officers.  From this, it suggests that research alone is not enough, and proactive efforts are required.  As part of the College of Policing, the university programmes delivered within the police force, it trains Evidence Based Policing as a requirement of learning, which is reflected with one approach that is widely used by the police service is ‘ATLAS’ which encourages police officers to 1. Ask questions, 2. Test and critically evaluate existing research and new ideas, 3. Learn from existing approaches and new ideas while considering how they work in workplace practices, 4. Adapt practices and policies using the best evidence available, 5. Share the outcomes across the service.  Overall, evidence-based policing plays a vital role in the detection, deterrent, and reduction of reoffending.  Evidence-based Policing in practice assists with using professional judgement as reflective practitioners, whilst understanding numerous variables that can impact the outcome of the reduction of offences. </w:t>
      </w:r>
      <w:r w:rsidR="00CD1668">
        <w:rPr>
          <w:rFonts w:ascii="Arial" w:eastAsia="Calibri" w:hAnsi="Arial" w:cs="Arial"/>
        </w:rPr>
        <w:t xml:space="preserve">This can coincide with the multi-agency approach as it enables learning and reflection, to therefore widen the knowledge of the police force, capturing and requiring appropriate help for victims and offenders, linking this specifically to the probation service.  </w:t>
      </w:r>
    </w:p>
    <w:p w14:paraId="16BBD161" w14:textId="43A59A9C" w:rsidR="00D46098" w:rsidRDefault="00D46098" w:rsidP="00D46098">
      <w:pPr>
        <w:spacing w:line="257" w:lineRule="auto"/>
        <w:ind w:right="531"/>
        <w:rPr>
          <w:rFonts w:ascii="Arial" w:eastAsia="Calibri" w:hAnsi="Arial" w:cs="Arial"/>
        </w:rPr>
      </w:pPr>
      <w:r>
        <w:rPr>
          <w:rFonts w:ascii="Arial" w:eastAsia="Calibri" w:hAnsi="Arial" w:cs="Arial"/>
        </w:rPr>
        <w:t xml:space="preserve">Without these strategies in place the public and communities the police force serve would not trust and lose confidence in the processes.  Problem Oriented Policing and SARA model are both proven models to identify and analyse problems within the public and therefore adopt policing policies to improve these.   </w:t>
      </w:r>
    </w:p>
    <w:p w14:paraId="36DD2056" w14:textId="068B18B9" w:rsidR="00DD4371" w:rsidRPr="00CD1668" w:rsidRDefault="00CD1668" w:rsidP="00DD4371">
      <w:pPr>
        <w:spacing w:line="257" w:lineRule="auto"/>
        <w:ind w:right="531"/>
        <w:rPr>
          <w:rFonts w:ascii="Arial" w:eastAsia="Calibri" w:hAnsi="Arial" w:cs="Arial"/>
          <w:b/>
          <w:bCs/>
        </w:rPr>
      </w:pPr>
      <w:r w:rsidRPr="00CD1668">
        <w:rPr>
          <w:rFonts w:ascii="Arial" w:eastAsia="Calibri" w:hAnsi="Arial" w:cs="Arial"/>
          <w:b/>
          <w:bCs/>
        </w:rPr>
        <w:t>Word Count: 89</w:t>
      </w:r>
      <w:r>
        <w:rPr>
          <w:rFonts w:ascii="Arial" w:eastAsia="Calibri" w:hAnsi="Arial" w:cs="Arial"/>
          <w:b/>
          <w:bCs/>
        </w:rPr>
        <w:t>4</w:t>
      </w:r>
    </w:p>
    <w:p w14:paraId="1A4AC8DE" w14:textId="77777777" w:rsidR="00DD4371" w:rsidRDefault="00DD4371" w:rsidP="00DD4371">
      <w:pPr>
        <w:spacing w:line="257" w:lineRule="auto"/>
        <w:ind w:right="531"/>
        <w:rPr>
          <w:rFonts w:ascii="Arial" w:eastAsia="Calibri" w:hAnsi="Arial" w:cs="Arial"/>
        </w:rPr>
      </w:pPr>
    </w:p>
    <w:p w14:paraId="5F56C89F" w14:textId="77777777" w:rsidR="00DD4371" w:rsidRDefault="00DD4371" w:rsidP="00DD4371">
      <w:pPr>
        <w:spacing w:line="257" w:lineRule="auto"/>
        <w:ind w:right="531"/>
        <w:rPr>
          <w:rFonts w:ascii="Arial" w:eastAsia="Calibri" w:hAnsi="Arial" w:cs="Arial"/>
        </w:rPr>
      </w:pPr>
    </w:p>
    <w:p w14:paraId="6DACAA98" w14:textId="141972A5" w:rsidR="003C08EE" w:rsidRDefault="003C08EE" w:rsidP="00086EA1">
      <w:pPr>
        <w:rPr>
          <w:sz w:val="24"/>
          <w:szCs w:val="24"/>
        </w:rPr>
      </w:pPr>
    </w:p>
    <w:p w14:paraId="2F4FED4C" w14:textId="278EF862" w:rsidR="003C08EE" w:rsidRDefault="003C08EE" w:rsidP="00086EA1">
      <w:pPr>
        <w:rPr>
          <w:sz w:val="24"/>
          <w:szCs w:val="24"/>
        </w:rPr>
      </w:pPr>
    </w:p>
    <w:p w14:paraId="32DB7F46" w14:textId="29AE78B2" w:rsidR="00DF616A" w:rsidRDefault="00DF616A" w:rsidP="00086EA1">
      <w:pPr>
        <w:rPr>
          <w:sz w:val="24"/>
          <w:szCs w:val="24"/>
        </w:rPr>
      </w:pPr>
    </w:p>
    <w:p w14:paraId="25591D75" w14:textId="66CBCE58" w:rsidR="00DF616A" w:rsidRDefault="00DF616A" w:rsidP="00086EA1">
      <w:pPr>
        <w:rPr>
          <w:sz w:val="24"/>
          <w:szCs w:val="24"/>
        </w:rPr>
      </w:pPr>
    </w:p>
    <w:p w14:paraId="33B7F2B1" w14:textId="32E63948" w:rsidR="00DF616A" w:rsidRDefault="00DF616A" w:rsidP="00086EA1">
      <w:pPr>
        <w:rPr>
          <w:sz w:val="24"/>
          <w:szCs w:val="24"/>
        </w:rPr>
      </w:pPr>
    </w:p>
    <w:p w14:paraId="453055D9" w14:textId="6A5A45BD" w:rsidR="00DF616A" w:rsidRDefault="00DF616A" w:rsidP="00086EA1">
      <w:pPr>
        <w:rPr>
          <w:sz w:val="24"/>
          <w:szCs w:val="24"/>
        </w:rPr>
      </w:pPr>
    </w:p>
    <w:p w14:paraId="243250AF" w14:textId="394E0811" w:rsidR="00DF616A" w:rsidRDefault="00DF616A" w:rsidP="00086EA1">
      <w:pPr>
        <w:rPr>
          <w:sz w:val="24"/>
          <w:szCs w:val="24"/>
        </w:rPr>
      </w:pPr>
    </w:p>
    <w:p w14:paraId="01983A63" w14:textId="4804A302" w:rsidR="00DF616A" w:rsidRDefault="00DF616A" w:rsidP="00086EA1">
      <w:pPr>
        <w:rPr>
          <w:sz w:val="24"/>
          <w:szCs w:val="24"/>
        </w:rPr>
      </w:pPr>
    </w:p>
    <w:p w14:paraId="74EE62A9" w14:textId="784BD804" w:rsidR="00DF616A" w:rsidRDefault="00DF616A" w:rsidP="00086EA1">
      <w:pPr>
        <w:rPr>
          <w:sz w:val="24"/>
          <w:szCs w:val="24"/>
        </w:rPr>
      </w:pPr>
    </w:p>
    <w:p w14:paraId="10AAFD94" w14:textId="0ACECE71" w:rsidR="00DF616A" w:rsidRDefault="00DF616A" w:rsidP="00086EA1">
      <w:pPr>
        <w:rPr>
          <w:sz w:val="24"/>
          <w:szCs w:val="24"/>
        </w:rPr>
      </w:pPr>
    </w:p>
    <w:p w14:paraId="3AD276F4" w14:textId="372A476E" w:rsidR="00DF616A" w:rsidRDefault="00DF616A" w:rsidP="00086EA1">
      <w:pPr>
        <w:rPr>
          <w:sz w:val="24"/>
          <w:szCs w:val="24"/>
        </w:rPr>
      </w:pPr>
    </w:p>
    <w:p w14:paraId="731F18F0" w14:textId="77777777" w:rsidR="00CD1668" w:rsidRDefault="00CD1668" w:rsidP="00086EA1">
      <w:pPr>
        <w:rPr>
          <w:sz w:val="24"/>
          <w:szCs w:val="24"/>
        </w:rPr>
      </w:pPr>
    </w:p>
    <w:p w14:paraId="0B11C223" w14:textId="2CE1F274" w:rsidR="003C08EE" w:rsidRPr="0032612E" w:rsidRDefault="0032612E" w:rsidP="00086EA1">
      <w:pPr>
        <w:rPr>
          <w:b/>
          <w:bCs/>
          <w:sz w:val="24"/>
          <w:szCs w:val="24"/>
          <w:u w:val="single"/>
        </w:rPr>
      </w:pPr>
      <w:r w:rsidRPr="0032612E">
        <w:rPr>
          <w:b/>
          <w:bCs/>
          <w:sz w:val="24"/>
          <w:szCs w:val="24"/>
          <w:u w:val="single"/>
        </w:rPr>
        <w:lastRenderedPageBreak/>
        <w:t>Bibliography</w:t>
      </w:r>
    </w:p>
    <w:p w14:paraId="5E26339B" w14:textId="440F9A76" w:rsidR="0032612E" w:rsidRDefault="0032612E" w:rsidP="0032612E">
      <w:r>
        <w:t>Are UK universities more ethical than police organisations? (n.d.). [online] Available at: https://eprints.bournemouth.ac.uk/32438/1/Heslop_2019_Police_and_uneversity_ethics_%20final.pdf [Accessed 26 Nov. 2022]</w:t>
      </w:r>
    </w:p>
    <w:p w14:paraId="25A57982" w14:textId="77777777" w:rsidR="0032612E" w:rsidRDefault="0032612E" w:rsidP="0032612E"/>
    <w:p w14:paraId="7A969D64" w14:textId="77777777" w:rsidR="0032612E" w:rsidRDefault="0032612E" w:rsidP="0032612E">
      <w:r w:rsidRPr="00054A9F">
        <w:t>Christopher, S. (2015). The Quantum Leap: Police Recruit Training and the Case for Mandating Higher Education Pre-entry Schemes. Policing: A Journal of Policy and Practice, 9(4), 388-404.</w:t>
      </w:r>
    </w:p>
    <w:p w14:paraId="7F210E98" w14:textId="77777777" w:rsidR="0032612E" w:rsidRDefault="0032612E" w:rsidP="0032612E"/>
    <w:p w14:paraId="3239D46E" w14:textId="77777777" w:rsidR="0032612E" w:rsidRDefault="0032612E" w:rsidP="0032612E">
      <w:r>
        <w:t xml:space="preserve">Clair, Mary E. (2006), The relationship between critical incidents, hostility, and ptsd </w:t>
      </w:r>
    </w:p>
    <w:p w14:paraId="6F97597F" w14:textId="77777777" w:rsidR="0032612E" w:rsidRDefault="0032612E" w:rsidP="0032612E">
      <w:r>
        <w:t>symptoms in police officers, Drexel University</w:t>
      </w:r>
    </w:p>
    <w:p w14:paraId="1C515FAA" w14:textId="77777777" w:rsidR="0032612E" w:rsidRDefault="0032612E" w:rsidP="0032612E"/>
    <w:p w14:paraId="78CFC06A" w14:textId="77777777" w:rsidR="0032612E" w:rsidRDefault="0032612E" w:rsidP="0032612E">
      <w:r>
        <w:t>(COP) College of Policing (2016). Police Education Qualifications Framework Consultation. Coventry: College of Policing.</w:t>
      </w:r>
    </w:p>
    <w:p w14:paraId="5515A389" w14:textId="77777777" w:rsidR="0032612E" w:rsidRDefault="0032612E" w:rsidP="0032612E"/>
    <w:p w14:paraId="3A2F9084" w14:textId="77777777" w:rsidR="0032612E" w:rsidRDefault="0032612E" w:rsidP="0032612E">
      <w:r>
        <w:t xml:space="preserve">(COP) College of Policing (2019). Entry routes for police constables. Coventry: College of Policing. </w:t>
      </w:r>
    </w:p>
    <w:p w14:paraId="4DC7F84F" w14:textId="77777777" w:rsidR="0032612E" w:rsidRDefault="0032612E" w:rsidP="0032612E"/>
    <w:p w14:paraId="0B8DDF2C" w14:textId="77777777" w:rsidR="0032612E" w:rsidRDefault="0032612E" w:rsidP="0032612E">
      <w:r>
        <w:t>(COP) College of Policing (n.d.). What is Evidence Based Policing? Available at https://whatworks.college.police.uk/About/Pages/What-is-EBP.aspx [Accessed 13/11/2022).</w:t>
      </w:r>
    </w:p>
    <w:p w14:paraId="5CB740BF" w14:textId="77777777" w:rsidR="0032612E" w:rsidRDefault="0032612E" w:rsidP="0032612E"/>
    <w:p w14:paraId="7D3BCE34" w14:textId="77777777" w:rsidR="0032612E" w:rsidRDefault="0032612E" w:rsidP="0032612E">
      <w:r w:rsidRPr="00054A9F">
        <w:t xml:space="preserve">College of Policing (2014). THE PROFESSIONAL BODY FOR POLICING Code of Ethics A Code of Practice for the Principles and Standards of Professional Behaviour for the Policing Profession of England and Wales. [online] Available at: </w:t>
      </w:r>
      <w:hyperlink r:id="rId8" w:history="1">
        <w:r w:rsidRPr="00815AC5">
          <w:rPr>
            <w:rStyle w:val="Hyperlink"/>
          </w:rPr>
          <w:t>https://assets.publishing.service.gov.uk/government/uploads/system/uploads/attachment_data/file/341643/Code_of_Ethics_2014_Web_Accessible.pdf</w:t>
        </w:r>
      </w:hyperlink>
      <w:r w:rsidRPr="00054A9F">
        <w:t>.</w:t>
      </w:r>
    </w:p>
    <w:p w14:paraId="7A629387" w14:textId="77777777" w:rsidR="0032612E" w:rsidRDefault="0032612E" w:rsidP="0032612E"/>
    <w:p w14:paraId="0BD08E9A" w14:textId="5AFB6224" w:rsidR="00D46098" w:rsidRDefault="0032612E" w:rsidP="0032612E">
      <w:r w:rsidRPr="00054A9F">
        <w:t xml:space="preserve">college.police.uk. (n.d.). [online] Available at: </w:t>
      </w:r>
      <w:hyperlink r:id="rId9" w:history="1">
        <w:r w:rsidRPr="00815AC5">
          <w:rPr>
            <w:rStyle w:val="Hyperlink"/>
          </w:rPr>
          <w:t>https://assets.college.police.uk/s3fs-public/2021-02/college_of_policing_guidance_on_professional_boundaries.pdf</w:t>
        </w:r>
      </w:hyperlink>
      <w:r w:rsidRPr="00054A9F">
        <w:t>.</w:t>
      </w:r>
    </w:p>
    <w:p w14:paraId="6F58A252" w14:textId="77777777" w:rsidR="0032612E" w:rsidRDefault="0032612E" w:rsidP="0032612E"/>
    <w:p w14:paraId="36582005" w14:textId="77777777" w:rsidR="0032612E" w:rsidRDefault="0032612E" w:rsidP="0032612E">
      <w:r w:rsidRPr="00054A9F">
        <w:t xml:space="preserve">College of Policing (2018). Definitions. [online] College of Policing. Available at: </w:t>
      </w:r>
      <w:hyperlink r:id="rId10" w:history="1">
        <w:r w:rsidRPr="00815AC5">
          <w:rPr>
            <w:rStyle w:val="Hyperlink"/>
          </w:rPr>
          <w:t>https://www.college.police.uk/app/civil-emergencies/disaster-victim-identification/definitions</w:t>
        </w:r>
      </w:hyperlink>
      <w:r w:rsidRPr="00054A9F">
        <w:t>.</w:t>
      </w:r>
    </w:p>
    <w:p w14:paraId="6DD13FF2" w14:textId="77777777" w:rsidR="0032612E" w:rsidRDefault="0032612E" w:rsidP="0032612E"/>
    <w:p w14:paraId="0F8F28D8" w14:textId="77777777" w:rsidR="0032612E" w:rsidRDefault="0032612E" w:rsidP="0032612E">
      <w:r w:rsidRPr="00054A9F">
        <w:t xml:space="preserve">College of Policing (2021). Investigation process. [online] College of Policing. Available at: </w:t>
      </w:r>
      <w:hyperlink r:id="rId11" w:history="1">
        <w:r w:rsidRPr="00815AC5">
          <w:rPr>
            <w:rStyle w:val="Hyperlink"/>
          </w:rPr>
          <w:t>https://www.college.police.uk/app/investigation/investigation-process</w:t>
        </w:r>
      </w:hyperlink>
      <w:r w:rsidRPr="00054A9F">
        <w:t>.</w:t>
      </w:r>
    </w:p>
    <w:p w14:paraId="021E98C0" w14:textId="77777777" w:rsidR="0032612E" w:rsidRDefault="0032612E" w:rsidP="0032612E"/>
    <w:p w14:paraId="6AD6ACA7" w14:textId="78F0E1C1" w:rsidR="0032612E" w:rsidRDefault="0032612E" w:rsidP="0032612E">
      <w:r w:rsidRPr="00054A9F">
        <w:lastRenderedPageBreak/>
        <w:t>College of Policing. (n.d.). Working together during major incidents and emergencies – optimising interoperability during major incident management using the social identity approach. [online] Available at: https://www.college.police.uk/research/projects/working-together-during-major-incidents-and-emergencies-optimising-interoperability-during-major-incident-management-using-social-identity-approach [Accessed 28 Nov. 2022].</w:t>
      </w:r>
    </w:p>
    <w:p w14:paraId="4C11B1C8" w14:textId="5DDE2B7B" w:rsidR="00D46098" w:rsidRDefault="00D46098" w:rsidP="0032612E"/>
    <w:p w14:paraId="2F37081E" w14:textId="35C27036" w:rsidR="00D46098" w:rsidRDefault="00D46098" w:rsidP="0032612E">
      <w:r w:rsidRPr="00D46098">
        <w:t>College of Policing. (n.d.). Evaluation and review. [online] Available at: https://www.college.police.uk/app/intelligence-management/analysis/evaluation-and-review#:~:text=The%20Maryland%20scale%20indicates%20the.</w:t>
      </w:r>
    </w:p>
    <w:p w14:paraId="48AA77A2" w14:textId="77777777" w:rsidR="0032612E" w:rsidRDefault="0032612E" w:rsidP="0032612E"/>
    <w:p w14:paraId="4EBC6116" w14:textId="77777777" w:rsidR="0032612E" w:rsidRDefault="0032612E" w:rsidP="0032612E">
      <w:r w:rsidRPr="00054A9F">
        <w:t>College of Policing (2015). Intelligence report. [online] College of Policing. Available at: https://www.college.police.uk/app/intelligence-management/intelligence-report.</w:t>
      </w:r>
    </w:p>
    <w:p w14:paraId="2BE55DAA" w14:textId="77777777" w:rsidR="0032612E" w:rsidRDefault="0032612E" w:rsidP="0032612E"/>
    <w:p w14:paraId="1946FFFA" w14:textId="77777777" w:rsidR="0032612E" w:rsidRDefault="0032612E" w:rsidP="0032612E">
      <w:r w:rsidRPr="00054A9F">
        <w:t>Farrow, K. (2022). Legitimacy &amp; Confidence in Policing. [online] Available at: https://www.cumberlandlodge.ac.uk/sites/default/files/legitimacy_confidence_in_policing_-_briefing_document.pdf.</w:t>
      </w:r>
    </w:p>
    <w:p w14:paraId="53D6DCA8" w14:textId="77777777" w:rsidR="0032612E" w:rsidRDefault="0032612E" w:rsidP="0032612E"/>
    <w:p w14:paraId="74DBF3C4" w14:textId="77777777" w:rsidR="0032612E" w:rsidRDefault="0032612E" w:rsidP="0032612E">
      <w:r>
        <w:t>Home Office (1999). Dismantling the Barriers to Reflect the Community We Serve- the Recruitment, Retention and Progression of Ethnic Minority Officers. London: Home Office.</w:t>
      </w:r>
    </w:p>
    <w:p w14:paraId="3523A522" w14:textId="77777777" w:rsidR="0032612E" w:rsidRDefault="0032612E" w:rsidP="0032612E"/>
    <w:p w14:paraId="3382D7CD" w14:textId="77777777" w:rsidR="0032612E" w:rsidRDefault="0032612E" w:rsidP="0032612E">
      <w:r>
        <w:t xml:space="preserve">Home Office (2020). Home Office Guidance Conduct, Efficiency and Effectiveness: Statutory Guidance on Professional Standards, Performance and Integrity in Policing. [online] Available at: https://assets.publishing.service.gov.uk/government/uploads/system/uploads/attachment_data/file/863820/Home_Office </w:t>
      </w:r>
    </w:p>
    <w:p w14:paraId="3D9DB421" w14:textId="77777777" w:rsidR="0032612E" w:rsidRDefault="0032612E" w:rsidP="0032612E"/>
    <w:p w14:paraId="66143BF7" w14:textId="77777777" w:rsidR="0032612E" w:rsidRDefault="0032612E" w:rsidP="0032612E">
      <w:r>
        <w:t xml:space="preserve">JESIP (n.d.). Principles for joint working. [online] JESIP Website. Available at: </w:t>
      </w:r>
      <w:hyperlink r:id="rId12" w:history="1">
        <w:r w:rsidRPr="00815AC5">
          <w:rPr>
            <w:rStyle w:val="Hyperlink"/>
          </w:rPr>
          <w:t>https://www.jesip.org.uk/joint-doctrine/principles-for-joint-working/#</w:t>
        </w:r>
      </w:hyperlink>
    </w:p>
    <w:p w14:paraId="314D54BD" w14:textId="7BDBC772" w:rsidR="0032612E" w:rsidRDefault="0032612E" w:rsidP="0032612E"/>
    <w:p w14:paraId="397F4CE9" w14:textId="621A9EC7" w:rsidR="00DD4371" w:rsidRDefault="00DD4371" w:rsidP="0032612E">
      <w:r w:rsidRPr="00DD4371">
        <w:t xml:space="preserve">Ministry of Justice (2021). Code of Practice for Victims of Crime in England and Wales (Victim’s Code). [online] GOV.UK. Available at: </w:t>
      </w:r>
      <w:hyperlink r:id="rId13" w:history="1">
        <w:r w:rsidRPr="001D5790">
          <w:rPr>
            <w:rStyle w:val="Hyperlink"/>
          </w:rPr>
          <w:t>https://www.gov.uk/government/publications/the-code-of-practice-for-victims-of-crime/code-of-practice-for-victims-of-crime-in-england-and-wales-victims-code</w:t>
        </w:r>
      </w:hyperlink>
      <w:r w:rsidRPr="00DD4371">
        <w:t>.</w:t>
      </w:r>
    </w:p>
    <w:p w14:paraId="487DB1EB" w14:textId="77777777" w:rsidR="00D46098" w:rsidRDefault="00D46098" w:rsidP="00D46098"/>
    <w:p w14:paraId="47C8CD61" w14:textId="191F5EE4" w:rsidR="00D46098" w:rsidRDefault="00D46098" w:rsidP="00D46098">
      <w:r>
        <w:t>Ministry of Justice (2011) Proven re-offending statistics: definitions and measurement, Crown Copyright</w:t>
      </w:r>
    </w:p>
    <w:p w14:paraId="6B8191C9" w14:textId="77777777" w:rsidR="00DD4371" w:rsidRDefault="00DD4371" w:rsidP="0032612E"/>
    <w:p w14:paraId="7EB8A09C" w14:textId="77777777" w:rsidR="0032612E" w:rsidRDefault="0032612E" w:rsidP="0032612E">
      <w:r>
        <w:t xml:space="preserve">Moad, S. (2011). Critical Incidents: Responding to Police Officer Trauma. [online] Available at: </w:t>
      </w:r>
      <w:hyperlink r:id="rId14" w:history="1">
        <w:r w:rsidRPr="00815AC5">
          <w:rPr>
            <w:rStyle w:val="Hyperlink"/>
          </w:rPr>
          <w:t>https://www.cji.edu/wp-content/uploads/2019/04/chrismoad.pdf</w:t>
        </w:r>
      </w:hyperlink>
      <w:r>
        <w:t>.</w:t>
      </w:r>
    </w:p>
    <w:p w14:paraId="0BF68B98" w14:textId="77777777" w:rsidR="0032612E" w:rsidRDefault="0032612E" w:rsidP="0032612E"/>
    <w:p w14:paraId="0C55F0B5" w14:textId="77777777" w:rsidR="0032612E" w:rsidRDefault="0032612E" w:rsidP="0032612E">
      <w:r w:rsidRPr="00054A9F">
        <w:t xml:space="preserve">NAFN (n.d.). Intelligence Management 3 x 5 x 2. [online] Available at: </w:t>
      </w:r>
      <w:hyperlink r:id="rId15" w:history="1">
        <w:r w:rsidRPr="00815AC5">
          <w:rPr>
            <w:rStyle w:val="Hyperlink"/>
          </w:rPr>
          <w:t>https://www.local.gov.uk/sites/default/files/documents/Intelligence%20Management%20Training.pdf</w:t>
        </w:r>
      </w:hyperlink>
      <w:r w:rsidRPr="00054A9F">
        <w:t>.</w:t>
      </w:r>
    </w:p>
    <w:p w14:paraId="580002DB" w14:textId="77777777" w:rsidR="0032612E" w:rsidRDefault="0032612E" w:rsidP="0032612E"/>
    <w:p w14:paraId="137A60C1" w14:textId="77777777" w:rsidR="0032612E" w:rsidRDefault="0032612E" w:rsidP="0032612E">
      <w:r w:rsidRPr="00054A9F">
        <w:t>National Police Chiefs’ Council (NPCC). (n.d.). National Police Chiefs’ Council welcome announcement of inquiry. [online] Available at: https://news.npcc.police.uk/releases/national-police-chiefs-council-welcome-announcement-of-inquiry.</w:t>
      </w:r>
    </w:p>
    <w:p w14:paraId="58DE93BE" w14:textId="77777777" w:rsidR="0032612E" w:rsidRDefault="0032612E" w:rsidP="0032612E"/>
    <w:p w14:paraId="6DD6D2BC" w14:textId="77777777" w:rsidR="0032612E" w:rsidRDefault="0032612E" w:rsidP="0032612E">
      <w:r w:rsidRPr="00054A9F">
        <w:t>SCHOLARLY DETECTIVES: POLICE PROFESSIONALISATION VIA ACADEMIC EDUCATION KATJA M HALLENBERG SCHOOL OF LAW. (n.d.). [online] Available at: https://www.research.manchester.ac.uk/portal/files/54518781/FULL_TEXT.PDF.</w:t>
      </w:r>
    </w:p>
    <w:p w14:paraId="655F7A05" w14:textId="77777777" w:rsidR="0032612E" w:rsidRDefault="0032612E" w:rsidP="0032612E"/>
    <w:p w14:paraId="1AD8F83F" w14:textId="77777777" w:rsidR="0032612E" w:rsidRDefault="0032612E" w:rsidP="0032612E">
      <w:r w:rsidRPr="00054A9F">
        <w:t>Sherman, L. W. (1998). Evidence-based policing. Washington, DC: Police Foundation. Times Higher Education (17/1/2018). Sexual Assault its revolting. Available at: https://www.timeshighereducation.com/student/blogs/sexual-assault-universities-itsrevolting [Accessed 20/11/22)</w:t>
      </w:r>
    </w:p>
    <w:p w14:paraId="10B847FB" w14:textId="77777777" w:rsidR="0032612E" w:rsidRDefault="0032612E" w:rsidP="0032612E"/>
    <w:p w14:paraId="08AE196A" w14:textId="77777777" w:rsidR="0032612E" w:rsidRDefault="0032612E" w:rsidP="0032612E">
      <w:r>
        <w:t xml:space="preserve">Solomon, Roger (2011), Critical incident trauma for law enforcement officers, retrieved </w:t>
      </w:r>
    </w:p>
    <w:p w14:paraId="1A11B7F3" w14:textId="77777777" w:rsidR="0032612E" w:rsidRDefault="0032612E" w:rsidP="0032612E">
      <w:r>
        <w:t xml:space="preserve">fromhttp://www.thecounselingteam.com/interactive/articles/Critical%20Incident </w:t>
      </w:r>
    </w:p>
    <w:p w14:paraId="34CAA0D9" w14:textId="3AF32BC8" w:rsidR="0032612E" w:rsidRDefault="0032612E" w:rsidP="0032612E">
      <w:r>
        <w:t>%20Trauma%20(R.%20Solomon).pdf</w:t>
      </w:r>
    </w:p>
    <w:p w14:paraId="1DE37744" w14:textId="3A633CDA" w:rsidR="00DD4371" w:rsidRDefault="00DD4371" w:rsidP="0032612E"/>
    <w:p w14:paraId="0C22462C" w14:textId="7A822A65" w:rsidR="00DD4371" w:rsidRDefault="00DD4371" w:rsidP="0032612E">
      <w:r w:rsidRPr="00DD4371">
        <w:t>The You Trust. (2021). What is target hardening? - The You Trust - domestic violence - safety. [online] Available at: https://theyoutrust.org.uk/what-is-target-hardening/.</w:t>
      </w:r>
    </w:p>
    <w:p w14:paraId="5C8967D1" w14:textId="77777777" w:rsidR="0032612E" w:rsidRDefault="0032612E" w:rsidP="0032612E"/>
    <w:p w14:paraId="5DF2089E" w14:textId="52EB8958" w:rsidR="00D46098" w:rsidRDefault="0032612E" w:rsidP="0032612E">
      <w:r>
        <w:t>www.crimeandjustice.org.uk. (n.d.). Intelligence gathering and the need for control: managing risk in public order policing | Centre for Crime and Justice Studies. [online] Available at: https://www.crimeandjustice.org.uk/publications/cjm/article/intelligence-gathering-and-need-control-managing-risk-public-order-policing [Accessed 28 Nov. 2022]</w:t>
      </w:r>
    </w:p>
    <w:p w14:paraId="3100D5ED" w14:textId="77777777" w:rsidR="00D46098" w:rsidRDefault="00D46098" w:rsidP="0032612E"/>
    <w:p w14:paraId="517A249F" w14:textId="6ADA293F" w:rsidR="00D46098" w:rsidRDefault="00D46098" w:rsidP="0032612E">
      <w:r w:rsidRPr="00D46098">
        <w:t>www.evidence-basedpolicing.org. (n.d.). Home | The Evidence-Based Policing App. [online] Available at: https://www.evidence-basedpolicing.org/.</w:t>
      </w:r>
    </w:p>
    <w:p w14:paraId="6E462EF0" w14:textId="77777777" w:rsidR="00DD4371" w:rsidRDefault="00DD4371" w:rsidP="0032612E"/>
    <w:p w14:paraId="7CBDD544" w14:textId="2E5E7D3F" w:rsidR="0032612E" w:rsidRDefault="00DD4371" w:rsidP="0032612E">
      <w:r w:rsidRPr="00DD4371">
        <w:t xml:space="preserve">Wheller -Research, L. and Standards Manager, A. (2019). Evidence-based policing Mapping police practice and building the evidence base. [online] Available at: </w:t>
      </w:r>
      <w:hyperlink r:id="rId16" w:history="1">
        <w:r w:rsidRPr="001D5790">
          <w:rPr>
            <w:rStyle w:val="Hyperlink"/>
          </w:rPr>
          <w:t>https://www.birmingham.ac.uk/Documents/college-social-sciences/business/research/crime-justice-policing/conference-presentations-2019/cjp-conference-evidence-based-policing.pdf</w:t>
        </w:r>
      </w:hyperlink>
      <w:r w:rsidRPr="00DD4371">
        <w:t>.</w:t>
      </w:r>
    </w:p>
    <w:p w14:paraId="7397B56D" w14:textId="77777777" w:rsidR="00DD4371" w:rsidRDefault="00DD4371" w:rsidP="0032612E"/>
    <w:p w14:paraId="19AB871E" w14:textId="77777777" w:rsidR="0032612E" w:rsidRDefault="0032612E" w:rsidP="0032612E">
      <w:r w:rsidRPr="00054A9F">
        <w:t>Wood, D.A., &amp; Tong, S. (2009) The future of initial police training: A university perspective. International Journal of Police Science &amp; Management, 11(3), 294–305.</w:t>
      </w:r>
    </w:p>
    <w:p w14:paraId="16E28754" w14:textId="77777777" w:rsidR="00954929" w:rsidRPr="00547B8A" w:rsidRDefault="00954929" w:rsidP="00392E50"/>
    <w:sectPr w:rsidR="00954929" w:rsidRPr="00547B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CEBFD" w14:textId="77777777" w:rsidR="002E5377" w:rsidRDefault="002E5377" w:rsidP="003C08EE">
      <w:pPr>
        <w:spacing w:after="0" w:line="240" w:lineRule="auto"/>
      </w:pPr>
      <w:r>
        <w:separator/>
      </w:r>
    </w:p>
  </w:endnote>
  <w:endnote w:type="continuationSeparator" w:id="0">
    <w:p w14:paraId="1E9FDAB8" w14:textId="77777777" w:rsidR="002E5377" w:rsidRDefault="002E5377" w:rsidP="003C0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033CF" w14:textId="77777777" w:rsidR="002E5377" w:rsidRDefault="002E5377" w:rsidP="003C08EE">
      <w:pPr>
        <w:spacing w:after="0" w:line="240" w:lineRule="auto"/>
      </w:pPr>
      <w:r>
        <w:separator/>
      </w:r>
    </w:p>
  </w:footnote>
  <w:footnote w:type="continuationSeparator" w:id="0">
    <w:p w14:paraId="776733CB" w14:textId="77777777" w:rsidR="002E5377" w:rsidRDefault="002E5377" w:rsidP="003C0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EA1"/>
    <w:rsid w:val="00046C3A"/>
    <w:rsid w:val="00086EA1"/>
    <w:rsid w:val="001408AD"/>
    <w:rsid w:val="00241C10"/>
    <w:rsid w:val="00277C8B"/>
    <w:rsid w:val="002E5377"/>
    <w:rsid w:val="0032612E"/>
    <w:rsid w:val="00392E50"/>
    <w:rsid w:val="003C08EE"/>
    <w:rsid w:val="004B02FA"/>
    <w:rsid w:val="00547B8A"/>
    <w:rsid w:val="006A1D46"/>
    <w:rsid w:val="006E3C40"/>
    <w:rsid w:val="00884AB9"/>
    <w:rsid w:val="00954929"/>
    <w:rsid w:val="00A76A4B"/>
    <w:rsid w:val="00AF3622"/>
    <w:rsid w:val="00AF6E2B"/>
    <w:rsid w:val="00CD1668"/>
    <w:rsid w:val="00D46098"/>
    <w:rsid w:val="00DD4371"/>
    <w:rsid w:val="00DF616A"/>
    <w:rsid w:val="00E50E39"/>
    <w:rsid w:val="00EB5BAF"/>
    <w:rsid w:val="00F935CD"/>
    <w:rsid w:val="00FC6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955EA"/>
  <w15:chartTrackingRefBased/>
  <w15:docId w15:val="{6159FF1C-E157-4AE4-8F7D-A0C8AE55C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7C8B"/>
    <w:rPr>
      <w:color w:val="0563C1" w:themeColor="hyperlink"/>
      <w:u w:val="single"/>
    </w:rPr>
  </w:style>
  <w:style w:type="character" w:styleId="UnresolvedMention">
    <w:name w:val="Unresolved Mention"/>
    <w:basedOn w:val="DefaultParagraphFont"/>
    <w:uiPriority w:val="99"/>
    <w:semiHidden/>
    <w:unhideWhenUsed/>
    <w:rsid w:val="00277C8B"/>
    <w:rPr>
      <w:color w:val="605E5C"/>
      <w:shd w:val="clear" w:color="auto" w:fill="E1DFDD"/>
    </w:rPr>
  </w:style>
  <w:style w:type="paragraph" w:styleId="ListParagraph">
    <w:name w:val="List Paragraph"/>
    <w:basedOn w:val="Normal"/>
    <w:uiPriority w:val="34"/>
    <w:qFormat/>
    <w:rsid w:val="004B02FA"/>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853676">
      <w:bodyDiv w:val="1"/>
      <w:marLeft w:val="0"/>
      <w:marRight w:val="0"/>
      <w:marTop w:val="0"/>
      <w:marBottom w:val="0"/>
      <w:divBdr>
        <w:top w:val="none" w:sz="0" w:space="0" w:color="auto"/>
        <w:left w:val="none" w:sz="0" w:space="0" w:color="auto"/>
        <w:bottom w:val="none" w:sz="0" w:space="0" w:color="auto"/>
        <w:right w:val="none" w:sz="0" w:space="0" w:color="auto"/>
      </w:divBdr>
      <w:divsChild>
        <w:div w:id="2117360255">
          <w:marLeft w:val="0"/>
          <w:marRight w:val="0"/>
          <w:marTop w:val="0"/>
          <w:marBottom w:val="150"/>
          <w:divBdr>
            <w:top w:val="none" w:sz="0" w:space="0" w:color="auto"/>
            <w:left w:val="none" w:sz="0" w:space="0" w:color="auto"/>
            <w:bottom w:val="none" w:sz="0" w:space="0" w:color="auto"/>
            <w:right w:val="none" w:sz="0" w:space="0" w:color="auto"/>
          </w:divBdr>
        </w:div>
      </w:divsChild>
    </w:div>
    <w:div w:id="198797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41643/Code_of_Ethics_2014_Web_Accessible.pdf" TargetMode="External"/><Relationship Id="rId13" Type="http://schemas.openxmlformats.org/officeDocument/2006/relationships/hyperlink" Target="https://www.gov.uk/government/publications/the-code-of-practice-for-victims-of-crime/code-of-practice-for-victims-of-crime-in-england-and-wales-victims-cod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rimeandjustice.org.uk" TargetMode="External"/><Relationship Id="rId12" Type="http://schemas.openxmlformats.org/officeDocument/2006/relationships/hyperlink" Target="https://www.jesip.org.uk/joint-doctrine/principles-for-joint-work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rmingham.ac.uk/Documents/college-social-sciences/business/research/crime-justice-policing/conference-presentations-2019/cjp-conference-evidence-based-policin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investigation/investigation-process" TargetMode="External"/><Relationship Id="rId5" Type="http://schemas.openxmlformats.org/officeDocument/2006/relationships/footnotes" Target="footnotes.xml"/><Relationship Id="rId15" Type="http://schemas.openxmlformats.org/officeDocument/2006/relationships/hyperlink" Target="https://www.local.gov.uk/sites/default/files/documents/Intelligence%20Management%20Training.pdf" TargetMode="External"/><Relationship Id="rId10" Type="http://schemas.openxmlformats.org/officeDocument/2006/relationships/hyperlink" Target="https://www.college.police.uk/app/civil-emergencies/disaster-victim-identification/definitions" TargetMode="External"/><Relationship Id="rId4" Type="http://schemas.openxmlformats.org/officeDocument/2006/relationships/webSettings" Target="webSettings.xml"/><Relationship Id="rId9" Type="http://schemas.openxmlformats.org/officeDocument/2006/relationships/hyperlink" Target="https://assets.college.police.uk/s3fs-public/2021-02/college_of_policing_guidance_on_professional_boundaries.pdf" TargetMode="External"/><Relationship Id="rId14" Type="http://schemas.openxmlformats.org/officeDocument/2006/relationships/hyperlink" Target="https://www.cji.edu/wp-content/uploads/2019/04/chrismoa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1673</TotalTime>
  <Pages>14</Pages>
  <Words>5729</Words>
  <Characters>32657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Coombes,Zoe swp6940</dc:creator>
  <cp:keywords/>
  <dc:description/>
  <cp:lastModifiedBy>Coombes,Zoe swp6940</cp:lastModifiedBy>
  <cp:revision>8</cp:revision>
  <dcterms:created xsi:type="dcterms:W3CDTF">2022-11-27T22:09:00Z</dcterms:created>
  <dcterms:modified xsi:type="dcterms:W3CDTF">2022-11-29T02:12:00Z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2022-11-26T08:23:00Z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518dfb24-925f-4951-9ad7-ea7f033b6ce9</vt:lpwstr>
  </property>
  <property fmtid="{D5CDD505-2E9C-101B-9397-08002B2CF9AE}" pid="8" name="MSIP_Label_66cf8fe5-b7b7-4df7-b38d-1c61ac2f6639_ContentBits">
    <vt:lpwstr>0</vt:lpwstr>
  </property>
</Properties>
</file>