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0CF460C" w:rsidR="00452ECC" w:rsidRPr="00D468CD" w:rsidRDefault="7A81DC47" w:rsidP="00D468CD">
      <w:pPr>
        <w:spacing w:before="240" w:after="240" w:line="360" w:lineRule="auto"/>
        <w:jc w:val="center"/>
        <w:rPr>
          <w:rFonts w:ascii="Arial" w:hAnsi="Arial" w:cs="Arial"/>
          <w:b/>
          <w:bCs/>
          <w:sz w:val="22"/>
          <w:szCs w:val="22"/>
        </w:rPr>
      </w:pPr>
      <w:r w:rsidRPr="00D468CD">
        <w:rPr>
          <w:rFonts w:ascii="Arial" w:hAnsi="Arial" w:cs="Arial"/>
          <w:b/>
          <w:bCs/>
          <w:sz w:val="22"/>
          <w:szCs w:val="22"/>
        </w:rPr>
        <w:t>BMHP5014 Changemakers: Creativity and Value Creation</w:t>
      </w:r>
      <w:r w:rsidRPr="00D468CD">
        <w:rPr>
          <w:rFonts w:ascii="Arial" w:hAnsi="Arial" w:cs="Arial"/>
          <w:sz w:val="22"/>
          <w:szCs w:val="22"/>
        </w:rPr>
        <w:br/>
        <w:t xml:space="preserve"> </w:t>
      </w:r>
      <w:r w:rsidRPr="00D468CD">
        <w:rPr>
          <w:rFonts w:ascii="Arial" w:hAnsi="Arial" w:cs="Arial"/>
          <w:b/>
          <w:bCs/>
          <w:sz w:val="22"/>
          <w:szCs w:val="22"/>
        </w:rPr>
        <w:t xml:space="preserve">Component 2 – Academic Poster &amp; Written Pitch </w:t>
      </w:r>
    </w:p>
    <w:p w14:paraId="3ECA41F6" w14:textId="174E749B" w:rsidR="00172A41" w:rsidRPr="00D468CD" w:rsidRDefault="00172A41" w:rsidP="00D468CD">
      <w:pPr>
        <w:spacing w:before="240" w:after="240" w:line="360" w:lineRule="auto"/>
        <w:jc w:val="center"/>
        <w:rPr>
          <w:rFonts w:ascii="Arial" w:hAnsi="Arial" w:cs="Arial"/>
          <w:b/>
          <w:bCs/>
          <w:sz w:val="22"/>
          <w:szCs w:val="22"/>
        </w:rPr>
      </w:pPr>
      <w:r w:rsidRPr="00D468CD">
        <w:rPr>
          <w:rFonts w:ascii="Arial" w:hAnsi="Arial" w:cs="Arial"/>
          <w:b/>
          <w:bCs/>
          <w:sz w:val="22"/>
          <w:szCs w:val="22"/>
        </w:rPr>
        <w:t>Name: Aminah Haseen</w:t>
      </w:r>
    </w:p>
    <w:p w14:paraId="3512C04C" w14:textId="01C63F6F" w:rsidR="00172A41" w:rsidRPr="00D468CD" w:rsidRDefault="00172A41" w:rsidP="00D468CD">
      <w:pPr>
        <w:spacing w:before="240" w:after="240" w:line="360" w:lineRule="auto"/>
        <w:jc w:val="center"/>
        <w:rPr>
          <w:rFonts w:ascii="Arial" w:hAnsi="Arial" w:cs="Arial"/>
          <w:b/>
          <w:bCs/>
          <w:sz w:val="22"/>
          <w:szCs w:val="22"/>
        </w:rPr>
      </w:pPr>
      <w:r w:rsidRPr="00D468CD">
        <w:rPr>
          <w:rFonts w:ascii="Arial" w:hAnsi="Arial" w:cs="Arial"/>
          <w:b/>
          <w:bCs/>
          <w:sz w:val="22"/>
          <w:szCs w:val="22"/>
        </w:rPr>
        <w:t>Student ID: 2407621</w:t>
      </w:r>
    </w:p>
    <w:p w14:paraId="7CE24FD7" w14:textId="4779F65E" w:rsidR="00172A41" w:rsidRPr="00D468CD" w:rsidRDefault="00172A41" w:rsidP="00D468CD">
      <w:pPr>
        <w:spacing w:before="240" w:after="240" w:line="360" w:lineRule="auto"/>
        <w:jc w:val="center"/>
        <w:rPr>
          <w:rFonts w:ascii="Arial" w:hAnsi="Arial" w:cs="Arial"/>
          <w:b/>
          <w:bCs/>
          <w:sz w:val="22"/>
          <w:szCs w:val="22"/>
        </w:rPr>
      </w:pPr>
      <w:r w:rsidRPr="00D468CD">
        <w:rPr>
          <w:rFonts w:ascii="Arial" w:hAnsi="Arial" w:cs="Arial"/>
          <w:b/>
          <w:bCs/>
          <w:sz w:val="22"/>
          <w:szCs w:val="22"/>
        </w:rPr>
        <w:t>Module code: BMHP5014</w:t>
      </w:r>
    </w:p>
    <w:p w14:paraId="067D5FAE" w14:textId="77777777" w:rsidR="00D468CD" w:rsidRDefault="00D468CD" w:rsidP="00D468CD">
      <w:pPr>
        <w:spacing w:before="240" w:after="240" w:line="360" w:lineRule="auto"/>
        <w:rPr>
          <w:rFonts w:ascii="Arial" w:hAnsi="Arial" w:cs="Arial"/>
          <w:sz w:val="22"/>
          <w:szCs w:val="22"/>
        </w:rPr>
      </w:pPr>
    </w:p>
    <w:p w14:paraId="41AF7C8F" w14:textId="77777777" w:rsidR="00D468CD" w:rsidRDefault="00D468CD" w:rsidP="00D468CD">
      <w:pPr>
        <w:spacing w:before="240" w:after="240" w:line="360" w:lineRule="auto"/>
        <w:rPr>
          <w:rFonts w:ascii="Arial" w:hAnsi="Arial" w:cs="Arial"/>
          <w:sz w:val="22"/>
          <w:szCs w:val="22"/>
        </w:rPr>
      </w:pPr>
    </w:p>
    <w:p w14:paraId="06577ABB" w14:textId="77777777" w:rsidR="00D468CD" w:rsidRDefault="00D468CD" w:rsidP="00D468CD">
      <w:pPr>
        <w:spacing w:before="240" w:after="24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4545568" wp14:editId="51CCB0B5">
            <wp:extent cx="5929343" cy="8388105"/>
            <wp:effectExtent l="152400" t="152400" r="357505" b="356235"/>
            <wp:docPr id="1364214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66051" cy="8440035"/>
                    </a:xfrm>
                    <a:prstGeom prst="rect">
                      <a:avLst/>
                    </a:prstGeom>
                    <a:ln>
                      <a:noFill/>
                    </a:ln>
                    <a:effectLst>
                      <a:outerShdw blurRad="292100" dist="139700" dir="2700000" algn="tl" rotWithShape="0">
                        <a:srgbClr val="333333">
                          <a:alpha val="65000"/>
                        </a:srgbClr>
                      </a:outerShdw>
                    </a:effectLst>
                  </pic:spPr>
                </pic:pic>
              </a:graphicData>
            </a:graphic>
          </wp:inline>
        </w:drawing>
      </w:r>
    </w:p>
    <w:p w14:paraId="56D7804A" w14:textId="650C17C5" w:rsidR="00172A41" w:rsidRPr="00D468CD" w:rsidRDefault="00172A41" w:rsidP="00D468CD">
      <w:pPr>
        <w:spacing w:before="240" w:after="240" w:line="360" w:lineRule="auto"/>
        <w:jc w:val="both"/>
        <w:rPr>
          <w:rFonts w:ascii="Arial" w:hAnsi="Arial" w:cs="Arial"/>
          <w:sz w:val="22"/>
          <w:szCs w:val="22"/>
        </w:rPr>
      </w:pPr>
      <w:r w:rsidRPr="00D468CD">
        <w:rPr>
          <w:rFonts w:ascii="Arial" w:hAnsi="Arial" w:cs="Arial"/>
          <w:sz w:val="22"/>
          <w:szCs w:val="22"/>
        </w:rPr>
        <w:lastRenderedPageBreak/>
        <w:t>StepFoward: A Wearable Innovation to Address Obesity</w:t>
      </w:r>
    </w:p>
    <w:p w14:paraId="4AC640CF" w14:textId="5749BF7A" w:rsidR="00D468CD" w:rsidRDefault="00D468CD" w:rsidP="00D468CD">
      <w:pPr>
        <w:spacing w:before="240" w:after="240" w:line="360" w:lineRule="auto"/>
        <w:rPr>
          <w:rFonts w:ascii="Arial" w:hAnsi="Arial" w:cs="Arial"/>
          <w:sz w:val="22"/>
          <w:szCs w:val="22"/>
        </w:rPr>
      </w:pPr>
      <w:r w:rsidRPr="00D468CD">
        <w:rPr>
          <w:rFonts w:ascii="Arial" w:hAnsi="Arial" w:cs="Arial"/>
          <w:sz w:val="22"/>
          <w:szCs w:val="22"/>
        </w:rPr>
        <w:t>Introduction:</w:t>
      </w:r>
    </w:p>
    <w:p w14:paraId="27D2A934" w14:textId="05D690E3" w:rsidR="00172A41" w:rsidRDefault="005251E8" w:rsidP="00D468CD">
      <w:pPr>
        <w:spacing w:before="240" w:after="240" w:line="360" w:lineRule="auto"/>
        <w:rPr>
          <w:rFonts w:ascii="Arial" w:hAnsi="Arial" w:cs="Arial"/>
          <w:sz w:val="22"/>
          <w:szCs w:val="22"/>
        </w:rPr>
      </w:pPr>
      <w:r>
        <w:rPr>
          <w:rFonts w:ascii="Arial" w:hAnsi="Arial" w:cs="Arial"/>
          <w:sz w:val="22"/>
          <w:szCs w:val="22"/>
        </w:rPr>
        <w:t xml:space="preserve">Obesity is recognised as a major health issue in the United Kingdom, and it continues to put pressure on healthcare services. According to the NHS Digital (2024), a significant percentage of adults in England are categorised as overweight or obese, thus at a higher risk of developing serious health problems such as cardiovascular disease, type 2 diabetes, and reduced life expectancy. Obesity has also been recognised to result in decreased healthcare costs, </w:t>
      </w:r>
      <w:r w:rsidR="00B9492E">
        <w:rPr>
          <w:rFonts w:ascii="Arial" w:hAnsi="Arial" w:cs="Arial"/>
          <w:sz w:val="22"/>
          <w:szCs w:val="22"/>
        </w:rPr>
        <w:t xml:space="preserve">including pressure on the National Health Service (NHS). To combat obesity, it is necessary to use preventive measures that enable individuals to live healthier, more physically active lifestyles. </w:t>
      </w:r>
    </w:p>
    <w:p w14:paraId="25FB2BFA" w14:textId="208C20F7" w:rsidR="00B9492E" w:rsidRDefault="00B9492E" w:rsidP="00D468CD">
      <w:pPr>
        <w:spacing w:before="240" w:after="240" w:line="360" w:lineRule="auto"/>
        <w:rPr>
          <w:rFonts w:ascii="Arial" w:hAnsi="Arial" w:cs="Arial"/>
          <w:sz w:val="22"/>
          <w:szCs w:val="22"/>
        </w:rPr>
      </w:pPr>
      <w:r>
        <w:rPr>
          <w:rFonts w:ascii="Arial" w:hAnsi="Arial" w:cs="Arial"/>
          <w:sz w:val="22"/>
          <w:szCs w:val="22"/>
        </w:rPr>
        <w:t xml:space="preserve">There is now recognition that digital health technologies have great potential to enable behaviour change and healthy behaviours. New technologies, such as wearable health devices, enable people to monitor their physical activity, receive feedback, and set their own personal goals. Digital health technologies offer opportunities for people to take greater responsibility for their health and well-being. This written pitch is for StepFoward, which is a wearable health device for monitoring health, encouraging physical activity, and helping people prevent and manage obesity. </w:t>
      </w:r>
    </w:p>
    <w:p w14:paraId="723E2B3F" w14:textId="3FC5BBC8" w:rsidR="00B9492E" w:rsidRDefault="00B9492E" w:rsidP="00D468CD">
      <w:pPr>
        <w:spacing w:before="240" w:after="240" w:line="360" w:lineRule="auto"/>
        <w:rPr>
          <w:rFonts w:ascii="Arial" w:hAnsi="Arial" w:cs="Arial"/>
          <w:sz w:val="22"/>
          <w:szCs w:val="22"/>
        </w:rPr>
      </w:pPr>
      <w:r>
        <w:rPr>
          <w:rFonts w:ascii="Arial" w:hAnsi="Arial" w:cs="Arial"/>
          <w:sz w:val="22"/>
          <w:szCs w:val="22"/>
        </w:rPr>
        <w:t>The Problem: Obesity and Physical Inactivity:</w:t>
      </w:r>
    </w:p>
    <w:p w14:paraId="647FB575" w14:textId="66764A36" w:rsidR="00B9492E" w:rsidRDefault="00B9492E" w:rsidP="00D468CD">
      <w:pPr>
        <w:spacing w:before="240" w:after="240" w:line="360" w:lineRule="auto"/>
        <w:rPr>
          <w:rFonts w:ascii="Arial" w:hAnsi="Arial" w:cs="Arial"/>
          <w:sz w:val="22"/>
          <w:szCs w:val="22"/>
        </w:rPr>
      </w:pPr>
      <w:r>
        <w:rPr>
          <w:rFonts w:ascii="Arial" w:hAnsi="Arial" w:cs="Arial"/>
          <w:sz w:val="22"/>
          <w:szCs w:val="22"/>
        </w:rPr>
        <w:t>Factors that affect obesity include lifestyle factors, environmental factors, and socioeconomic factors. Some individuals in the population face obstacles in adopting healthy lifestyle habits, such as a lack of access to physical activities, poor dietary habits, and poor health knowledge. Obesity statistics indicate that in the most deprived populations, the rates of obesity are high, and therefore</w:t>
      </w:r>
      <w:r w:rsidR="00527A5D">
        <w:rPr>
          <w:rFonts w:ascii="Arial" w:hAnsi="Arial" w:cs="Arial"/>
          <w:sz w:val="22"/>
          <w:szCs w:val="22"/>
        </w:rPr>
        <w:t>,</w:t>
      </w:r>
      <w:r>
        <w:rPr>
          <w:rFonts w:ascii="Arial" w:hAnsi="Arial" w:cs="Arial"/>
          <w:sz w:val="22"/>
          <w:szCs w:val="22"/>
        </w:rPr>
        <w:t xml:space="preserve"> it is essential to have preventive interventions that are accommodating for the population </w:t>
      </w:r>
      <w:r w:rsidR="00527A5D">
        <w:rPr>
          <w:rFonts w:ascii="Arial" w:hAnsi="Arial" w:cs="Arial"/>
          <w:sz w:val="22"/>
          <w:szCs w:val="22"/>
        </w:rPr>
        <w:t>(Office for Health Improvement and Disparities, 2023)</w:t>
      </w:r>
    </w:p>
    <w:p w14:paraId="3E898B10" w14:textId="3DA8ADB8" w:rsidR="00AC1AA2" w:rsidRDefault="00527A5D" w:rsidP="00D468CD">
      <w:pPr>
        <w:spacing w:before="240" w:after="240" w:line="360" w:lineRule="auto"/>
        <w:rPr>
          <w:rFonts w:ascii="Arial" w:hAnsi="Arial" w:cs="Arial"/>
          <w:sz w:val="22"/>
          <w:szCs w:val="22"/>
        </w:rPr>
      </w:pPr>
      <w:r>
        <w:rPr>
          <w:rFonts w:ascii="Arial" w:hAnsi="Arial" w:cs="Arial"/>
          <w:sz w:val="22"/>
          <w:szCs w:val="22"/>
        </w:rPr>
        <w:t xml:space="preserve">Physical inactivity is one of the main causes of obesity, and it also plays a role in various non-communicable diseases. Physical inactivity has been recognised as a global burden, as it results in additional costs and diminished quality of life. Therefore, encouraging individuals to participate in more physically active lifestyles can play an important role in reducing obesity and improving public health. There is a greater emphasis placed on innovative solutions that can motivate individuals to make lifestyle changes. </w:t>
      </w:r>
    </w:p>
    <w:p w14:paraId="7B830DB4" w14:textId="186F9F6F" w:rsidR="00AC1AA2" w:rsidRDefault="00AC1AA2" w:rsidP="00D468CD">
      <w:pPr>
        <w:spacing w:before="240" w:after="240" w:line="360" w:lineRule="auto"/>
        <w:rPr>
          <w:rFonts w:ascii="Arial" w:hAnsi="Arial" w:cs="Arial"/>
          <w:sz w:val="22"/>
          <w:szCs w:val="22"/>
        </w:rPr>
      </w:pPr>
      <w:r>
        <w:rPr>
          <w:rFonts w:ascii="Arial" w:hAnsi="Arial" w:cs="Arial"/>
          <w:sz w:val="22"/>
          <w:szCs w:val="22"/>
        </w:rPr>
        <w:lastRenderedPageBreak/>
        <w:t xml:space="preserve">While various public health campaigns have sought to promote healthy lifestyles, the problem for many of these campaigns has been the difficulty in sustaining the engagement and motivation of the individual. As such, new strategies using digital technologies to promote behavioural motivation have the potential to be more effective in the fight against obesity. </w:t>
      </w:r>
    </w:p>
    <w:p w14:paraId="15C3B266" w14:textId="02A0F57B" w:rsidR="00527A5D" w:rsidRDefault="00527A5D" w:rsidP="00D468CD">
      <w:pPr>
        <w:spacing w:before="240" w:after="240" w:line="360" w:lineRule="auto"/>
        <w:rPr>
          <w:rFonts w:ascii="Arial" w:hAnsi="Arial" w:cs="Arial"/>
          <w:sz w:val="22"/>
          <w:szCs w:val="22"/>
        </w:rPr>
      </w:pPr>
      <w:r>
        <w:rPr>
          <w:rFonts w:ascii="Arial" w:hAnsi="Arial" w:cs="Arial"/>
          <w:sz w:val="22"/>
          <w:szCs w:val="22"/>
        </w:rPr>
        <w:t>The Innovation: StepFoward:</w:t>
      </w:r>
    </w:p>
    <w:p w14:paraId="457044E7" w14:textId="69992F25" w:rsidR="00527A5D" w:rsidRDefault="00527A5D" w:rsidP="00D468CD">
      <w:pPr>
        <w:spacing w:before="240" w:after="240" w:line="360" w:lineRule="auto"/>
        <w:rPr>
          <w:rFonts w:ascii="Arial" w:hAnsi="Arial" w:cs="Arial"/>
          <w:sz w:val="22"/>
          <w:szCs w:val="22"/>
        </w:rPr>
      </w:pPr>
      <w:r>
        <w:rPr>
          <w:rFonts w:ascii="Arial" w:hAnsi="Arial" w:cs="Arial"/>
          <w:sz w:val="22"/>
          <w:szCs w:val="22"/>
        </w:rPr>
        <w:t xml:space="preserve">StepFoward is a smart wear device in the form of a smart watch. It is designed in such a manner that it encourages individuals to be more active in terms of their daily activity and helps them keep a check on their health. It monitors daily steps taken, heart rate, calories burned, and the amount of physical activity. It does this by connecting with a mobile device. </w:t>
      </w:r>
    </w:p>
    <w:p w14:paraId="6181E8E9" w14:textId="59103BBC" w:rsidR="00527A5D" w:rsidRDefault="00527A5D" w:rsidP="00D468CD">
      <w:pPr>
        <w:spacing w:before="240" w:after="240" w:line="360" w:lineRule="auto"/>
        <w:rPr>
          <w:rFonts w:ascii="Arial" w:hAnsi="Arial" w:cs="Arial"/>
          <w:sz w:val="22"/>
          <w:szCs w:val="22"/>
        </w:rPr>
      </w:pPr>
      <w:r>
        <w:rPr>
          <w:rFonts w:ascii="Arial" w:hAnsi="Arial" w:cs="Arial"/>
          <w:sz w:val="22"/>
          <w:szCs w:val="22"/>
        </w:rPr>
        <w:t xml:space="preserve">One of the major aspects of StepFoward is the focus on behavioural change. Research has shown that for health interventions to be successful, they need to include strategies that promote behavioural change. The behavioural change wheel, which was proposed by Michie, van Stralen, and West (2011), points to the need to consider motivation, capability, and opportunities for change in the intervention. StepFoward does this by providing feedback, reminders, and rewards to the users to ensure they stay active. </w:t>
      </w:r>
    </w:p>
    <w:p w14:paraId="081F2628" w14:textId="0C4660F0" w:rsidR="00AC1AA2" w:rsidRDefault="00AC1AA2" w:rsidP="00D468CD">
      <w:pPr>
        <w:spacing w:before="240" w:after="240" w:line="360" w:lineRule="auto"/>
        <w:rPr>
          <w:rFonts w:ascii="Arial" w:hAnsi="Arial" w:cs="Arial"/>
          <w:sz w:val="22"/>
          <w:szCs w:val="22"/>
        </w:rPr>
      </w:pPr>
      <w:r>
        <w:rPr>
          <w:rFonts w:ascii="Arial" w:hAnsi="Arial" w:cs="Arial"/>
          <w:sz w:val="22"/>
          <w:szCs w:val="22"/>
        </w:rPr>
        <w:t xml:space="preserve">However, it is also important to note that digital health technologies may not be universally accessible to all individuals. For instance, digital literacy and the ability to afford a smartphone are some factors that could potentially influence the use of wearable health technologies. Therefore, accessibility and usability are going to be key in the successful implementation of StepFoward. </w:t>
      </w:r>
    </w:p>
    <w:p w14:paraId="6B0970B2" w14:textId="5DD8B2B2" w:rsidR="00E70CE6" w:rsidRDefault="00E70CE6" w:rsidP="00D468CD">
      <w:pPr>
        <w:spacing w:before="240" w:after="240" w:line="360" w:lineRule="auto"/>
        <w:rPr>
          <w:rFonts w:ascii="Arial" w:hAnsi="Arial" w:cs="Arial"/>
          <w:sz w:val="22"/>
          <w:szCs w:val="22"/>
        </w:rPr>
      </w:pPr>
      <w:r>
        <w:rPr>
          <w:rFonts w:ascii="Arial" w:hAnsi="Arial" w:cs="Arial"/>
          <w:sz w:val="22"/>
          <w:szCs w:val="22"/>
        </w:rPr>
        <w:t>Potential Benefits:</w:t>
      </w:r>
    </w:p>
    <w:p w14:paraId="4E5DDD00" w14:textId="018687EC" w:rsidR="00E70CE6" w:rsidRDefault="00E70CE6" w:rsidP="00D468CD">
      <w:pPr>
        <w:spacing w:before="240" w:after="240" w:line="360" w:lineRule="auto"/>
        <w:rPr>
          <w:rFonts w:ascii="Arial" w:hAnsi="Arial" w:cs="Arial"/>
          <w:sz w:val="22"/>
          <w:szCs w:val="22"/>
        </w:rPr>
      </w:pPr>
      <w:r>
        <w:rPr>
          <w:rFonts w:ascii="Arial" w:hAnsi="Arial" w:cs="Arial"/>
          <w:sz w:val="22"/>
          <w:szCs w:val="22"/>
        </w:rPr>
        <w:t>The implementation of StepFoward may offer several benefits for the individual and the service. Firstly, the device allows the individual to be aware of the amount of daily physical activity and be more responsible for their health. Self-monitoring is known to be an effective strategy for healthy living and health gain</w:t>
      </w:r>
      <w:r w:rsidR="00905CCE">
        <w:rPr>
          <w:rFonts w:ascii="Arial" w:hAnsi="Arial" w:cs="Arial"/>
          <w:sz w:val="22"/>
          <w:szCs w:val="22"/>
        </w:rPr>
        <w:t>.</w:t>
      </w:r>
    </w:p>
    <w:p w14:paraId="6FAE5CB4" w14:textId="77777777" w:rsidR="00E70CE6" w:rsidRDefault="00E70CE6" w:rsidP="00D468CD">
      <w:pPr>
        <w:spacing w:before="240" w:after="240" w:line="360" w:lineRule="auto"/>
        <w:rPr>
          <w:rFonts w:ascii="Arial" w:hAnsi="Arial" w:cs="Arial"/>
          <w:sz w:val="22"/>
          <w:szCs w:val="22"/>
        </w:rPr>
      </w:pPr>
      <w:r>
        <w:rPr>
          <w:rFonts w:ascii="Arial" w:hAnsi="Arial" w:cs="Arial"/>
          <w:sz w:val="22"/>
          <w:szCs w:val="22"/>
        </w:rPr>
        <w:t>Secondly, the device may help prevent health issues through patterns of physical activity and encourage behaviour change. Preventative health is at the care of current NHS policies, aiming to prevent chronic diseases and the burden they place on the health service (NHS England, 2019). By encouraging physical activity, StepFoward may help prevent diseases such as obesity and improve health outcomes for the population.</w:t>
      </w:r>
    </w:p>
    <w:p w14:paraId="1A8AB866" w14:textId="67D47D81" w:rsidR="00E70CE6" w:rsidRDefault="00E70CE6" w:rsidP="00D468CD">
      <w:pPr>
        <w:spacing w:before="240" w:after="240" w:line="360" w:lineRule="auto"/>
        <w:rPr>
          <w:rFonts w:ascii="Arial" w:hAnsi="Arial" w:cs="Arial"/>
          <w:sz w:val="22"/>
          <w:szCs w:val="22"/>
        </w:rPr>
      </w:pPr>
      <w:r>
        <w:rPr>
          <w:rFonts w:ascii="Arial" w:hAnsi="Arial" w:cs="Arial"/>
          <w:sz w:val="22"/>
          <w:szCs w:val="22"/>
        </w:rPr>
        <w:lastRenderedPageBreak/>
        <w:t>Role of Digital Health Technology:</w:t>
      </w:r>
    </w:p>
    <w:p w14:paraId="67A030FB" w14:textId="0A9C4A6F" w:rsidR="00E70CE6" w:rsidRDefault="00E70CE6" w:rsidP="00D468CD">
      <w:pPr>
        <w:spacing w:before="240" w:after="240" w:line="360" w:lineRule="auto"/>
        <w:rPr>
          <w:rFonts w:ascii="Arial" w:hAnsi="Arial" w:cs="Arial"/>
          <w:sz w:val="22"/>
          <w:szCs w:val="22"/>
        </w:rPr>
      </w:pPr>
      <w:r>
        <w:rPr>
          <w:rFonts w:ascii="Arial" w:hAnsi="Arial" w:cs="Arial"/>
          <w:sz w:val="22"/>
          <w:szCs w:val="22"/>
        </w:rPr>
        <w:t>Digital health technologies are becoming more significant in the development of modern healthcare infrastructures. Governments and healthcare institutions are investing in digital technologies to enhance the development of healthcare services and promote preventative care. The NHS has acknowledged the importance of digital transformation in improving healthcare services and enabling individuals to take responsibility for managing their own health (NHS England, 2022)</w:t>
      </w:r>
    </w:p>
    <w:p w14:paraId="3BE94F3C" w14:textId="5C02CDB6" w:rsidR="00E70CE6" w:rsidRDefault="00E70CE6" w:rsidP="00D468CD">
      <w:pPr>
        <w:spacing w:before="240" w:after="240" w:line="360" w:lineRule="auto"/>
        <w:rPr>
          <w:rFonts w:ascii="Arial" w:hAnsi="Arial" w:cs="Arial"/>
          <w:sz w:val="22"/>
          <w:szCs w:val="22"/>
        </w:rPr>
      </w:pPr>
      <w:r>
        <w:rPr>
          <w:rFonts w:ascii="Arial" w:hAnsi="Arial" w:cs="Arial"/>
          <w:sz w:val="22"/>
          <w:szCs w:val="22"/>
        </w:rPr>
        <w:t xml:space="preserve">Similarly, the World Health Organization states that digital health technologies have the capacity to improve healthcare </w:t>
      </w:r>
      <w:r w:rsidR="00905CCE">
        <w:rPr>
          <w:rFonts w:ascii="Arial" w:hAnsi="Arial" w:cs="Arial"/>
          <w:sz w:val="22"/>
          <w:szCs w:val="22"/>
        </w:rPr>
        <w:t>services</w:t>
      </w:r>
      <w:r>
        <w:rPr>
          <w:rFonts w:ascii="Arial" w:hAnsi="Arial" w:cs="Arial"/>
          <w:sz w:val="22"/>
          <w:szCs w:val="22"/>
        </w:rPr>
        <w:t xml:space="preserve"> by improving accessibility to health information and facilitating behaviour change (World Health Organization, 2021)</w:t>
      </w:r>
      <w:r w:rsidR="00905CCE">
        <w:rPr>
          <w:rFonts w:ascii="Arial" w:hAnsi="Arial" w:cs="Arial"/>
          <w:sz w:val="22"/>
          <w:szCs w:val="22"/>
        </w:rPr>
        <w:t xml:space="preserve">. The wearable device, StepFoward, is consistent with global health policies and strategies that aim to empower individuals to take responsibility for managing their own health. </w:t>
      </w:r>
    </w:p>
    <w:p w14:paraId="333D9A65" w14:textId="27F1ADF8" w:rsidR="00905CCE" w:rsidRDefault="00905CCE" w:rsidP="00D468CD">
      <w:pPr>
        <w:spacing w:before="240" w:after="240" w:line="360" w:lineRule="auto"/>
        <w:rPr>
          <w:rFonts w:ascii="Arial" w:hAnsi="Arial" w:cs="Arial"/>
          <w:sz w:val="22"/>
          <w:szCs w:val="22"/>
        </w:rPr>
      </w:pPr>
      <w:r>
        <w:rPr>
          <w:rFonts w:ascii="Arial" w:hAnsi="Arial" w:cs="Arial"/>
          <w:sz w:val="22"/>
          <w:szCs w:val="22"/>
        </w:rPr>
        <w:t>Future Impact:</w:t>
      </w:r>
    </w:p>
    <w:p w14:paraId="0113BB2F" w14:textId="34739F16" w:rsidR="00905CCE" w:rsidRDefault="00905CCE" w:rsidP="00D468CD">
      <w:pPr>
        <w:spacing w:before="240" w:after="240" w:line="360" w:lineRule="auto"/>
        <w:rPr>
          <w:rFonts w:ascii="Arial" w:hAnsi="Arial" w:cs="Arial"/>
          <w:sz w:val="22"/>
          <w:szCs w:val="22"/>
        </w:rPr>
      </w:pPr>
      <w:r>
        <w:rPr>
          <w:rFonts w:ascii="Arial" w:hAnsi="Arial" w:cs="Arial"/>
          <w:sz w:val="22"/>
          <w:szCs w:val="22"/>
        </w:rPr>
        <w:t>Significantly, the wearable technology of StepFoward has the potential to contribute to the solution of public health problems such as obesity. The wearable technology promotes physical activity among people, thus encouraging preventative healthcare strategies to reduce health risks.</w:t>
      </w:r>
    </w:p>
    <w:p w14:paraId="7DC7D22F" w14:textId="33A73E92" w:rsidR="00905CCE" w:rsidRDefault="00905CCE" w:rsidP="00D468CD">
      <w:pPr>
        <w:spacing w:before="240" w:after="240" w:line="360" w:lineRule="auto"/>
        <w:rPr>
          <w:rFonts w:ascii="Arial" w:hAnsi="Arial" w:cs="Arial"/>
          <w:sz w:val="22"/>
          <w:szCs w:val="22"/>
        </w:rPr>
      </w:pPr>
      <w:r>
        <w:rPr>
          <w:rFonts w:ascii="Arial" w:hAnsi="Arial" w:cs="Arial"/>
          <w:sz w:val="22"/>
          <w:szCs w:val="22"/>
        </w:rPr>
        <w:t xml:space="preserve">Obesity has continued to be a health problem among millions of people across the globe. The health problem has been a major health concern globally. The World Health Organization (2023) noted obesity as a health problem among millions of people across the globe. The wearable technology of StepFoward presents an opportunity to help people change their lifestyles for the better. The wearable technology utilises the combination of technology and behaviour change to promote a healthy lifestyle. </w:t>
      </w:r>
    </w:p>
    <w:p w14:paraId="6BB31EA1" w14:textId="2B2054B6" w:rsidR="005E5CC4" w:rsidRDefault="005E5CC4" w:rsidP="00D468CD">
      <w:pPr>
        <w:spacing w:before="240" w:after="240" w:line="360" w:lineRule="auto"/>
        <w:rPr>
          <w:rFonts w:ascii="Arial" w:hAnsi="Arial" w:cs="Arial"/>
          <w:sz w:val="22"/>
          <w:szCs w:val="22"/>
        </w:rPr>
      </w:pPr>
      <w:r>
        <w:rPr>
          <w:rFonts w:ascii="Arial" w:hAnsi="Arial" w:cs="Arial"/>
          <w:sz w:val="22"/>
          <w:szCs w:val="22"/>
        </w:rPr>
        <w:t xml:space="preserve">Although the benefits of wearable technologies are promising, more research and evaluation are needed to fully understand their long-term effectiveness in changing behaviour. Moreover, it is likely that the cooperation of health professionals and public health organisations, such as StepFoward, would be crucial in ensuring the safe and effective integration of such technologies into the healthcare system. </w:t>
      </w:r>
    </w:p>
    <w:p w14:paraId="0A458127" w14:textId="77777777" w:rsidR="005E5CC4" w:rsidRDefault="005E5CC4" w:rsidP="00D468CD">
      <w:pPr>
        <w:spacing w:before="240" w:after="240" w:line="360" w:lineRule="auto"/>
        <w:rPr>
          <w:rFonts w:ascii="Arial" w:hAnsi="Arial" w:cs="Arial"/>
          <w:sz w:val="22"/>
          <w:szCs w:val="22"/>
        </w:rPr>
      </w:pPr>
    </w:p>
    <w:p w14:paraId="41DDC41A" w14:textId="0CF0BB13" w:rsidR="00905CCE" w:rsidRDefault="00905CCE" w:rsidP="00D468CD">
      <w:pPr>
        <w:spacing w:before="240" w:after="240" w:line="360" w:lineRule="auto"/>
        <w:rPr>
          <w:rFonts w:ascii="Arial" w:hAnsi="Arial" w:cs="Arial"/>
          <w:sz w:val="22"/>
          <w:szCs w:val="22"/>
        </w:rPr>
      </w:pPr>
      <w:r>
        <w:rPr>
          <w:rFonts w:ascii="Arial" w:hAnsi="Arial" w:cs="Arial"/>
          <w:sz w:val="22"/>
          <w:szCs w:val="22"/>
        </w:rPr>
        <w:lastRenderedPageBreak/>
        <w:t>Conclusion:</w:t>
      </w:r>
    </w:p>
    <w:p w14:paraId="16C837C3" w14:textId="352428E5" w:rsidR="00905CCE" w:rsidRDefault="00905CCE" w:rsidP="00D468CD">
      <w:pPr>
        <w:spacing w:before="240" w:after="240" w:line="360" w:lineRule="auto"/>
        <w:rPr>
          <w:rFonts w:ascii="Arial" w:hAnsi="Arial" w:cs="Arial"/>
          <w:sz w:val="22"/>
          <w:szCs w:val="22"/>
        </w:rPr>
      </w:pPr>
      <w:r>
        <w:rPr>
          <w:rFonts w:ascii="Arial" w:hAnsi="Arial" w:cs="Arial"/>
          <w:sz w:val="22"/>
          <w:szCs w:val="22"/>
        </w:rPr>
        <w:t xml:space="preserve">In conclusion, it is important to understand that the issue of obesity is a major public health concern that needs new and preventative measures. However, traditional methods of addressing the issue of obesity are often ineffective in promoting behaviour change. New technologies in the field of digital health provide new opportunities for individuals to engage in healthy behaviours and be more active in their daily lives. StepFoward is an innovative technology </w:t>
      </w:r>
      <w:r w:rsidR="00AC1AA2">
        <w:rPr>
          <w:rFonts w:ascii="Arial" w:hAnsi="Arial" w:cs="Arial"/>
          <w:sz w:val="22"/>
          <w:szCs w:val="22"/>
        </w:rPr>
        <w:t xml:space="preserve">that is designed as a device for promoting healthy living. It is important to understand that the device has the ability to empower individuals in their daily lives by being able to monitor their activity levels. This device is likely to play an important role in reducing obesity rates in the future. </w:t>
      </w:r>
    </w:p>
    <w:p w14:paraId="2F4A461C" w14:textId="7D40DD64" w:rsidR="00E70CE6" w:rsidRDefault="00E70CE6" w:rsidP="00D468CD">
      <w:pPr>
        <w:spacing w:before="240" w:after="240" w:line="360" w:lineRule="auto"/>
        <w:rPr>
          <w:rFonts w:ascii="Arial" w:hAnsi="Arial" w:cs="Arial"/>
          <w:sz w:val="22"/>
          <w:szCs w:val="22"/>
        </w:rPr>
      </w:pPr>
      <w:r>
        <w:rPr>
          <w:rFonts w:ascii="Arial" w:hAnsi="Arial" w:cs="Arial"/>
          <w:sz w:val="22"/>
          <w:szCs w:val="22"/>
        </w:rPr>
        <w:t xml:space="preserve"> </w:t>
      </w:r>
    </w:p>
    <w:p w14:paraId="5410BCE0" w14:textId="77777777" w:rsidR="00B9492E" w:rsidRPr="00D468CD" w:rsidRDefault="00B9492E" w:rsidP="00D468CD">
      <w:pPr>
        <w:spacing w:before="240" w:after="240" w:line="360" w:lineRule="auto"/>
        <w:rPr>
          <w:rFonts w:ascii="Arial" w:hAnsi="Arial" w:cs="Arial"/>
          <w:sz w:val="22"/>
          <w:szCs w:val="22"/>
        </w:rPr>
      </w:pPr>
    </w:p>
    <w:p w14:paraId="5005E29D" w14:textId="77777777" w:rsidR="005E5CC4" w:rsidRDefault="005E5CC4" w:rsidP="00D468CD">
      <w:pPr>
        <w:spacing w:before="240" w:after="240" w:line="360" w:lineRule="auto"/>
        <w:rPr>
          <w:rFonts w:ascii="Arial" w:hAnsi="Arial" w:cs="Arial"/>
          <w:sz w:val="22"/>
          <w:szCs w:val="22"/>
        </w:rPr>
      </w:pPr>
    </w:p>
    <w:p w14:paraId="2AB2D74E" w14:textId="77777777" w:rsidR="005E5CC4" w:rsidRDefault="005E5CC4" w:rsidP="00D468CD">
      <w:pPr>
        <w:spacing w:before="240" w:after="240" w:line="360" w:lineRule="auto"/>
        <w:rPr>
          <w:rFonts w:ascii="Arial" w:hAnsi="Arial" w:cs="Arial"/>
          <w:sz w:val="22"/>
          <w:szCs w:val="22"/>
        </w:rPr>
      </w:pPr>
    </w:p>
    <w:p w14:paraId="0B7DB09D" w14:textId="77777777" w:rsidR="005E5CC4" w:rsidRDefault="005E5CC4" w:rsidP="00D468CD">
      <w:pPr>
        <w:spacing w:before="240" w:after="240" w:line="360" w:lineRule="auto"/>
        <w:rPr>
          <w:rFonts w:ascii="Arial" w:hAnsi="Arial" w:cs="Arial"/>
          <w:sz w:val="22"/>
          <w:szCs w:val="22"/>
        </w:rPr>
      </w:pPr>
    </w:p>
    <w:p w14:paraId="7B8152DC" w14:textId="77777777" w:rsidR="005E5CC4" w:rsidRDefault="005E5CC4" w:rsidP="00D468CD">
      <w:pPr>
        <w:spacing w:before="240" w:after="240" w:line="360" w:lineRule="auto"/>
        <w:rPr>
          <w:rFonts w:ascii="Arial" w:hAnsi="Arial" w:cs="Arial"/>
          <w:sz w:val="22"/>
          <w:szCs w:val="22"/>
        </w:rPr>
      </w:pPr>
    </w:p>
    <w:p w14:paraId="6A49BE2B" w14:textId="77777777" w:rsidR="005E5CC4" w:rsidRDefault="005E5CC4" w:rsidP="00D468CD">
      <w:pPr>
        <w:spacing w:before="240" w:after="240" w:line="360" w:lineRule="auto"/>
        <w:rPr>
          <w:rFonts w:ascii="Arial" w:hAnsi="Arial" w:cs="Arial"/>
          <w:sz w:val="22"/>
          <w:szCs w:val="22"/>
        </w:rPr>
      </w:pPr>
    </w:p>
    <w:p w14:paraId="77B67348" w14:textId="77777777" w:rsidR="005E5CC4" w:rsidRDefault="005E5CC4" w:rsidP="00D468CD">
      <w:pPr>
        <w:spacing w:before="240" w:after="240" w:line="360" w:lineRule="auto"/>
        <w:rPr>
          <w:rFonts w:ascii="Arial" w:hAnsi="Arial" w:cs="Arial"/>
          <w:sz w:val="22"/>
          <w:szCs w:val="22"/>
        </w:rPr>
      </w:pPr>
    </w:p>
    <w:p w14:paraId="79ED9C10" w14:textId="77777777" w:rsidR="005E5CC4" w:rsidRDefault="005E5CC4" w:rsidP="00D468CD">
      <w:pPr>
        <w:spacing w:before="240" w:after="240" w:line="360" w:lineRule="auto"/>
        <w:rPr>
          <w:rFonts w:ascii="Arial" w:hAnsi="Arial" w:cs="Arial"/>
          <w:sz w:val="22"/>
          <w:szCs w:val="22"/>
        </w:rPr>
      </w:pPr>
    </w:p>
    <w:p w14:paraId="44821567" w14:textId="77777777" w:rsidR="005E5CC4" w:rsidRDefault="005E5CC4" w:rsidP="00D468CD">
      <w:pPr>
        <w:spacing w:before="240" w:after="240" w:line="360" w:lineRule="auto"/>
        <w:rPr>
          <w:rFonts w:ascii="Arial" w:hAnsi="Arial" w:cs="Arial"/>
          <w:sz w:val="22"/>
          <w:szCs w:val="22"/>
        </w:rPr>
      </w:pPr>
    </w:p>
    <w:p w14:paraId="287A3942" w14:textId="77777777" w:rsidR="005E5CC4" w:rsidRDefault="005E5CC4" w:rsidP="00D468CD">
      <w:pPr>
        <w:spacing w:before="240" w:after="240" w:line="360" w:lineRule="auto"/>
        <w:rPr>
          <w:rFonts w:ascii="Arial" w:hAnsi="Arial" w:cs="Arial"/>
          <w:sz w:val="22"/>
          <w:szCs w:val="22"/>
        </w:rPr>
      </w:pPr>
    </w:p>
    <w:p w14:paraId="5C0FFE8A" w14:textId="77777777" w:rsidR="005E5CC4" w:rsidRDefault="005E5CC4" w:rsidP="00D468CD">
      <w:pPr>
        <w:spacing w:before="240" w:after="240" w:line="360" w:lineRule="auto"/>
        <w:rPr>
          <w:rFonts w:ascii="Arial" w:hAnsi="Arial" w:cs="Arial"/>
          <w:sz w:val="22"/>
          <w:szCs w:val="22"/>
        </w:rPr>
      </w:pPr>
    </w:p>
    <w:p w14:paraId="09DA96FE" w14:textId="77777777" w:rsidR="005E5CC4" w:rsidRDefault="005E5CC4" w:rsidP="00D468CD">
      <w:pPr>
        <w:spacing w:before="240" w:after="240" w:line="360" w:lineRule="auto"/>
        <w:rPr>
          <w:rFonts w:ascii="Arial" w:hAnsi="Arial" w:cs="Arial"/>
          <w:sz w:val="22"/>
          <w:szCs w:val="22"/>
        </w:rPr>
      </w:pPr>
    </w:p>
    <w:p w14:paraId="101A8FB2" w14:textId="77777777" w:rsidR="005E5CC4" w:rsidRDefault="005E5CC4" w:rsidP="00D468CD">
      <w:pPr>
        <w:spacing w:before="240" w:after="240" w:line="360" w:lineRule="auto"/>
        <w:rPr>
          <w:rFonts w:ascii="Arial" w:hAnsi="Arial" w:cs="Arial"/>
          <w:sz w:val="22"/>
          <w:szCs w:val="22"/>
        </w:rPr>
      </w:pPr>
    </w:p>
    <w:p w14:paraId="688F3C1A" w14:textId="21DF5708" w:rsidR="00774A61" w:rsidRDefault="00774A61" w:rsidP="00D468CD">
      <w:pPr>
        <w:spacing w:before="240" w:after="240" w:line="360" w:lineRule="auto"/>
        <w:rPr>
          <w:rFonts w:ascii="Arial" w:hAnsi="Arial" w:cs="Arial"/>
          <w:sz w:val="22"/>
          <w:szCs w:val="22"/>
        </w:rPr>
      </w:pPr>
      <w:r w:rsidRPr="00D468CD">
        <w:rPr>
          <w:rFonts w:ascii="Arial" w:hAnsi="Arial" w:cs="Arial"/>
          <w:sz w:val="22"/>
          <w:szCs w:val="22"/>
        </w:rPr>
        <w:lastRenderedPageBreak/>
        <w:t>References:</w:t>
      </w:r>
    </w:p>
    <w:p w14:paraId="2D0B37CB" w14:textId="7733007B" w:rsidR="005251E8" w:rsidRPr="005251E8" w:rsidRDefault="005251E8" w:rsidP="00D468CD">
      <w:pPr>
        <w:spacing w:before="240" w:after="240" w:line="360" w:lineRule="auto"/>
        <w:rPr>
          <w:rFonts w:ascii="Arial" w:hAnsi="Arial" w:cs="Arial"/>
          <w:sz w:val="22"/>
          <w:szCs w:val="22"/>
          <w:lang w:val="en-GB"/>
        </w:rPr>
      </w:pPr>
      <w:r w:rsidRPr="005251E8">
        <w:rPr>
          <w:rFonts w:ascii="Arial" w:hAnsi="Arial" w:cs="Arial"/>
          <w:sz w:val="22"/>
          <w:szCs w:val="22"/>
          <w:lang w:val="en-GB"/>
        </w:rPr>
        <w:t xml:space="preserve">Brickwood, K.-J. </w:t>
      </w:r>
      <w:r w:rsidRPr="005251E8">
        <w:rPr>
          <w:rFonts w:ascii="Arial" w:hAnsi="Arial" w:cs="Arial"/>
          <w:i/>
          <w:iCs/>
          <w:sz w:val="22"/>
          <w:szCs w:val="22"/>
          <w:lang w:val="en-GB"/>
        </w:rPr>
        <w:t>et al.</w:t>
      </w:r>
      <w:r w:rsidRPr="005251E8">
        <w:rPr>
          <w:rFonts w:ascii="Arial" w:hAnsi="Arial" w:cs="Arial"/>
          <w:sz w:val="22"/>
          <w:szCs w:val="22"/>
          <w:lang w:val="en-GB"/>
        </w:rPr>
        <w:t xml:space="preserve"> (2019) “Consumer-Based Wearable Activity Trackers Increase Physical Activity Participation: Systematic Review and Meta-Analysis,” </w:t>
      </w:r>
      <w:r w:rsidRPr="005251E8">
        <w:rPr>
          <w:rFonts w:ascii="Arial" w:hAnsi="Arial" w:cs="Arial"/>
          <w:i/>
          <w:iCs/>
          <w:sz w:val="22"/>
          <w:szCs w:val="22"/>
          <w:lang w:val="en-GB"/>
        </w:rPr>
        <w:t>JMIR mHealth and uHealth</w:t>
      </w:r>
      <w:r w:rsidRPr="005251E8">
        <w:rPr>
          <w:rFonts w:ascii="Arial" w:hAnsi="Arial" w:cs="Arial"/>
          <w:sz w:val="22"/>
          <w:szCs w:val="22"/>
          <w:lang w:val="en-GB"/>
        </w:rPr>
        <w:t xml:space="preserve">, 7(4), p. e11819. Available at: </w:t>
      </w:r>
      <w:hyperlink r:id="rId6" w:history="1">
        <w:r w:rsidRPr="005251E8">
          <w:rPr>
            <w:rStyle w:val="Hyperlink"/>
            <w:rFonts w:ascii="Arial" w:hAnsi="Arial" w:cs="Arial"/>
            <w:sz w:val="22"/>
            <w:szCs w:val="22"/>
            <w:lang w:val="en-GB"/>
          </w:rPr>
          <w:t>https://doi.org/10.2196/11819</w:t>
        </w:r>
      </w:hyperlink>
      <w:r w:rsidRPr="005251E8">
        <w:rPr>
          <w:rFonts w:ascii="Arial" w:hAnsi="Arial" w:cs="Arial"/>
          <w:sz w:val="22"/>
          <w:szCs w:val="22"/>
          <w:lang w:val="en-GB"/>
        </w:rPr>
        <w:t>.</w:t>
      </w:r>
      <w:r>
        <w:rPr>
          <w:rFonts w:ascii="Arial" w:hAnsi="Arial" w:cs="Arial"/>
          <w:sz w:val="22"/>
          <w:szCs w:val="22"/>
          <w:lang w:val="en-GB"/>
        </w:rPr>
        <w:t xml:space="preserve"> </w:t>
      </w:r>
    </w:p>
    <w:p w14:paraId="3CC0A969" w14:textId="0FFF7E77" w:rsidR="005D455A" w:rsidRPr="00D468CD" w:rsidRDefault="005D455A" w:rsidP="00D468CD">
      <w:pPr>
        <w:spacing w:before="240" w:after="240" w:line="360" w:lineRule="auto"/>
        <w:rPr>
          <w:rFonts w:ascii="Arial" w:hAnsi="Arial" w:cs="Arial"/>
          <w:sz w:val="22"/>
          <w:szCs w:val="22"/>
          <w:lang w:val="en-GB"/>
        </w:rPr>
      </w:pPr>
      <w:r w:rsidRPr="005D455A">
        <w:rPr>
          <w:rFonts w:ascii="Arial" w:hAnsi="Arial" w:cs="Arial"/>
          <w:sz w:val="22"/>
          <w:szCs w:val="22"/>
          <w:lang w:val="en-GB"/>
        </w:rPr>
        <w:t xml:space="preserve">Department of Health and Social Care (2019) 'NHS Long Term Plan launched,' </w:t>
      </w:r>
      <w:r w:rsidRPr="005D455A">
        <w:rPr>
          <w:rFonts w:ascii="Arial" w:hAnsi="Arial" w:cs="Arial"/>
          <w:i/>
          <w:iCs/>
          <w:sz w:val="22"/>
          <w:szCs w:val="22"/>
          <w:lang w:val="en-GB"/>
        </w:rPr>
        <w:t>GOV.UK</w:t>
      </w:r>
      <w:r w:rsidRPr="005D455A">
        <w:rPr>
          <w:rFonts w:ascii="Arial" w:hAnsi="Arial" w:cs="Arial"/>
          <w:sz w:val="22"/>
          <w:szCs w:val="22"/>
          <w:lang w:val="en-GB"/>
        </w:rPr>
        <w:t xml:space="preserve">, 7 January. </w:t>
      </w:r>
      <w:hyperlink r:id="rId7" w:history="1">
        <w:r w:rsidRPr="005D455A">
          <w:rPr>
            <w:rStyle w:val="Hyperlink"/>
            <w:rFonts w:ascii="Arial" w:hAnsi="Arial" w:cs="Arial"/>
            <w:sz w:val="22"/>
            <w:szCs w:val="22"/>
            <w:lang w:val="en-GB"/>
          </w:rPr>
          <w:t>https://www.gov.uk/government/news/nhs-long-term-plan-launched</w:t>
        </w:r>
      </w:hyperlink>
      <w:r w:rsidRPr="005D455A">
        <w:rPr>
          <w:rFonts w:ascii="Arial" w:hAnsi="Arial" w:cs="Arial"/>
          <w:sz w:val="22"/>
          <w:szCs w:val="22"/>
          <w:lang w:val="en-GB"/>
        </w:rPr>
        <w:t>.</w:t>
      </w:r>
      <w:r w:rsidRPr="00D468CD">
        <w:rPr>
          <w:rFonts w:ascii="Arial" w:hAnsi="Arial" w:cs="Arial"/>
          <w:sz w:val="22"/>
          <w:szCs w:val="22"/>
          <w:lang w:val="en-GB"/>
        </w:rPr>
        <w:t xml:space="preserve"> (Accessed: March 6, 2026).</w:t>
      </w:r>
    </w:p>
    <w:p w14:paraId="4FEB6CDE" w14:textId="6483597A" w:rsidR="00172A41" w:rsidRPr="00D468CD" w:rsidRDefault="00172A41" w:rsidP="00D468CD">
      <w:pPr>
        <w:spacing w:before="240" w:after="240" w:line="360" w:lineRule="auto"/>
        <w:rPr>
          <w:rFonts w:ascii="Arial" w:hAnsi="Arial" w:cs="Arial"/>
          <w:sz w:val="22"/>
          <w:szCs w:val="22"/>
          <w:lang w:val="en-GB"/>
        </w:rPr>
      </w:pPr>
      <w:r w:rsidRPr="00172A41">
        <w:rPr>
          <w:rFonts w:ascii="Arial" w:hAnsi="Arial" w:cs="Arial"/>
          <w:sz w:val="22"/>
          <w:szCs w:val="22"/>
          <w:lang w:val="en-GB"/>
        </w:rPr>
        <w:t>Department of Health and Social Care (DHSC) (</w:t>
      </w:r>
      <w:r w:rsidRPr="00D468CD">
        <w:rPr>
          <w:rFonts w:ascii="Arial" w:hAnsi="Arial" w:cs="Arial"/>
          <w:sz w:val="22"/>
          <w:szCs w:val="22"/>
          <w:lang w:val="en-GB"/>
        </w:rPr>
        <w:t>2025</w:t>
      </w:r>
      <w:r w:rsidRPr="00172A41">
        <w:rPr>
          <w:rFonts w:ascii="Arial" w:hAnsi="Arial" w:cs="Arial"/>
          <w:sz w:val="22"/>
          <w:szCs w:val="22"/>
          <w:lang w:val="en-GB"/>
        </w:rPr>
        <w:t>)</w:t>
      </w:r>
      <w:r w:rsidRPr="00D468CD">
        <w:rPr>
          <w:rFonts w:ascii="Arial" w:hAnsi="Arial" w:cs="Arial"/>
          <w:sz w:val="22"/>
          <w:szCs w:val="22"/>
          <w:lang w:val="en-GB"/>
        </w:rPr>
        <w:t>.</w:t>
      </w:r>
      <w:r w:rsidRPr="00172A41">
        <w:rPr>
          <w:rFonts w:ascii="Arial" w:hAnsi="Arial" w:cs="Arial"/>
          <w:sz w:val="22"/>
          <w:szCs w:val="22"/>
          <w:lang w:val="en-GB"/>
        </w:rPr>
        <w:t xml:space="preserve"> </w:t>
      </w:r>
      <w:r w:rsidRPr="00172A41">
        <w:rPr>
          <w:rFonts w:ascii="Arial" w:hAnsi="Arial" w:cs="Arial"/>
          <w:i/>
          <w:iCs/>
          <w:sz w:val="22"/>
          <w:szCs w:val="22"/>
          <w:lang w:val="en-GB"/>
        </w:rPr>
        <w:t>Obesity, physical activity and nutrition | Fingertips | Department of Health and Social Care</w:t>
      </w:r>
      <w:r w:rsidRPr="00172A41">
        <w:rPr>
          <w:rFonts w:ascii="Arial" w:hAnsi="Arial" w:cs="Arial"/>
          <w:sz w:val="22"/>
          <w:szCs w:val="22"/>
          <w:lang w:val="en-GB"/>
        </w:rPr>
        <w:t xml:space="preserve">. </w:t>
      </w:r>
      <w:hyperlink r:id="rId8" w:history="1">
        <w:r w:rsidRPr="00172A41">
          <w:rPr>
            <w:rStyle w:val="Hyperlink"/>
            <w:rFonts w:ascii="Arial" w:hAnsi="Arial" w:cs="Arial"/>
            <w:sz w:val="22"/>
            <w:szCs w:val="22"/>
            <w:lang w:val="en-GB"/>
          </w:rPr>
          <w:t>https://fingertips.phe.org.uk/profile/obesity-physical-activity-nutrition</w:t>
        </w:r>
      </w:hyperlink>
      <w:r w:rsidRPr="00172A41">
        <w:rPr>
          <w:rFonts w:ascii="Arial" w:hAnsi="Arial" w:cs="Arial"/>
          <w:sz w:val="22"/>
          <w:szCs w:val="22"/>
          <w:lang w:val="en-GB"/>
        </w:rPr>
        <w:t>.</w:t>
      </w:r>
      <w:r w:rsidRPr="00D468CD">
        <w:rPr>
          <w:rFonts w:ascii="Arial" w:hAnsi="Arial" w:cs="Arial"/>
          <w:sz w:val="22"/>
          <w:szCs w:val="22"/>
          <w:lang w:val="en-GB"/>
        </w:rPr>
        <w:t xml:space="preserve"> (Accessed: March 6, 2026).</w:t>
      </w:r>
    </w:p>
    <w:p w14:paraId="0F4BFFBA" w14:textId="4516230B" w:rsidR="00172A41" w:rsidRPr="00D468CD" w:rsidRDefault="00172A41" w:rsidP="00D468CD">
      <w:pPr>
        <w:spacing w:before="240" w:after="240" w:line="360" w:lineRule="auto"/>
        <w:rPr>
          <w:rFonts w:ascii="Arial" w:hAnsi="Arial" w:cs="Arial"/>
          <w:sz w:val="22"/>
          <w:szCs w:val="22"/>
          <w:lang w:val="en-GB"/>
        </w:rPr>
      </w:pPr>
      <w:r w:rsidRPr="00172A41">
        <w:rPr>
          <w:rFonts w:ascii="Arial" w:hAnsi="Arial" w:cs="Arial"/>
          <w:sz w:val="22"/>
          <w:szCs w:val="22"/>
          <w:lang w:val="en-GB"/>
        </w:rPr>
        <w:t>Department of Health and Social Care (2022)</w:t>
      </w:r>
      <w:r w:rsidRPr="00D468CD">
        <w:rPr>
          <w:rFonts w:ascii="Arial" w:hAnsi="Arial" w:cs="Arial"/>
          <w:sz w:val="22"/>
          <w:szCs w:val="22"/>
          <w:lang w:val="en-GB"/>
        </w:rPr>
        <w:t>.</w:t>
      </w:r>
      <w:r w:rsidRPr="00172A41">
        <w:rPr>
          <w:rFonts w:ascii="Arial" w:hAnsi="Arial" w:cs="Arial"/>
          <w:sz w:val="22"/>
          <w:szCs w:val="22"/>
          <w:lang w:val="en-GB"/>
        </w:rPr>
        <w:t xml:space="preserve"> </w:t>
      </w:r>
      <w:r w:rsidRPr="00172A41">
        <w:rPr>
          <w:rFonts w:ascii="Arial" w:hAnsi="Arial" w:cs="Arial"/>
          <w:i/>
          <w:iCs/>
          <w:sz w:val="22"/>
          <w:szCs w:val="22"/>
          <w:lang w:val="en-GB"/>
        </w:rPr>
        <w:t>A plan for digital health and social care</w:t>
      </w:r>
      <w:r w:rsidRPr="00172A41">
        <w:rPr>
          <w:rFonts w:ascii="Arial" w:hAnsi="Arial" w:cs="Arial"/>
          <w:sz w:val="22"/>
          <w:szCs w:val="22"/>
          <w:lang w:val="en-GB"/>
        </w:rPr>
        <w:t xml:space="preserve">. </w:t>
      </w:r>
      <w:hyperlink r:id="rId9" w:history="1">
        <w:r w:rsidRPr="00172A41">
          <w:rPr>
            <w:rStyle w:val="Hyperlink"/>
            <w:rFonts w:ascii="Arial" w:hAnsi="Arial" w:cs="Arial"/>
            <w:sz w:val="22"/>
            <w:szCs w:val="22"/>
            <w:lang w:val="en-GB"/>
          </w:rPr>
          <w:t>https://www.gov.uk/government/publications/a-plan-for-digital-health-and-social-care</w:t>
        </w:r>
      </w:hyperlink>
      <w:r w:rsidRPr="00172A41">
        <w:rPr>
          <w:rFonts w:ascii="Arial" w:hAnsi="Arial" w:cs="Arial"/>
          <w:sz w:val="22"/>
          <w:szCs w:val="22"/>
          <w:lang w:val="en-GB"/>
        </w:rPr>
        <w:t>.</w:t>
      </w:r>
      <w:r w:rsidRPr="00D468CD">
        <w:rPr>
          <w:rFonts w:ascii="Arial" w:hAnsi="Arial" w:cs="Arial"/>
          <w:sz w:val="22"/>
          <w:szCs w:val="22"/>
          <w:lang w:val="en-GB"/>
        </w:rPr>
        <w:t xml:space="preserve"> (Accessed: March 6, 2026).</w:t>
      </w:r>
    </w:p>
    <w:p w14:paraId="0A3CC0D5" w14:textId="1E0C8D6A" w:rsidR="00CA25E1" w:rsidRPr="00D468CD" w:rsidRDefault="00CA25E1" w:rsidP="00D468CD">
      <w:pPr>
        <w:spacing w:before="240" w:after="240" w:line="360" w:lineRule="auto"/>
        <w:rPr>
          <w:rFonts w:ascii="Arial" w:hAnsi="Arial" w:cs="Arial"/>
          <w:sz w:val="22"/>
          <w:szCs w:val="22"/>
          <w:lang w:val="en-GB"/>
        </w:rPr>
      </w:pPr>
      <w:r w:rsidRPr="00CA25E1">
        <w:rPr>
          <w:rFonts w:ascii="Arial" w:hAnsi="Arial" w:cs="Arial"/>
          <w:sz w:val="22"/>
          <w:szCs w:val="22"/>
          <w:lang w:val="en-GB"/>
        </w:rPr>
        <w:t xml:space="preserve">Ding, D. </w:t>
      </w:r>
      <w:r w:rsidRPr="00CA25E1">
        <w:rPr>
          <w:rFonts w:ascii="Arial" w:hAnsi="Arial" w:cs="Arial"/>
          <w:i/>
          <w:iCs/>
          <w:sz w:val="22"/>
          <w:szCs w:val="22"/>
          <w:lang w:val="en-GB"/>
        </w:rPr>
        <w:t>et al.</w:t>
      </w:r>
      <w:r w:rsidRPr="00CA25E1">
        <w:rPr>
          <w:rFonts w:ascii="Arial" w:hAnsi="Arial" w:cs="Arial"/>
          <w:sz w:val="22"/>
          <w:szCs w:val="22"/>
          <w:lang w:val="en-GB"/>
        </w:rPr>
        <w:t xml:space="preserve"> (2016) “The economic burden of physical inactivity: a global analysis of major non-communicable diseases,” </w:t>
      </w:r>
      <w:r w:rsidRPr="00CA25E1">
        <w:rPr>
          <w:rFonts w:ascii="Arial" w:hAnsi="Arial" w:cs="Arial"/>
          <w:i/>
          <w:iCs/>
          <w:sz w:val="22"/>
          <w:szCs w:val="22"/>
          <w:lang w:val="en-GB"/>
        </w:rPr>
        <w:t>The Lancet (British edition)</w:t>
      </w:r>
      <w:r w:rsidRPr="00CA25E1">
        <w:rPr>
          <w:rFonts w:ascii="Arial" w:hAnsi="Arial" w:cs="Arial"/>
          <w:sz w:val="22"/>
          <w:szCs w:val="22"/>
          <w:lang w:val="en-GB"/>
        </w:rPr>
        <w:t xml:space="preserve">, 388(10051), pp. 1311–1324. Available at: </w:t>
      </w:r>
      <w:hyperlink r:id="rId10" w:history="1">
        <w:r w:rsidRPr="00CA25E1">
          <w:rPr>
            <w:rStyle w:val="Hyperlink"/>
            <w:rFonts w:ascii="Arial" w:hAnsi="Arial" w:cs="Arial"/>
            <w:sz w:val="22"/>
            <w:szCs w:val="22"/>
            <w:lang w:val="en-GB"/>
          </w:rPr>
          <w:t>https://doi.org/10.1016/S0140-6736(16)30383-X</w:t>
        </w:r>
      </w:hyperlink>
      <w:r w:rsidRPr="00CA25E1">
        <w:rPr>
          <w:rFonts w:ascii="Arial" w:hAnsi="Arial" w:cs="Arial"/>
          <w:sz w:val="22"/>
          <w:szCs w:val="22"/>
          <w:lang w:val="en-GB"/>
        </w:rPr>
        <w:t>.</w:t>
      </w:r>
      <w:r w:rsidRPr="00D468CD">
        <w:rPr>
          <w:rFonts w:ascii="Arial" w:hAnsi="Arial" w:cs="Arial"/>
          <w:sz w:val="22"/>
          <w:szCs w:val="22"/>
          <w:lang w:val="en-GB"/>
        </w:rPr>
        <w:t xml:space="preserve"> </w:t>
      </w:r>
      <w:r w:rsidR="00172A41" w:rsidRPr="00D468CD">
        <w:rPr>
          <w:rFonts w:ascii="Arial" w:hAnsi="Arial" w:cs="Arial"/>
          <w:sz w:val="22"/>
          <w:szCs w:val="22"/>
          <w:lang w:val="en-GB"/>
        </w:rPr>
        <w:t>(Accessed: March 6, 2026).</w:t>
      </w:r>
    </w:p>
    <w:p w14:paraId="146693D1" w14:textId="7B3E1368" w:rsidR="00667D54" w:rsidRPr="00D468CD" w:rsidRDefault="00667D54" w:rsidP="00D468CD">
      <w:pPr>
        <w:spacing w:before="240" w:after="240" w:line="360" w:lineRule="auto"/>
        <w:rPr>
          <w:rFonts w:ascii="Arial" w:hAnsi="Arial" w:cs="Arial"/>
          <w:sz w:val="22"/>
          <w:szCs w:val="22"/>
          <w:lang w:val="en-GB"/>
        </w:rPr>
      </w:pPr>
      <w:r w:rsidRPr="00667D54">
        <w:rPr>
          <w:rFonts w:ascii="Arial" w:hAnsi="Arial" w:cs="Arial"/>
          <w:sz w:val="22"/>
          <w:szCs w:val="22"/>
          <w:lang w:val="en-GB"/>
        </w:rPr>
        <w:t xml:space="preserve">Digital Health and Innovation (DHI) (2021) </w:t>
      </w:r>
      <w:r w:rsidRPr="00667D54">
        <w:rPr>
          <w:rFonts w:ascii="Arial" w:hAnsi="Arial" w:cs="Arial"/>
          <w:i/>
          <w:iCs/>
          <w:sz w:val="22"/>
          <w:szCs w:val="22"/>
          <w:lang w:val="en-GB"/>
        </w:rPr>
        <w:t>Global strategy on digital health 2020-2025</w:t>
      </w:r>
      <w:r w:rsidRPr="00667D54">
        <w:rPr>
          <w:rFonts w:ascii="Arial" w:hAnsi="Arial" w:cs="Arial"/>
          <w:sz w:val="22"/>
          <w:szCs w:val="22"/>
          <w:lang w:val="en-GB"/>
        </w:rPr>
        <w:t xml:space="preserve">. </w:t>
      </w:r>
      <w:hyperlink r:id="rId11" w:history="1">
        <w:r w:rsidRPr="00667D54">
          <w:rPr>
            <w:rStyle w:val="Hyperlink"/>
            <w:rFonts w:ascii="Arial" w:hAnsi="Arial" w:cs="Arial"/>
            <w:sz w:val="22"/>
            <w:szCs w:val="22"/>
            <w:lang w:val="en-GB"/>
          </w:rPr>
          <w:t>https://www.who.int/publications/i/item/9789240020924</w:t>
        </w:r>
      </w:hyperlink>
      <w:r w:rsidRPr="00667D54">
        <w:rPr>
          <w:rFonts w:ascii="Arial" w:hAnsi="Arial" w:cs="Arial"/>
          <w:sz w:val="22"/>
          <w:szCs w:val="22"/>
          <w:lang w:val="en-GB"/>
        </w:rPr>
        <w:t>.</w:t>
      </w:r>
      <w:r w:rsidRPr="00D468CD">
        <w:rPr>
          <w:rFonts w:ascii="Arial" w:hAnsi="Arial" w:cs="Arial"/>
          <w:sz w:val="22"/>
          <w:szCs w:val="22"/>
          <w:lang w:val="en-GB"/>
        </w:rPr>
        <w:t xml:space="preserve"> (Accessed: March 6, 2026)</w:t>
      </w:r>
    </w:p>
    <w:p w14:paraId="5B932A2D" w14:textId="754A6F96" w:rsidR="005D455A" w:rsidRPr="00D468CD" w:rsidRDefault="005D455A" w:rsidP="00D468CD">
      <w:pPr>
        <w:spacing w:before="240" w:after="240" w:line="360" w:lineRule="auto"/>
        <w:rPr>
          <w:rFonts w:ascii="Arial" w:hAnsi="Arial" w:cs="Arial"/>
          <w:sz w:val="22"/>
          <w:szCs w:val="22"/>
          <w:lang w:val="en-GB"/>
        </w:rPr>
      </w:pPr>
      <w:r w:rsidRPr="005D455A">
        <w:rPr>
          <w:rFonts w:ascii="Arial" w:hAnsi="Arial" w:cs="Arial"/>
          <w:sz w:val="22"/>
          <w:szCs w:val="22"/>
          <w:lang w:val="en-GB"/>
        </w:rPr>
        <w:t xml:space="preserve">Michie, S., van Stralen, M.M. and West, R. (2011) “The behaviour change wheel: A new method for characterising and designing behaviour change interventions,” </w:t>
      </w:r>
      <w:r w:rsidRPr="005D455A">
        <w:rPr>
          <w:rFonts w:ascii="Arial" w:hAnsi="Arial" w:cs="Arial"/>
          <w:i/>
          <w:iCs/>
          <w:sz w:val="22"/>
          <w:szCs w:val="22"/>
          <w:lang w:val="en-GB"/>
        </w:rPr>
        <w:t xml:space="preserve">Implementation </w:t>
      </w:r>
      <w:proofErr w:type="gramStart"/>
      <w:r w:rsidRPr="00D468CD">
        <w:rPr>
          <w:rFonts w:ascii="Arial" w:hAnsi="Arial" w:cs="Arial"/>
          <w:i/>
          <w:iCs/>
          <w:sz w:val="22"/>
          <w:szCs w:val="22"/>
          <w:lang w:val="en-GB"/>
        </w:rPr>
        <w:t>Science</w:t>
      </w:r>
      <w:r w:rsidRPr="005D455A">
        <w:rPr>
          <w:rFonts w:ascii="Arial" w:hAnsi="Arial" w:cs="Arial"/>
          <w:i/>
          <w:iCs/>
          <w:sz w:val="22"/>
          <w:szCs w:val="22"/>
          <w:lang w:val="en-GB"/>
        </w:rPr>
        <w:t> :</w:t>
      </w:r>
      <w:proofErr w:type="gramEnd"/>
      <w:r w:rsidRPr="005D455A">
        <w:rPr>
          <w:rFonts w:ascii="Arial" w:hAnsi="Arial" w:cs="Arial"/>
          <w:i/>
          <w:iCs/>
          <w:sz w:val="22"/>
          <w:szCs w:val="22"/>
          <w:lang w:val="en-GB"/>
        </w:rPr>
        <w:t xml:space="preserve"> IS</w:t>
      </w:r>
      <w:r w:rsidRPr="005D455A">
        <w:rPr>
          <w:rFonts w:ascii="Arial" w:hAnsi="Arial" w:cs="Arial"/>
          <w:sz w:val="22"/>
          <w:szCs w:val="22"/>
          <w:lang w:val="en-GB"/>
        </w:rPr>
        <w:t xml:space="preserve">, 6(1), pp. 42–42. Available at: </w:t>
      </w:r>
      <w:hyperlink r:id="rId12" w:history="1">
        <w:r w:rsidR="00172A41" w:rsidRPr="005D455A">
          <w:rPr>
            <w:rStyle w:val="Hyperlink"/>
            <w:rFonts w:ascii="Arial" w:hAnsi="Arial" w:cs="Arial"/>
            <w:sz w:val="22"/>
            <w:szCs w:val="22"/>
            <w:lang w:val="en-GB"/>
          </w:rPr>
          <w:t>https://doi.org/10.1186/1748-5908-6-42</w:t>
        </w:r>
      </w:hyperlink>
      <w:r w:rsidRPr="005D455A">
        <w:rPr>
          <w:rFonts w:ascii="Arial" w:hAnsi="Arial" w:cs="Arial"/>
          <w:sz w:val="22"/>
          <w:szCs w:val="22"/>
          <w:lang w:val="en-GB"/>
        </w:rPr>
        <w:t>.</w:t>
      </w:r>
      <w:r w:rsidR="00172A41" w:rsidRPr="00D468CD">
        <w:rPr>
          <w:rFonts w:ascii="Arial" w:hAnsi="Arial" w:cs="Arial"/>
          <w:sz w:val="22"/>
          <w:szCs w:val="22"/>
          <w:lang w:val="en-GB"/>
        </w:rPr>
        <w:t xml:space="preserve"> </w:t>
      </w:r>
    </w:p>
    <w:p w14:paraId="3A097881" w14:textId="4B61E9CE" w:rsidR="00BB3227" w:rsidRPr="00D468CD" w:rsidRDefault="00BB3227" w:rsidP="00D468CD">
      <w:pPr>
        <w:spacing w:before="240" w:after="240" w:line="360" w:lineRule="auto"/>
        <w:rPr>
          <w:rFonts w:ascii="Arial" w:hAnsi="Arial" w:cs="Arial"/>
          <w:sz w:val="22"/>
          <w:szCs w:val="22"/>
          <w:lang w:val="en-GB"/>
        </w:rPr>
      </w:pPr>
      <w:r w:rsidRPr="00BB3227">
        <w:rPr>
          <w:rFonts w:ascii="Arial" w:hAnsi="Arial" w:cs="Arial"/>
          <w:sz w:val="22"/>
          <w:szCs w:val="22"/>
          <w:lang w:val="en-GB"/>
        </w:rPr>
        <w:t xml:space="preserve">NHS Digital (2024) </w:t>
      </w:r>
      <w:r w:rsidRPr="00BB3227">
        <w:rPr>
          <w:rFonts w:ascii="Arial" w:hAnsi="Arial" w:cs="Arial"/>
          <w:i/>
          <w:iCs/>
          <w:sz w:val="22"/>
          <w:szCs w:val="22"/>
          <w:lang w:val="en-GB"/>
        </w:rPr>
        <w:t xml:space="preserve">Health </w:t>
      </w:r>
      <w:r w:rsidRPr="00D468CD">
        <w:rPr>
          <w:rFonts w:ascii="Arial" w:hAnsi="Arial" w:cs="Arial"/>
          <w:i/>
          <w:iCs/>
          <w:sz w:val="22"/>
          <w:szCs w:val="22"/>
          <w:lang w:val="en-GB"/>
        </w:rPr>
        <w:t>Survey</w:t>
      </w:r>
      <w:r w:rsidRPr="00BB3227">
        <w:rPr>
          <w:rFonts w:ascii="Arial" w:hAnsi="Arial" w:cs="Arial"/>
          <w:i/>
          <w:iCs/>
          <w:sz w:val="22"/>
          <w:szCs w:val="22"/>
          <w:lang w:val="en-GB"/>
        </w:rPr>
        <w:t xml:space="preserve"> for England 2024</w:t>
      </w:r>
      <w:r w:rsidRPr="00BB3227">
        <w:rPr>
          <w:rFonts w:ascii="Arial" w:hAnsi="Arial" w:cs="Arial"/>
          <w:sz w:val="22"/>
          <w:szCs w:val="22"/>
          <w:lang w:val="en-GB"/>
        </w:rPr>
        <w:t xml:space="preserve">. </w:t>
      </w:r>
      <w:hyperlink r:id="rId13" w:history="1">
        <w:r w:rsidRPr="00BB3227">
          <w:rPr>
            <w:rStyle w:val="Hyperlink"/>
            <w:rFonts w:ascii="Arial" w:hAnsi="Arial" w:cs="Arial"/>
            <w:sz w:val="22"/>
            <w:szCs w:val="22"/>
            <w:lang w:val="en-GB"/>
          </w:rPr>
          <w:t>https://digital.nhs.uk/data-and-information/publications/statistical/health-survey-for-england/2024#</w:t>
        </w:r>
      </w:hyperlink>
      <w:r w:rsidRPr="00D468CD">
        <w:rPr>
          <w:rFonts w:ascii="Arial" w:hAnsi="Arial" w:cs="Arial"/>
          <w:sz w:val="22"/>
          <w:szCs w:val="22"/>
          <w:lang w:val="en-GB"/>
        </w:rPr>
        <w:t xml:space="preserve"> </w:t>
      </w:r>
      <w:r w:rsidRPr="00BB3227">
        <w:rPr>
          <w:rFonts w:ascii="Arial" w:hAnsi="Arial" w:cs="Arial"/>
          <w:sz w:val="22"/>
          <w:szCs w:val="22"/>
          <w:lang w:val="en-GB"/>
        </w:rPr>
        <w:t xml:space="preserve"> (Accessed: March 6, 2026).</w:t>
      </w:r>
    </w:p>
    <w:p w14:paraId="5781F5BA" w14:textId="15699851" w:rsidR="00BB3227" w:rsidRDefault="00BB3227" w:rsidP="00D468CD">
      <w:pPr>
        <w:spacing w:before="240" w:after="240" w:line="360" w:lineRule="auto"/>
        <w:rPr>
          <w:rFonts w:ascii="Arial" w:hAnsi="Arial" w:cs="Arial"/>
          <w:sz w:val="22"/>
          <w:szCs w:val="22"/>
          <w:lang w:val="en-GB"/>
        </w:rPr>
      </w:pPr>
      <w:r w:rsidRPr="00BB3227">
        <w:rPr>
          <w:rFonts w:ascii="Arial" w:hAnsi="Arial" w:cs="Arial"/>
          <w:i/>
          <w:iCs/>
          <w:sz w:val="22"/>
          <w:szCs w:val="22"/>
          <w:lang w:val="en-GB"/>
        </w:rPr>
        <w:t>Obesity profile: short statistical commentary, May 2025</w:t>
      </w:r>
      <w:r w:rsidRPr="00BB3227">
        <w:rPr>
          <w:rFonts w:ascii="Arial" w:hAnsi="Arial" w:cs="Arial"/>
          <w:sz w:val="22"/>
          <w:szCs w:val="22"/>
          <w:lang w:val="en-GB"/>
        </w:rPr>
        <w:t xml:space="preserve"> (2025). </w:t>
      </w:r>
      <w:hyperlink r:id="rId14" w:history="1">
        <w:r w:rsidRPr="00BB3227">
          <w:rPr>
            <w:rStyle w:val="Hyperlink"/>
            <w:rFonts w:ascii="Arial" w:hAnsi="Arial" w:cs="Arial"/>
            <w:sz w:val="22"/>
            <w:szCs w:val="22"/>
            <w:lang w:val="en-GB"/>
          </w:rPr>
          <w:t>https://www.gov.uk/government/statistics/obesity-profile-may-2025-update/obesity-profile-short-statistical-commentary-may-2025</w:t>
        </w:r>
      </w:hyperlink>
      <w:r w:rsidRPr="00BB3227">
        <w:rPr>
          <w:rFonts w:ascii="Arial" w:hAnsi="Arial" w:cs="Arial"/>
          <w:sz w:val="22"/>
          <w:szCs w:val="22"/>
          <w:lang w:val="en-GB"/>
        </w:rPr>
        <w:t>.</w:t>
      </w:r>
      <w:r w:rsidRPr="00D468CD">
        <w:rPr>
          <w:rFonts w:ascii="Arial" w:hAnsi="Arial" w:cs="Arial"/>
          <w:sz w:val="22"/>
          <w:szCs w:val="22"/>
          <w:lang w:val="en-GB"/>
        </w:rPr>
        <w:t xml:space="preserve"> (Accessed: March 6, 2026)</w:t>
      </w:r>
      <w:r w:rsidR="005D455A" w:rsidRPr="00D468CD">
        <w:rPr>
          <w:rFonts w:ascii="Arial" w:hAnsi="Arial" w:cs="Arial"/>
          <w:sz w:val="22"/>
          <w:szCs w:val="22"/>
          <w:lang w:val="en-GB"/>
        </w:rPr>
        <w:t>.</w:t>
      </w:r>
    </w:p>
    <w:p w14:paraId="6C7D5B11" w14:textId="654C0C5D" w:rsidR="00D468CD" w:rsidRPr="00D468CD" w:rsidRDefault="00D468CD" w:rsidP="00D468CD">
      <w:pPr>
        <w:spacing w:before="240" w:after="240" w:line="360" w:lineRule="auto"/>
        <w:rPr>
          <w:rFonts w:ascii="Arial" w:hAnsi="Arial" w:cs="Arial"/>
          <w:sz w:val="22"/>
          <w:szCs w:val="22"/>
          <w:lang w:val="en-GB"/>
        </w:rPr>
      </w:pPr>
      <w:proofErr w:type="spellStart"/>
      <w:r w:rsidRPr="00D468CD">
        <w:rPr>
          <w:rFonts w:ascii="Arial" w:hAnsi="Arial" w:cs="Arial"/>
          <w:sz w:val="22"/>
          <w:szCs w:val="22"/>
          <w:lang w:val="en-GB"/>
        </w:rPr>
        <w:t>Piwek</w:t>
      </w:r>
      <w:proofErr w:type="spellEnd"/>
      <w:r w:rsidRPr="00D468CD">
        <w:rPr>
          <w:rFonts w:ascii="Arial" w:hAnsi="Arial" w:cs="Arial"/>
          <w:sz w:val="22"/>
          <w:szCs w:val="22"/>
          <w:lang w:val="en-GB"/>
        </w:rPr>
        <w:t xml:space="preserve">, L. </w:t>
      </w:r>
      <w:r w:rsidRPr="00D468CD">
        <w:rPr>
          <w:rFonts w:ascii="Arial" w:hAnsi="Arial" w:cs="Arial"/>
          <w:i/>
          <w:iCs/>
          <w:sz w:val="22"/>
          <w:szCs w:val="22"/>
          <w:lang w:val="en-GB"/>
        </w:rPr>
        <w:t>et al.</w:t>
      </w:r>
      <w:r w:rsidRPr="00D468CD">
        <w:rPr>
          <w:rFonts w:ascii="Arial" w:hAnsi="Arial" w:cs="Arial"/>
          <w:sz w:val="22"/>
          <w:szCs w:val="22"/>
          <w:lang w:val="en-GB"/>
        </w:rPr>
        <w:t xml:space="preserve"> (2016) “The Rise of Consumer Health Wearables: Promises and Barriers,” </w:t>
      </w:r>
      <w:proofErr w:type="spellStart"/>
      <w:r w:rsidRPr="00D468CD">
        <w:rPr>
          <w:rFonts w:ascii="Arial" w:hAnsi="Arial" w:cs="Arial"/>
          <w:i/>
          <w:iCs/>
          <w:sz w:val="22"/>
          <w:szCs w:val="22"/>
          <w:lang w:val="en-GB"/>
        </w:rPr>
        <w:t>PLoS</w:t>
      </w:r>
      <w:proofErr w:type="spellEnd"/>
      <w:r w:rsidRPr="00D468CD">
        <w:rPr>
          <w:rFonts w:ascii="Arial" w:hAnsi="Arial" w:cs="Arial"/>
          <w:i/>
          <w:iCs/>
          <w:sz w:val="22"/>
          <w:szCs w:val="22"/>
          <w:lang w:val="en-GB"/>
        </w:rPr>
        <w:t xml:space="preserve"> medicine</w:t>
      </w:r>
      <w:r w:rsidRPr="00D468CD">
        <w:rPr>
          <w:rFonts w:ascii="Arial" w:hAnsi="Arial" w:cs="Arial"/>
          <w:sz w:val="22"/>
          <w:szCs w:val="22"/>
          <w:lang w:val="en-GB"/>
        </w:rPr>
        <w:t xml:space="preserve">, 13(2), p. e1001953. Available at: </w:t>
      </w:r>
      <w:hyperlink r:id="rId15" w:history="1">
        <w:r w:rsidRPr="00D468CD">
          <w:rPr>
            <w:rStyle w:val="Hyperlink"/>
            <w:rFonts w:ascii="Arial" w:hAnsi="Arial" w:cs="Arial"/>
            <w:sz w:val="22"/>
            <w:szCs w:val="22"/>
            <w:lang w:val="en-GB"/>
          </w:rPr>
          <w:t>https://doi.org/10.1371/journal.pmed.1001953</w:t>
        </w:r>
      </w:hyperlink>
      <w:r w:rsidRPr="00D468CD">
        <w:rPr>
          <w:rFonts w:ascii="Arial" w:hAnsi="Arial" w:cs="Arial"/>
          <w:sz w:val="22"/>
          <w:szCs w:val="22"/>
          <w:lang w:val="en-GB"/>
        </w:rPr>
        <w:t>.</w:t>
      </w:r>
      <w:r>
        <w:rPr>
          <w:rFonts w:ascii="Arial" w:hAnsi="Arial" w:cs="Arial"/>
          <w:sz w:val="22"/>
          <w:szCs w:val="22"/>
          <w:lang w:val="en-GB"/>
        </w:rPr>
        <w:t xml:space="preserve"> </w:t>
      </w:r>
    </w:p>
    <w:p w14:paraId="5FE591E7" w14:textId="0F0509F6" w:rsidR="00BB3227" w:rsidRPr="00D468CD" w:rsidRDefault="00BB3227" w:rsidP="00D468CD">
      <w:pPr>
        <w:spacing w:before="240" w:after="240" w:line="360" w:lineRule="auto"/>
        <w:rPr>
          <w:rFonts w:ascii="Arial" w:hAnsi="Arial" w:cs="Arial"/>
          <w:sz w:val="22"/>
          <w:szCs w:val="22"/>
          <w:lang w:val="en-GB"/>
        </w:rPr>
      </w:pPr>
      <w:r w:rsidRPr="00BB3227">
        <w:rPr>
          <w:rFonts w:ascii="Arial" w:hAnsi="Arial" w:cs="Arial"/>
          <w:i/>
          <w:iCs/>
          <w:sz w:val="22"/>
          <w:szCs w:val="22"/>
          <w:lang w:val="en-GB"/>
        </w:rPr>
        <w:lastRenderedPageBreak/>
        <w:t>Tackling obesity: empowering adults and children to live healthier lives</w:t>
      </w:r>
      <w:r w:rsidRPr="00BB3227">
        <w:rPr>
          <w:rFonts w:ascii="Arial" w:hAnsi="Arial" w:cs="Arial"/>
          <w:sz w:val="22"/>
          <w:szCs w:val="22"/>
          <w:lang w:val="en-GB"/>
        </w:rPr>
        <w:t xml:space="preserve"> (2020). </w:t>
      </w:r>
      <w:hyperlink r:id="rId16" w:history="1">
        <w:r w:rsidRPr="00BB3227">
          <w:rPr>
            <w:rStyle w:val="Hyperlink"/>
            <w:rFonts w:ascii="Arial" w:hAnsi="Arial" w:cs="Arial"/>
            <w:sz w:val="22"/>
            <w:szCs w:val="22"/>
            <w:lang w:val="en-GB"/>
          </w:rPr>
          <w:t>https://www.gov.uk/government/publications/tackling-obesity-government-strategy/tackling-obesity-empowering-adults-and-children-to-live-healthier-lives</w:t>
        </w:r>
      </w:hyperlink>
      <w:r w:rsidRPr="00BB3227">
        <w:rPr>
          <w:rFonts w:ascii="Arial" w:hAnsi="Arial" w:cs="Arial"/>
          <w:sz w:val="22"/>
          <w:szCs w:val="22"/>
          <w:lang w:val="en-GB"/>
        </w:rPr>
        <w:t>.</w:t>
      </w:r>
      <w:r w:rsidRPr="00D468CD">
        <w:rPr>
          <w:rFonts w:ascii="Arial" w:hAnsi="Arial" w:cs="Arial"/>
          <w:sz w:val="22"/>
          <w:szCs w:val="22"/>
          <w:lang w:val="en-GB"/>
        </w:rPr>
        <w:t xml:space="preserve"> (Accessed: March 6, 2026)</w:t>
      </w:r>
      <w:r w:rsidR="005D455A" w:rsidRPr="00D468CD">
        <w:rPr>
          <w:rFonts w:ascii="Arial" w:hAnsi="Arial" w:cs="Arial"/>
          <w:sz w:val="22"/>
          <w:szCs w:val="22"/>
          <w:lang w:val="en-GB"/>
        </w:rPr>
        <w:t>.</w:t>
      </w:r>
    </w:p>
    <w:p w14:paraId="2303E114" w14:textId="09F785ED" w:rsidR="00BB3227" w:rsidRPr="00BB3227" w:rsidRDefault="00BB3227" w:rsidP="00D468CD">
      <w:pPr>
        <w:spacing w:before="240" w:after="240" w:line="360" w:lineRule="auto"/>
        <w:rPr>
          <w:rFonts w:ascii="Arial" w:hAnsi="Arial" w:cs="Arial"/>
          <w:sz w:val="22"/>
          <w:szCs w:val="22"/>
          <w:lang w:val="en-GB"/>
        </w:rPr>
      </w:pPr>
      <w:r w:rsidRPr="00BB3227">
        <w:rPr>
          <w:rFonts w:ascii="Arial" w:hAnsi="Arial" w:cs="Arial"/>
          <w:sz w:val="22"/>
          <w:szCs w:val="22"/>
          <w:lang w:val="en-GB"/>
        </w:rPr>
        <w:t xml:space="preserve">World Health </w:t>
      </w:r>
      <w:r w:rsidRPr="00D468CD">
        <w:rPr>
          <w:rFonts w:ascii="Arial" w:hAnsi="Arial" w:cs="Arial"/>
          <w:sz w:val="22"/>
          <w:szCs w:val="22"/>
          <w:lang w:val="en-GB"/>
        </w:rPr>
        <w:t>Organization</w:t>
      </w:r>
      <w:r w:rsidRPr="00BB3227">
        <w:rPr>
          <w:rFonts w:ascii="Arial" w:hAnsi="Arial" w:cs="Arial"/>
          <w:sz w:val="22"/>
          <w:szCs w:val="22"/>
          <w:lang w:val="en-GB"/>
        </w:rPr>
        <w:t>: WHO (2025)</w:t>
      </w:r>
      <w:r w:rsidRPr="00D468CD">
        <w:rPr>
          <w:rFonts w:ascii="Arial" w:hAnsi="Arial" w:cs="Arial"/>
          <w:sz w:val="22"/>
          <w:szCs w:val="22"/>
          <w:lang w:val="en-GB"/>
        </w:rPr>
        <w:t>.</w:t>
      </w:r>
      <w:r w:rsidRPr="00BB3227">
        <w:rPr>
          <w:rFonts w:ascii="Arial" w:hAnsi="Arial" w:cs="Arial"/>
          <w:sz w:val="22"/>
          <w:szCs w:val="22"/>
          <w:lang w:val="en-GB"/>
        </w:rPr>
        <w:t xml:space="preserve"> </w:t>
      </w:r>
      <w:r w:rsidRPr="00BB3227">
        <w:rPr>
          <w:rFonts w:ascii="Arial" w:hAnsi="Arial" w:cs="Arial"/>
          <w:i/>
          <w:iCs/>
          <w:sz w:val="22"/>
          <w:szCs w:val="22"/>
          <w:lang w:val="en-GB"/>
        </w:rPr>
        <w:t>Obesity and overweight</w:t>
      </w:r>
      <w:r w:rsidRPr="00BB3227">
        <w:rPr>
          <w:rFonts w:ascii="Arial" w:hAnsi="Arial" w:cs="Arial"/>
          <w:sz w:val="22"/>
          <w:szCs w:val="22"/>
          <w:lang w:val="en-GB"/>
        </w:rPr>
        <w:t xml:space="preserve">. </w:t>
      </w:r>
      <w:hyperlink r:id="rId17" w:history="1">
        <w:r w:rsidRPr="00BB3227">
          <w:rPr>
            <w:rStyle w:val="Hyperlink"/>
            <w:rFonts w:ascii="Arial" w:hAnsi="Arial" w:cs="Arial"/>
            <w:sz w:val="22"/>
            <w:szCs w:val="22"/>
            <w:lang w:val="en-GB"/>
          </w:rPr>
          <w:t>https://www.who.int/news-room/fact-sheets/detail/obesity-and-overweight</w:t>
        </w:r>
      </w:hyperlink>
      <w:r w:rsidRPr="00D468CD">
        <w:rPr>
          <w:rFonts w:ascii="Arial" w:hAnsi="Arial" w:cs="Arial"/>
          <w:sz w:val="22"/>
          <w:szCs w:val="22"/>
          <w:lang w:val="en-GB"/>
        </w:rPr>
        <w:t xml:space="preserve"> </w:t>
      </w:r>
      <w:r w:rsidRPr="00BB3227">
        <w:rPr>
          <w:rFonts w:ascii="Arial" w:hAnsi="Arial" w:cs="Arial"/>
          <w:sz w:val="22"/>
          <w:szCs w:val="22"/>
          <w:lang w:val="en-GB"/>
        </w:rPr>
        <w:t xml:space="preserve"> (Accessed: March 6, 2026).</w:t>
      </w:r>
      <w:r w:rsidR="00F0757B">
        <w:rPr>
          <w:rFonts w:ascii="Arial" w:hAnsi="Arial" w:cs="Arial"/>
          <w:sz w:val="22"/>
          <w:szCs w:val="22"/>
          <w:lang w:val="en-GB"/>
        </w:rPr>
        <w:t xml:space="preserve"> </w:t>
      </w:r>
    </w:p>
    <w:p w14:paraId="3E6814C6" w14:textId="77777777" w:rsidR="00BB3227" w:rsidRPr="00BB3227" w:rsidRDefault="00BB3227" w:rsidP="00BB3227">
      <w:pPr>
        <w:spacing w:before="240" w:after="240"/>
        <w:rPr>
          <w:sz w:val="32"/>
          <w:szCs w:val="32"/>
          <w:lang w:val="en-GB"/>
        </w:rPr>
      </w:pPr>
    </w:p>
    <w:p w14:paraId="77D2FC97" w14:textId="77777777" w:rsidR="00BB3227" w:rsidRPr="00BB3227" w:rsidRDefault="00BB3227" w:rsidP="00BB3227">
      <w:pPr>
        <w:spacing w:before="240" w:after="240"/>
        <w:rPr>
          <w:sz w:val="32"/>
          <w:szCs w:val="32"/>
          <w:lang w:val="en-GB"/>
        </w:rPr>
      </w:pPr>
    </w:p>
    <w:p w14:paraId="1E46793E" w14:textId="77777777" w:rsidR="00774A61" w:rsidRPr="00774A61" w:rsidRDefault="00774A61" w:rsidP="00774A61">
      <w:pPr>
        <w:spacing w:before="240" w:after="240"/>
        <w:rPr>
          <w:sz w:val="32"/>
          <w:szCs w:val="32"/>
        </w:rPr>
      </w:pPr>
    </w:p>
    <w:sectPr w:rsidR="00774A61" w:rsidRPr="00774A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6686D"/>
    <w:multiLevelType w:val="hybridMultilevel"/>
    <w:tmpl w:val="243C7144"/>
    <w:lvl w:ilvl="0" w:tplc="D90672FA">
      <w:start w:val="1"/>
      <w:numFmt w:val="decimal"/>
      <w:lvlText w:val="%1."/>
      <w:lvlJc w:val="left"/>
      <w:pPr>
        <w:ind w:left="720" w:hanging="360"/>
      </w:pPr>
    </w:lvl>
    <w:lvl w:ilvl="1" w:tplc="56349A62">
      <w:start w:val="1"/>
      <w:numFmt w:val="lowerLetter"/>
      <w:lvlText w:val="%2."/>
      <w:lvlJc w:val="left"/>
      <w:pPr>
        <w:ind w:left="1440" w:hanging="360"/>
      </w:pPr>
    </w:lvl>
    <w:lvl w:ilvl="2" w:tplc="10D8B1FC">
      <w:start w:val="1"/>
      <w:numFmt w:val="lowerRoman"/>
      <w:lvlText w:val="%3."/>
      <w:lvlJc w:val="right"/>
      <w:pPr>
        <w:ind w:left="2160" w:hanging="180"/>
      </w:pPr>
    </w:lvl>
    <w:lvl w:ilvl="3" w:tplc="B53C5D6C">
      <w:start w:val="1"/>
      <w:numFmt w:val="decimal"/>
      <w:lvlText w:val="%4."/>
      <w:lvlJc w:val="left"/>
      <w:pPr>
        <w:ind w:left="2880" w:hanging="360"/>
      </w:pPr>
    </w:lvl>
    <w:lvl w:ilvl="4" w:tplc="7EB8BC12">
      <w:start w:val="1"/>
      <w:numFmt w:val="lowerLetter"/>
      <w:lvlText w:val="%5."/>
      <w:lvlJc w:val="left"/>
      <w:pPr>
        <w:ind w:left="3600" w:hanging="360"/>
      </w:pPr>
    </w:lvl>
    <w:lvl w:ilvl="5" w:tplc="74742BBC">
      <w:start w:val="1"/>
      <w:numFmt w:val="lowerRoman"/>
      <w:lvlText w:val="%6."/>
      <w:lvlJc w:val="right"/>
      <w:pPr>
        <w:ind w:left="4320" w:hanging="180"/>
      </w:pPr>
    </w:lvl>
    <w:lvl w:ilvl="6" w:tplc="485C5E2C">
      <w:start w:val="1"/>
      <w:numFmt w:val="decimal"/>
      <w:lvlText w:val="%7."/>
      <w:lvlJc w:val="left"/>
      <w:pPr>
        <w:ind w:left="5040" w:hanging="360"/>
      </w:pPr>
    </w:lvl>
    <w:lvl w:ilvl="7" w:tplc="27565758">
      <w:start w:val="1"/>
      <w:numFmt w:val="lowerLetter"/>
      <w:lvlText w:val="%8."/>
      <w:lvlJc w:val="left"/>
      <w:pPr>
        <w:ind w:left="5760" w:hanging="360"/>
      </w:pPr>
    </w:lvl>
    <w:lvl w:ilvl="8" w:tplc="469635DE">
      <w:start w:val="1"/>
      <w:numFmt w:val="lowerRoman"/>
      <w:lvlText w:val="%9."/>
      <w:lvlJc w:val="right"/>
      <w:pPr>
        <w:ind w:left="6480" w:hanging="180"/>
      </w:pPr>
    </w:lvl>
  </w:abstractNum>
  <w:abstractNum w:abstractNumId="1" w15:restartNumberingAfterBreak="0">
    <w:nsid w:val="131F5A98"/>
    <w:multiLevelType w:val="hybridMultilevel"/>
    <w:tmpl w:val="4170EA0E"/>
    <w:lvl w:ilvl="0" w:tplc="A722358C">
      <w:start w:val="1"/>
      <w:numFmt w:val="bullet"/>
      <w:lvlText w:val=""/>
      <w:lvlJc w:val="left"/>
      <w:pPr>
        <w:ind w:left="720" w:hanging="360"/>
      </w:pPr>
      <w:rPr>
        <w:rFonts w:ascii="Symbol" w:hAnsi="Symbol" w:hint="default"/>
      </w:rPr>
    </w:lvl>
    <w:lvl w:ilvl="1" w:tplc="B22609CE">
      <w:start w:val="1"/>
      <w:numFmt w:val="bullet"/>
      <w:lvlText w:val="o"/>
      <w:lvlJc w:val="left"/>
      <w:pPr>
        <w:ind w:left="1440" w:hanging="360"/>
      </w:pPr>
      <w:rPr>
        <w:rFonts w:ascii="Courier New" w:hAnsi="Courier New" w:hint="default"/>
      </w:rPr>
    </w:lvl>
    <w:lvl w:ilvl="2" w:tplc="814CE05C">
      <w:start w:val="1"/>
      <w:numFmt w:val="bullet"/>
      <w:lvlText w:val=""/>
      <w:lvlJc w:val="left"/>
      <w:pPr>
        <w:ind w:left="2160" w:hanging="360"/>
      </w:pPr>
      <w:rPr>
        <w:rFonts w:ascii="Wingdings" w:hAnsi="Wingdings" w:hint="default"/>
      </w:rPr>
    </w:lvl>
    <w:lvl w:ilvl="3" w:tplc="E95CFB02">
      <w:start w:val="1"/>
      <w:numFmt w:val="bullet"/>
      <w:lvlText w:val=""/>
      <w:lvlJc w:val="left"/>
      <w:pPr>
        <w:ind w:left="2880" w:hanging="360"/>
      </w:pPr>
      <w:rPr>
        <w:rFonts w:ascii="Symbol" w:hAnsi="Symbol" w:hint="default"/>
      </w:rPr>
    </w:lvl>
    <w:lvl w:ilvl="4" w:tplc="3C724F44">
      <w:start w:val="1"/>
      <w:numFmt w:val="bullet"/>
      <w:lvlText w:val="o"/>
      <w:lvlJc w:val="left"/>
      <w:pPr>
        <w:ind w:left="3600" w:hanging="360"/>
      </w:pPr>
      <w:rPr>
        <w:rFonts w:ascii="Courier New" w:hAnsi="Courier New" w:hint="default"/>
      </w:rPr>
    </w:lvl>
    <w:lvl w:ilvl="5" w:tplc="4202C9FC">
      <w:start w:val="1"/>
      <w:numFmt w:val="bullet"/>
      <w:lvlText w:val=""/>
      <w:lvlJc w:val="left"/>
      <w:pPr>
        <w:ind w:left="4320" w:hanging="360"/>
      </w:pPr>
      <w:rPr>
        <w:rFonts w:ascii="Wingdings" w:hAnsi="Wingdings" w:hint="default"/>
      </w:rPr>
    </w:lvl>
    <w:lvl w:ilvl="6" w:tplc="740A1684">
      <w:start w:val="1"/>
      <w:numFmt w:val="bullet"/>
      <w:lvlText w:val=""/>
      <w:lvlJc w:val="left"/>
      <w:pPr>
        <w:ind w:left="5040" w:hanging="360"/>
      </w:pPr>
      <w:rPr>
        <w:rFonts w:ascii="Symbol" w:hAnsi="Symbol" w:hint="default"/>
      </w:rPr>
    </w:lvl>
    <w:lvl w:ilvl="7" w:tplc="3A924CA8">
      <w:start w:val="1"/>
      <w:numFmt w:val="bullet"/>
      <w:lvlText w:val="o"/>
      <w:lvlJc w:val="left"/>
      <w:pPr>
        <w:ind w:left="5760" w:hanging="360"/>
      </w:pPr>
      <w:rPr>
        <w:rFonts w:ascii="Courier New" w:hAnsi="Courier New" w:hint="default"/>
      </w:rPr>
    </w:lvl>
    <w:lvl w:ilvl="8" w:tplc="275C5742">
      <w:start w:val="1"/>
      <w:numFmt w:val="bullet"/>
      <w:lvlText w:val=""/>
      <w:lvlJc w:val="left"/>
      <w:pPr>
        <w:ind w:left="6480" w:hanging="360"/>
      </w:pPr>
      <w:rPr>
        <w:rFonts w:ascii="Wingdings" w:hAnsi="Wingdings" w:hint="default"/>
      </w:rPr>
    </w:lvl>
  </w:abstractNum>
  <w:abstractNum w:abstractNumId="2" w15:restartNumberingAfterBreak="0">
    <w:nsid w:val="25C8064A"/>
    <w:multiLevelType w:val="hybridMultilevel"/>
    <w:tmpl w:val="78862786"/>
    <w:lvl w:ilvl="0" w:tplc="BB88C0E2">
      <w:start w:val="1"/>
      <w:numFmt w:val="decimal"/>
      <w:lvlText w:val="%1."/>
      <w:lvlJc w:val="left"/>
      <w:pPr>
        <w:ind w:left="720" w:hanging="360"/>
      </w:pPr>
    </w:lvl>
    <w:lvl w:ilvl="1" w:tplc="20084414">
      <w:start w:val="1"/>
      <w:numFmt w:val="lowerLetter"/>
      <w:lvlText w:val="%2."/>
      <w:lvlJc w:val="left"/>
      <w:pPr>
        <w:ind w:left="1440" w:hanging="360"/>
      </w:pPr>
    </w:lvl>
    <w:lvl w:ilvl="2" w:tplc="2E4A5470">
      <w:start w:val="1"/>
      <w:numFmt w:val="lowerRoman"/>
      <w:lvlText w:val="%3."/>
      <w:lvlJc w:val="right"/>
      <w:pPr>
        <w:ind w:left="2160" w:hanging="180"/>
      </w:pPr>
    </w:lvl>
    <w:lvl w:ilvl="3" w:tplc="C9BCA3FA">
      <w:start w:val="1"/>
      <w:numFmt w:val="decimal"/>
      <w:lvlText w:val="%4."/>
      <w:lvlJc w:val="left"/>
      <w:pPr>
        <w:ind w:left="2880" w:hanging="360"/>
      </w:pPr>
    </w:lvl>
    <w:lvl w:ilvl="4" w:tplc="3932BBE0">
      <w:start w:val="1"/>
      <w:numFmt w:val="lowerLetter"/>
      <w:lvlText w:val="%5."/>
      <w:lvlJc w:val="left"/>
      <w:pPr>
        <w:ind w:left="3600" w:hanging="360"/>
      </w:pPr>
    </w:lvl>
    <w:lvl w:ilvl="5" w:tplc="FACADF5C">
      <w:start w:val="1"/>
      <w:numFmt w:val="lowerRoman"/>
      <w:lvlText w:val="%6."/>
      <w:lvlJc w:val="right"/>
      <w:pPr>
        <w:ind w:left="4320" w:hanging="180"/>
      </w:pPr>
    </w:lvl>
    <w:lvl w:ilvl="6" w:tplc="6A56D45C">
      <w:start w:val="1"/>
      <w:numFmt w:val="decimal"/>
      <w:lvlText w:val="%7."/>
      <w:lvlJc w:val="left"/>
      <w:pPr>
        <w:ind w:left="5040" w:hanging="360"/>
      </w:pPr>
    </w:lvl>
    <w:lvl w:ilvl="7" w:tplc="5470BAB2">
      <w:start w:val="1"/>
      <w:numFmt w:val="lowerLetter"/>
      <w:lvlText w:val="%8."/>
      <w:lvlJc w:val="left"/>
      <w:pPr>
        <w:ind w:left="5760" w:hanging="360"/>
      </w:pPr>
    </w:lvl>
    <w:lvl w:ilvl="8" w:tplc="C8E47BD6">
      <w:start w:val="1"/>
      <w:numFmt w:val="lowerRoman"/>
      <w:lvlText w:val="%9."/>
      <w:lvlJc w:val="right"/>
      <w:pPr>
        <w:ind w:left="6480" w:hanging="180"/>
      </w:pPr>
    </w:lvl>
  </w:abstractNum>
  <w:abstractNum w:abstractNumId="3" w15:restartNumberingAfterBreak="0">
    <w:nsid w:val="299BC482"/>
    <w:multiLevelType w:val="hybridMultilevel"/>
    <w:tmpl w:val="4CA4892A"/>
    <w:lvl w:ilvl="0" w:tplc="8DE622B6">
      <w:start w:val="1"/>
      <w:numFmt w:val="bullet"/>
      <w:lvlText w:val=""/>
      <w:lvlJc w:val="left"/>
      <w:pPr>
        <w:ind w:left="720" w:hanging="360"/>
      </w:pPr>
      <w:rPr>
        <w:rFonts w:ascii="Symbol" w:hAnsi="Symbol" w:hint="default"/>
      </w:rPr>
    </w:lvl>
    <w:lvl w:ilvl="1" w:tplc="E5628D46">
      <w:start w:val="1"/>
      <w:numFmt w:val="bullet"/>
      <w:lvlText w:val="o"/>
      <w:lvlJc w:val="left"/>
      <w:pPr>
        <w:ind w:left="1440" w:hanging="360"/>
      </w:pPr>
      <w:rPr>
        <w:rFonts w:ascii="Courier New" w:hAnsi="Courier New" w:hint="default"/>
      </w:rPr>
    </w:lvl>
    <w:lvl w:ilvl="2" w:tplc="58FACAB6">
      <w:start w:val="1"/>
      <w:numFmt w:val="bullet"/>
      <w:lvlText w:val=""/>
      <w:lvlJc w:val="left"/>
      <w:pPr>
        <w:ind w:left="2160" w:hanging="360"/>
      </w:pPr>
      <w:rPr>
        <w:rFonts w:ascii="Wingdings" w:hAnsi="Wingdings" w:hint="default"/>
      </w:rPr>
    </w:lvl>
    <w:lvl w:ilvl="3" w:tplc="4F1ECC66">
      <w:start w:val="1"/>
      <w:numFmt w:val="bullet"/>
      <w:lvlText w:val=""/>
      <w:lvlJc w:val="left"/>
      <w:pPr>
        <w:ind w:left="2880" w:hanging="360"/>
      </w:pPr>
      <w:rPr>
        <w:rFonts w:ascii="Symbol" w:hAnsi="Symbol" w:hint="default"/>
      </w:rPr>
    </w:lvl>
    <w:lvl w:ilvl="4" w:tplc="E78EEF30">
      <w:start w:val="1"/>
      <w:numFmt w:val="bullet"/>
      <w:lvlText w:val="o"/>
      <w:lvlJc w:val="left"/>
      <w:pPr>
        <w:ind w:left="3600" w:hanging="360"/>
      </w:pPr>
      <w:rPr>
        <w:rFonts w:ascii="Courier New" w:hAnsi="Courier New" w:hint="default"/>
      </w:rPr>
    </w:lvl>
    <w:lvl w:ilvl="5" w:tplc="C6D8D6AA">
      <w:start w:val="1"/>
      <w:numFmt w:val="bullet"/>
      <w:lvlText w:val=""/>
      <w:lvlJc w:val="left"/>
      <w:pPr>
        <w:ind w:left="4320" w:hanging="360"/>
      </w:pPr>
      <w:rPr>
        <w:rFonts w:ascii="Wingdings" w:hAnsi="Wingdings" w:hint="default"/>
      </w:rPr>
    </w:lvl>
    <w:lvl w:ilvl="6" w:tplc="C00E676C">
      <w:start w:val="1"/>
      <w:numFmt w:val="bullet"/>
      <w:lvlText w:val=""/>
      <w:lvlJc w:val="left"/>
      <w:pPr>
        <w:ind w:left="5040" w:hanging="360"/>
      </w:pPr>
      <w:rPr>
        <w:rFonts w:ascii="Symbol" w:hAnsi="Symbol" w:hint="default"/>
      </w:rPr>
    </w:lvl>
    <w:lvl w:ilvl="7" w:tplc="21680DC6">
      <w:start w:val="1"/>
      <w:numFmt w:val="bullet"/>
      <w:lvlText w:val="o"/>
      <w:lvlJc w:val="left"/>
      <w:pPr>
        <w:ind w:left="5760" w:hanging="360"/>
      </w:pPr>
      <w:rPr>
        <w:rFonts w:ascii="Courier New" w:hAnsi="Courier New" w:hint="default"/>
      </w:rPr>
    </w:lvl>
    <w:lvl w:ilvl="8" w:tplc="C40C8BE0">
      <w:start w:val="1"/>
      <w:numFmt w:val="bullet"/>
      <w:lvlText w:val=""/>
      <w:lvlJc w:val="left"/>
      <w:pPr>
        <w:ind w:left="6480" w:hanging="360"/>
      </w:pPr>
      <w:rPr>
        <w:rFonts w:ascii="Wingdings" w:hAnsi="Wingdings" w:hint="default"/>
      </w:rPr>
    </w:lvl>
  </w:abstractNum>
  <w:abstractNum w:abstractNumId="4" w15:restartNumberingAfterBreak="0">
    <w:nsid w:val="34A7EC70"/>
    <w:multiLevelType w:val="hybridMultilevel"/>
    <w:tmpl w:val="418626AE"/>
    <w:lvl w:ilvl="0" w:tplc="64240D94">
      <w:start w:val="1"/>
      <w:numFmt w:val="bullet"/>
      <w:lvlText w:val=""/>
      <w:lvlJc w:val="left"/>
      <w:pPr>
        <w:ind w:left="720" w:hanging="360"/>
      </w:pPr>
      <w:rPr>
        <w:rFonts w:ascii="Symbol" w:hAnsi="Symbol" w:hint="default"/>
      </w:rPr>
    </w:lvl>
    <w:lvl w:ilvl="1" w:tplc="4C20E6C0">
      <w:start w:val="1"/>
      <w:numFmt w:val="bullet"/>
      <w:lvlText w:val="o"/>
      <w:lvlJc w:val="left"/>
      <w:pPr>
        <w:ind w:left="1440" w:hanging="360"/>
      </w:pPr>
      <w:rPr>
        <w:rFonts w:ascii="Courier New" w:hAnsi="Courier New" w:hint="default"/>
      </w:rPr>
    </w:lvl>
    <w:lvl w:ilvl="2" w:tplc="ED8822FC">
      <w:start w:val="1"/>
      <w:numFmt w:val="bullet"/>
      <w:lvlText w:val=""/>
      <w:lvlJc w:val="left"/>
      <w:pPr>
        <w:ind w:left="2160" w:hanging="360"/>
      </w:pPr>
      <w:rPr>
        <w:rFonts w:ascii="Wingdings" w:hAnsi="Wingdings" w:hint="default"/>
      </w:rPr>
    </w:lvl>
    <w:lvl w:ilvl="3" w:tplc="888012C8">
      <w:start w:val="1"/>
      <w:numFmt w:val="bullet"/>
      <w:lvlText w:val=""/>
      <w:lvlJc w:val="left"/>
      <w:pPr>
        <w:ind w:left="2880" w:hanging="360"/>
      </w:pPr>
      <w:rPr>
        <w:rFonts w:ascii="Symbol" w:hAnsi="Symbol" w:hint="default"/>
      </w:rPr>
    </w:lvl>
    <w:lvl w:ilvl="4" w:tplc="EC982900">
      <w:start w:val="1"/>
      <w:numFmt w:val="bullet"/>
      <w:lvlText w:val="o"/>
      <w:lvlJc w:val="left"/>
      <w:pPr>
        <w:ind w:left="3600" w:hanging="360"/>
      </w:pPr>
      <w:rPr>
        <w:rFonts w:ascii="Courier New" w:hAnsi="Courier New" w:hint="default"/>
      </w:rPr>
    </w:lvl>
    <w:lvl w:ilvl="5" w:tplc="5DF84664">
      <w:start w:val="1"/>
      <w:numFmt w:val="bullet"/>
      <w:lvlText w:val=""/>
      <w:lvlJc w:val="left"/>
      <w:pPr>
        <w:ind w:left="4320" w:hanging="360"/>
      </w:pPr>
      <w:rPr>
        <w:rFonts w:ascii="Wingdings" w:hAnsi="Wingdings" w:hint="default"/>
      </w:rPr>
    </w:lvl>
    <w:lvl w:ilvl="6" w:tplc="D338B868">
      <w:start w:val="1"/>
      <w:numFmt w:val="bullet"/>
      <w:lvlText w:val=""/>
      <w:lvlJc w:val="left"/>
      <w:pPr>
        <w:ind w:left="5040" w:hanging="360"/>
      </w:pPr>
      <w:rPr>
        <w:rFonts w:ascii="Symbol" w:hAnsi="Symbol" w:hint="default"/>
      </w:rPr>
    </w:lvl>
    <w:lvl w:ilvl="7" w:tplc="16480C5A">
      <w:start w:val="1"/>
      <w:numFmt w:val="bullet"/>
      <w:lvlText w:val="o"/>
      <w:lvlJc w:val="left"/>
      <w:pPr>
        <w:ind w:left="5760" w:hanging="360"/>
      </w:pPr>
      <w:rPr>
        <w:rFonts w:ascii="Courier New" w:hAnsi="Courier New" w:hint="default"/>
      </w:rPr>
    </w:lvl>
    <w:lvl w:ilvl="8" w:tplc="38B60234">
      <w:start w:val="1"/>
      <w:numFmt w:val="bullet"/>
      <w:lvlText w:val=""/>
      <w:lvlJc w:val="left"/>
      <w:pPr>
        <w:ind w:left="6480" w:hanging="360"/>
      </w:pPr>
      <w:rPr>
        <w:rFonts w:ascii="Wingdings" w:hAnsi="Wingdings" w:hint="default"/>
      </w:rPr>
    </w:lvl>
  </w:abstractNum>
  <w:abstractNum w:abstractNumId="5" w15:restartNumberingAfterBreak="0">
    <w:nsid w:val="4BFECDDC"/>
    <w:multiLevelType w:val="hybridMultilevel"/>
    <w:tmpl w:val="07848FDC"/>
    <w:lvl w:ilvl="0" w:tplc="8034E140">
      <w:start w:val="1"/>
      <w:numFmt w:val="bullet"/>
      <w:lvlText w:val=""/>
      <w:lvlJc w:val="left"/>
      <w:pPr>
        <w:ind w:left="720" w:hanging="360"/>
      </w:pPr>
      <w:rPr>
        <w:rFonts w:ascii="Symbol" w:hAnsi="Symbol" w:hint="default"/>
      </w:rPr>
    </w:lvl>
    <w:lvl w:ilvl="1" w:tplc="CF207DCA">
      <w:start w:val="1"/>
      <w:numFmt w:val="bullet"/>
      <w:lvlText w:val="o"/>
      <w:lvlJc w:val="left"/>
      <w:pPr>
        <w:ind w:left="1440" w:hanging="360"/>
      </w:pPr>
      <w:rPr>
        <w:rFonts w:ascii="Courier New" w:hAnsi="Courier New" w:hint="default"/>
      </w:rPr>
    </w:lvl>
    <w:lvl w:ilvl="2" w:tplc="33B6424E">
      <w:start w:val="1"/>
      <w:numFmt w:val="bullet"/>
      <w:lvlText w:val=""/>
      <w:lvlJc w:val="left"/>
      <w:pPr>
        <w:ind w:left="2160" w:hanging="360"/>
      </w:pPr>
      <w:rPr>
        <w:rFonts w:ascii="Wingdings" w:hAnsi="Wingdings" w:hint="default"/>
      </w:rPr>
    </w:lvl>
    <w:lvl w:ilvl="3" w:tplc="2D2A11F4">
      <w:start w:val="1"/>
      <w:numFmt w:val="bullet"/>
      <w:lvlText w:val=""/>
      <w:lvlJc w:val="left"/>
      <w:pPr>
        <w:ind w:left="2880" w:hanging="360"/>
      </w:pPr>
      <w:rPr>
        <w:rFonts w:ascii="Symbol" w:hAnsi="Symbol" w:hint="default"/>
      </w:rPr>
    </w:lvl>
    <w:lvl w:ilvl="4" w:tplc="05F04C9A">
      <w:start w:val="1"/>
      <w:numFmt w:val="bullet"/>
      <w:lvlText w:val="o"/>
      <w:lvlJc w:val="left"/>
      <w:pPr>
        <w:ind w:left="3600" w:hanging="360"/>
      </w:pPr>
      <w:rPr>
        <w:rFonts w:ascii="Courier New" w:hAnsi="Courier New" w:hint="default"/>
      </w:rPr>
    </w:lvl>
    <w:lvl w:ilvl="5" w:tplc="169CD94C">
      <w:start w:val="1"/>
      <w:numFmt w:val="bullet"/>
      <w:lvlText w:val=""/>
      <w:lvlJc w:val="left"/>
      <w:pPr>
        <w:ind w:left="4320" w:hanging="360"/>
      </w:pPr>
      <w:rPr>
        <w:rFonts w:ascii="Wingdings" w:hAnsi="Wingdings" w:hint="default"/>
      </w:rPr>
    </w:lvl>
    <w:lvl w:ilvl="6" w:tplc="F4E8EC2C">
      <w:start w:val="1"/>
      <w:numFmt w:val="bullet"/>
      <w:lvlText w:val=""/>
      <w:lvlJc w:val="left"/>
      <w:pPr>
        <w:ind w:left="5040" w:hanging="360"/>
      </w:pPr>
      <w:rPr>
        <w:rFonts w:ascii="Symbol" w:hAnsi="Symbol" w:hint="default"/>
      </w:rPr>
    </w:lvl>
    <w:lvl w:ilvl="7" w:tplc="0BDC635E">
      <w:start w:val="1"/>
      <w:numFmt w:val="bullet"/>
      <w:lvlText w:val="o"/>
      <w:lvlJc w:val="left"/>
      <w:pPr>
        <w:ind w:left="5760" w:hanging="360"/>
      </w:pPr>
      <w:rPr>
        <w:rFonts w:ascii="Courier New" w:hAnsi="Courier New" w:hint="default"/>
      </w:rPr>
    </w:lvl>
    <w:lvl w:ilvl="8" w:tplc="9A1E1146">
      <w:start w:val="1"/>
      <w:numFmt w:val="bullet"/>
      <w:lvlText w:val=""/>
      <w:lvlJc w:val="left"/>
      <w:pPr>
        <w:ind w:left="6480" w:hanging="360"/>
      </w:pPr>
      <w:rPr>
        <w:rFonts w:ascii="Wingdings" w:hAnsi="Wingdings" w:hint="default"/>
      </w:rPr>
    </w:lvl>
  </w:abstractNum>
  <w:abstractNum w:abstractNumId="6" w15:restartNumberingAfterBreak="0">
    <w:nsid w:val="588EA77F"/>
    <w:multiLevelType w:val="hybridMultilevel"/>
    <w:tmpl w:val="C75ED3E4"/>
    <w:lvl w:ilvl="0" w:tplc="5D5296DA">
      <w:start w:val="1"/>
      <w:numFmt w:val="bullet"/>
      <w:lvlText w:val=""/>
      <w:lvlJc w:val="left"/>
      <w:pPr>
        <w:ind w:left="720" w:hanging="360"/>
      </w:pPr>
      <w:rPr>
        <w:rFonts w:ascii="Symbol" w:hAnsi="Symbol" w:hint="default"/>
      </w:rPr>
    </w:lvl>
    <w:lvl w:ilvl="1" w:tplc="A0E84E86">
      <w:start w:val="1"/>
      <w:numFmt w:val="bullet"/>
      <w:lvlText w:val="o"/>
      <w:lvlJc w:val="left"/>
      <w:pPr>
        <w:ind w:left="1440" w:hanging="360"/>
      </w:pPr>
      <w:rPr>
        <w:rFonts w:ascii="Courier New" w:hAnsi="Courier New" w:hint="default"/>
      </w:rPr>
    </w:lvl>
    <w:lvl w:ilvl="2" w:tplc="BFF00C82">
      <w:start w:val="1"/>
      <w:numFmt w:val="bullet"/>
      <w:lvlText w:val=""/>
      <w:lvlJc w:val="left"/>
      <w:pPr>
        <w:ind w:left="2160" w:hanging="360"/>
      </w:pPr>
      <w:rPr>
        <w:rFonts w:ascii="Wingdings" w:hAnsi="Wingdings" w:hint="default"/>
      </w:rPr>
    </w:lvl>
    <w:lvl w:ilvl="3" w:tplc="1AB04090">
      <w:start w:val="1"/>
      <w:numFmt w:val="bullet"/>
      <w:lvlText w:val=""/>
      <w:lvlJc w:val="left"/>
      <w:pPr>
        <w:ind w:left="2880" w:hanging="360"/>
      </w:pPr>
      <w:rPr>
        <w:rFonts w:ascii="Symbol" w:hAnsi="Symbol" w:hint="default"/>
      </w:rPr>
    </w:lvl>
    <w:lvl w:ilvl="4" w:tplc="1EB0CEF0">
      <w:start w:val="1"/>
      <w:numFmt w:val="bullet"/>
      <w:lvlText w:val="o"/>
      <w:lvlJc w:val="left"/>
      <w:pPr>
        <w:ind w:left="3600" w:hanging="360"/>
      </w:pPr>
      <w:rPr>
        <w:rFonts w:ascii="Courier New" w:hAnsi="Courier New" w:hint="default"/>
      </w:rPr>
    </w:lvl>
    <w:lvl w:ilvl="5" w:tplc="497ED632">
      <w:start w:val="1"/>
      <w:numFmt w:val="bullet"/>
      <w:lvlText w:val=""/>
      <w:lvlJc w:val="left"/>
      <w:pPr>
        <w:ind w:left="4320" w:hanging="360"/>
      </w:pPr>
      <w:rPr>
        <w:rFonts w:ascii="Wingdings" w:hAnsi="Wingdings" w:hint="default"/>
      </w:rPr>
    </w:lvl>
    <w:lvl w:ilvl="6" w:tplc="DE0053E6">
      <w:start w:val="1"/>
      <w:numFmt w:val="bullet"/>
      <w:lvlText w:val=""/>
      <w:lvlJc w:val="left"/>
      <w:pPr>
        <w:ind w:left="5040" w:hanging="360"/>
      </w:pPr>
      <w:rPr>
        <w:rFonts w:ascii="Symbol" w:hAnsi="Symbol" w:hint="default"/>
      </w:rPr>
    </w:lvl>
    <w:lvl w:ilvl="7" w:tplc="26980D1E">
      <w:start w:val="1"/>
      <w:numFmt w:val="bullet"/>
      <w:lvlText w:val="o"/>
      <w:lvlJc w:val="left"/>
      <w:pPr>
        <w:ind w:left="5760" w:hanging="360"/>
      </w:pPr>
      <w:rPr>
        <w:rFonts w:ascii="Courier New" w:hAnsi="Courier New" w:hint="default"/>
      </w:rPr>
    </w:lvl>
    <w:lvl w:ilvl="8" w:tplc="B290DCF6">
      <w:start w:val="1"/>
      <w:numFmt w:val="bullet"/>
      <w:lvlText w:val=""/>
      <w:lvlJc w:val="left"/>
      <w:pPr>
        <w:ind w:left="6480" w:hanging="360"/>
      </w:pPr>
      <w:rPr>
        <w:rFonts w:ascii="Wingdings" w:hAnsi="Wingdings" w:hint="default"/>
      </w:rPr>
    </w:lvl>
  </w:abstractNum>
  <w:num w:numId="1" w16cid:durableId="2112313475">
    <w:abstractNumId w:val="1"/>
  </w:num>
  <w:num w:numId="2" w16cid:durableId="80950943">
    <w:abstractNumId w:val="4"/>
  </w:num>
  <w:num w:numId="3" w16cid:durableId="1145124740">
    <w:abstractNumId w:val="6"/>
  </w:num>
  <w:num w:numId="4" w16cid:durableId="1781490949">
    <w:abstractNumId w:val="2"/>
  </w:num>
  <w:num w:numId="5" w16cid:durableId="203953620">
    <w:abstractNumId w:val="3"/>
  </w:num>
  <w:num w:numId="6" w16cid:durableId="599338788">
    <w:abstractNumId w:val="0"/>
  </w:num>
  <w:num w:numId="7" w16cid:durableId="21258036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B58A42"/>
    <w:rsid w:val="00094EFD"/>
    <w:rsid w:val="000B7028"/>
    <w:rsid w:val="00172A41"/>
    <w:rsid w:val="0021E23E"/>
    <w:rsid w:val="00452ECC"/>
    <w:rsid w:val="004A62BE"/>
    <w:rsid w:val="004E0BE0"/>
    <w:rsid w:val="005251E8"/>
    <w:rsid w:val="0052704D"/>
    <w:rsid w:val="005275C7"/>
    <w:rsid w:val="00527A5D"/>
    <w:rsid w:val="005C49B9"/>
    <w:rsid w:val="005D455A"/>
    <w:rsid w:val="005E5CC4"/>
    <w:rsid w:val="0060487F"/>
    <w:rsid w:val="00667D54"/>
    <w:rsid w:val="00774A61"/>
    <w:rsid w:val="008170C3"/>
    <w:rsid w:val="00905CCE"/>
    <w:rsid w:val="00AC1AA2"/>
    <w:rsid w:val="00AC5946"/>
    <w:rsid w:val="00B9492E"/>
    <w:rsid w:val="00BB3227"/>
    <w:rsid w:val="00CA25E1"/>
    <w:rsid w:val="00D468CD"/>
    <w:rsid w:val="00E70CE6"/>
    <w:rsid w:val="00F0757B"/>
    <w:rsid w:val="00FE49AD"/>
    <w:rsid w:val="1964076D"/>
    <w:rsid w:val="196A34DB"/>
    <w:rsid w:val="1F0EC539"/>
    <w:rsid w:val="204865EB"/>
    <w:rsid w:val="21387935"/>
    <w:rsid w:val="2AF27038"/>
    <w:rsid w:val="2D919124"/>
    <w:rsid w:val="2E4D956A"/>
    <w:rsid w:val="31B58A42"/>
    <w:rsid w:val="34559496"/>
    <w:rsid w:val="42889998"/>
    <w:rsid w:val="444318E6"/>
    <w:rsid w:val="50B2B50B"/>
    <w:rsid w:val="57491027"/>
    <w:rsid w:val="5836AB14"/>
    <w:rsid w:val="6456F458"/>
    <w:rsid w:val="65E5FE56"/>
    <w:rsid w:val="66FF549F"/>
    <w:rsid w:val="69331178"/>
    <w:rsid w:val="74D08DE2"/>
    <w:rsid w:val="7A81DC47"/>
    <w:rsid w:val="7BA7C9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58A42"/>
  <w15:chartTrackingRefBased/>
  <w15:docId w15:val="{FDA4C42B-BFC7-49B1-8AD4-78F60C906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5E5FE56"/>
    <w:pPr>
      <w:ind w:left="720"/>
      <w:contextualSpacing/>
    </w:pPr>
  </w:style>
  <w:style w:type="character" w:styleId="Hyperlink">
    <w:name w:val="Hyperlink"/>
    <w:basedOn w:val="DefaultParagraphFont"/>
    <w:uiPriority w:val="99"/>
    <w:unhideWhenUsed/>
    <w:rsid w:val="00BB3227"/>
    <w:rPr>
      <w:color w:val="467886" w:themeColor="hyperlink"/>
      <w:u w:val="single"/>
    </w:rPr>
  </w:style>
  <w:style w:type="character" w:styleId="UnresolvedMention">
    <w:name w:val="Unresolved Mention"/>
    <w:basedOn w:val="DefaultParagraphFont"/>
    <w:uiPriority w:val="99"/>
    <w:semiHidden/>
    <w:unhideWhenUsed/>
    <w:rsid w:val="00BB3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gertips.phe.org.uk/profile/obesity-physical-activity-nutrition" TargetMode="External"/><Relationship Id="rId13" Type="http://schemas.openxmlformats.org/officeDocument/2006/relationships/hyperlink" Target="https://digital.nhs.uk/data-and-information/publications/statistical/health-survey-for-england/20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news/nhs-long-term-plan-launched" TargetMode="External"/><Relationship Id="rId12" Type="http://schemas.openxmlformats.org/officeDocument/2006/relationships/hyperlink" Target="https://doi.org/10.1186/1748-5908-6-42" TargetMode="External"/><Relationship Id="rId17" Type="http://schemas.openxmlformats.org/officeDocument/2006/relationships/hyperlink" Target="https://www.who.int/news-room/fact-sheets/detail/obesity-and-overweight" TargetMode="External"/><Relationship Id="rId2" Type="http://schemas.openxmlformats.org/officeDocument/2006/relationships/styles" Target="styles.xml"/><Relationship Id="rId16" Type="http://schemas.openxmlformats.org/officeDocument/2006/relationships/hyperlink" Target="https://www.gov.uk/government/publications/tackling-obesity-government-strategy/tackling-obesity-empowering-adults-and-children-to-live-healthier-lives" TargetMode="External"/><Relationship Id="rId1" Type="http://schemas.openxmlformats.org/officeDocument/2006/relationships/numbering" Target="numbering.xml"/><Relationship Id="rId6" Type="http://schemas.openxmlformats.org/officeDocument/2006/relationships/hyperlink" Target="https://doi.org/10.2196/11819" TargetMode="External"/><Relationship Id="rId11" Type="http://schemas.openxmlformats.org/officeDocument/2006/relationships/hyperlink" Target="https://www.who.int/publications/i/item/9789240020924" TargetMode="External"/><Relationship Id="rId5" Type="http://schemas.openxmlformats.org/officeDocument/2006/relationships/image" Target="media/image1.png"/><Relationship Id="rId15" Type="http://schemas.openxmlformats.org/officeDocument/2006/relationships/hyperlink" Target="https://doi.org/10.1371/journal.pmed.1001953" TargetMode="External"/><Relationship Id="rId10" Type="http://schemas.openxmlformats.org/officeDocument/2006/relationships/hyperlink" Target="https://doi.org/10.1016/S0140-6736(16)30383-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a-plan-for-digital-health-and-social-care" TargetMode="External"/><Relationship Id="rId14" Type="http://schemas.openxmlformats.org/officeDocument/2006/relationships/hyperlink" Target="https://www.gov.uk/government/statistics/obesity-profile-may-2025-update/obesity-profile-short-statistical-commentary-may-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8</Pages>
  <Words>1734</Words>
  <Characters>9887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aminahhaseen@gmail.com</cp:lastModifiedBy>
  <cp:revision>6</cp:revision>
  <dcterms:created xsi:type="dcterms:W3CDTF">2026-03-07T00:50:00Z</dcterms:created>
  <dcterms:modified xsi:type="dcterms:W3CDTF">2026-03-18T12:47:00Z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e0c8b84f-2a5a-4381-9b7c-335d5d53be2b</vt:lpwstr>
  </property>
</Properties>
</file>