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833B5D" w14:textId="43103006" w:rsidR="00D14317" w:rsidRPr="001D3906" w:rsidRDefault="00D14317" w:rsidP="001D3906">
      <w:pPr>
        <w:spacing w:after="0" w:line="360" w:lineRule="auto"/>
        <w:jc w:val="both"/>
        <w:outlineLvl w:val="2"/>
        <w:rPr>
          <w:rFonts w:ascii="Arial" w:hAnsi="Arial" w:cs="Arial"/>
          <w:sz w:val="24"/>
          <w:szCs w:val="24"/>
        </w:rPr>
      </w:pPr>
      <w:bookmarkStart w:id="0" w:name="_Toc217253860"/>
      <w:r w:rsidRPr="001D3906">
        <w:rPr>
          <w:rFonts w:ascii="Arial" w:hAnsi="Arial" w:cs="Arial"/>
          <w:noProof/>
          <w:sz w:val="24"/>
          <w:szCs w:val="24"/>
        </w:rPr>
        <w:drawing>
          <wp:inline distT="0" distB="0" distL="0" distR="0" wp14:anchorId="600336A0" wp14:editId="2951A803">
            <wp:extent cx="5298798" cy="1873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t="16175" b="20190"/>
                    <a:stretch/>
                  </pic:blipFill>
                  <pic:spPr bwMode="auto">
                    <a:xfrm>
                      <a:off x="0" y="0"/>
                      <a:ext cx="5303426" cy="1874886"/>
                    </a:xfrm>
                    <a:prstGeom prst="rect">
                      <a:avLst/>
                    </a:prstGeom>
                    <a:noFill/>
                    <a:ln>
                      <a:noFill/>
                    </a:ln>
                    <a:extLst>
                      <a:ext uri="{53640926-AAD7-44D8-BBD7-CCE9431645EC}">
                        <a14:shadowObscured xmlns:a14="http://schemas.microsoft.com/office/drawing/2010/main"/>
                      </a:ext>
                    </a:extLst>
                  </pic:spPr>
                </pic:pic>
              </a:graphicData>
            </a:graphic>
          </wp:inline>
        </w:drawing>
      </w:r>
      <w:bookmarkEnd w:id="0"/>
    </w:p>
    <w:p w14:paraId="5EC029DA" w14:textId="77777777" w:rsidR="00213F19" w:rsidRDefault="00213F19" w:rsidP="00213F19">
      <w:pPr>
        <w:spacing w:after="0" w:line="360" w:lineRule="auto"/>
        <w:jc w:val="center"/>
        <w:rPr>
          <w:rFonts w:ascii="Arial" w:hAnsi="Arial" w:cs="Arial"/>
          <w:sz w:val="24"/>
          <w:szCs w:val="24"/>
        </w:rPr>
      </w:pPr>
    </w:p>
    <w:p w14:paraId="4791242A" w14:textId="59D1C003" w:rsidR="00227BE0" w:rsidRPr="001D3906" w:rsidRDefault="00D14317" w:rsidP="00213F19">
      <w:pPr>
        <w:spacing w:after="0" w:line="360" w:lineRule="auto"/>
        <w:jc w:val="center"/>
        <w:rPr>
          <w:rFonts w:ascii="Arial" w:hAnsi="Arial" w:cs="Arial"/>
          <w:sz w:val="24"/>
          <w:szCs w:val="24"/>
        </w:rPr>
      </w:pPr>
      <w:r w:rsidRPr="001D3906">
        <w:rPr>
          <w:rFonts w:ascii="Arial" w:hAnsi="Arial" w:cs="Arial"/>
          <w:sz w:val="24"/>
          <w:szCs w:val="24"/>
        </w:rPr>
        <w:t>Programme name</w:t>
      </w:r>
      <w:r w:rsidR="00486408" w:rsidRPr="001D3906">
        <w:rPr>
          <w:rFonts w:ascii="Arial" w:hAnsi="Arial" w:cs="Arial"/>
          <w:sz w:val="24"/>
          <w:szCs w:val="24"/>
        </w:rPr>
        <w:t>: Master of Business Administration</w:t>
      </w:r>
    </w:p>
    <w:p w14:paraId="4E2CCA3C" w14:textId="0DFE553A" w:rsidR="00227BE0" w:rsidRPr="001D3906" w:rsidRDefault="00227BE0" w:rsidP="00213F19">
      <w:pPr>
        <w:spacing w:after="0" w:line="360" w:lineRule="auto"/>
        <w:jc w:val="center"/>
        <w:rPr>
          <w:rFonts w:ascii="Arial" w:hAnsi="Arial" w:cs="Arial"/>
          <w:sz w:val="24"/>
          <w:szCs w:val="24"/>
        </w:rPr>
      </w:pPr>
      <w:r w:rsidRPr="001D3906">
        <w:rPr>
          <w:rFonts w:ascii="Arial" w:hAnsi="Arial" w:cs="Arial"/>
          <w:sz w:val="24"/>
          <w:szCs w:val="24"/>
        </w:rPr>
        <w:t>N</w:t>
      </w:r>
      <w:r w:rsidR="00D14317" w:rsidRPr="001D3906">
        <w:rPr>
          <w:rFonts w:ascii="Arial" w:hAnsi="Arial" w:cs="Arial"/>
          <w:sz w:val="24"/>
          <w:szCs w:val="24"/>
        </w:rPr>
        <w:t xml:space="preserve">ame </w:t>
      </w:r>
      <w:r w:rsidRPr="001D3906">
        <w:rPr>
          <w:rFonts w:ascii="Arial" w:hAnsi="Arial" w:cs="Arial"/>
          <w:sz w:val="24"/>
          <w:szCs w:val="24"/>
        </w:rPr>
        <w:t>of module</w:t>
      </w:r>
      <w:r w:rsidR="00486408" w:rsidRPr="001D3906">
        <w:rPr>
          <w:rFonts w:ascii="Arial" w:hAnsi="Arial" w:cs="Arial"/>
          <w:sz w:val="24"/>
          <w:szCs w:val="24"/>
        </w:rPr>
        <w:t>: Financial Management</w:t>
      </w:r>
    </w:p>
    <w:p w14:paraId="697EC9BC" w14:textId="7118573A" w:rsidR="00227BE0" w:rsidRPr="001D3906" w:rsidRDefault="00227BE0" w:rsidP="00213F19">
      <w:pPr>
        <w:spacing w:after="0" w:line="360" w:lineRule="auto"/>
        <w:jc w:val="center"/>
        <w:rPr>
          <w:rFonts w:ascii="Arial" w:hAnsi="Arial" w:cs="Arial"/>
          <w:sz w:val="24"/>
          <w:szCs w:val="24"/>
        </w:rPr>
      </w:pPr>
      <w:r w:rsidRPr="001D3906">
        <w:rPr>
          <w:rFonts w:ascii="Arial" w:hAnsi="Arial" w:cs="Arial"/>
          <w:sz w:val="24"/>
          <w:szCs w:val="24"/>
        </w:rPr>
        <w:t>C</w:t>
      </w:r>
      <w:r w:rsidR="00D14317" w:rsidRPr="001D3906">
        <w:rPr>
          <w:rFonts w:ascii="Arial" w:hAnsi="Arial" w:cs="Arial"/>
          <w:sz w:val="24"/>
          <w:szCs w:val="24"/>
        </w:rPr>
        <w:t>ode of the module</w:t>
      </w:r>
      <w:r w:rsidR="00486408" w:rsidRPr="001D3906">
        <w:rPr>
          <w:rFonts w:ascii="Arial" w:hAnsi="Arial" w:cs="Arial"/>
          <w:sz w:val="24"/>
          <w:szCs w:val="24"/>
        </w:rPr>
        <w:t>: LCMB7002</w:t>
      </w:r>
    </w:p>
    <w:p w14:paraId="18914761" w14:textId="47579DE9" w:rsidR="00227BE0" w:rsidRPr="00213F19" w:rsidRDefault="00227BE0" w:rsidP="00213F19">
      <w:pPr>
        <w:spacing w:after="0" w:line="360" w:lineRule="auto"/>
        <w:jc w:val="center"/>
        <w:rPr>
          <w:rFonts w:ascii="Arial" w:hAnsi="Arial" w:cs="Arial"/>
          <w:b/>
          <w:bCs/>
          <w:sz w:val="24"/>
          <w:szCs w:val="24"/>
        </w:rPr>
      </w:pPr>
      <w:r w:rsidRPr="00213F19">
        <w:rPr>
          <w:rFonts w:ascii="Arial" w:hAnsi="Arial" w:cs="Arial"/>
          <w:b/>
          <w:bCs/>
          <w:sz w:val="24"/>
          <w:szCs w:val="24"/>
        </w:rPr>
        <w:t>T</w:t>
      </w:r>
      <w:r w:rsidR="00D14317" w:rsidRPr="00213F19">
        <w:rPr>
          <w:rFonts w:ascii="Arial" w:hAnsi="Arial" w:cs="Arial"/>
          <w:b/>
          <w:bCs/>
          <w:sz w:val="24"/>
          <w:szCs w:val="24"/>
        </w:rPr>
        <w:t>itle of the assessment item</w:t>
      </w:r>
      <w:r w:rsidR="00486408" w:rsidRPr="00213F19">
        <w:rPr>
          <w:rFonts w:ascii="Arial" w:hAnsi="Arial" w:cs="Arial"/>
          <w:b/>
          <w:bCs/>
          <w:sz w:val="24"/>
          <w:szCs w:val="24"/>
        </w:rPr>
        <w:t>: Financial performance and management</w:t>
      </w:r>
    </w:p>
    <w:p w14:paraId="2F6A12E1" w14:textId="07D588CC" w:rsidR="00227BE0" w:rsidRPr="001D3906" w:rsidRDefault="00227BE0" w:rsidP="00213F19">
      <w:pPr>
        <w:spacing w:after="0" w:line="360" w:lineRule="auto"/>
        <w:jc w:val="center"/>
        <w:rPr>
          <w:rFonts w:ascii="Arial" w:hAnsi="Arial" w:cs="Arial"/>
          <w:sz w:val="24"/>
          <w:szCs w:val="24"/>
        </w:rPr>
      </w:pPr>
      <w:r w:rsidRPr="001D3906">
        <w:rPr>
          <w:rFonts w:ascii="Arial" w:hAnsi="Arial" w:cs="Arial"/>
          <w:sz w:val="24"/>
          <w:szCs w:val="24"/>
        </w:rPr>
        <w:t>L</w:t>
      </w:r>
      <w:r w:rsidR="00D14317" w:rsidRPr="001D3906">
        <w:rPr>
          <w:rFonts w:ascii="Arial" w:hAnsi="Arial" w:cs="Arial"/>
          <w:sz w:val="24"/>
          <w:szCs w:val="24"/>
        </w:rPr>
        <w:t>ecturer’s name</w:t>
      </w:r>
      <w:r w:rsidR="00A2232A" w:rsidRPr="001D3906">
        <w:rPr>
          <w:rFonts w:ascii="Arial" w:hAnsi="Arial" w:cs="Arial"/>
          <w:sz w:val="24"/>
          <w:szCs w:val="24"/>
        </w:rPr>
        <w:t>: Shengfeng Mei</w:t>
      </w:r>
    </w:p>
    <w:p w14:paraId="633AA58F" w14:textId="3BC658EA" w:rsidR="00227BE0" w:rsidRPr="001D3906" w:rsidRDefault="00227BE0" w:rsidP="00213F19">
      <w:pPr>
        <w:spacing w:after="0" w:line="360" w:lineRule="auto"/>
        <w:jc w:val="center"/>
        <w:rPr>
          <w:rFonts w:ascii="Arial" w:hAnsi="Arial" w:cs="Arial"/>
          <w:sz w:val="24"/>
          <w:szCs w:val="24"/>
        </w:rPr>
      </w:pPr>
      <w:r w:rsidRPr="001D3906">
        <w:rPr>
          <w:rFonts w:ascii="Arial" w:hAnsi="Arial" w:cs="Arial"/>
          <w:sz w:val="24"/>
          <w:szCs w:val="24"/>
        </w:rPr>
        <w:t>Student</w:t>
      </w:r>
      <w:r w:rsidR="00D14317" w:rsidRPr="001D3906">
        <w:rPr>
          <w:rFonts w:ascii="Arial" w:hAnsi="Arial" w:cs="Arial"/>
          <w:sz w:val="24"/>
          <w:szCs w:val="24"/>
        </w:rPr>
        <w:t xml:space="preserve"> name</w:t>
      </w:r>
      <w:r w:rsidR="00A2232A" w:rsidRPr="001D3906">
        <w:rPr>
          <w:rFonts w:ascii="Arial" w:hAnsi="Arial" w:cs="Arial"/>
          <w:sz w:val="24"/>
          <w:szCs w:val="24"/>
        </w:rPr>
        <w:t>:</w:t>
      </w:r>
      <w:r w:rsidR="005B720C">
        <w:rPr>
          <w:rFonts w:ascii="Arial" w:hAnsi="Arial" w:cs="Arial"/>
          <w:sz w:val="24"/>
          <w:szCs w:val="24"/>
        </w:rPr>
        <w:t xml:space="preserve"> </w:t>
      </w:r>
      <w:r w:rsidR="00213D1F">
        <w:rPr>
          <w:rFonts w:ascii="Arial" w:hAnsi="Arial" w:cs="Arial"/>
          <w:sz w:val="24"/>
          <w:szCs w:val="24"/>
        </w:rPr>
        <w:t>Keyur Mukeshbhai Bodar</w:t>
      </w:r>
    </w:p>
    <w:p w14:paraId="13F67F82" w14:textId="703CCA67" w:rsidR="00227BE0" w:rsidRPr="001D3906" w:rsidRDefault="00D14317" w:rsidP="00213F19">
      <w:pPr>
        <w:spacing w:after="0" w:line="360" w:lineRule="auto"/>
        <w:jc w:val="center"/>
        <w:rPr>
          <w:rFonts w:ascii="Arial" w:hAnsi="Arial" w:cs="Arial"/>
          <w:sz w:val="24"/>
          <w:szCs w:val="24"/>
        </w:rPr>
      </w:pPr>
      <w:r w:rsidRPr="001D3906">
        <w:rPr>
          <w:rFonts w:ascii="Arial" w:hAnsi="Arial" w:cs="Arial"/>
          <w:sz w:val="24"/>
          <w:szCs w:val="24"/>
        </w:rPr>
        <w:t>ID of the student</w:t>
      </w:r>
      <w:r w:rsidR="00A2232A" w:rsidRPr="001D3906">
        <w:rPr>
          <w:rFonts w:ascii="Arial" w:hAnsi="Arial" w:cs="Arial"/>
          <w:sz w:val="24"/>
          <w:szCs w:val="24"/>
        </w:rPr>
        <w:t>:</w:t>
      </w:r>
      <w:r w:rsidR="00213D1F">
        <w:rPr>
          <w:rFonts w:ascii="Arial" w:hAnsi="Arial" w:cs="Arial"/>
          <w:sz w:val="24"/>
          <w:szCs w:val="24"/>
        </w:rPr>
        <w:t>2435243</w:t>
      </w:r>
    </w:p>
    <w:p w14:paraId="77561CF9" w14:textId="3C6EACCE" w:rsidR="00227BE0" w:rsidRPr="001D3906" w:rsidRDefault="00227BE0" w:rsidP="00213F19">
      <w:pPr>
        <w:spacing w:after="0" w:line="360" w:lineRule="auto"/>
        <w:jc w:val="center"/>
        <w:rPr>
          <w:rFonts w:ascii="Arial" w:hAnsi="Arial" w:cs="Arial"/>
          <w:sz w:val="24"/>
          <w:szCs w:val="24"/>
        </w:rPr>
      </w:pPr>
      <w:r w:rsidRPr="001D3906">
        <w:rPr>
          <w:rFonts w:ascii="Arial" w:hAnsi="Arial" w:cs="Arial"/>
          <w:sz w:val="24"/>
          <w:szCs w:val="24"/>
        </w:rPr>
        <w:t>W</w:t>
      </w:r>
      <w:r w:rsidR="00D14317" w:rsidRPr="001D3906">
        <w:rPr>
          <w:rFonts w:ascii="Arial" w:hAnsi="Arial" w:cs="Arial"/>
          <w:sz w:val="24"/>
          <w:szCs w:val="24"/>
        </w:rPr>
        <w:t>ord count</w:t>
      </w:r>
      <w:r w:rsidR="00A2232A" w:rsidRPr="001D3906">
        <w:rPr>
          <w:rFonts w:ascii="Arial" w:hAnsi="Arial" w:cs="Arial"/>
          <w:sz w:val="24"/>
          <w:szCs w:val="24"/>
        </w:rPr>
        <w:t>: 5000</w:t>
      </w:r>
    </w:p>
    <w:p w14:paraId="6524B3B4" w14:textId="4DD73F03" w:rsidR="00D14317" w:rsidRPr="001D3906" w:rsidRDefault="00227BE0" w:rsidP="00213F19">
      <w:pPr>
        <w:spacing w:after="0" w:line="360" w:lineRule="auto"/>
        <w:jc w:val="center"/>
        <w:rPr>
          <w:rFonts w:ascii="Arial" w:eastAsia="Times New Roman" w:hAnsi="Arial" w:cs="Arial"/>
          <w:b/>
          <w:bCs/>
          <w:kern w:val="0"/>
          <w:sz w:val="24"/>
          <w:szCs w:val="24"/>
          <w14:ligatures w14:val="none"/>
        </w:rPr>
      </w:pPr>
      <w:r w:rsidRPr="001D3906">
        <w:rPr>
          <w:rFonts w:ascii="Arial" w:hAnsi="Arial" w:cs="Arial"/>
          <w:sz w:val="24"/>
          <w:szCs w:val="24"/>
        </w:rPr>
        <w:t>S</w:t>
      </w:r>
      <w:r w:rsidR="00D14317" w:rsidRPr="001D3906">
        <w:rPr>
          <w:rFonts w:ascii="Arial" w:hAnsi="Arial" w:cs="Arial"/>
          <w:sz w:val="24"/>
          <w:szCs w:val="24"/>
        </w:rPr>
        <w:t>ubmission date</w:t>
      </w:r>
      <w:r w:rsidR="000E7C60" w:rsidRPr="001D3906">
        <w:rPr>
          <w:rFonts w:ascii="Arial" w:hAnsi="Arial" w:cs="Arial"/>
          <w:sz w:val="24"/>
          <w:szCs w:val="24"/>
        </w:rPr>
        <w:t>: 22nd December 2025</w:t>
      </w:r>
    </w:p>
    <w:p w14:paraId="73DC1850" w14:textId="77777777" w:rsidR="00D14317" w:rsidRPr="001D3906" w:rsidRDefault="00D14317" w:rsidP="001D3906">
      <w:pPr>
        <w:spacing w:after="0" w:line="360" w:lineRule="auto"/>
        <w:jc w:val="both"/>
        <w:rPr>
          <w:rFonts w:ascii="Arial" w:hAnsi="Arial" w:cs="Arial"/>
          <w:sz w:val="24"/>
          <w:szCs w:val="24"/>
        </w:rPr>
      </w:pPr>
    </w:p>
    <w:p w14:paraId="06C6DD73" w14:textId="77777777" w:rsidR="00D14317" w:rsidRPr="001D3906" w:rsidRDefault="00D14317" w:rsidP="001D3906">
      <w:pPr>
        <w:spacing w:after="0" w:line="360" w:lineRule="auto"/>
        <w:jc w:val="both"/>
        <w:outlineLvl w:val="2"/>
        <w:rPr>
          <w:rFonts w:ascii="Arial" w:eastAsia="Times New Roman" w:hAnsi="Arial" w:cs="Arial"/>
          <w:b/>
          <w:bCs/>
          <w:kern w:val="0"/>
          <w:sz w:val="24"/>
          <w:szCs w:val="24"/>
          <w14:ligatures w14:val="none"/>
        </w:rPr>
      </w:pPr>
    </w:p>
    <w:p w14:paraId="6E7A733D" w14:textId="77777777" w:rsidR="00D14317" w:rsidRPr="001D3906" w:rsidRDefault="00D14317" w:rsidP="001D3906">
      <w:pPr>
        <w:spacing w:after="0" w:line="360" w:lineRule="auto"/>
        <w:jc w:val="both"/>
        <w:outlineLvl w:val="2"/>
        <w:rPr>
          <w:rFonts w:ascii="Arial" w:eastAsia="Times New Roman" w:hAnsi="Arial" w:cs="Arial"/>
          <w:b/>
          <w:bCs/>
          <w:kern w:val="0"/>
          <w:sz w:val="24"/>
          <w:szCs w:val="24"/>
          <w14:ligatures w14:val="none"/>
        </w:rPr>
      </w:pPr>
    </w:p>
    <w:p w14:paraId="29BAAC4D" w14:textId="77777777" w:rsidR="00D14317" w:rsidRPr="001D3906" w:rsidRDefault="00D14317" w:rsidP="001D3906">
      <w:pPr>
        <w:spacing w:after="0" w:line="360" w:lineRule="auto"/>
        <w:jc w:val="both"/>
        <w:outlineLvl w:val="2"/>
        <w:rPr>
          <w:rFonts w:ascii="Arial" w:eastAsia="Times New Roman" w:hAnsi="Arial" w:cs="Arial"/>
          <w:b/>
          <w:bCs/>
          <w:kern w:val="0"/>
          <w:sz w:val="24"/>
          <w:szCs w:val="24"/>
          <w14:ligatures w14:val="none"/>
        </w:rPr>
      </w:pPr>
    </w:p>
    <w:p w14:paraId="76DA47AD" w14:textId="77777777" w:rsidR="00D14317" w:rsidRPr="001D3906" w:rsidRDefault="00D14317" w:rsidP="001D3906">
      <w:pPr>
        <w:spacing w:after="0" w:line="360" w:lineRule="auto"/>
        <w:jc w:val="both"/>
        <w:outlineLvl w:val="2"/>
        <w:rPr>
          <w:rFonts w:ascii="Arial" w:eastAsia="Times New Roman" w:hAnsi="Arial" w:cs="Arial"/>
          <w:b/>
          <w:bCs/>
          <w:kern w:val="0"/>
          <w:sz w:val="24"/>
          <w:szCs w:val="24"/>
          <w14:ligatures w14:val="none"/>
        </w:rPr>
      </w:pPr>
    </w:p>
    <w:p w14:paraId="2EC36CC4" w14:textId="77777777" w:rsidR="00D14317" w:rsidRPr="001D3906" w:rsidRDefault="00D14317" w:rsidP="001D3906">
      <w:pPr>
        <w:spacing w:after="0" w:line="360" w:lineRule="auto"/>
        <w:jc w:val="both"/>
        <w:outlineLvl w:val="2"/>
        <w:rPr>
          <w:rFonts w:ascii="Arial" w:eastAsia="Times New Roman" w:hAnsi="Arial" w:cs="Arial"/>
          <w:b/>
          <w:bCs/>
          <w:kern w:val="0"/>
          <w:sz w:val="24"/>
          <w:szCs w:val="24"/>
          <w14:ligatures w14:val="none"/>
        </w:rPr>
      </w:pPr>
    </w:p>
    <w:p w14:paraId="4E54EC32" w14:textId="77777777" w:rsidR="00D14317" w:rsidRPr="001D3906" w:rsidRDefault="00D14317" w:rsidP="001D3906">
      <w:pPr>
        <w:spacing w:after="0" w:line="360" w:lineRule="auto"/>
        <w:jc w:val="both"/>
        <w:outlineLvl w:val="2"/>
        <w:rPr>
          <w:rFonts w:ascii="Arial" w:eastAsia="Times New Roman" w:hAnsi="Arial" w:cs="Arial"/>
          <w:b/>
          <w:bCs/>
          <w:kern w:val="0"/>
          <w:sz w:val="24"/>
          <w:szCs w:val="24"/>
          <w14:ligatures w14:val="none"/>
        </w:rPr>
      </w:pPr>
    </w:p>
    <w:p w14:paraId="3E9DCE33" w14:textId="77777777" w:rsidR="00D14317" w:rsidRPr="001D3906" w:rsidRDefault="00D14317" w:rsidP="001D3906">
      <w:pPr>
        <w:spacing w:after="0" w:line="360" w:lineRule="auto"/>
        <w:jc w:val="both"/>
        <w:outlineLvl w:val="2"/>
        <w:rPr>
          <w:rFonts w:ascii="Arial" w:eastAsia="Times New Roman" w:hAnsi="Arial" w:cs="Arial"/>
          <w:b/>
          <w:bCs/>
          <w:kern w:val="0"/>
          <w:sz w:val="24"/>
          <w:szCs w:val="24"/>
          <w14:ligatures w14:val="none"/>
        </w:rPr>
      </w:pPr>
    </w:p>
    <w:p w14:paraId="0038C748" w14:textId="77777777" w:rsidR="00501965" w:rsidRDefault="00501965" w:rsidP="001D3906">
      <w:pPr>
        <w:spacing w:after="0" w:line="360" w:lineRule="auto"/>
        <w:jc w:val="both"/>
        <w:outlineLvl w:val="2"/>
        <w:rPr>
          <w:rFonts w:ascii="Arial" w:eastAsia="Times New Roman" w:hAnsi="Arial" w:cs="Arial"/>
          <w:b/>
          <w:bCs/>
          <w:kern w:val="0"/>
          <w:sz w:val="24"/>
          <w:szCs w:val="24"/>
          <w14:ligatures w14:val="none"/>
        </w:rPr>
      </w:pPr>
    </w:p>
    <w:p w14:paraId="68D3535E" w14:textId="77777777" w:rsidR="00213F19" w:rsidRDefault="00213F19" w:rsidP="001D3906">
      <w:pPr>
        <w:spacing w:after="0" w:line="360" w:lineRule="auto"/>
        <w:jc w:val="both"/>
        <w:outlineLvl w:val="2"/>
        <w:rPr>
          <w:rFonts w:ascii="Arial" w:eastAsia="Times New Roman" w:hAnsi="Arial" w:cs="Arial"/>
          <w:b/>
          <w:bCs/>
          <w:kern w:val="0"/>
          <w:sz w:val="24"/>
          <w:szCs w:val="24"/>
          <w14:ligatures w14:val="none"/>
        </w:rPr>
      </w:pPr>
    </w:p>
    <w:p w14:paraId="34BC81A8" w14:textId="77777777" w:rsidR="00213F19" w:rsidRDefault="00213F19" w:rsidP="001D3906">
      <w:pPr>
        <w:spacing w:after="0" w:line="360" w:lineRule="auto"/>
        <w:jc w:val="both"/>
        <w:outlineLvl w:val="2"/>
        <w:rPr>
          <w:rFonts w:ascii="Arial" w:eastAsia="Times New Roman" w:hAnsi="Arial" w:cs="Arial"/>
          <w:b/>
          <w:bCs/>
          <w:kern w:val="0"/>
          <w:sz w:val="24"/>
          <w:szCs w:val="24"/>
          <w14:ligatures w14:val="none"/>
        </w:rPr>
      </w:pPr>
    </w:p>
    <w:p w14:paraId="6FCA4C0D" w14:textId="77777777" w:rsidR="00213F19" w:rsidRPr="001D3906" w:rsidRDefault="00213F19" w:rsidP="001D3906">
      <w:pPr>
        <w:spacing w:after="0" w:line="360" w:lineRule="auto"/>
        <w:jc w:val="both"/>
        <w:outlineLvl w:val="2"/>
        <w:rPr>
          <w:rFonts w:ascii="Arial" w:eastAsia="Times New Roman" w:hAnsi="Arial" w:cs="Arial"/>
          <w:b/>
          <w:bCs/>
          <w:kern w:val="0"/>
          <w:sz w:val="24"/>
          <w:szCs w:val="24"/>
          <w14:ligatures w14:val="none"/>
        </w:rPr>
      </w:pPr>
    </w:p>
    <w:p w14:paraId="7E1153A9" w14:textId="77777777" w:rsidR="00501965" w:rsidRPr="001D3906" w:rsidRDefault="00501965" w:rsidP="001D3906">
      <w:pPr>
        <w:spacing w:after="0" w:line="360" w:lineRule="auto"/>
        <w:jc w:val="both"/>
        <w:outlineLvl w:val="2"/>
        <w:rPr>
          <w:rFonts w:ascii="Arial" w:eastAsia="Times New Roman" w:hAnsi="Arial" w:cs="Arial"/>
          <w:b/>
          <w:bCs/>
          <w:kern w:val="0"/>
          <w:sz w:val="24"/>
          <w:szCs w:val="24"/>
          <w14:ligatures w14:val="none"/>
        </w:rPr>
      </w:pPr>
    </w:p>
    <w:sdt>
      <w:sdtPr>
        <w:rPr>
          <w:rFonts w:ascii="Arial" w:eastAsiaTheme="minorHAnsi" w:hAnsi="Arial" w:cs="Arial"/>
          <w:color w:val="auto"/>
          <w:kern w:val="2"/>
          <w:sz w:val="24"/>
          <w:szCs w:val="24"/>
          <w14:ligatures w14:val="standardContextual"/>
        </w:rPr>
        <w:id w:val="685335478"/>
        <w:docPartObj>
          <w:docPartGallery w:val="Table of Contents"/>
          <w:docPartUnique/>
        </w:docPartObj>
      </w:sdtPr>
      <w:sdtEndPr>
        <w:rPr>
          <w:b/>
          <w:bCs/>
          <w:noProof/>
        </w:rPr>
      </w:sdtEndPr>
      <w:sdtContent>
        <w:p w14:paraId="3547F452" w14:textId="396FE33A" w:rsidR="00501965" w:rsidRPr="001D3906" w:rsidRDefault="00501965" w:rsidP="001D3906">
          <w:pPr>
            <w:pStyle w:val="TOCHeading"/>
            <w:spacing w:before="0" w:line="360" w:lineRule="auto"/>
            <w:jc w:val="both"/>
            <w:rPr>
              <w:rFonts w:ascii="Arial" w:hAnsi="Arial" w:cs="Arial"/>
              <w:sz w:val="24"/>
              <w:szCs w:val="24"/>
            </w:rPr>
          </w:pPr>
          <w:r w:rsidRPr="001D3906">
            <w:rPr>
              <w:rFonts w:ascii="Arial" w:hAnsi="Arial" w:cs="Arial"/>
              <w:sz w:val="24"/>
              <w:szCs w:val="24"/>
            </w:rPr>
            <w:t>Table of Contents</w:t>
          </w:r>
        </w:p>
        <w:p w14:paraId="4AACEAC9" w14:textId="369F9C13" w:rsidR="00501965" w:rsidRPr="001D3906" w:rsidRDefault="00501965" w:rsidP="001D3906">
          <w:pPr>
            <w:pStyle w:val="TOC3"/>
            <w:tabs>
              <w:tab w:val="right" w:leader="dot" w:pos="9350"/>
            </w:tabs>
            <w:spacing w:after="0" w:line="360" w:lineRule="auto"/>
            <w:jc w:val="both"/>
            <w:rPr>
              <w:rFonts w:ascii="Arial" w:hAnsi="Arial" w:cs="Arial"/>
              <w:noProof/>
              <w:sz w:val="24"/>
              <w:szCs w:val="24"/>
            </w:rPr>
          </w:pPr>
          <w:r w:rsidRPr="001D3906">
            <w:rPr>
              <w:rFonts w:ascii="Arial" w:hAnsi="Arial" w:cs="Arial"/>
              <w:sz w:val="24"/>
              <w:szCs w:val="24"/>
            </w:rPr>
            <w:fldChar w:fldCharType="begin"/>
          </w:r>
          <w:r w:rsidRPr="001D3906">
            <w:rPr>
              <w:rFonts w:ascii="Arial" w:hAnsi="Arial" w:cs="Arial"/>
              <w:sz w:val="24"/>
              <w:szCs w:val="24"/>
            </w:rPr>
            <w:instrText xml:space="preserve"> TOC \o "1-3" \h \z \u </w:instrText>
          </w:r>
          <w:r w:rsidRPr="001D3906">
            <w:rPr>
              <w:rFonts w:ascii="Arial" w:hAnsi="Arial" w:cs="Arial"/>
              <w:sz w:val="24"/>
              <w:szCs w:val="24"/>
            </w:rPr>
            <w:fldChar w:fldCharType="separate"/>
          </w:r>
          <w:hyperlink w:anchor="_Toc217253861" w:history="1">
            <w:r w:rsidRPr="001D3906">
              <w:rPr>
                <w:rStyle w:val="Hyperlink"/>
                <w:rFonts w:ascii="Arial" w:eastAsia="Times New Roman" w:hAnsi="Arial" w:cs="Arial"/>
                <w:noProof/>
                <w:sz w:val="24"/>
                <w:szCs w:val="24"/>
              </w:rPr>
              <w:t>Introduction</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_Toc217253861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4</w:t>
            </w:r>
            <w:r w:rsidRPr="001D3906">
              <w:rPr>
                <w:rFonts w:ascii="Arial" w:hAnsi="Arial" w:cs="Arial"/>
                <w:noProof/>
                <w:webHidden/>
                <w:sz w:val="24"/>
                <w:szCs w:val="24"/>
              </w:rPr>
              <w:fldChar w:fldCharType="end"/>
            </w:r>
          </w:hyperlink>
        </w:p>
        <w:p w14:paraId="66B80F50" w14:textId="60733FF4" w:rsidR="00501965" w:rsidRPr="001D3906" w:rsidRDefault="00501965" w:rsidP="001D3906">
          <w:pPr>
            <w:pStyle w:val="TOC1"/>
            <w:tabs>
              <w:tab w:val="right" w:leader="dot" w:pos="9350"/>
            </w:tabs>
            <w:spacing w:after="0" w:line="360" w:lineRule="auto"/>
            <w:jc w:val="both"/>
            <w:rPr>
              <w:rFonts w:ascii="Arial" w:hAnsi="Arial" w:cs="Arial"/>
              <w:noProof/>
              <w:sz w:val="24"/>
              <w:szCs w:val="24"/>
            </w:rPr>
          </w:pPr>
          <w:hyperlink w:anchor="_Toc217253862" w:history="1">
            <w:r w:rsidRPr="001D3906">
              <w:rPr>
                <w:rStyle w:val="Hyperlink"/>
                <w:rFonts w:ascii="Arial" w:hAnsi="Arial" w:cs="Arial"/>
                <w:noProof/>
                <w:sz w:val="24"/>
                <w:szCs w:val="24"/>
              </w:rPr>
              <w:t>1. Financial Health Check</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_Toc217253862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4</w:t>
            </w:r>
            <w:r w:rsidRPr="001D3906">
              <w:rPr>
                <w:rFonts w:ascii="Arial" w:hAnsi="Arial" w:cs="Arial"/>
                <w:noProof/>
                <w:webHidden/>
                <w:sz w:val="24"/>
                <w:szCs w:val="24"/>
              </w:rPr>
              <w:fldChar w:fldCharType="end"/>
            </w:r>
          </w:hyperlink>
        </w:p>
        <w:p w14:paraId="3E30584A" w14:textId="269F8D63"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63" w:history="1">
            <w:r w:rsidRPr="001D3906">
              <w:rPr>
                <w:rStyle w:val="Hyperlink"/>
                <w:rFonts w:ascii="Arial" w:hAnsi="Arial" w:cs="Arial"/>
                <w:noProof/>
                <w:sz w:val="24"/>
                <w:szCs w:val="24"/>
              </w:rPr>
              <w:t>1.1 Profitability Analysis</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_Toc217253863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4</w:t>
            </w:r>
            <w:r w:rsidRPr="001D3906">
              <w:rPr>
                <w:rFonts w:ascii="Arial" w:hAnsi="Arial" w:cs="Arial"/>
                <w:noProof/>
                <w:webHidden/>
                <w:sz w:val="24"/>
                <w:szCs w:val="24"/>
              </w:rPr>
              <w:fldChar w:fldCharType="end"/>
            </w:r>
          </w:hyperlink>
        </w:p>
        <w:p w14:paraId="5FB7DBC2" w14:textId="5E7F5BF1"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64" w:history="1">
            <w:r w:rsidRPr="001D3906">
              <w:rPr>
                <w:rStyle w:val="Hyperlink"/>
                <w:rFonts w:ascii="Arial" w:hAnsi="Arial" w:cs="Arial"/>
                <w:noProof/>
                <w:sz w:val="24"/>
                <w:szCs w:val="24"/>
              </w:rPr>
              <w:t>1.2 Liquidity Analysis</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_Toc217253864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5</w:t>
            </w:r>
            <w:r w:rsidRPr="001D3906">
              <w:rPr>
                <w:rFonts w:ascii="Arial" w:hAnsi="Arial" w:cs="Arial"/>
                <w:noProof/>
                <w:webHidden/>
                <w:sz w:val="24"/>
                <w:szCs w:val="24"/>
              </w:rPr>
              <w:fldChar w:fldCharType="end"/>
            </w:r>
          </w:hyperlink>
        </w:p>
        <w:p w14:paraId="2B768941" w14:textId="6029E010"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65" w:history="1">
            <w:r w:rsidRPr="001D3906">
              <w:rPr>
                <w:rStyle w:val="Hyperlink"/>
                <w:rFonts w:ascii="Arial" w:hAnsi="Arial" w:cs="Arial"/>
                <w:noProof/>
                <w:sz w:val="24"/>
                <w:szCs w:val="24"/>
              </w:rPr>
              <w:t>1.3 Efficiency Analysis</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_Toc217253865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6</w:t>
            </w:r>
            <w:r w:rsidRPr="001D3906">
              <w:rPr>
                <w:rFonts w:ascii="Arial" w:hAnsi="Arial" w:cs="Arial"/>
                <w:noProof/>
                <w:webHidden/>
                <w:sz w:val="24"/>
                <w:szCs w:val="24"/>
              </w:rPr>
              <w:fldChar w:fldCharType="end"/>
            </w:r>
          </w:hyperlink>
        </w:p>
        <w:p w14:paraId="7D7C4C0A" w14:textId="42CE275A"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66" w:history="1">
            <w:r w:rsidRPr="001D3906">
              <w:rPr>
                <w:rStyle w:val="Hyperlink"/>
                <w:rFonts w:ascii="Arial" w:hAnsi="Arial" w:cs="Arial"/>
                <w:noProof/>
                <w:sz w:val="24"/>
                <w:szCs w:val="24"/>
              </w:rPr>
              <w:t>1.4 Gearing and Solvency Analysis</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_Toc217253866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7</w:t>
            </w:r>
            <w:r w:rsidRPr="001D3906">
              <w:rPr>
                <w:rFonts w:ascii="Arial" w:hAnsi="Arial" w:cs="Arial"/>
                <w:noProof/>
                <w:webHidden/>
                <w:sz w:val="24"/>
                <w:szCs w:val="24"/>
              </w:rPr>
              <w:fldChar w:fldCharType="end"/>
            </w:r>
          </w:hyperlink>
        </w:p>
        <w:p w14:paraId="247E1C23" w14:textId="1AFEC360"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67" w:history="1">
            <w:r w:rsidRPr="001D3906">
              <w:rPr>
                <w:rStyle w:val="Hyperlink"/>
                <w:rFonts w:ascii="Arial" w:hAnsi="Arial" w:cs="Arial"/>
                <w:noProof/>
                <w:sz w:val="24"/>
                <w:szCs w:val="24"/>
              </w:rPr>
              <w:t>1.5 Cash Flow Analysis</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_Toc217253867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8</w:t>
            </w:r>
            <w:r w:rsidRPr="001D3906">
              <w:rPr>
                <w:rFonts w:ascii="Arial" w:hAnsi="Arial" w:cs="Arial"/>
                <w:noProof/>
                <w:webHidden/>
                <w:sz w:val="24"/>
                <w:szCs w:val="24"/>
              </w:rPr>
              <w:fldChar w:fldCharType="end"/>
            </w:r>
          </w:hyperlink>
        </w:p>
        <w:p w14:paraId="150A31F9" w14:textId="426C36BE"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68" w:history="1">
            <w:r w:rsidRPr="001D3906">
              <w:rPr>
                <w:rStyle w:val="Hyperlink"/>
                <w:rFonts w:ascii="Arial" w:hAnsi="Arial" w:cs="Arial"/>
                <w:noProof/>
                <w:sz w:val="24"/>
                <w:szCs w:val="24"/>
              </w:rPr>
              <w:t>1.6 Investment Performance Analysis</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_Toc217253868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8</w:t>
            </w:r>
            <w:r w:rsidRPr="001D3906">
              <w:rPr>
                <w:rFonts w:ascii="Arial" w:hAnsi="Arial" w:cs="Arial"/>
                <w:noProof/>
                <w:webHidden/>
                <w:sz w:val="24"/>
                <w:szCs w:val="24"/>
              </w:rPr>
              <w:fldChar w:fldCharType="end"/>
            </w:r>
          </w:hyperlink>
        </w:p>
        <w:p w14:paraId="432BED55" w14:textId="6DE0FA98"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69" w:history="1">
            <w:r w:rsidRPr="001D3906">
              <w:rPr>
                <w:rStyle w:val="Hyperlink"/>
                <w:rFonts w:ascii="Arial" w:hAnsi="Arial" w:cs="Arial"/>
                <w:noProof/>
                <w:sz w:val="24"/>
                <w:szCs w:val="24"/>
              </w:rPr>
              <w:t>1.7 Corporate Failure Prediction (Altman Z-Score)</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_Toc217253869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9</w:t>
            </w:r>
            <w:r w:rsidRPr="001D3906">
              <w:rPr>
                <w:rFonts w:ascii="Arial" w:hAnsi="Arial" w:cs="Arial"/>
                <w:noProof/>
                <w:webHidden/>
                <w:sz w:val="24"/>
                <w:szCs w:val="24"/>
              </w:rPr>
              <w:fldChar w:fldCharType="end"/>
            </w:r>
          </w:hyperlink>
        </w:p>
        <w:p w14:paraId="073CA17C" w14:textId="2B890E39" w:rsidR="00501965" w:rsidRPr="001D3906" w:rsidRDefault="00501965" w:rsidP="001D3906">
          <w:pPr>
            <w:pStyle w:val="TOC1"/>
            <w:tabs>
              <w:tab w:val="right" w:leader="dot" w:pos="9350"/>
            </w:tabs>
            <w:spacing w:after="0" w:line="360" w:lineRule="auto"/>
            <w:jc w:val="both"/>
            <w:rPr>
              <w:rFonts w:ascii="Arial" w:hAnsi="Arial" w:cs="Arial"/>
              <w:noProof/>
              <w:sz w:val="24"/>
              <w:szCs w:val="24"/>
            </w:rPr>
          </w:pPr>
          <w:hyperlink w:anchor="_Toc217253870" w:history="1">
            <w:r w:rsidRPr="001D3906">
              <w:rPr>
                <w:rStyle w:val="Hyperlink"/>
                <w:rFonts w:ascii="Arial" w:eastAsia="Times New Roman" w:hAnsi="Arial" w:cs="Arial"/>
                <w:noProof/>
                <w:sz w:val="24"/>
                <w:szCs w:val="24"/>
              </w:rPr>
              <w:t>2. Working Capital Management Analysis</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_Toc217253870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10</w:t>
            </w:r>
            <w:r w:rsidRPr="001D3906">
              <w:rPr>
                <w:rFonts w:ascii="Arial" w:hAnsi="Arial" w:cs="Arial"/>
                <w:noProof/>
                <w:webHidden/>
                <w:sz w:val="24"/>
                <w:szCs w:val="24"/>
              </w:rPr>
              <w:fldChar w:fldCharType="end"/>
            </w:r>
          </w:hyperlink>
        </w:p>
        <w:p w14:paraId="3C0BD017" w14:textId="6D1EB0A2"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71" w:history="1">
            <w:r w:rsidRPr="001D3906">
              <w:rPr>
                <w:rStyle w:val="Hyperlink"/>
                <w:rFonts w:ascii="Arial" w:eastAsia="Times New Roman" w:hAnsi="Arial" w:cs="Arial"/>
                <w:noProof/>
                <w:sz w:val="24"/>
                <w:szCs w:val="24"/>
              </w:rPr>
              <w:t>2.1 Assessment of the Cash Operating Cycle (CCC)</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_Toc217253871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10</w:t>
            </w:r>
            <w:r w:rsidRPr="001D3906">
              <w:rPr>
                <w:rFonts w:ascii="Arial" w:hAnsi="Arial" w:cs="Arial"/>
                <w:noProof/>
                <w:webHidden/>
                <w:sz w:val="24"/>
                <w:szCs w:val="24"/>
              </w:rPr>
              <w:fldChar w:fldCharType="end"/>
            </w:r>
          </w:hyperlink>
        </w:p>
        <w:p w14:paraId="2C3AC51E" w14:textId="25542406"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72" w:history="1">
            <w:r w:rsidRPr="001D3906">
              <w:rPr>
                <w:rStyle w:val="Hyperlink"/>
                <w:rFonts w:ascii="Arial" w:eastAsia="Times New Roman" w:hAnsi="Arial" w:cs="Arial"/>
                <w:noProof/>
                <w:sz w:val="24"/>
                <w:szCs w:val="24"/>
              </w:rPr>
              <w:t>2.2 Diagnosis of Working Capital Inefficiency</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_Toc217253872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11</w:t>
            </w:r>
            <w:r w:rsidRPr="001D3906">
              <w:rPr>
                <w:rFonts w:ascii="Arial" w:hAnsi="Arial" w:cs="Arial"/>
                <w:noProof/>
                <w:webHidden/>
                <w:sz w:val="24"/>
                <w:szCs w:val="24"/>
              </w:rPr>
              <w:fldChar w:fldCharType="end"/>
            </w:r>
          </w:hyperlink>
        </w:p>
        <w:p w14:paraId="65A8E3AB" w14:textId="41450B9A"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73" w:history="1">
            <w:r w:rsidRPr="001D3906">
              <w:rPr>
                <w:rStyle w:val="Hyperlink"/>
                <w:rFonts w:ascii="Arial" w:eastAsia="Times New Roman" w:hAnsi="Arial" w:cs="Arial"/>
                <w:noProof/>
                <w:sz w:val="24"/>
                <w:szCs w:val="24"/>
              </w:rPr>
              <w:t>2.3 Strategies to Improve Liquidity through Working Capital Reforms</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_Toc217253873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11</w:t>
            </w:r>
            <w:r w:rsidRPr="001D3906">
              <w:rPr>
                <w:rFonts w:ascii="Arial" w:hAnsi="Arial" w:cs="Arial"/>
                <w:noProof/>
                <w:webHidden/>
                <w:sz w:val="24"/>
                <w:szCs w:val="24"/>
              </w:rPr>
              <w:fldChar w:fldCharType="end"/>
            </w:r>
          </w:hyperlink>
        </w:p>
        <w:p w14:paraId="1B32F3CF" w14:textId="3BC8B506"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74" w:history="1">
            <w:r w:rsidRPr="001D3906">
              <w:rPr>
                <w:rStyle w:val="Hyperlink"/>
                <w:rFonts w:ascii="Arial" w:eastAsia="Times New Roman" w:hAnsi="Arial" w:cs="Arial"/>
                <w:noProof/>
                <w:sz w:val="24"/>
                <w:szCs w:val="24"/>
              </w:rPr>
              <w:t>2.4 Comparison of Short-Term and Long-Term Financing Options</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_Toc217253874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12</w:t>
            </w:r>
            <w:r w:rsidRPr="001D3906">
              <w:rPr>
                <w:rFonts w:ascii="Arial" w:hAnsi="Arial" w:cs="Arial"/>
                <w:noProof/>
                <w:webHidden/>
                <w:sz w:val="24"/>
                <w:szCs w:val="24"/>
              </w:rPr>
              <w:fldChar w:fldCharType="end"/>
            </w:r>
          </w:hyperlink>
        </w:p>
        <w:p w14:paraId="0CC01A21" w14:textId="24A938A2" w:rsidR="00501965" w:rsidRPr="001D3906" w:rsidRDefault="00501965" w:rsidP="001D3906">
          <w:pPr>
            <w:pStyle w:val="TOC1"/>
            <w:tabs>
              <w:tab w:val="right" w:leader="dot" w:pos="9350"/>
            </w:tabs>
            <w:spacing w:after="0" w:line="360" w:lineRule="auto"/>
            <w:jc w:val="both"/>
            <w:rPr>
              <w:rFonts w:ascii="Arial" w:hAnsi="Arial" w:cs="Arial"/>
              <w:noProof/>
              <w:sz w:val="24"/>
              <w:szCs w:val="24"/>
            </w:rPr>
          </w:pPr>
          <w:hyperlink w:anchor="_Toc217253875" w:history="1">
            <w:r w:rsidRPr="001D3906">
              <w:rPr>
                <w:rStyle w:val="Hyperlink"/>
                <w:rFonts w:ascii="Arial" w:hAnsi="Arial" w:cs="Arial"/>
                <w:noProof/>
                <w:sz w:val="24"/>
                <w:szCs w:val="24"/>
              </w:rPr>
              <w:t>3. Strategic Financial Restructuring Plan</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_Toc217253875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13</w:t>
            </w:r>
            <w:r w:rsidRPr="001D3906">
              <w:rPr>
                <w:rFonts w:ascii="Arial" w:hAnsi="Arial" w:cs="Arial"/>
                <w:noProof/>
                <w:webHidden/>
                <w:sz w:val="24"/>
                <w:szCs w:val="24"/>
              </w:rPr>
              <w:fldChar w:fldCharType="end"/>
            </w:r>
          </w:hyperlink>
        </w:p>
        <w:p w14:paraId="40B713DE" w14:textId="78A49AF6"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76" w:history="1">
            <w:r w:rsidRPr="001D3906">
              <w:rPr>
                <w:rStyle w:val="Hyperlink"/>
                <w:rFonts w:ascii="Arial" w:hAnsi="Arial" w:cs="Arial"/>
                <w:noProof/>
                <w:sz w:val="24"/>
                <w:szCs w:val="24"/>
              </w:rPr>
              <w:t>3.1 Objectives of Financial Restructuring</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_Toc217253876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13</w:t>
            </w:r>
            <w:r w:rsidRPr="001D3906">
              <w:rPr>
                <w:rFonts w:ascii="Arial" w:hAnsi="Arial" w:cs="Arial"/>
                <w:noProof/>
                <w:webHidden/>
                <w:sz w:val="24"/>
                <w:szCs w:val="24"/>
              </w:rPr>
              <w:fldChar w:fldCharType="end"/>
            </w:r>
          </w:hyperlink>
        </w:p>
        <w:p w14:paraId="4A82081C" w14:textId="08AC3DD3"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77" w:history="1">
            <w:r w:rsidRPr="001D3906">
              <w:rPr>
                <w:rStyle w:val="Hyperlink"/>
                <w:rFonts w:ascii="Arial" w:hAnsi="Arial" w:cs="Arial"/>
                <w:noProof/>
                <w:sz w:val="24"/>
                <w:szCs w:val="24"/>
              </w:rPr>
              <w:t>3.2 Divestiture of Non-Core or Underperforming Assets</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_Toc217253877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14</w:t>
            </w:r>
            <w:r w:rsidRPr="001D3906">
              <w:rPr>
                <w:rFonts w:ascii="Arial" w:hAnsi="Arial" w:cs="Arial"/>
                <w:noProof/>
                <w:webHidden/>
                <w:sz w:val="24"/>
                <w:szCs w:val="24"/>
              </w:rPr>
              <w:fldChar w:fldCharType="end"/>
            </w:r>
          </w:hyperlink>
        </w:p>
        <w:p w14:paraId="797DF98D" w14:textId="0C1D75D3"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78" w:history="1">
            <w:r w:rsidRPr="001D3906">
              <w:rPr>
                <w:rStyle w:val="Hyperlink"/>
                <w:rFonts w:ascii="Arial" w:hAnsi="Arial" w:cs="Arial"/>
                <w:noProof/>
                <w:sz w:val="24"/>
                <w:szCs w:val="24"/>
              </w:rPr>
              <w:t>3.3 Merger or Strategic Alliance</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_Toc217253878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14</w:t>
            </w:r>
            <w:r w:rsidRPr="001D3906">
              <w:rPr>
                <w:rFonts w:ascii="Arial" w:hAnsi="Arial" w:cs="Arial"/>
                <w:noProof/>
                <w:webHidden/>
                <w:sz w:val="24"/>
                <w:szCs w:val="24"/>
              </w:rPr>
              <w:fldChar w:fldCharType="end"/>
            </w:r>
          </w:hyperlink>
        </w:p>
        <w:p w14:paraId="70DB9F30" w14:textId="1C0A4877"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79" w:history="1">
            <w:r w:rsidRPr="001D3906">
              <w:rPr>
                <w:rStyle w:val="Hyperlink"/>
                <w:rFonts w:ascii="Arial" w:hAnsi="Arial" w:cs="Arial"/>
                <w:noProof/>
                <w:sz w:val="24"/>
                <w:szCs w:val="24"/>
              </w:rPr>
              <w:t>3.4 Equity Injection and Recapitalisation</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_Toc217253879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15</w:t>
            </w:r>
            <w:r w:rsidRPr="001D3906">
              <w:rPr>
                <w:rFonts w:ascii="Arial" w:hAnsi="Arial" w:cs="Arial"/>
                <w:noProof/>
                <w:webHidden/>
                <w:sz w:val="24"/>
                <w:szCs w:val="24"/>
              </w:rPr>
              <w:fldChar w:fldCharType="end"/>
            </w:r>
          </w:hyperlink>
        </w:p>
        <w:p w14:paraId="3476F624" w14:textId="519876B1"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80" w:history="1">
            <w:r w:rsidRPr="001D3906">
              <w:rPr>
                <w:rStyle w:val="Hyperlink"/>
                <w:rFonts w:ascii="Arial" w:hAnsi="Arial" w:cs="Arial"/>
                <w:noProof/>
                <w:sz w:val="24"/>
                <w:szCs w:val="24"/>
              </w:rPr>
              <w:t>3.5 Debt Restructuring</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_Toc217253880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16</w:t>
            </w:r>
            <w:r w:rsidRPr="001D3906">
              <w:rPr>
                <w:rFonts w:ascii="Arial" w:hAnsi="Arial" w:cs="Arial"/>
                <w:noProof/>
                <w:webHidden/>
                <w:sz w:val="24"/>
                <w:szCs w:val="24"/>
              </w:rPr>
              <w:fldChar w:fldCharType="end"/>
            </w:r>
          </w:hyperlink>
        </w:p>
        <w:p w14:paraId="52CD86BD" w14:textId="7ADD17F6"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81" w:history="1">
            <w:r w:rsidRPr="001D3906">
              <w:rPr>
                <w:rStyle w:val="Hyperlink"/>
                <w:rFonts w:ascii="Arial" w:hAnsi="Arial" w:cs="Arial"/>
                <w:noProof/>
                <w:sz w:val="24"/>
                <w:szCs w:val="24"/>
              </w:rPr>
              <w:t>3.6 Comparative Evaluation of Restructuring Options</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_Toc217253881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16</w:t>
            </w:r>
            <w:r w:rsidRPr="001D3906">
              <w:rPr>
                <w:rFonts w:ascii="Arial" w:hAnsi="Arial" w:cs="Arial"/>
                <w:noProof/>
                <w:webHidden/>
                <w:sz w:val="24"/>
                <w:szCs w:val="24"/>
              </w:rPr>
              <w:fldChar w:fldCharType="end"/>
            </w:r>
          </w:hyperlink>
        </w:p>
        <w:p w14:paraId="31B6DB53" w14:textId="3DB429F5"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82" w:history="1">
            <w:r w:rsidRPr="001D3906">
              <w:rPr>
                <w:rStyle w:val="Hyperlink"/>
                <w:rFonts w:ascii="Arial" w:hAnsi="Arial" w:cs="Arial"/>
                <w:noProof/>
                <w:sz w:val="24"/>
                <w:szCs w:val="24"/>
              </w:rPr>
              <w:t>3.7 Impact Assessment</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_Toc217253882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16</w:t>
            </w:r>
            <w:r w:rsidRPr="001D3906">
              <w:rPr>
                <w:rFonts w:ascii="Arial" w:hAnsi="Arial" w:cs="Arial"/>
                <w:noProof/>
                <w:webHidden/>
                <w:sz w:val="24"/>
                <w:szCs w:val="24"/>
              </w:rPr>
              <w:fldChar w:fldCharType="end"/>
            </w:r>
          </w:hyperlink>
        </w:p>
        <w:p w14:paraId="4F08D0C0" w14:textId="60FA6BA7"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83" w:history="1">
            <w:r w:rsidRPr="001D3906">
              <w:rPr>
                <w:rStyle w:val="Hyperlink"/>
                <w:rFonts w:ascii="Arial" w:hAnsi="Arial" w:cs="Arial"/>
                <w:noProof/>
                <w:sz w:val="24"/>
                <w:szCs w:val="24"/>
              </w:rPr>
              <w:t>3.8 International and Ethical Considerations</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_Toc217253883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17</w:t>
            </w:r>
            <w:r w:rsidRPr="001D3906">
              <w:rPr>
                <w:rFonts w:ascii="Arial" w:hAnsi="Arial" w:cs="Arial"/>
                <w:noProof/>
                <w:webHidden/>
                <w:sz w:val="24"/>
                <w:szCs w:val="24"/>
              </w:rPr>
              <w:fldChar w:fldCharType="end"/>
            </w:r>
          </w:hyperlink>
        </w:p>
        <w:p w14:paraId="203D282C" w14:textId="71CE0F40"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84" w:history="1">
            <w:r w:rsidRPr="001D3906">
              <w:rPr>
                <w:rStyle w:val="Hyperlink"/>
                <w:rFonts w:ascii="Arial" w:hAnsi="Arial" w:cs="Arial"/>
                <w:noProof/>
                <w:sz w:val="24"/>
                <w:szCs w:val="24"/>
              </w:rPr>
              <w:t>3.9 Implementation Roadmap</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_Toc217253884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18</w:t>
            </w:r>
            <w:r w:rsidRPr="001D3906">
              <w:rPr>
                <w:rFonts w:ascii="Arial" w:hAnsi="Arial" w:cs="Arial"/>
                <w:noProof/>
                <w:webHidden/>
                <w:sz w:val="24"/>
                <w:szCs w:val="24"/>
              </w:rPr>
              <w:fldChar w:fldCharType="end"/>
            </w:r>
          </w:hyperlink>
        </w:p>
        <w:p w14:paraId="653AF254" w14:textId="7672313A" w:rsidR="00501965" w:rsidRPr="001D3906" w:rsidRDefault="00501965" w:rsidP="001D3906">
          <w:pPr>
            <w:pStyle w:val="TOC1"/>
            <w:tabs>
              <w:tab w:val="left" w:pos="440"/>
              <w:tab w:val="right" w:leader="dot" w:pos="9350"/>
            </w:tabs>
            <w:spacing w:after="0" w:line="360" w:lineRule="auto"/>
            <w:jc w:val="both"/>
            <w:rPr>
              <w:rFonts w:ascii="Arial" w:hAnsi="Arial" w:cs="Arial"/>
              <w:noProof/>
              <w:sz w:val="24"/>
              <w:szCs w:val="24"/>
            </w:rPr>
          </w:pPr>
          <w:hyperlink w:anchor="_Toc217253885" w:history="1">
            <w:r w:rsidRPr="001D3906">
              <w:rPr>
                <w:rStyle w:val="Hyperlink"/>
                <w:rFonts w:ascii="Arial" w:eastAsia="Times New Roman" w:hAnsi="Arial" w:cs="Arial"/>
                <w:noProof/>
                <w:sz w:val="24"/>
                <w:szCs w:val="24"/>
              </w:rPr>
              <w:t>4.</w:t>
            </w:r>
            <w:r w:rsidRPr="001D3906">
              <w:rPr>
                <w:rFonts w:ascii="Arial" w:hAnsi="Arial" w:cs="Arial"/>
                <w:noProof/>
                <w:sz w:val="24"/>
                <w:szCs w:val="24"/>
              </w:rPr>
              <w:tab/>
            </w:r>
            <w:r w:rsidRPr="001D3906">
              <w:rPr>
                <w:rStyle w:val="Hyperlink"/>
                <w:rFonts w:ascii="Arial" w:eastAsia="Times New Roman" w:hAnsi="Arial" w:cs="Arial"/>
                <w:noProof/>
                <w:sz w:val="24"/>
                <w:szCs w:val="24"/>
              </w:rPr>
              <w:t>INVESTMENT APPRAISAL AND CAPITAL BUDGETING</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_Toc217253885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18</w:t>
            </w:r>
            <w:r w:rsidRPr="001D3906">
              <w:rPr>
                <w:rFonts w:ascii="Arial" w:hAnsi="Arial" w:cs="Arial"/>
                <w:noProof/>
                <w:webHidden/>
                <w:sz w:val="24"/>
                <w:szCs w:val="24"/>
              </w:rPr>
              <w:fldChar w:fldCharType="end"/>
            </w:r>
          </w:hyperlink>
        </w:p>
        <w:p w14:paraId="216F7242" w14:textId="07C36D37"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86" w:history="1">
            <w:r w:rsidRPr="001D3906">
              <w:rPr>
                <w:rStyle w:val="Hyperlink"/>
                <w:rFonts w:ascii="Arial" w:eastAsia="Times New Roman" w:hAnsi="Arial" w:cs="Arial"/>
                <w:noProof/>
                <w:sz w:val="24"/>
                <w:szCs w:val="24"/>
              </w:rPr>
              <w:t>4.1 Proposed investment projects</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_Toc217253886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18</w:t>
            </w:r>
            <w:r w:rsidRPr="001D3906">
              <w:rPr>
                <w:rFonts w:ascii="Arial" w:hAnsi="Arial" w:cs="Arial"/>
                <w:noProof/>
                <w:webHidden/>
                <w:sz w:val="24"/>
                <w:szCs w:val="24"/>
              </w:rPr>
              <w:fldChar w:fldCharType="end"/>
            </w:r>
          </w:hyperlink>
        </w:p>
        <w:p w14:paraId="4B7F1D7A" w14:textId="42EA7F56"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87" w:history="1">
            <w:r w:rsidRPr="001D3906">
              <w:rPr>
                <w:rStyle w:val="Hyperlink"/>
                <w:rFonts w:ascii="Arial" w:eastAsia="Times New Roman" w:hAnsi="Arial" w:cs="Arial"/>
                <w:noProof/>
                <w:sz w:val="24"/>
                <w:szCs w:val="24"/>
              </w:rPr>
              <w:t>4.2 Decision Under Capital Rationing</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_Toc217253887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19</w:t>
            </w:r>
            <w:r w:rsidRPr="001D3906">
              <w:rPr>
                <w:rFonts w:ascii="Arial" w:hAnsi="Arial" w:cs="Arial"/>
                <w:noProof/>
                <w:webHidden/>
                <w:sz w:val="24"/>
                <w:szCs w:val="24"/>
              </w:rPr>
              <w:fldChar w:fldCharType="end"/>
            </w:r>
          </w:hyperlink>
        </w:p>
        <w:p w14:paraId="669AA071" w14:textId="308C14F9"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88" w:history="1">
            <w:r w:rsidRPr="001D3906">
              <w:rPr>
                <w:rStyle w:val="Hyperlink"/>
                <w:rFonts w:ascii="Arial" w:eastAsia="Times New Roman" w:hAnsi="Arial" w:cs="Arial"/>
                <w:noProof/>
                <w:sz w:val="24"/>
                <w:szCs w:val="24"/>
              </w:rPr>
              <w:t>4.3 Strategic and Risk Assessment</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_Toc217253888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19</w:t>
            </w:r>
            <w:r w:rsidRPr="001D3906">
              <w:rPr>
                <w:rFonts w:ascii="Arial" w:hAnsi="Arial" w:cs="Arial"/>
                <w:noProof/>
                <w:webHidden/>
                <w:sz w:val="24"/>
                <w:szCs w:val="24"/>
              </w:rPr>
              <w:fldChar w:fldCharType="end"/>
            </w:r>
          </w:hyperlink>
        </w:p>
        <w:p w14:paraId="550A080F" w14:textId="639DA7A9"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89" w:history="1">
            <w:r w:rsidRPr="001D3906">
              <w:rPr>
                <w:rStyle w:val="Hyperlink"/>
                <w:rFonts w:ascii="Arial" w:eastAsia="Times New Roman" w:hAnsi="Arial" w:cs="Arial"/>
                <w:noProof/>
                <w:sz w:val="24"/>
                <w:szCs w:val="24"/>
              </w:rPr>
              <w:t>4.4 Integration with Financial Context</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_Toc217253889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20</w:t>
            </w:r>
            <w:r w:rsidRPr="001D3906">
              <w:rPr>
                <w:rFonts w:ascii="Arial" w:hAnsi="Arial" w:cs="Arial"/>
                <w:noProof/>
                <w:webHidden/>
                <w:sz w:val="24"/>
                <w:szCs w:val="24"/>
              </w:rPr>
              <w:fldChar w:fldCharType="end"/>
            </w:r>
          </w:hyperlink>
        </w:p>
        <w:p w14:paraId="7CE40EB2" w14:textId="569888C3"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90" w:history="1">
            <w:r w:rsidRPr="001D3906">
              <w:rPr>
                <w:rStyle w:val="Hyperlink"/>
                <w:rFonts w:ascii="Arial" w:eastAsia="Times New Roman" w:hAnsi="Arial" w:cs="Arial"/>
                <w:noProof/>
                <w:sz w:val="24"/>
                <w:szCs w:val="24"/>
              </w:rPr>
              <w:t>4.5 Ethical and International Considerations</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_Toc217253890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20</w:t>
            </w:r>
            <w:r w:rsidRPr="001D3906">
              <w:rPr>
                <w:rFonts w:ascii="Arial" w:hAnsi="Arial" w:cs="Arial"/>
                <w:noProof/>
                <w:webHidden/>
                <w:sz w:val="24"/>
                <w:szCs w:val="24"/>
              </w:rPr>
              <w:fldChar w:fldCharType="end"/>
            </w:r>
          </w:hyperlink>
        </w:p>
        <w:p w14:paraId="5414CE68" w14:textId="4AA232BE" w:rsidR="00501965" w:rsidRPr="001D3906" w:rsidRDefault="00501965" w:rsidP="001D3906">
          <w:pPr>
            <w:pStyle w:val="TOC1"/>
            <w:tabs>
              <w:tab w:val="right" w:leader="dot" w:pos="9350"/>
            </w:tabs>
            <w:spacing w:after="0" w:line="360" w:lineRule="auto"/>
            <w:jc w:val="both"/>
            <w:rPr>
              <w:rFonts w:ascii="Arial" w:hAnsi="Arial" w:cs="Arial"/>
              <w:noProof/>
              <w:sz w:val="24"/>
              <w:szCs w:val="24"/>
            </w:rPr>
          </w:pPr>
          <w:hyperlink w:anchor="_Toc217253891" w:history="1">
            <w:r w:rsidRPr="001D3906">
              <w:rPr>
                <w:rStyle w:val="Hyperlink"/>
                <w:rFonts w:ascii="Arial" w:hAnsi="Arial" w:cs="Arial"/>
                <w:noProof/>
                <w:sz w:val="24"/>
                <w:szCs w:val="24"/>
              </w:rPr>
              <w:t>Conclusion</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_Toc217253891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21</w:t>
            </w:r>
            <w:r w:rsidRPr="001D3906">
              <w:rPr>
                <w:rFonts w:ascii="Arial" w:hAnsi="Arial" w:cs="Arial"/>
                <w:noProof/>
                <w:webHidden/>
                <w:sz w:val="24"/>
                <w:szCs w:val="24"/>
              </w:rPr>
              <w:fldChar w:fldCharType="end"/>
            </w:r>
          </w:hyperlink>
        </w:p>
        <w:p w14:paraId="3D3F3C7B" w14:textId="44CA977D" w:rsidR="00501965" w:rsidRPr="001D3906" w:rsidRDefault="00501965" w:rsidP="001D3906">
          <w:pPr>
            <w:pStyle w:val="TOC1"/>
            <w:tabs>
              <w:tab w:val="right" w:leader="dot" w:pos="9350"/>
            </w:tabs>
            <w:spacing w:after="0" w:line="360" w:lineRule="auto"/>
            <w:jc w:val="both"/>
            <w:rPr>
              <w:rFonts w:ascii="Arial" w:hAnsi="Arial" w:cs="Arial"/>
              <w:noProof/>
              <w:sz w:val="24"/>
              <w:szCs w:val="24"/>
            </w:rPr>
          </w:pPr>
          <w:hyperlink w:anchor="_Toc217253892" w:history="1">
            <w:r w:rsidRPr="001D3906">
              <w:rPr>
                <w:rStyle w:val="Hyperlink"/>
                <w:rFonts w:ascii="Arial" w:eastAsia="Times New Roman" w:hAnsi="Arial" w:cs="Arial"/>
                <w:noProof/>
                <w:sz w:val="24"/>
                <w:szCs w:val="24"/>
              </w:rPr>
              <w:t>References</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_Toc217253892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22</w:t>
            </w:r>
            <w:r w:rsidRPr="001D3906">
              <w:rPr>
                <w:rFonts w:ascii="Arial" w:hAnsi="Arial" w:cs="Arial"/>
                <w:noProof/>
                <w:webHidden/>
                <w:sz w:val="24"/>
                <w:szCs w:val="24"/>
              </w:rPr>
              <w:fldChar w:fldCharType="end"/>
            </w:r>
          </w:hyperlink>
        </w:p>
        <w:p w14:paraId="3E000636" w14:textId="6178AD18" w:rsidR="00501965" w:rsidRPr="001D3906" w:rsidRDefault="00501965" w:rsidP="001D3906">
          <w:pPr>
            <w:pStyle w:val="TOC1"/>
            <w:tabs>
              <w:tab w:val="right" w:leader="dot" w:pos="9350"/>
            </w:tabs>
            <w:spacing w:after="0" w:line="360" w:lineRule="auto"/>
            <w:jc w:val="both"/>
            <w:rPr>
              <w:rFonts w:ascii="Arial" w:hAnsi="Arial" w:cs="Arial"/>
              <w:noProof/>
              <w:sz w:val="24"/>
              <w:szCs w:val="24"/>
            </w:rPr>
          </w:pPr>
          <w:hyperlink w:anchor="_Toc217253893" w:history="1">
            <w:r w:rsidRPr="001D3906">
              <w:rPr>
                <w:rStyle w:val="Hyperlink"/>
                <w:rFonts w:ascii="Arial" w:eastAsia="Times New Roman" w:hAnsi="Arial" w:cs="Arial"/>
                <w:noProof/>
                <w:sz w:val="24"/>
                <w:szCs w:val="24"/>
              </w:rPr>
              <w:t>Appendices</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_Toc217253893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26</w:t>
            </w:r>
            <w:r w:rsidRPr="001D3906">
              <w:rPr>
                <w:rFonts w:ascii="Arial" w:hAnsi="Arial" w:cs="Arial"/>
                <w:noProof/>
                <w:webHidden/>
                <w:sz w:val="24"/>
                <w:szCs w:val="24"/>
              </w:rPr>
              <w:fldChar w:fldCharType="end"/>
            </w:r>
          </w:hyperlink>
        </w:p>
        <w:p w14:paraId="21FB230E" w14:textId="17CA8D39"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94" w:history="1">
            <w:r w:rsidRPr="001D3906">
              <w:rPr>
                <w:rStyle w:val="Hyperlink"/>
                <w:rFonts w:ascii="Arial" w:hAnsi="Arial" w:cs="Arial"/>
                <w:noProof/>
                <w:sz w:val="24"/>
                <w:szCs w:val="24"/>
              </w:rPr>
              <w:t>Appendix 1- Ratio calculations</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_Toc217253894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26</w:t>
            </w:r>
            <w:r w:rsidRPr="001D3906">
              <w:rPr>
                <w:rFonts w:ascii="Arial" w:hAnsi="Arial" w:cs="Arial"/>
                <w:noProof/>
                <w:webHidden/>
                <w:sz w:val="24"/>
                <w:szCs w:val="24"/>
              </w:rPr>
              <w:fldChar w:fldCharType="end"/>
            </w:r>
          </w:hyperlink>
        </w:p>
        <w:p w14:paraId="3A7C96F8" w14:textId="03DC1ADB"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95" w:history="1">
            <w:r w:rsidRPr="001D3906">
              <w:rPr>
                <w:rStyle w:val="Hyperlink"/>
                <w:rFonts w:ascii="Arial" w:hAnsi="Arial" w:cs="Arial"/>
                <w:noProof/>
                <w:sz w:val="24"/>
                <w:szCs w:val="24"/>
              </w:rPr>
              <w:t>Appendix 2 Working Capital Ratios and Calculations</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_Toc217253895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31</w:t>
            </w:r>
            <w:r w:rsidRPr="001D3906">
              <w:rPr>
                <w:rFonts w:ascii="Arial" w:hAnsi="Arial" w:cs="Arial"/>
                <w:noProof/>
                <w:webHidden/>
                <w:sz w:val="24"/>
                <w:szCs w:val="24"/>
              </w:rPr>
              <w:fldChar w:fldCharType="end"/>
            </w:r>
          </w:hyperlink>
        </w:p>
        <w:p w14:paraId="58B87B7D" w14:textId="26D9C2A7" w:rsidR="00501965" w:rsidRPr="001D3906" w:rsidRDefault="00501965" w:rsidP="001D3906">
          <w:pPr>
            <w:pStyle w:val="TOC2"/>
            <w:tabs>
              <w:tab w:val="right" w:leader="dot" w:pos="9350"/>
            </w:tabs>
            <w:spacing w:after="0" w:line="360" w:lineRule="auto"/>
            <w:jc w:val="both"/>
            <w:rPr>
              <w:rFonts w:ascii="Arial" w:hAnsi="Arial" w:cs="Arial"/>
              <w:noProof/>
              <w:sz w:val="24"/>
              <w:szCs w:val="24"/>
            </w:rPr>
          </w:pPr>
          <w:hyperlink w:anchor="_Toc217253896" w:history="1">
            <w:r w:rsidRPr="001D3906">
              <w:rPr>
                <w:rStyle w:val="Hyperlink"/>
                <w:rFonts w:ascii="Arial" w:hAnsi="Arial" w:cs="Arial"/>
                <w:noProof/>
                <w:sz w:val="24"/>
                <w:szCs w:val="24"/>
              </w:rPr>
              <w:t>APPENDIX 3: Investment Appraisal Calculations</w:t>
            </w:r>
            <w:r w:rsidRPr="001D3906">
              <w:rPr>
                <w:rFonts w:ascii="Arial" w:hAnsi="Arial" w:cs="Arial"/>
                <w:noProof/>
                <w:webHidden/>
                <w:sz w:val="24"/>
                <w:szCs w:val="24"/>
              </w:rPr>
              <w:tab/>
            </w:r>
            <w:r w:rsidRPr="001D3906">
              <w:rPr>
                <w:rFonts w:ascii="Arial" w:hAnsi="Arial" w:cs="Arial"/>
                <w:noProof/>
                <w:webHidden/>
                <w:sz w:val="24"/>
                <w:szCs w:val="24"/>
              </w:rPr>
              <w:fldChar w:fldCharType="begin"/>
            </w:r>
            <w:r w:rsidRPr="001D3906">
              <w:rPr>
                <w:rFonts w:ascii="Arial" w:hAnsi="Arial" w:cs="Arial"/>
                <w:noProof/>
                <w:webHidden/>
                <w:sz w:val="24"/>
                <w:szCs w:val="24"/>
              </w:rPr>
              <w:instrText xml:space="preserve"> PAGEREF _Toc217253896 \h </w:instrText>
            </w:r>
            <w:r w:rsidRPr="001D3906">
              <w:rPr>
                <w:rFonts w:ascii="Arial" w:hAnsi="Arial" w:cs="Arial"/>
                <w:noProof/>
                <w:webHidden/>
                <w:sz w:val="24"/>
                <w:szCs w:val="24"/>
              </w:rPr>
            </w:r>
            <w:r w:rsidRPr="001D3906">
              <w:rPr>
                <w:rFonts w:ascii="Arial" w:hAnsi="Arial" w:cs="Arial"/>
                <w:noProof/>
                <w:webHidden/>
                <w:sz w:val="24"/>
                <w:szCs w:val="24"/>
              </w:rPr>
              <w:fldChar w:fldCharType="separate"/>
            </w:r>
            <w:r w:rsidR="0049288E">
              <w:rPr>
                <w:rFonts w:ascii="Arial" w:hAnsi="Arial" w:cs="Arial"/>
                <w:noProof/>
                <w:webHidden/>
                <w:sz w:val="24"/>
                <w:szCs w:val="24"/>
              </w:rPr>
              <w:t>32</w:t>
            </w:r>
            <w:r w:rsidRPr="001D3906">
              <w:rPr>
                <w:rFonts w:ascii="Arial" w:hAnsi="Arial" w:cs="Arial"/>
                <w:noProof/>
                <w:webHidden/>
                <w:sz w:val="24"/>
                <w:szCs w:val="24"/>
              </w:rPr>
              <w:fldChar w:fldCharType="end"/>
            </w:r>
          </w:hyperlink>
        </w:p>
        <w:p w14:paraId="2474C83B" w14:textId="42DD28B8" w:rsidR="00501965" w:rsidRPr="001D3906" w:rsidRDefault="00501965" w:rsidP="001D3906">
          <w:pPr>
            <w:spacing w:after="0" w:line="360" w:lineRule="auto"/>
            <w:jc w:val="both"/>
            <w:rPr>
              <w:rFonts w:ascii="Arial" w:hAnsi="Arial" w:cs="Arial"/>
              <w:sz w:val="24"/>
              <w:szCs w:val="24"/>
            </w:rPr>
          </w:pPr>
          <w:r w:rsidRPr="001D3906">
            <w:rPr>
              <w:rFonts w:ascii="Arial" w:hAnsi="Arial" w:cs="Arial"/>
              <w:b/>
              <w:bCs/>
              <w:noProof/>
              <w:sz w:val="24"/>
              <w:szCs w:val="24"/>
            </w:rPr>
            <w:fldChar w:fldCharType="end"/>
          </w:r>
        </w:p>
      </w:sdtContent>
    </w:sdt>
    <w:p w14:paraId="5CC43FFF" w14:textId="77777777" w:rsidR="00501965" w:rsidRPr="001D3906" w:rsidRDefault="00501965" w:rsidP="001D3906">
      <w:pPr>
        <w:spacing w:after="0" w:line="360" w:lineRule="auto"/>
        <w:jc w:val="both"/>
        <w:rPr>
          <w:rFonts w:ascii="Arial" w:hAnsi="Arial" w:cs="Arial"/>
          <w:sz w:val="24"/>
          <w:szCs w:val="24"/>
        </w:rPr>
      </w:pPr>
    </w:p>
    <w:p w14:paraId="5654ED51" w14:textId="77777777" w:rsidR="00D14317" w:rsidRPr="001D3906" w:rsidRDefault="00D14317" w:rsidP="001D3906">
      <w:pPr>
        <w:spacing w:after="0" w:line="360" w:lineRule="auto"/>
        <w:jc w:val="both"/>
        <w:outlineLvl w:val="2"/>
        <w:rPr>
          <w:rFonts w:ascii="Arial" w:eastAsia="Times New Roman" w:hAnsi="Arial" w:cs="Arial"/>
          <w:b/>
          <w:bCs/>
          <w:kern w:val="0"/>
          <w:sz w:val="24"/>
          <w:szCs w:val="24"/>
          <w14:ligatures w14:val="none"/>
        </w:rPr>
      </w:pPr>
    </w:p>
    <w:p w14:paraId="52278CC2" w14:textId="77777777" w:rsidR="00D14317" w:rsidRPr="001D3906" w:rsidRDefault="00D14317" w:rsidP="001D3906">
      <w:pPr>
        <w:spacing w:after="0" w:line="360" w:lineRule="auto"/>
        <w:jc w:val="both"/>
        <w:outlineLvl w:val="2"/>
        <w:rPr>
          <w:rFonts w:ascii="Arial" w:eastAsia="Times New Roman" w:hAnsi="Arial" w:cs="Arial"/>
          <w:b/>
          <w:bCs/>
          <w:kern w:val="0"/>
          <w:sz w:val="24"/>
          <w:szCs w:val="24"/>
          <w14:ligatures w14:val="none"/>
        </w:rPr>
      </w:pPr>
    </w:p>
    <w:p w14:paraId="5D297597" w14:textId="77777777" w:rsidR="00501965" w:rsidRPr="001D3906" w:rsidRDefault="00501965" w:rsidP="001D3906">
      <w:pPr>
        <w:spacing w:after="0" w:line="360" w:lineRule="auto"/>
        <w:jc w:val="both"/>
        <w:outlineLvl w:val="2"/>
        <w:rPr>
          <w:rFonts w:ascii="Arial" w:eastAsia="Times New Roman" w:hAnsi="Arial" w:cs="Arial"/>
          <w:b/>
          <w:bCs/>
          <w:kern w:val="0"/>
          <w:sz w:val="24"/>
          <w:szCs w:val="24"/>
          <w14:ligatures w14:val="none"/>
        </w:rPr>
      </w:pPr>
    </w:p>
    <w:p w14:paraId="4B983959" w14:textId="77777777" w:rsidR="00501965" w:rsidRPr="001D3906" w:rsidRDefault="00501965" w:rsidP="001D3906">
      <w:pPr>
        <w:spacing w:after="0" w:line="360" w:lineRule="auto"/>
        <w:jc w:val="both"/>
        <w:outlineLvl w:val="2"/>
        <w:rPr>
          <w:rFonts w:ascii="Arial" w:eastAsia="Times New Roman" w:hAnsi="Arial" w:cs="Arial"/>
          <w:b/>
          <w:bCs/>
          <w:kern w:val="0"/>
          <w:sz w:val="24"/>
          <w:szCs w:val="24"/>
          <w14:ligatures w14:val="none"/>
        </w:rPr>
      </w:pPr>
    </w:p>
    <w:p w14:paraId="63FCC12E" w14:textId="77777777" w:rsidR="00501965" w:rsidRPr="001D3906" w:rsidRDefault="00501965" w:rsidP="001D3906">
      <w:pPr>
        <w:spacing w:after="0" w:line="360" w:lineRule="auto"/>
        <w:jc w:val="both"/>
        <w:outlineLvl w:val="2"/>
        <w:rPr>
          <w:rFonts w:ascii="Arial" w:eastAsia="Times New Roman" w:hAnsi="Arial" w:cs="Arial"/>
          <w:b/>
          <w:bCs/>
          <w:kern w:val="0"/>
          <w:sz w:val="24"/>
          <w:szCs w:val="24"/>
          <w14:ligatures w14:val="none"/>
        </w:rPr>
      </w:pPr>
    </w:p>
    <w:p w14:paraId="43ADC185" w14:textId="77777777" w:rsidR="00501965" w:rsidRPr="001D3906" w:rsidRDefault="00501965" w:rsidP="001D3906">
      <w:pPr>
        <w:spacing w:after="0" w:line="360" w:lineRule="auto"/>
        <w:jc w:val="both"/>
        <w:outlineLvl w:val="2"/>
        <w:rPr>
          <w:rFonts w:ascii="Arial" w:eastAsia="Times New Roman" w:hAnsi="Arial" w:cs="Arial"/>
          <w:b/>
          <w:bCs/>
          <w:kern w:val="0"/>
          <w:sz w:val="24"/>
          <w:szCs w:val="24"/>
          <w14:ligatures w14:val="none"/>
        </w:rPr>
      </w:pPr>
    </w:p>
    <w:p w14:paraId="5492F009" w14:textId="77777777" w:rsidR="00501965" w:rsidRPr="001D3906" w:rsidRDefault="00501965" w:rsidP="001D3906">
      <w:pPr>
        <w:spacing w:after="0" w:line="360" w:lineRule="auto"/>
        <w:jc w:val="both"/>
        <w:outlineLvl w:val="2"/>
        <w:rPr>
          <w:rFonts w:ascii="Arial" w:eastAsia="Times New Roman" w:hAnsi="Arial" w:cs="Arial"/>
          <w:b/>
          <w:bCs/>
          <w:kern w:val="0"/>
          <w:sz w:val="24"/>
          <w:szCs w:val="24"/>
          <w14:ligatures w14:val="none"/>
        </w:rPr>
      </w:pPr>
    </w:p>
    <w:p w14:paraId="17D51B72" w14:textId="77777777" w:rsidR="00501965" w:rsidRPr="001D3906" w:rsidRDefault="00501965" w:rsidP="001D3906">
      <w:pPr>
        <w:spacing w:after="0" w:line="360" w:lineRule="auto"/>
        <w:jc w:val="both"/>
        <w:outlineLvl w:val="2"/>
        <w:rPr>
          <w:rFonts w:ascii="Arial" w:eastAsia="Times New Roman" w:hAnsi="Arial" w:cs="Arial"/>
          <w:b/>
          <w:bCs/>
          <w:kern w:val="0"/>
          <w:sz w:val="24"/>
          <w:szCs w:val="24"/>
          <w14:ligatures w14:val="none"/>
        </w:rPr>
      </w:pPr>
    </w:p>
    <w:p w14:paraId="179C2420" w14:textId="77777777" w:rsidR="00501965" w:rsidRPr="001D3906" w:rsidRDefault="00501965" w:rsidP="001D3906">
      <w:pPr>
        <w:spacing w:after="0" w:line="360" w:lineRule="auto"/>
        <w:jc w:val="both"/>
        <w:outlineLvl w:val="2"/>
        <w:rPr>
          <w:rFonts w:ascii="Arial" w:eastAsia="Times New Roman" w:hAnsi="Arial" w:cs="Arial"/>
          <w:b/>
          <w:bCs/>
          <w:kern w:val="0"/>
          <w:sz w:val="24"/>
          <w:szCs w:val="24"/>
          <w14:ligatures w14:val="none"/>
        </w:rPr>
      </w:pPr>
    </w:p>
    <w:p w14:paraId="5DFF7680" w14:textId="77777777" w:rsidR="00501965" w:rsidRPr="001D3906" w:rsidRDefault="00501965" w:rsidP="001D3906">
      <w:pPr>
        <w:spacing w:after="0" w:line="360" w:lineRule="auto"/>
        <w:jc w:val="both"/>
        <w:outlineLvl w:val="2"/>
        <w:rPr>
          <w:rFonts w:ascii="Arial" w:eastAsia="Times New Roman" w:hAnsi="Arial" w:cs="Arial"/>
          <w:b/>
          <w:bCs/>
          <w:kern w:val="0"/>
          <w:sz w:val="24"/>
          <w:szCs w:val="24"/>
          <w14:ligatures w14:val="none"/>
        </w:rPr>
      </w:pPr>
    </w:p>
    <w:p w14:paraId="0A45D216" w14:textId="77777777" w:rsidR="00501965" w:rsidRPr="001D3906" w:rsidRDefault="00501965" w:rsidP="001D3906">
      <w:pPr>
        <w:spacing w:after="0" w:line="360" w:lineRule="auto"/>
        <w:jc w:val="both"/>
        <w:outlineLvl w:val="2"/>
        <w:rPr>
          <w:rFonts w:ascii="Arial" w:eastAsia="Times New Roman" w:hAnsi="Arial" w:cs="Arial"/>
          <w:b/>
          <w:bCs/>
          <w:kern w:val="0"/>
          <w:sz w:val="24"/>
          <w:szCs w:val="24"/>
          <w14:ligatures w14:val="none"/>
        </w:rPr>
      </w:pPr>
    </w:p>
    <w:p w14:paraId="7D7EDE00" w14:textId="77777777" w:rsidR="00501965" w:rsidRPr="001D3906" w:rsidRDefault="00501965" w:rsidP="001D3906">
      <w:pPr>
        <w:spacing w:after="0" w:line="360" w:lineRule="auto"/>
        <w:jc w:val="both"/>
        <w:outlineLvl w:val="2"/>
        <w:rPr>
          <w:rFonts w:ascii="Arial" w:eastAsia="Times New Roman" w:hAnsi="Arial" w:cs="Arial"/>
          <w:b/>
          <w:bCs/>
          <w:kern w:val="0"/>
          <w:sz w:val="24"/>
          <w:szCs w:val="24"/>
          <w14:ligatures w14:val="none"/>
        </w:rPr>
      </w:pPr>
    </w:p>
    <w:p w14:paraId="7311B5D7" w14:textId="77777777" w:rsidR="001D3906" w:rsidRPr="001D3906" w:rsidRDefault="001D3906" w:rsidP="001D3906">
      <w:pPr>
        <w:spacing w:after="0" w:line="360" w:lineRule="auto"/>
        <w:jc w:val="both"/>
        <w:outlineLvl w:val="2"/>
        <w:rPr>
          <w:rFonts w:ascii="Arial" w:eastAsia="Times New Roman" w:hAnsi="Arial" w:cs="Arial"/>
          <w:b/>
          <w:bCs/>
          <w:kern w:val="0"/>
          <w:sz w:val="24"/>
          <w:szCs w:val="24"/>
          <w14:ligatures w14:val="none"/>
        </w:rPr>
      </w:pPr>
    </w:p>
    <w:p w14:paraId="2849D2D8" w14:textId="77777777" w:rsidR="001D3906" w:rsidRPr="001D3906" w:rsidRDefault="001D3906" w:rsidP="001D3906">
      <w:pPr>
        <w:spacing w:after="0" w:line="360" w:lineRule="auto"/>
        <w:jc w:val="both"/>
        <w:outlineLvl w:val="2"/>
        <w:rPr>
          <w:rFonts w:ascii="Arial" w:eastAsia="Times New Roman" w:hAnsi="Arial" w:cs="Arial"/>
          <w:b/>
          <w:bCs/>
          <w:kern w:val="0"/>
          <w:sz w:val="24"/>
          <w:szCs w:val="24"/>
          <w14:ligatures w14:val="none"/>
        </w:rPr>
      </w:pPr>
    </w:p>
    <w:p w14:paraId="70720CFC" w14:textId="77777777" w:rsidR="001D3906" w:rsidRPr="001D3906" w:rsidRDefault="001D3906" w:rsidP="001D3906">
      <w:pPr>
        <w:spacing w:after="0" w:line="360" w:lineRule="auto"/>
        <w:jc w:val="both"/>
        <w:outlineLvl w:val="2"/>
        <w:rPr>
          <w:rFonts w:ascii="Arial" w:eastAsia="Times New Roman" w:hAnsi="Arial" w:cs="Arial"/>
          <w:b/>
          <w:bCs/>
          <w:kern w:val="0"/>
          <w:sz w:val="24"/>
          <w:szCs w:val="24"/>
          <w14:ligatures w14:val="none"/>
        </w:rPr>
      </w:pPr>
    </w:p>
    <w:p w14:paraId="01EBDFB4" w14:textId="77777777" w:rsidR="001D3906" w:rsidRDefault="001D3906" w:rsidP="00213F19"/>
    <w:p w14:paraId="5F0FA89B" w14:textId="77777777" w:rsidR="00213F19" w:rsidRDefault="00213F19" w:rsidP="00213F19"/>
    <w:p w14:paraId="549C5F88" w14:textId="77777777" w:rsidR="00213F19" w:rsidRDefault="00213F19" w:rsidP="00213F19"/>
    <w:p w14:paraId="46272796" w14:textId="77777777" w:rsidR="00213F19" w:rsidRDefault="00213F19" w:rsidP="00213F19"/>
    <w:p w14:paraId="07F76ACF" w14:textId="77777777" w:rsidR="00213F19" w:rsidRDefault="00213F19" w:rsidP="00213F19"/>
    <w:p w14:paraId="3812FA75" w14:textId="77777777" w:rsidR="00213F19" w:rsidRDefault="00213F19" w:rsidP="00213F19"/>
    <w:p w14:paraId="26459581" w14:textId="77777777" w:rsidR="00213F19" w:rsidRPr="001D3906" w:rsidRDefault="00213F19" w:rsidP="00213F19"/>
    <w:p w14:paraId="1D1DEFA0" w14:textId="4297BC82" w:rsidR="00971A99" w:rsidRPr="00213F19" w:rsidRDefault="00971A99" w:rsidP="001D3906">
      <w:pPr>
        <w:pStyle w:val="Heading1"/>
        <w:spacing w:before="0" w:line="360" w:lineRule="auto"/>
        <w:jc w:val="both"/>
        <w:rPr>
          <w:rFonts w:ascii="Arial" w:eastAsia="Times New Roman" w:hAnsi="Arial" w:cs="Arial"/>
          <w:b/>
          <w:bCs/>
          <w:color w:val="000000" w:themeColor="text1"/>
          <w:sz w:val="24"/>
          <w:szCs w:val="24"/>
        </w:rPr>
      </w:pPr>
      <w:bookmarkStart w:id="1" w:name="_Toc217253861"/>
      <w:r w:rsidRPr="00213F19">
        <w:rPr>
          <w:rFonts w:ascii="Arial" w:eastAsia="Times New Roman" w:hAnsi="Arial" w:cs="Arial"/>
          <w:b/>
          <w:bCs/>
          <w:color w:val="000000" w:themeColor="text1"/>
          <w:sz w:val="24"/>
          <w:szCs w:val="24"/>
        </w:rPr>
        <w:lastRenderedPageBreak/>
        <w:t>Introduction</w:t>
      </w:r>
      <w:bookmarkEnd w:id="1"/>
    </w:p>
    <w:p w14:paraId="207E84A6" w14:textId="006BD842" w:rsidR="00971A99" w:rsidRPr="001D3906" w:rsidRDefault="006E79D0"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Financial resilience is one of the factors that define corporate survivability in a world where competition is global and technological disruption is the order of the day</w:t>
      </w:r>
      <w:r w:rsidR="00C83204">
        <w:rPr>
          <w:rFonts w:ascii="Arial" w:eastAsia="Times New Roman" w:hAnsi="Arial" w:cs="Arial"/>
          <w:kern w:val="0"/>
          <w:sz w:val="24"/>
          <w:szCs w:val="24"/>
          <w14:ligatures w14:val="none"/>
        </w:rPr>
        <w:t xml:space="preserve"> </w:t>
      </w:r>
      <w:r w:rsidR="00C83204" w:rsidRPr="00C83204">
        <w:rPr>
          <w:rFonts w:ascii="Arial" w:eastAsia="Times New Roman" w:hAnsi="Arial" w:cs="Arial"/>
          <w:kern w:val="0"/>
          <w:sz w:val="24"/>
          <w:szCs w:val="24"/>
          <w14:ligatures w14:val="none"/>
        </w:rPr>
        <w:t>(Zahedi, Salehi and Moradi, 2021)</w:t>
      </w:r>
      <w:r w:rsidRPr="001D3906">
        <w:rPr>
          <w:rFonts w:ascii="Arial" w:eastAsia="Times New Roman" w:hAnsi="Arial" w:cs="Arial"/>
          <w:kern w:val="0"/>
          <w:sz w:val="24"/>
          <w:szCs w:val="24"/>
          <w14:ligatures w14:val="none"/>
        </w:rPr>
        <w:t>. General Electronics is a multinational corporation in the consumer electronics industry, which is now undergoing a critical financial crisis, as shown by operating losses, shrinking sales as well as worsened liquidity</w:t>
      </w:r>
      <w:r w:rsidR="00022A5A">
        <w:rPr>
          <w:rFonts w:ascii="Arial" w:eastAsia="Times New Roman" w:hAnsi="Arial" w:cs="Arial"/>
          <w:kern w:val="0"/>
          <w:sz w:val="24"/>
          <w:szCs w:val="24"/>
          <w14:ligatures w14:val="none"/>
        </w:rPr>
        <w:t xml:space="preserve"> </w:t>
      </w:r>
      <w:r w:rsidR="00022A5A" w:rsidRPr="00022A5A">
        <w:rPr>
          <w:rFonts w:ascii="Arial" w:eastAsia="Times New Roman" w:hAnsi="Arial" w:cs="Arial"/>
          <w:kern w:val="0"/>
          <w:sz w:val="24"/>
          <w:szCs w:val="24"/>
          <w14:ligatures w14:val="none"/>
        </w:rPr>
        <w:t>(General electronics, 2021)</w:t>
      </w:r>
      <w:r w:rsidRPr="001D3906">
        <w:rPr>
          <w:rFonts w:ascii="Arial" w:eastAsia="Times New Roman" w:hAnsi="Arial" w:cs="Arial"/>
          <w:kern w:val="0"/>
          <w:sz w:val="24"/>
          <w:szCs w:val="24"/>
          <w14:ligatures w14:val="none"/>
        </w:rPr>
        <w:t>. Bringing in as the Chief Financial Officer (CFO) the first task is to identify the financial vulnerabilities of the firm and develop a strategic turnaround plan that will rejuvenate the firm to profitability, improve the capital structure, and remain sustainable in the long term. The report offers a full financial management report in the last five years, using the major ratios analysis and models of corporate failure prediction like the Altman Z- Score to examine the financial health. It also investigates the efficiency of working capital management, suggests specific reforms to enhance the liquidity situation, and elaborates on strategic restructuring to solve the leverage issue, equity issue, and the international market risk. Last but not least, the report determines the evaluation of future capital projects by the use of tough investment appraisal methods NPV, IRR, ARR, PI and Payback in a capital rationing limit.</w:t>
      </w:r>
    </w:p>
    <w:p w14:paraId="258B6593" w14:textId="77777777" w:rsidR="000B0E0C" w:rsidRPr="00213F19" w:rsidRDefault="000B0E0C" w:rsidP="001D3906">
      <w:pPr>
        <w:pStyle w:val="Heading1"/>
        <w:spacing w:before="0" w:line="360" w:lineRule="auto"/>
        <w:jc w:val="both"/>
        <w:rPr>
          <w:rFonts w:ascii="Arial" w:hAnsi="Arial" w:cs="Arial"/>
          <w:color w:val="000000" w:themeColor="text1"/>
          <w:sz w:val="24"/>
          <w:szCs w:val="24"/>
        </w:rPr>
      </w:pPr>
      <w:bookmarkStart w:id="2" w:name="_Toc217253862"/>
      <w:r w:rsidRPr="00213F19">
        <w:rPr>
          <w:rStyle w:val="Strong"/>
          <w:rFonts w:ascii="Arial" w:hAnsi="Arial" w:cs="Arial"/>
          <w:color w:val="000000" w:themeColor="text1"/>
          <w:sz w:val="24"/>
          <w:szCs w:val="24"/>
        </w:rPr>
        <w:t>1. Financial Health Check</w:t>
      </w:r>
      <w:bookmarkEnd w:id="2"/>
    </w:p>
    <w:p w14:paraId="6B1E3B9F" w14:textId="050CCEAA" w:rsidR="000B0E0C" w:rsidRPr="00213F19" w:rsidRDefault="000B0E0C" w:rsidP="001D3906">
      <w:pPr>
        <w:pStyle w:val="Heading2"/>
        <w:spacing w:before="0" w:line="360" w:lineRule="auto"/>
        <w:jc w:val="both"/>
        <w:rPr>
          <w:rFonts w:ascii="Arial" w:hAnsi="Arial" w:cs="Arial"/>
          <w:color w:val="000000" w:themeColor="text1"/>
          <w:sz w:val="24"/>
          <w:szCs w:val="24"/>
        </w:rPr>
      </w:pPr>
      <w:bookmarkStart w:id="3" w:name="_Toc217253863"/>
      <w:r w:rsidRPr="00213F19">
        <w:rPr>
          <w:rStyle w:val="Strong"/>
          <w:rFonts w:ascii="Arial" w:hAnsi="Arial" w:cs="Arial"/>
          <w:color w:val="000000" w:themeColor="text1"/>
          <w:sz w:val="24"/>
          <w:szCs w:val="24"/>
        </w:rPr>
        <w:t>1.</w:t>
      </w:r>
      <w:r w:rsidR="00A720F3" w:rsidRPr="00213F19">
        <w:rPr>
          <w:rStyle w:val="Strong"/>
          <w:rFonts w:ascii="Arial" w:hAnsi="Arial" w:cs="Arial"/>
          <w:color w:val="000000" w:themeColor="text1"/>
          <w:sz w:val="24"/>
          <w:szCs w:val="24"/>
        </w:rPr>
        <w:t>1</w:t>
      </w:r>
      <w:r w:rsidRPr="00213F19">
        <w:rPr>
          <w:rStyle w:val="Strong"/>
          <w:rFonts w:ascii="Arial" w:hAnsi="Arial" w:cs="Arial"/>
          <w:color w:val="000000" w:themeColor="text1"/>
          <w:sz w:val="24"/>
          <w:szCs w:val="24"/>
        </w:rPr>
        <w:t xml:space="preserve"> Profitability Analysis</w:t>
      </w:r>
      <w:bookmarkEnd w:id="3"/>
    </w:p>
    <w:p w14:paraId="45E63F89" w14:textId="05308479" w:rsidR="00310DFA" w:rsidRPr="001D3906" w:rsidRDefault="00310DFA" w:rsidP="001D3906">
      <w:pPr>
        <w:pStyle w:val="NormalWeb"/>
        <w:spacing w:before="0" w:beforeAutospacing="0" w:after="0" w:afterAutospacing="0" w:line="360" w:lineRule="auto"/>
        <w:jc w:val="both"/>
        <w:rPr>
          <w:rFonts w:ascii="Arial" w:hAnsi="Arial" w:cs="Arial"/>
        </w:rPr>
      </w:pPr>
      <w:r w:rsidRPr="001D3906">
        <w:rPr>
          <w:rFonts w:ascii="Arial" w:hAnsi="Arial" w:cs="Arial"/>
        </w:rPr>
        <w:t xml:space="preserve">The profitability ratios show that there has been a steep and continued decrease within the five years of the period. Gross Profit Margin </w:t>
      </w:r>
      <w:r w:rsidR="00162641">
        <w:rPr>
          <w:rFonts w:ascii="Arial" w:hAnsi="Arial" w:cs="Arial"/>
        </w:rPr>
        <w:t xml:space="preserve">(Figure 1) </w:t>
      </w:r>
      <w:r w:rsidRPr="001D3906">
        <w:rPr>
          <w:rFonts w:ascii="Arial" w:hAnsi="Arial" w:cs="Arial"/>
        </w:rPr>
        <w:t>did not show a significant difference (at about 28 percent), so the cost of direct production was controlled efficiently, showing that declining sales were controlled. Nonetheless, Operating Profit Margin dropped to the level of -3.9% (2024) against 6.1% (2020), and Net Profit Margin has dropped to the level of -6.1 against 6.3%.</w:t>
      </w:r>
    </w:p>
    <w:p w14:paraId="2D205159" w14:textId="77777777" w:rsidR="00310DFA" w:rsidRDefault="00310DFA" w:rsidP="001D3906">
      <w:pPr>
        <w:pStyle w:val="NormalWeb"/>
        <w:spacing w:before="0" w:beforeAutospacing="0" w:after="0" w:afterAutospacing="0" w:line="360" w:lineRule="auto"/>
        <w:jc w:val="both"/>
        <w:rPr>
          <w:rFonts w:ascii="Arial" w:hAnsi="Arial" w:cs="Arial"/>
        </w:rPr>
      </w:pPr>
      <w:r w:rsidRPr="001D3906">
        <w:rPr>
          <w:rFonts w:ascii="Arial" w:hAnsi="Arial" w:cs="Arial"/>
        </w:rPr>
        <w:t>The Return on Assets (ROA) decreased to -7.4 percent and Return on Equity (ROE) decreased to -15.7 percent (appendix 1) as it went down showing shareholder value being destroyed rather than created. The implication of these results is a lack of cost discipline, declining demand, and cannot proportionally reduce overheads to the shrinking of revenues.</w:t>
      </w:r>
    </w:p>
    <w:p w14:paraId="5322F4BF" w14:textId="5FD0FB6D" w:rsidR="00162641" w:rsidRDefault="00162641" w:rsidP="001D3906">
      <w:pPr>
        <w:pStyle w:val="NormalWeb"/>
        <w:spacing w:before="0" w:beforeAutospacing="0" w:after="0" w:afterAutospacing="0" w:line="360" w:lineRule="auto"/>
        <w:jc w:val="both"/>
        <w:rPr>
          <w:rFonts w:ascii="Arial" w:hAnsi="Arial" w:cs="Arial"/>
        </w:rPr>
      </w:pPr>
      <w:r>
        <w:rPr>
          <w:rFonts w:ascii="Arial" w:hAnsi="Arial" w:cs="Arial"/>
          <w:noProof/>
        </w:rPr>
        <w:lastRenderedPageBreak/>
        <w:drawing>
          <wp:inline distT="0" distB="0" distL="0" distR="0" wp14:anchorId="69C9BF26" wp14:editId="5F371943">
            <wp:extent cx="4584700" cy="27559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3C96FA8" w14:textId="5575493F" w:rsidR="00162641" w:rsidRPr="001D3906" w:rsidRDefault="00162641" w:rsidP="001D3906">
      <w:pPr>
        <w:pStyle w:val="NormalWeb"/>
        <w:spacing w:before="0" w:beforeAutospacing="0" w:after="0" w:afterAutospacing="0" w:line="360" w:lineRule="auto"/>
        <w:jc w:val="both"/>
        <w:rPr>
          <w:rFonts w:ascii="Arial" w:hAnsi="Arial" w:cs="Arial"/>
        </w:rPr>
      </w:pPr>
      <w:r w:rsidRPr="00162641">
        <w:rPr>
          <w:rFonts w:ascii="Arial" w:hAnsi="Arial" w:cs="Arial"/>
        </w:rPr>
        <w:t>Figure 1. Trend in Gross and Net Profit Margins of General Electronics (2020–2024)</w:t>
      </w:r>
      <w:r>
        <w:rPr>
          <w:rFonts w:ascii="Arial" w:hAnsi="Arial" w:cs="Arial"/>
        </w:rPr>
        <w:t>.</w:t>
      </w:r>
    </w:p>
    <w:p w14:paraId="79FC2A70" w14:textId="3B3FECA8" w:rsidR="000B0E0C" w:rsidRPr="001D3906" w:rsidRDefault="00310DFA" w:rsidP="001D3906">
      <w:pPr>
        <w:pStyle w:val="NormalWeb"/>
        <w:spacing w:before="0" w:beforeAutospacing="0" w:after="0" w:afterAutospacing="0" w:line="360" w:lineRule="auto"/>
        <w:jc w:val="both"/>
        <w:rPr>
          <w:rFonts w:ascii="Arial" w:hAnsi="Arial" w:cs="Arial"/>
        </w:rPr>
      </w:pPr>
      <w:r w:rsidRPr="001D3906">
        <w:rPr>
          <w:rFonts w:ascii="Arial" w:hAnsi="Arial" w:cs="Arial"/>
        </w:rPr>
        <w:t xml:space="preserve">One of the positive aspects is that General Electronics did not lose its gross margin - it is an indicator that the efficiency of the manufacture process and control over the costs of suppliers is rather high. The key risks are associated with the growing fixed costs, lessening the purchasing capacity, and decreasing operating leverage. The sharp decrease in profitability, especially since 2022, is an indication that the company requires immediate operational restructuring, as it will help to revive margins and investor confidence </w:t>
      </w:r>
      <w:r w:rsidR="00022A5A" w:rsidRPr="00022A5A">
        <w:rPr>
          <w:rFonts w:ascii="Arial" w:hAnsi="Arial" w:cs="Arial"/>
        </w:rPr>
        <w:t>(Fadillah et al., 2024)</w:t>
      </w:r>
      <w:r w:rsidRPr="001D3906">
        <w:rPr>
          <w:rFonts w:ascii="Arial" w:hAnsi="Arial" w:cs="Arial"/>
        </w:rPr>
        <w:t>.</w:t>
      </w:r>
    </w:p>
    <w:p w14:paraId="59F5087E" w14:textId="05166568" w:rsidR="000B0E0C" w:rsidRPr="00213F19" w:rsidRDefault="000B0E0C" w:rsidP="001D3906">
      <w:pPr>
        <w:pStyle w:val="Heading2"/>
        <w:spacing w:before="0" w:line="360" w:lineRule="auto"/>
        <w:jc w:val="both"/>
        <w:rPr>
          <w:rFonts w:ascii="Arial" w:hAnsi="Arial" w:cs="Arial"/>
          <w:color w:val="000000" w:themeColor="text1"/>
          <w:sz w:val="24"/>
          <w:szCs w:val="24"/>
        </w:rPr>
      </w:pPr>
      <w:bookmarkStart w:id="4" w:name="_Toc217253864"/>
      <w:r w:rsidRPr="00213F19">
        <w:rPr>
          <w:rStyle w:val="Strong"/>
          <w:rFonts w:ascii="Arial" w:hAnsi="Arial" w:cs="Arial"/>
          <w:color w:val="000000" w:themeColor="text1"/>
          <w:sz w:val="24"/>
          <w:szCs w:val="24"/>
        </w:rPr>
        <w:t>1.</w:t>
      </w:r>
      <w:r w:rsidR="00A720F3" w:rsidRPr="00213F19">
        <w:rPr>
          <w:rStyle w:val="Strong"/>
          <w:rFonts w:ascii="Arial" w:hAnsi="Arial" w:cs="Arial"/>
          <w:color w:val="000000" w:themeColor="text1"/>
          <w:sz w:val="24"/>
          <w:szCs w:val="24"/>
        </w:rPr>
        <w:t>2</w:t>
      </w:r>
      <w:r w:rsidRPr="00213F19">
        <w:rPr>
          <w:rStyle w:val="Strong"/>
          <w:rFonts w:ascii="Arial" w:hAnsi="Arial" w:cs="Arial"/>
          <w:color w:val="000000" w:themeColor="text1"/>
          <w:sz w:val="24"/>
          <w:szCs w:val="24"/>
        </w:rPr>
        <w:t xml:space="preserve"> Liquidity Analysis</w:t>
      </w:r>
      <w:bookmarkEnd w:id="4"/>
    </w:p>
    <w:p w14:paraId="77C0833C" w14:textId="5DFBACEB" w:rsidR="00310DFA" w:rsidRPr="001D3906" w:rsidRDefault="00310DFA" w:rsidP="001D3906">
      <w:pPr>
        <w:pStyle w:val="NormalWeb"/>
        <w:spacing w:before="0" w:beforeAutospacing="0" w:after="0" w:afterAutospacing="0" w:line="360" w:lineRule="auto"/>
        <w:jc w:val="both"/>
        <w:rPr>
          <w:rFonts w:ascii="Arial" w:hAnsi="Arial" w:cs="Arial"/>
        </w:rPr>
      </w:pPr>
      <w:r w:rsidRPr="001D3906">
        <w:rPr>
          <w:rFonts w:ascii="Arial" w:hAnsi="Arial" w:cs="Arial"/>
        </w:rPr>
        <w:t>Liquidity analysis shows average though declining short term solvency. Current Ratio has decreased to 1.53 (2024) (the previous was 1.82) and Quick Ratio dropped to 1.03 (1.38) which is above the critical value of 1.0 but decreasing</w:t>
      </w:r>
      <w:r w:rsidR="009B6E1B">
        <w:rPr>
          <w:rFonts w:ascii="Arial" w:hAnsi="Arial" w:cs="Arial"/>
        </w:rPr>
        <w:t xml:space="preserve"> (Figure 2)</w:t>
      </w:r>
      <w:r w:rsidRPr="001D3906">
        <w:rPr>
          <w:rFonts w:ascii="Arial" w:hAnsi="Arial" w:cs="Arial"/>
        </w:rPr>
        <w:t>. The decline is a sign of declining cash reserves (reduced to £27bn by the end of 2010) and reduced turnover of receivables and inventories.</w:t>
      </w:r>
    </w:p>
    <w:p w14:paraId="2F777E86" w14:textId="77777777" w:rsidR="00310DFA" w:rsidRDefault="00310DFA" w:rsidP="001D3906">
      <w:pPr>
        <w:pStyle w:val="NormalWeb"/>
        <w:spacing w:before="0" w:beforeAutospacing="0" w:after="0" w:afterAutospacing="0" w:line="360" w:lineRule="auto"/>
        <w:jc w:val="both"/>
        <w:rPr>
          <w:rFonts w:ascii="Arial" w:hAnsi="Arial" w:cs="Arial"/>
        </w:rPr>
      </w:pPr>
      <w:r w:rsidRPr="001D3906">
        <w:rPr>
          <w:rFonts w:ascii="Arial" w:hAnsi="Arial" w:cs="Arial"/>
        </w:rPr>
        <w:t>The firm has had a decline in its liquidity buffer to the extent that the current assets are still higher (£242bn in 2024) than current liabilities (158bn in 2024). The core of the strength lies in the fact that General Electronics is able to cover short-term commitments, but the continuous weakening suggests the susceptibility to external shocks or unexpected cash outflows.</w:t>
      </w:r>
    </w:p>
    <w:p w14:paraId="3A4C92C3" w14:textId="3237D41E" w:rsidR="00E26CBA" w:rsidRDefault="006163D8" w:rsidP="001D3906">
      <w:pPr>
        <w:pStyle w:val="NormalWeb"/>
        <w:spacing w:before="0" w:beforeAutospacing="0" w:after="0" w:afterAutospacing="0" w:line="360" w:lineRule="auto"/>
        <w:jc w:val="both"/>
        <w:rPr>
          <w:rFonts w:ascii="Arial" w:hAnsi="Arial" w:cs="Arial"/>
        </w:rPr>
      </w:pPr>
      <w:r>
        <w:rPr>
          <w:rFonts w:ascii="Arial" w:hAnsi="Arial" w:cs="Arial"/>
          <w:noProof/>
        </w:rPr>
        <w:lastRenderedPageBreak/>
        <w:drawing>
          <wp:inline distT="0" distB="0" distL="0" distR="0" wp14:anchorId="2982DD84" wp14:editId="037830C5">
            <wp:extent cx="4584700" cy="2755900"/>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15C5C76" w14:textId="4ABE3C46" w:rsidR="00E26CBA" w:rsidRPr="001D3906" w:rsidRDefault="00435E51" w:rsidP="001D3906">
      <w:pPr>
        <w:pStyle w:val="NormalWeb"/>
        <w:spacing w:before="0" w:beforeAutospacing="0" w:after="0" w:afterAutospacing="0" w:line="360" w:lineRule="auto"/>
        <w:jc w:val="both"/>
        <w:rPr>
          <w:rFonts w:ascii="Arial" w:hAnsi="Arial" w:cs="Arial"/>
        </w:rPr>
      </w:pPr>
      <w:r w:rsidRPr="00435E51">
        <w:rPr>
          <w:rFonts w:ascii="Arial" w:hAnsi="Arial" w:cs="Arial"/>
        </w:rPr>
        <w:t xml:space="preserve">Figure </w:t>
      </w:r>
      <w:r>
        <w:rPr>
          <w:rFonts w:ascii="Arial" w:hAnsi="Arial" w:cs="Arial"/>
        </w:rPr>
        <w:t>2</w:t>
      </w:r>
      <w:r w:rsidRPr="00435E51">
        <w:rPr>
          <w:rFonts w:ascii="Arial" w:hAnsi="Arial" w:cs="Arial"/>
        </w:rPr>
        <w:t>. Trend in</w:t>
      </w:r>
      <w:r>
        <w:rPr>
          <w:rFonts w:ascii="Arial" w:hAnsi="Arial" w:cs="Arial"/>
        </w:rPr>
        <w:t xml:space="preserve"> Current and quick ratios </w:t>
      </w:r>
      <w:r w:rsidRPr="00435E51">
        <w:rPr>
          <w:rFonts w:ascii="Arial" w:hAnsi="Arial" w:cs="Arial"/>
        </w:rPr>
        <w:t>of General Electronics (2020–2024)</w:t>
      </w:r>
    </w:p>
    <w:p w14:paraId="0675533D" w14:textId="4C92FE01" w:rsidR="000B0E0C" w:rsidRPr="001D3906" w:rsidRDefault="00310DFA" w:rsidP="00213F19">
      <w:pPr>
        <w:pStyle w:val="NormalWeb"/>
        <w:spacing w:before="0" w:beforeAutospacing="0" w:after="0" w:afterAutospacing="0" w:line="360" w:lineRule="auto"/>
        <w:jc w:val="both"/>
        <w:rPr>
          <w:rFonts w:ascii="Arial" w:hAnsi="Arial" w:cs="Arial"/>
        </w:rPr>
      </w:pPr>
      <w:r w:rsidRPr="001D3906">
        <w:rPr>
          <w:rFonts w:ascii="Arial" w:hAnsi="Arial" w:cs="Arial"/>
        </w:rPr>
        <w:t xml:space="preserve">These pressure on liquidity are also noted in the Operating Cash Flow Ratio that has declined to 0.09 (0.41) (appendix 1) meaning that the company now is able to generate only 9 percent of its current liabilities using operational cash per year which is a significant red flag of a possible working-capital strain. This decline shows an inability to manage cash, increasing reliance on external funding, and a lack of self-funding operations capability </w:t>
      </w:r>
      <w:r w:rsidR="00437EDC" w:rsidRPr="00437EDC">
        <w:rPr>
          <w:rFonts w:ascii="Arial" w:hAnsi="Arial" w:cs="Arial"/>
        </w:rPr>
        <w:t>(Rashid, 2018)</w:t>
      </w:r>
      <w:r w:rsidRPr="001D3906">
        <w:rPr>
          <w:rFonts w:ascii="Arial" w:hAnsi="Arial" w:cs="Arial"/>
        </w:rPr>
        <w:t>.</w:t>
      </w:r>
    </w:p>
    <w:p w14:paraId="5E06F472" w14:textId="16A96A3E" w:rsidR="000B0E0C" w:rsidRPr="00213F19" w:rsidRDefault="000B0E0C" w:rsidP="001D3906">
      <w:pPr>
        <w:pStyle w:val="Heading2"/>
        <w:spacing w:before="0" w:line="360" w:lineRule="auto"/>
        <w:jc w:val="both"/>
        <w:rPr>
          <w:rFonts w:ascii="Arial" w:hAnsi="Arial" w:cs="Arial"/>
          <w:color w:val="000000" w:themeColor="text1"/>
          <w:sz w:val="24"/>
          <w:szCs w:val="24"/>
        </w:rPr>
      </w:pPr>
      <w:bookmarkStart w:id="5" w:name="_Toc217253865"/>
      <w:r w:rsidRPr="00213F19">
        <w:rPr>
          <w:rStyle w:val="Strong"/>
          <w:rFonts w:ascii="Arial" w:hAnsi="Arial" w:cs="Arial"/>
          <w:color w:val="000000" w:themeColor="text1"/>
          <w:sz w:val="24"/>
          <w:szCs w:val="24"/>
        </w:rPr>
        <w:t>1.</w:t>
      </w:r>
      <w:r w:rsidR="00A720F3" w:rsidRPr="00213F19">
        <w:rPr>
          <w:rStyle w:val="Strong"/>
          <w:rFonts w:ascii="Arial" w:hAnsi="Arial" w:cs="Arial"/>
          <w:color w:val="000000" w:themeColor="text1"/>
          <w:sz w:val="24"/>
          <w:szCs w:val="24"/>
        </w:rPr>
        <w:t>3</w:t>
      </w:r>
      <w:r w:rsidRPr="00213F19">
        <w:rPr>
          <w:rStyle w:val="Strong"/>
          <w:rFonts w:ascii="Arial" w:hAnsi="Arial" w:cs="Arial"/>
          <w:color w:val="000000" w:themeColor="text1"/>
          <w:sz w:val="24"/>
          <w:szCs w:val="24"/>
        </w:rPr>
        <w:t xml:space="preserve"> Efficiency Analysis</w:t>
      </w:r>
      <w:bookmarkEnd w:id="5"/>
    </w:p>
    <w:p w14:paraId="31D428A9" w14:textId="26E53FD4" w:rsidR="00EE3F59" w:rsidRPr="001D3906" w:rsidRDefault="00EE3F59" w:rsidP="001D3906">
      <w:pPr>
        <w:pStyle w:val="NormalWeb"/>
        <w:spacing w:before="0" w:beforeAutospacing="0" w:after="0" w:afterAutospacing="0" w:line="360" w:lineRule="auto"/>
        <w:jc w:val="both"/>
        <w:rPr>
          <w:rFonts w:ascii="Arial" w:hAnsi="Arial" w:cs="Arial"/>
        </w:rPr>
      </w:pPr>
      <w:r w:rsidRPr="001D3906">
        <w:rPr>
          <w:rFonts w:ascii="Arial" w:hAnsi="Arial" w:cs="Arial"/>
        </w:rPr>
        <w:t>The efficiency ratios demonstrate that assets and working capital utilisation deteriorates. Asset Turnover was generally stagnant (=1.2×), however, the actual stability conceals inefficiencies: both inventories and receivables went up as sales fell. The Inventory Turnover decreased by 3.6</w:t>
      </w:r>
      <w:r w:rsidR="00B050F1" w:rsidRPr="001D3906">
        <w:rPr>
          <w:rFonts w:ascii="Arial" w:hAnsi="Arial" w:cs="Arial"/>
        </w:rPr>
        <w:t>x</w:t>
      </w:r>
      <w:r w:rsidRPr="001D3906">
        <w:rPr>
          <w:rFonts w:ascii="Arial" w:hAnsi="Arial" w:cs="Arial"/>
        </w:rPr>
        <w:t xml:space="preserve"> to 3.5</w:t>
      </w:r>
      <w:r w:rsidR="00B050F1" w:rsidRPr="001D3906">
        <w:rPr>
          <w:rFonts w:ascii="Arial" w:hAnsi="Arial" w:cs="Arial"/>
        </w:rPr>
        <w:t>x</w:t>
      </w:r>
      <w:r w:rsidRPr="001D3906">
        <w:rPr>
          <w:rFonts w:ascii="Arial" w:hAnsi="Arial" w:cs="Arial"/>
        </w:rPr>
        <w:t xml:space="preserve"> which means that there is low movement of stocks and poor demand. Turnover of Receivables reduced to 3.46x to 4.75x which indicates fewer strict credit terms or late collections</w:t>
      </w:r>
      <w:r w:rsidR="005A318D">
        <w:rPr>
          <w:rFonts w:ascii="Arial" w:hAnsi="Arial" w:cs="Arial"/>
        </w:rPr>
        <w:t xml:space="preserve"> (figure 3)</w:t>
      </w:r>
      <w:r w:rsidRPr="001D3906">
        <w:rPr>
          <w:rFonts w:ascii="Arial" w:hAnsi="Arial" w:cs="Arial"/>
        </w:rPr>
        <w:t>.</w:t>
      </w:r>
    </w:p>
    <w:p w14:paraId="670DF135" w14:textId="39E808A5" w:rsidR="000B0E0C" w:rsidRDefault="00EE3F59" w:rsidP="00213F19">
      <w:pPr>
        <w:pStyle w:val="NormalWeb"/>
        <w:spacing w:before="0" w:beforeAutospacing="0" w:after="0" w:afterAutospacing="0" w:line="360" w:lineRule="auto"/>
        <w:jc w:val="both"/>
        <w:rPr>
          <w:rFonts w:ascii="Arial" w:hAnsi="Arial" w:cs="Arial"/>
        </w:rPr>
      </w:pPr>
      <w:r w:rsidRPr="001D3906">
        <w:rPr>
          <w:rFonts w:ascii="Arial" w:hAnsi="Arial" w:cs="Arial"/>
        </w:rPr>
        <w:t>The operational efficiency is an area of relative strength as the company has not lost its production capacity, but the asset productivity is decreased. The most important threat is a long-term cash conversion cycle - something that is a major problem, and will force us to take specific working capital adjustments in Section 2. Continued inefficiency in the sales-to-cash flow conversion increases the liquidity and solvency risk already analyzed</w:t>
      </w:r>
      <w:r w:rsidR="00F44E7E">
        <w:rPr>
          <w:rFonts w:ascii="Arial" w:hAnsi="Arial" w:cs="Arial"/>
        </w:rPr>
        <w:t xml:space="preserve"> </w:t>
      </w:r>
      <w:r w:rsidR="00F44E7E" w:rsidRPr="00F44E7E">
        <w:rPr>
          <w:rFonts w:ascii="Arial" w:hAnsi="Arial" w:cs="Arial"/>
        </w:rPr>
        <w:t>(Rashid, 2021)</w:t>
      </w:r>
      <w:r w:rsidRPr="001D3906">
        <w:rPr>
          <w:rFonts w:ascii="Arial" w:hAnsi="Arial" w:cs="Arial"/>
        </w:rPr>
        <w:t>.</w:t>
      </w:r>
    </w:p>
    <w:p w14:paraId="1C2A846D" w14:textId="51D44D5D" w:rsidR="001A10AC" w:rsidRDefault="001A10AC" w:rsidP="00213F19">
      <w:pPr>
        <w:pStyle w:val="NormalWeb"/>
        <w:spacing w:before="0" w:beforeAutospacing="0" w:after="0" w:afterAutospacing="0" w:line="360" w:lineRule="auto"/>
        <w:jc w:val="both"/>
        <w:rPr>
          <w:rFonts w:ascii="Arial" w:hAnsi="Arial" w:cs="Arial"/>
        </w:rPr>
      </w:pPr>
      <w:r>
        <w:rPr>
          <w:rFonts w:ascii="Arial" w:hAnsi="Arial" w:cs="Arial"/>
          <w:noProof/>
        </w:rPr>
        <w:drawing>
          <wp:inline distT="0" distB="0" distL="0" distR="0" wp14:anchorId="662725C3" wp14:editId="609867D5">
            <wp:extent cx="4584700" cy="275590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61BCB93" w14:textId="0D2F09A5" w:rsidR="001A10AC" w:rsidRPr="001D3906" w:rsidRDefault="00856383" w:rsidP="00213F19">
      <w:pPr>
        <w:pStyle w:val="NormalWeb"/>
        <w:spacing w:before="0" w:beforeAutospacing="0" w:after="0" w:afterAutospacing="0" w:line="360" w:lineRule="auto"/>
        <w:jc w:val="both"/>
        <w:rPr>
          <w:rFonts w:ascii="Arial" w:hAnsi="Arial" w:cs="Arial"/>
        </w:rPr>
      </w:pPr>
      <w:r w:rsidRPr="00856383">
        <w:rPr>
          <w:rFonts w:ascii="Arial" w:hAnsi="Arial" w:cs="Arial"/>
        </w:rPr>
        <w:t xml:space="preserve">Figure </w:t>
      </w:r>
      <w:r>
        <w:rPr>
          <w:rFonts w:ascii="Arial" w:hAnsi="Arial" w:cs="Arial"/>
        </w:rPr>
        <w:t>3</w:t>
      </w:r>
      <w:r w:rsidRPr="00856383">
        <w:rPr>
          <w:rFonts w:ascii="Arial" w:hAnsi="Arial" w:cs="Arial"/>
        </w:rPr>
        <w:t xml:space="preserve">. Trend in </w:t>
      </w:r>
      <w:r>
        <w:rPr>
          <w:rFonts w:ascii="Arial" w:hAnsi="Arial" w:cs="Arial"/>
        </w:rPr>
        <w:t>inventory and asset</w:t>
      </w:r>
      <w:r w:rsidR="00BC34A7">
        <w:rPr>
          <w:rFonts w:ascii="Arial" w:hAnsi="Arial" w:cs="Arial"/>
        </w:rPr>
        <w:t xml:space="preserve"> turnover</w:t>
      </w:r>
      <w:r w:rsidRPr="00856383">
        <w:rPr>
          <w:rFonts w:ascii="Arial" w:hAnsi="Arial" w:cs="Arial"/>
        </w:rPr>
        <w:t xml:space="preserve"> of General Electronics (2020–2024)</w:t>
      </w:r>
    </w:p>
    <w:p w14:paraId="1CEB5C97" w14:textId="345D2666" w:rsidR="000B0E0C" w:rsidRPr="00213F19" w:rsidRDefault="000B0E0C" w:rsidP="001D3906">
      <w:pPr>
        <w:pStyle w:val="Heading2"/>
        <w:spacing w:before="0" w:line="360" w:lineRule="auto"/>
        <w:jc w:val="both"/>
        <w:rPr>
          <w:rFonts w:ascii="Arial" w:hAnsi="Arial" w:cs="Arial"/>
          <w:color w:val="000000" w:themeColor="text1"/>
          <w:sz w:val="24"/>
          <w:szCs w:val="24"/>
        </w:rPr>
      </w:pPr>
      <w:bookmarkStart w:id="6" w:name="_Toc217253866"/>
      <w:r w:rsidRPr="00213F19">
        <w:rPr>
          <w:rStyle w:val="Strong"/>
          <w:rFonts w:ascii="Arial" w:hAnsi="Arial" w:cs="Arial"/>
          <w:color w:val="000000" w:themeColor="text1"/>
          <w:sz w:val="24"/>
          <w:szCs w:val="24"/>
        </w:rPr>
        <w:t>1.</w:t>
      </w:r>
      <w:r w:rsidR="00A720F3" w:rsidRPr="00213F19">
        <w:rPr>
          <w:rStyle w:val="Strong"/>
          <w:rFonts w:ascii="Arial" w:hAnsi="Arial" w:cs="Arial"/>
          <w:color w:val="000000" w:themeColor="text1"/>
          <w:sz w:val="24"/>
          <w:szCs w:val="24"/>
        </w:rPr>
        <w:t>4</w:t>
      </w:r>
      <w:r w:rsidRPr="00213F19">
        <w:rPr>
          <w:rStyle w:val="Strong"/>
          <w:rFonts w:ascii="Arial" w:hAnsi="Arial" w:cs="Arial"/>
          <w:color w:val="000000" w:themeColor="text1"/>
          <w:sz w:val="24"/>
          <w:szCs w:val="24"/>
        </w:rPr>
        <w:t xml:space="preserve"> Gearing and Solvency Analysis</w:t>
      </w:r>
      <w:bookmarkEnd w:id="6"/>
    </w:p>
    <w:p w14:paraId="570E7B29" w14:textId="76EE67B0" w:rsidR="009E5473" w:rsidRDefault="009E5473" w:rsidP="001D3906">
      <w:pPr>
        <w:pStyle w:val="NormalWeb"/>
        <w:spacing w:before="0" w:beforeAutospacing="0" w:after="0" w:afterAutospacing="0" w:line="360" w:lineRule="auto"/>
        <w:jc w:val="both"/>
        <w:rPr>
          <w:rFonts w:ascii="Arial" w:hAnsi="Arial" w:cs="Arial"/>
        </w:rPr>
      </w:pPr>
      <w:r w:rsidRPr="001D3906">
        <w:rPr>
          <w:rFonts w:ascii="Arial" w:hAnsi="Arial" w:cs="Arial"/>
        </w:rPr>
        <w:t>Debt to equity has been growing dramatically. The Debt-to-Equity Ratio increased to 1.11 compared to 0.63, i.e. the company is now more debt capital-financed than equity-capital-financed. Simultaneously, the Operating Cash Flow to Debt Ratio has decreased by 0.37 to 0.09, and Interest Coverage has declined to -4.5x -11.1x, which proves that operating profits are not enough to finance interest payments</w:t>
      </w:r>
      <w:r w:rsidR="00BE11D7">
        <w:rPr>
          <w:rFonts w:ascii="Arial" w:hAnsi="Arial" w:cs="Arial"/>
        </w:rPr>
        <w:t xml:space="preserve"> (Figure 4)</w:t>
      </w:r>
      <w:r w:rsidRPr="001D3906">
        <w:rPr>
          <w:rFonts w:ascii="Arial" w:hAnsi="Arial" w:cs="Arial"/>
        </w:rPr>
        <w:t>.</w:t>
      </w:r>
    </w:p>
    <w:p w14:paraId="6083DF00" w14:textId="3DB5F176" w:rsidR="006C4F43" w:rsidRDefault="008B48DD" w:rsidP="001D3906">
      <w:pPr>
        <w:pStyle w:val="NormalWeb"/>
        <w:spacing w:before="0" w:beforeAutospacing="0" w:after="0" w:afterAutospacing="0" w:line="360" w:lineRule="auto"/>
        <w:jc w:val="both"/>
        <w:rPr>
          <w:rFonts w:ascii="Arial" w:hAnsi="Arial" w:cs="Arial"/>
        </w:rPr>
      </w:pPr>
      <w:r>
        <w:rPr>
          <w:rFonts w:ascii="Arial" w:hAnsi="Arial" w:cs="Arial"/>
          <w:noProof/>
        </w:rPr>
        <w:drawing>
          <wp:inline distT="0" distB="0" distL="0" distR="0" wp14:anchorId="39ED17B0" wp14:editId="2FCFF1A2">
            <wp:extent cx="4584700" cy="2755900"/>
            <wp:effectExtent l="0" t="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F561CE3" w14:textId="7B354E58" w:rsidR="006C4F43" w:rsidRPr="001D3906" w:rsidRDefault="006C4F43" w:rsidP="001D3906">
      <w:pPr>
        <w:pStyle w:val="NormalWeb"/>
        <w:spacing w:before="0" w:beforeAutospacing="0" w:after="0" w:afterAutospacing="0" w:line="360" w:lineRule="auto"/>
        <w:jc w:val="both"/>
        <w:rPr>
          <w:rFonts w:ascii="Arial" w:hAnsi="Arial" w:cs="Arial"/>
        </w:rPr>
      </w:pPr>
      <w:r>
        <w:rPr>
          <w:rFonts w:ascii="Arial" w:hAnsi="Arial" w:cs="Arial"/>
        </w:rPr>
        <w:t xml:space="preserve">Figure 4. </w:t>
      </w:r>
      <w:r w:rsidR="00743A54" w:rsidRPr="00743A54">
        <w:rPr>
          <w:rFonts w:ascii="Arial" w:hAnsi="Arial" w:cs="Arial"/>
        </w:rPr>
        <w:t>Trend in</w:t>
      </w:r>
      <w:r w:rsidR="00743A54">
        <w:rPr>
          <w:rFonts w:ascii="Arial" w:hAnsi="Arial" w:cs="Arial"/>
        </w:rPr>
        <w:t xml:space="preserve"> debt to equity ratio </w:t>
      </w:r>
      <w:r w:rsidR="00743A54" w:rsidRPr="00743A54">
        <w:rPr>
          <w:rFonts w:ascii="Arial" w:hAnsi="Arial" w:cs="Arial"/>
        </w:rPr>
        <w:t>of General Electronics (2020–2024)</w:t>
      </w:r>
      <w:r w:rsidR="008B48DD">
        <w:rPr>
          <w:rFonts w:ascii="Arial" w:hAnsi="Arial" w:cs="Arial"/>
        </w:rPr>
        <w:t>.</w:t>
      </w:r>
    </w:p>
    <w:p w14:paraId="6197BA05" w14:textId="77777777" w:rsidR="009E5473" w:rsidRPr="001D3906" w:rsidRDefault="009E5473" w:rsidP="001D3906">
      <w:pPr>
        <w:pStyle w:val="NormalWeb"/>
        <w:spacing w:before="0" w:beforeAutospacing="0" w:after="0" w:afterAutospacing="0" w:line="360" w:lineRule="auto"/>
        <w:jc w:val="both"/>
        <w:rPr>
          <w:rFonts w:ascii="Arial" w:hAnsi="Arial" w:cs="Arial"/>
        </w:rPr>
      </w:pPr>
      <w:r w:rsidRPr="001D3906">
        <w:rPr>
          <w:rFonts w:ascii="Arial" w:hAnsi="Arial" w:cs="Arial"/>
        </w:rPr>
        <w:t>The previous benefit of the company, the conservative use of capital, has been substituted by the hazardous over-leverage. Heightened dependence on the short-term borrowings and deterioration of profitability have augmented the default risk. Sustainability of debt has been a matter of concern: unless it is restructured or recapitalized then the company is at risk of violation of debt covenants.</w:t>
      </w:r>
    </w:p>
    <w:p w14:paraId="499B5C6E" w14:textId="28B10C86" w:rsidR="000B0E0C" w:rsidRPr="001D3906" w:rsidRDefault="009E5473" w:rsidP="00213F19">
      <w:pPr>
        <w:pStyle w:val="NormalWeb"/>
        <w:spacing w:before="0" w:beforeAutospacing="0" w:after="0" w:afterAutospacing="0" w:line="360" w:lineRule="auto"/>
        <w:jc w:val="both"/>
        <w:rPr>
          <w:rFonts w:ascii="Arial" w:hAnsi="Arial" w:cs="Arial"/>
        </w:rPr>
      </w:pPr>
      <w:r w:rsidRPr="001D3906">
        <w:rPr>
          <w:rFonts w:ascii="Arial" w:hAnsi="Arial" w:cs="Arial"/>
        </w:rPr>
        <w:t xml:space="preserve">In terms of financial management, it is an indicator that it is urgent to deleverage and reinstate equity to limit the risk exposure </w:t>
      </w:r>
      <w:r w:rsidR="00214864" w:rsidRPr="00214864">
        <w:rPr>
          <w:rFonts w:ascii="Arial" w:hAnsi="Arial" w:cs="Arial"/>
        </w:rPr>
        <w:t>(Fikri and Yolanda, 2023)</w:t>
      </w:r>
      <w:r w:rsidRPr="001D3906">
        <w:rPr>
          <w:rFonts w:ascii="Arial" w:hAnsi="Arial" w:cs="Arial"/>
        </w:rPr>
        <w:t>.</w:t>
      </w:r>
    </w:p>
    <w:p w14:paraId="6835D19C" w14:textId="4970E412" w:rsidR="000B0E0C" w:rsidRPr="00213F19" w:rsidRDefault="000B0E0C" w:rsidP="001D3906">
      <w:pPr>
        <w:pStyle w:val="Heading2"/>
        <w:spacing w:before="0" w:line="360" w:lineRule="auto"/>
        <w:jc w:val="both"/>
        <w:rPr>
          <w:rFonts w:ascii="Arial" w:hAnsi="Arial" w:cs="Arial"/>
          <w:color w:val="000000" w:themeColor="text1"/>
          <w:sz w:val="24"/>
          <w:szCs w:val="24"/>
        </w:rPr>
      </w:pPr>
      <w:bookmarkStart w:id="7" w:name="_Toc217253867"/>
      <w:r w:rsidRPr="00213F19">
        <w:rPr>
          <w:rStyle w:val="Strong"/>
          <w:rFonts w:ascii="Arial" w:hAnsi="Arial" w:cs="Arial"/>
          <w:color w:val="000000" w:themeColor="text1"/>
          <w:sz w:val="24"/>
          <w:szCs w:val="24"/>
        </w:rPr>
        <w:t>1.</w:t>
      </w:r>
      <w:r w:rsidR="00A720F3" w:rsidRPr="00213F19">
        <w:rPr>
          <w:rStyle w:val="Strong"/>
          <w:rFonts w:ascii="Arial" w:hAnsi="Arial" w:cs="Arial"/>
          <w:color w:val="000000" w:themeColor="text1"/>
          <w:sz w:val="24"/>
          <w:szCs w:val="24"/>
        </w:rPr>
        <w:t>5</w:t>
      </w:r>
      <w:r w:rsidRPr="00213F19">
        <w:rPr>
          <w:rStyle w:val="Strong"/>
          <w:rFonts w:ascii="Arial" w:hAnsi="Arial" w:cs="Arial"/>
          <w:color w:val="000000" w:themeColor="text1"/>
          <w:sz w:val="24"/>
          <w:szCs w:val="24"/>
        </w:rPr>
        <w:t xml:space="preserve"> Cash Flow Analysis</w:t>
      </w:r>
      <w:bookmarkEnd w:id="7"/>
    </w:p>
    <w:p w14:paraId="51666519" w14:textId="77777777" w:rsidR="004E334D" w:rsidRPr="001D3906" w:rsidRDefault="004E334D" w:rsidP="001D3906">
      <w:pPr>
        <w:pStyle w:val="NormalWeb"/>
        <w:spacing w:before="0" w:beforeAutospacing="0" w:after="0" w:afterAutospacing="0" w:line="360" w:lineRule="auto"/>
        <w:jc w:val="both"/>
        <w:rPr>
          <w:rFonts w:ascii="Arial" w:hAnsi="Arial" w:cs="Arial"/>
        </w:rPr>
      </w:pPr>
      <w:r w:rsidRPr="001D3906">
        <w:rPr>
          <w:rFonts w:ascii="Arial" w:hAnsi="Arial" w:cs="Arial"/>
        </w:rPr>
        <w:t>The above-mentioned liquidity and solvency issues are highlighted by the cash flow performance.</w:t>
      </w:r>
    </w:p>
    <w:p w14:paraId="604151F0" w14:textId="3AAB8506" w:rsidR="004E334D" w:rsidRPr="001D3906" w:rsidRDefault="004E334D" w:rsidP="00362C8D">
      <w:pPr>
        <w:pStyle w:val="NormalWeb"/>
        <w:numPr>
          <w:ilvl w:val="0"/>
          <w:numId w:val="47"/>
        </w:numPr>
        <w:spacing w:before="0" w:beforeAutospacing="0" w:after="0" w:afterAutospacing="0" w:line="360" w:lineRule="auto"/>
        <w:jc w:val="both"/>
        <w:rPr>
          <w:rFonts w:ascii="Arial" w:hAnsi="Arial" w:cs="Arial"/>
        </w:rPr>
      </w:pPr>
      <w:r w:rsidRPr="001D3906">
        <w:rPr>
          <w:rFonts w:ascii="Arial" w:hAnsi="Arial" w:cs="Arial"/>
        </w:rPr>
        <w:t>Operation Cash flow (OCF) decreased by almost 80% (between 73 bn and 15bn).</w:t>
      </w:r>
    </w:p>
    <w:p w14:paraId="44F14692" w14:textId="3D73BFE7" w:rsidR="004E334D" w:rsidRPr="001D3906" w:rsidRDefault="004E334D" w:rsidP="00362C8D">
      <w:pPr>
        <w:pStyle w:val="NormalWeb"/>
        <w:numPr>
          <w:ilvl w:val="0"/>
          <w:numId w:val="47"/>
        </w:numPr>
        <w:spacing w:before="0" w:beforeAutospacing="0" w:after="0" w:afterAutospacing="0" w:line="360" w:lineRule="auto"/>
        <w:jc w:val="both"/>
        <w:rPr>
          <w:rFonts w:ascii="Arial" w:hAnsi="Arial" w:cs="Arial"/>
        </w:rPr>
      </w:pPr>
      <w:r w:rsidRPr="001D3906">
        <w:rPr>
          <w:rFonts w:ascii="Arial" w:hAnsi="Arial" w:cs="Arial"/>
        </w:rPr>
        <w:t>Operation Cash Flow ratio decreased by 0.41 to 0.09, which indicates that the operations barely meet the short-term liabilities.</w:t>
      </w:r>
    </w:p>
    <w:p w14:paraId="772D1578" w14:textId="77777777" w:rsidR="004E334D" w:rsidRPr="001D3906" w:rsidRDefault="004E334D" w:rsidP="00362C8D">
      <w:pPr>
        <w:pStyle w:val="NormalWeb"/>
        <w:numPr>
          <w:ilvl w:val="0"/>
          <w:numId w:val="47"/>
        </w:numPr>
        <w:spacing w:before="0" w:beforeAutospacing="0" w:after="0" w:afterAutospacing="0" w:line="360" w:lineRule="auto"/>
        <w:jc w:val="both"/>
        <w:rPr>
          <w:rFonts w:ascii="Arial" w:hAnsi="Arial" w:cs="Arial"/>
        </w:rPr>
      </w:pPr>
      <w:r w:rsidRPr="001D3906">
        <w:rPr>
          <w:rFonts w:ascii="Arial" w:hAnsi="Arial" w:cs="Arial"/>
        </w:rPr>
        <w:t>Cash Flow to Debt Ratio decreased 0.37 down to 0.09 and indicated an increase in financial risk.</w:t>
      </w:r>
    </w:p>
    <w:p w14:paraId="179D92E9" w14:textId="77777777" w:rsidR="004E334D" w:rsidRPr="001D3906" w:rsidRDefault="004E334D" w:rsidP="00362C8D">
      <w:pPr>
        <w:pStyle w:val="NormalWeb"/>
        <w:numPr>
          <w:ilvl w:val="0"/>
          <w:numId w:val="47"/>
        </w:numPr>
        <w:spacing w:before="0" w:beforeAutospacing="0" w:after="0" w:afterAutospacing="0" w:line="360" w:lineRule="auto"/>
        <w:jc w:val="both"/>
        <w:rPr>
          <w:rFonts w:ascii="Arial" w:hAnsi="Arial" w:cs="Arial"/>
        </w:rPr>
      </w:pPr>
      <w:r w:rsidRPr="001D3906">
        <w:rPr>
          <w:rFonts w:ascii="Arial" w:hAnsi="Arial" w:cs="Arial"/>
        </w:rPr>
        <w:t>Cash Margin has declined to 3.8% as compared to 11.9% and it shows a poor turnover of the sales into cash.</w:t>
      </w:r>
    </w:p>
    <w:p w14:paraId="1319A0EE" w14:textId="62A00A12" w:rsidR="004E334D" w:rsidRPr="001D3906" w:rsidRDefault="004E334D" w:rsidP="00362C8D">
      <w:pPr>
        <w:pStyle w:val="NormalWeb"/>
        <w:numPr>
          <w:ilvl w:val="0"/>
          <w:numId w:val="47"/>
        </w:numPr>
        <w:spacing w:before="0" w:beforeAutospacing="0" w:after="0" w:afterAutospacing="0" w:line="360" w:lineRule="auto"/>
        <w:jc w:val="both"/>
        <w:rPr>
          <w:rFonts w:ascii="Arial" w:hAnsi="Arial" w:cs="Arial"/>
        </w:rPr>
      </w:pPr>
      <w:r w:rsidRPr="001D3906">
        <w:rPr>
          <w:rFonts w:ascii="Arial" w:hAnsi="Arial" w:cs="Arial"/>
        </w:rPr>
        <w:t>Free Cash Flow Margin reduced to 1.6 as compared to 9.2 indicating that there is low capacity of reinvestment (appendix 1).</w:t>
      </w:r>
    </w:p>
    <w:p w14:paraId="593F8B59" w14:textId="77777777" w:rsidR="004E334D" w:rsidRPr="001D3906" w:rsidRDefault="004E334D" w:rsidP="001D3906">
      <w:pPr>
        <w:pStyle w:val="NormalWeb"/>
        <w:spacing w:before="0" w:beforeAutospacing="0" w:after="0" w:afterAutospacing="0" w:line="360" w:lineRule="auto"/>
        <w:jc w:val="both"/>
        <w:rPr>
          <w:rFonts w:ascii="Arial" w:hAnsi="Arial" w:cs="Arial"/>
        </w:rPr>
      </w:pPr>
      <w:r w:rsidRPr="001D3906">
        <w:rPr>
          <w:rFonts w:ascii="Arial" w:hAnsi="Arial" w:cs="Arial"/>
        </w:rPr>
        <w:t>The capacity of the firm to raise internal funds has worn out. The cash reserves have decreased by over fifty percent and the free cash flow has only become marginally positive essentially because of lower spending on capital expenditure. The trend shows that there is pressure on short-term solvency and the long-term investment capacity is crippled.</w:t>
      </w:r>
    </w:p>
    <w:p w14:paraId="6969E4D2" w14:textId="29CBEA4A" w:rsidR="000B0E0C" w:rsidRPr="001D3906" w:rsidRDefault="004E334D" w:rsidP="001D3906">
      <w:pPr>
        <w:pStyle w:val="NormalWeb"/>
        <w:spacing w:before="0" w:beforeAutospacing="0" w:after="0" w:afterAutospacing="0" w:line="360" w:lineRule="auto"/>
        <w:jc w:val="both"/>
        <w:rPr>
          <w:rFonts w:ascii="Arial" w:hAnsi="Arial" w:cs="Arial"/>
        </w:rPr>
      </w:pPr>
      <w:r w:rsidRPr="001D3906">
        <w:rPr>
          <w:rFonts w:ascii="Arial" w:hAnsi="Arial" w:cs="Arial"/>
        </w:rPr>
        <w:t>Although the generation of positive OCF in 2024 continues to be a strength left over, the negative trend indicates that liquidity management and recovery of operational cash is urgent</w:t>
      </w:r>
      <w:r w:rsidR="002B525F">
        <w:rPr>
          <w:rFonts w:ascii="Arial" w:hAnsi="Arial" w:cs="Arial"/>
        </w:rPr>
        <w:t xml:space="preserve"> </w:t>
      </w:r>
      <w:r w:rsidR="002B525F" w:rsidRPr="002B525F">
        <w:rPr>
          <w:rFonts w:ascii="Arial" w:hAnsi="Arial" w:cs="Arial"/>
        </w:rPr>
        <w:t>(Soboleva et al., 2018)</w:t>
      </w:r>
      <w:r w:rsidRPr="001D3906">
        <w:rPr>
          <w:rFonts w:ascii="Arial" w:hAnsi="Arial" w:cs="Arial"/>
        </w:rPr>
        <w:t>.</w:t>
      </w:r>
    </w:p>
    <w:p w14:paraId="1E7C4108" w14:textId="04455C73" w:rsidR="000B0E0C" w:rsidRPr="00213F19" w:rsidRDefault="000B0E0C" w:rsidP="001D3906">
      <w:pPr>
        <w:pStyle w:val="Heading2"/>
        <w:spacing w:before="0" w:line="360" w:lineRule="auto"/>
        <w:jc w:val="both"/>
        <w:rPr>
          <w:rFonts w:ascii="Arial" w:hAnsi="Arial" w:cs="Arial"/>
          <w:color w:val="000000" w:themeColor="text1"/>
          <w:sz w:val="24"/>
          <w:szCs w:val="24"/>
        </w:rPr>
      </w:pPr>
      <w:bookmarkStart w:id="8" w:name="_Toc217253868"/>
      <w:r w:rsidRPr="00213F19">
        <w:rPr>
          <w:rStyle w:val="Strong"/>
          <w:rFonts w:ascii="Arial" w:hAnsi="Arial" w:cs="Arial"/>
          <w:color w:val="000000" w:themeColor="text1"/>
          <w:sz w:val="24"/>
          <w:szCs w:val="24"/>
        </w:rPr>
        <w:t>1.</w:t>
      </w:r>
      <w:r w:rsidR="00A720F3" w:rsidRPr="00213F19">
        <w:rPr>
          <w:rStyle w:val="Strong"/>
          <w:rFonts w:ascii="Arial" w:hAnsi="Arial" w:cs="Arial"/>
          <w:color w:val="000000" w:themeColor="text1"/>
          <w:sz w:val="24"/>
          <w:szCs w:val="24"/>
        </w:rPr>
        <w:t>6</w:t>
      </w:r>
      <w:r w:rsidRPr="00213F19">
        <w:rPr>
          <w:rStyle w:val="Strong"/>
          <w:rFonts w:ascii="Arial" w:hAnsi="Arial" w:cs="Arial"/>
          <w:color w:val="000000" w:themeColor="text1"/>
          <w:sz w:val="24"/>
          <w:szCs w:val="24"/>
        </w:rPr>
        <w:t xml:space="preserve"> Investment Performance Analysis</w:t>
      </w:r>
      <w:bookmarkEnd w:id="8"/>
    </w:p>
    <w:p w14:paraId="383F592E" w14:textId="27F182A1" w:rsidR="00116A8A" w:rsidRDefault="00116A8A" w:rsidP="001D3906">
      <w:pPr>
        <w:pStyle w:val="NormalWeb"/>
        <w:spacing w:before="0" w:beforeAutospacing="0" w:after="0" w:afterAutospacing="0" w:line="360" w:lineRule="auto"/>
        <w:jc w:val="both"/>
        <w:rPr>
          <w:rFonts w:ascii="Arial" w:hAnsi="Arial" w:cs="Arial"/>
        </w:rPr>
      </w:pPr>
      <w:r w:rsidRPr="001D3906">
        <w:rPr>
          <w:rFonts w:ascii="Arial" w:hAnsi="Arial" w:cs="Arial"/>
        </w:rPr>
        <w:t>The investment ratios indicate poor shareholder value and capital efficiency. The Return on Invested Capital (ROIC) has decreased to -4.5% (2024) compared to 7.3% (2020) which proves that General Electronics is not creating value anymore, it destroys it. Negative ROIC indicates that after tax operating profits are not enough to meet the cost of capital</w:t>
      </w:r>
      <w:r w:rsidR="003A2ABD">
        <w:rPr>
          <w:rFonts w:ascii="Arial" w:hAnsi="Arial" w:cs="Arial"/>
        </w:rPr>
        <w:t xml:space="preserve"> (</w:t>
      </w:r>
      <w:r w:rsidR="00BE11D7">
        <w:rPr>
          <w:rFonts w:ascii="Arial" w:hAnsi="Arial" w:cs="Arial"/>
        </w:rPr>
        <w:t>Figure</w:t>
      </w:r>
      <w:r w:rsidR="003A2ABD">
        <w:rPr>
          <w:rFonts w:ascii="Arial" w:hAnsi="Arial" w:cs="Arial"/>
        </w:rPr>
        <w:t xml:space="preserve"> 5)</w:t>
      </w:r>
      <w:r w:rsidRPr="001D3906">
        <w:rPr>
          <w:rFonts w:ascii="Arial" w:hAnsi="Arial" w:cs="Arial"/>
        </w:rPr>
        <w:t>.</w:t>
      </w:r>
    </w:p>
    <w:p w14:paraId="56E47143" w14:textId="55250879" w:rsidR="002510A3" w:rsidRDefault="002510A3" w:rsidP="001D3906">
      <w:pPr>
        <w:pStyle w:val="NormalWeb"/>
        <w:spacing w:before="0" w:beforeAutospacing="0" w:after="0" w:afterAutospacing="0" w:line="360" w:lineRule="auto"/>
        <w:jc w:val="both"/>
        <w:rPr>
          <w:rFonts w:ascii="Arial" w:hAnsi="Arial" w:cs="Arial"/>
        </w:rPr>
      </w:pPr>
      <w:r>
        <w:rPr>
          <w:rFonts w:ascii="Arial" w:hAnsi="Arial" w:cs="Arial"/>
          <w:noProof/>
        </w:rPr>
        <w:drawing>
          <wp:inline distT="0" distB="0" distL="0" distR="0" wp14:anchorId="2E39CFF1" wp14:editId="6C3C01FC">
            <wp:extent cx="4584700" cy="2755900"/>
            <wp:effectExtent l="0" t="0" r="635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16DC78B" w14:textId="3CA29D9B" w:rsidR="002510A3" w:rsidRPr="001D3906" w:rsidRDefault="002510A3" w:rsidP="001D3906">
      <w:pPr>
        <w:pStyle w:val="NormalWeb"/>
        <w:spacing w:before="0" w:beforeAutospacing="0" w:after="0" w:afterAutospacing="0" w:line="360" w:lineRule="auto"/>
        <w:jc w:val="both"/>
        <w:rPr>
          <w:rFonts w:ascii="Arial" w:hAnsi="Arial" w:cs="Arial"/>
        </w:rPr>
      </w:pPr>
      <w:r w:rsidRPr="002510A3">
        <w:rPr>
          <w:rFonts w:ascii="Arial" w:hAnsi="Arial" w:cs="Arial"/>
        </w:rPr>
        <w:t xml:space="preserve">Figure </w:t>
      </w:r>
      <w:r>
        <w:rPr>
          <w:rFonts w:ascii="Arial" w:hAnsi="Arial" w:cs="Arial"/>
        </w:rPr>
        <w:t>5</w:t>
      </w:r>
      <w:r w:rsidRPr="002510A3">
        <w:rPr>
          <w:rFonts w:ascii="Arial" w:hAnsi="Arial" w:cs="Arial"/>
        </w:rPr>
        <w:t>. Trend in Investment Ratios of General Electronics (2020–2024)</w:t>
      </w:r>
      <w:r w:rsidR="00410119">
        <w:rPr>
          <w:rFonts w:ascii="Arial" w:hAnsi="Arial" w:cs="Arial"/>
        </w:rPr>
        <w:t>.</w:t>
      </w:r>
    </w:p>
    <w:p w14:paraId="714D1D23" w14:textId="77777777" w:rsidR="00116A8A" w:rsidRPr="001D3906" w:rsidRDefault="00116A8A" w:rsidP="001D3906">
      <w:pPr>
        <w:pStyle w:val="NormalWeb"/>
        <w:spacing w:before="0" w:beforeAutospacing="0" w:after="0" w:afterAutospacing="0" w:line="360" w:lineRule="auto"/>
        <w:jc w:val="both"/>
        <w:rPr>
          <w:rFonts w:ascii="Arial" w:hAnsi="Arial" w:cs="Arial"/>
        </w:rPr>
      </w:pPr>
      <w:r w:rsidRPr="001D3906">
        <w:rPr>
          <w:rFonts w:ascii="Arial" w:hAnsi="Arial" w:cs="Arial"/>
        </w:rPr>
        <w:t>Earnings per Share (EPS) decreased to allowable net losses of such value in 20232024 (-1.85), which was lower than the position of 2.78 in 2021 (appendix 1). Such losses have reduced the investor confidence and no dividends are paid and the Dividend Payout and Cover Ratios are virtually zero. Under negative earnings the P/E Ratio cannot exist and this means that there would be severe market devaluation in the case of publicly traded.</w:t>
      </w:r>
    </w:p>
    <w:p w14:paraId="2F34BC1C" w14:textId="37264211" w:rsidR="000B0E0C" w:rsidRPr="001D3906" w:rsidRDefault="00116A8A" w:rsidP="00213F19">
      <w:pPr>
        <w:pStyle w:val="NormalWeb"/>
        <w:spacing w:before="0" w:beforeAutospacing="0" w:after="0" w:afterAutospacing="0" w:line="360" w:lineRule="auto"/>
        <w:jc w:val="both"/>
        <w:rPr>
          <w:rFonts w:ascii="Arial" w:hAnsi="Arial" w:cs="Arial"/>
        </w:rPr>
      </w:pPr>
      <w:r w:rsidRPr="001D3906">
        <w:rPr>
          <w:rFonts w:ascii="Arial" w:hAnsi="Arial" w:cs="Arial"/>
        </w:rPr>
        <w:t>On the side of an investor, this is a total failure on the profitability and confidence that the management can bring forth returns. The cost restructuring and capital reallocation will be significant in restoring the market credibility and shareholder value</w:t>
      </w:r>
      <w:r w:rsidR="00852581">
        <w:rPr>
          <w:rFonts w:ascii="Arial" w:hAnsi="Arial" w:cs="Arial"/>
        </w:rPr>
        <w:t xml:space="preserve"> </w:t>
      </w:r>
      <w:r w:rsidR="00852581" w:rsidRPr="00852581">
        <w:rPr>
          <w:rFonts w:ascii="Arial" w:hAnsi="Arial" w:cs="Arial"/>
        </w:rPr>
        <w:t>(Zatrochová and Zatrochová, 2023)</w:t>
      </w:r>
      <w:r w:rsidRPr="001D3906">
        <w:rPr>
          <w:rFonts w:ascii="Arial" w:hAnsi="Arial" w:cs="Arial"/>
        </w:rPr>
        <w:t>.</w:t>
      </w:r>
    </w:p>
    <w:p w14:paraId="152150F8" w14:textId="1664A7DF" w:rsidR="000B0E0C" w:rsidRPr="00213F19" w:rsidRDefault="000B0E0C" w:rsidP="001D3906">
      <w:pPr>
        <w:pStyle w:val="Heading2"/>
        <w:spacing w:before="0" w:line="360" w:lineRule="auto"/>
        <w:jc w:val="both"/>
        <w:rPr>
          <w:rFonts w:ascii="Arial" w:hAnsi="Arial" w:cs="Arial"/>
          <w:color w:val="000000" w:themeColor="text1"/>
          <w:sz w:val="24"/>
          <w:szCs w:val="24"/>
        </w:rPr>
      </w:pPr>
      <w:bookmarkStart w:id="9" w:name="_Toc217253869"/>
      <w:r w:rsidRPr="00213F19">
        <w:rPr>
          <w:rStyle w:val="Strong"/>
          <w:rFonts w:ascii="Arial" w:hAnsi="Arial" w:cs="Arial"/>
          <w:color w:val="000000" w:themeColor="text1"/>
          <w:sz w:val="24"/>
          <w:szCs w:val="24"/>
        </w:rPr>
        <w:t>1.</w:t>
      </w:r>
      <w:r w:rsidR="00A720F3" w:rsidRPr="00213F19">
        <w:rPr>
          <w:rStyle w:val="Strong"/>
          <w:rFonts w:ascii="Arial" w:hAnsi="Arial" w:cs="Arial"/>
          <w:color w:val="000000" w:themeColor="text1"/>
          <w:sz w:val="24"/>
          <w:szCs w:val="24"/>
        </w:rPr>
        <w:t>7</w:t>
      </w:r>
      <w:r w:rsidRPr="00213F19">
        <w:rPr>
          <w:rStyle w:val="Strong"/>
          <w:rFonts w:ascii="Arial" w:hAnsi="Arial" w:cs="Arial"/>
          <w:color w:val="000000" w:themeColor="text1"/>
          <w:sz w:val="24"/>
          <w:szCs w:val="24"/>
        </w:rPr>
        <w:t xml:space="preserve"> Corporate Failure Prediction (Altman Z-Score)</w:t>
      </w:r>
      <w:bookmarkEnd w:id="9"/>
    </w:p>
    <w:p w14:paraId="75ACCF1F" w14:textId="77777777" w:rsidR="00EB0A72" w:rsidRPr="001D3906" w:rsidRDefault="00EB0A72" w:rsidP="001D3906">
      <w:pPr>
        <w:pStyle w:val="NormalWeb"/>
        <w:spacing w:before="0" w:beforeAutospacing="0" w:after="0" w:afterAutospacing="0" w:line="360" w:lineRule="auto"/>
        <w:jc w:val="both"/>
        <w:rPr>
          <w:rFonts w:ascii="Arial" w:hAnsi="Arial" w:cs="Arial"/>
        </w:rPr>
      </w:pPr>
      <w:r w:rsidRPr="001D3906">
        <w:rPr>
          <w:rFonts w:ascii="Arial" w:hAnsi="Arial" w:cs="Arial"/>
        </w:rPr>
        <w:t>The Altman Z-Score is a rather time-tested tool in predicting corporate default, which was computed on the given financial results in 2024.</w:t>
      </w:r>
    </w:p>
    <w:p w14:paraId="0192D4A6" w14:textId="77777777" w:rsidR="00EB0A72" w:rsidRPr="001D3906" w:rsidRDefault="00EB0A72" w:rsidP="001D3906">
      <w:pPr>
        <w:pStyle w:val="NormalWeb"/>
        <w:spacing w:before="0" w:beforeAutospacing="0" w:after="0" w:afterAutospacing="0" w:line="360" w:lineRule="auto"/>
        <w:jc w:val="both"/>
        <w:rPr>
          <w:rFonts w:ascii="Arial" w:hAnsi="Arial" w:cs="Arial"/>
        </w:rPr>
      </w:pPr>
      <w:r w:rsidRPr="001D3906">
        <w:rPr>
          <w:rFonts w:ascii="Arial" w:hAnsi="Arial" w:cs="Arial"/>
        </w:rPr>
        <w:t>The firm has a Z-score of 2.19 (appendix 1), which is in the grey zone as there is a high possibility of financial distress in 1-2 years. This is supported by the drastic decrease in historical solvency ratios. The company might end up in the distress zone (less than 1.8) indicating likely default unless corrective restructuring is adopted.</w:t>
      </w:r>
    </w:p>
    <w:p w14:paraId="78F4857F" w14:textId="1E2C3D9D" w:rsidR="00EB0A72" w:rsidRPr="001D3906" w:rsidRDefault="00EB0A72" w:rsidP="001D3906">
      <w:pPr>
        <w:pStyle w:val="NormalWeb"/>
        <w:spacing w:before="0" w:beforeAutospacing="0" w:after="0" w:afterAutospacing="0" w:line="360" w:lineRule="auto"/>
        <w:jc w:val="both"/>
        <w:rPr>
          <w:rFonts w:ascii="Arial" w:hAnsi="Arial" w:cs="Arial"/>
        </w:rPr>
      </w:pPr>
      <w:r w:rsidRPr="001D3906">
        <w:rPr>
          <w:rFonts w:ascii="Arial" w:hAnsi="Arial" w:cs="Arial"/>
        </w:rPr>
        <w:t xml:space="preserve">Generally, General Electronics is not in an insolvent situation but rather in a financial distress. The company has remaining liquidity and operating capability and this gives it a basis of turnaround. But profitability, solvency and investor confidence </w:t>
      </w:r>
      <w:r w:rsidR="00316E99" w:rsidRPr="001D3906">
        <w:rPr>
          <w:rFonts w:ascii="Arial" w:hAnsi="Arial" w:cs="Arial"/>
        </w:rPr>
        <w:t>are</w:t>
      </w:r>
      <w:r w:rsidRPr="001D3906">
        <w:rPr>
          <w:rFonts w:ascii="Arial" w:hAnsi="Arial" w:cs="Arial"/>
        </w:rPr>
        <w:t xml:space="preserve"> at a very low level.</w:t>
      </w:r>
    </w:p>
    <w:p w14:paraId="57B244E2" w14:textId="77777777" w:rsidR="00EB0A72" w:rsidRPr="001D3906" w:rsidRDefault="00EB0A72" w:rsidP="001D3906">
      <w:pPr>
        <w:pStyle w:val="NormalWeb"/>
        <w:spacing w:before="0" w:beforeAutospacing="0" w:after="0" w:afterAutospacing="0" w:line="360" w:lineRule="auto"/>
        <w:jc w:val="both"/>
        <w:rPr>
          <w:rFonts w:ascii="Arial" w:hAnsi="Arial" w:cs="Arial"/>
        </w:rPr>
      </w:pPr>
      <w:r w:rsidRPr="001D3906">
        <w:rPr>
          <w:rFonts w:ascii="Arial" w:hAnsi="Arial" w:cs="Arial"/>
        </w:rPr>
        <w:t>The financial evidence shows that there is an urgent need of:</w:t>
      </w:r>
    </w:p>
    <w:p w14:paraId="6D097F1F" w14:textId="77777777" w:rsidR="00EB0A72" w:rsidRPr="001D3906" w:rsidRDefault="00EB0A72" w:rsidP="001D3906">
      <w:pPr>
        <w:pStyle w:val="NormalWeb"/>
        <w:spacing w:before="0" w:beforeAutospacing="0" w:after="0" w:afterAutospacing="0" w:line="360" w:lineRule="auto"/>
        <w:jc w:val="both"/>
        <w:rPr>
          <w:rFonts w:ascii="Arial" w:hAnsi="Arial" w:cs="Arial"/>
        </w:rPr>
      </w:pPr>
      <w:r w:rsidRPr="001D3906">
        <w:rPr>
          <w:rFonts w:ascii="Arial" w:hAnsi="Arial" w:cs="Arial"/>
        </w:rPr>
        <w:t>1. Cost realignment on operations to regain profitability.</w:t>
      </w:r>
    </w:p>
    <w:p w14:paraId="205EAD1E" w14:textId="77777777" w:rsidR="00EB0A72" w:rsidRPr="001D3906" w:rsidRDefault="00EB0A72" w:rsidP="001D3906">
      <w:pPr>
        <w:pStyle w:val="NormalWeb"/>
        <w:spacing w:before="0" w:beforeAutospacing="0" w:after="0" w:afterAutospacing="0" w:line="360" w:lineRule="auto"/>
        <w:jc w:val="both"/>
        <w:rPr>
          <w:rFonts w:ascii="Arial" w:hAnsi="Arial" w:cs="Arial"/>
        </w:rPr>
      </w:pPr>
      <w:r w:rsidRPr="001D3906">
        <w:rPr>
          <w:rFonts w:ascii="Arial" w:hAnsi="Arial" w:cs="Arial"/>
        </w:rPr>
        <w:t>2. Releasing liquidity by working capital optimisation.</w:t>
      </w:r>
    </w:p>
    <w:p w14:paraId="6B241E41" w14:textId="77777777" w:rsidR="00EB0A72" w:rsidRPr="001D3906" w:rsidRDefault="00EB0A72" w:rsidP="001D3906">
      <w:pPr>
        <w:pStyle w:val="NormalWeb"/>
        <w:spacing w:before="0" w:beforeAutospacing="0" w:after="0" w:afterAutospacing="0" w:line="360" w:lineRule="auto"/>
        <w:jc w:val="both"/>
        <w:rPr>
          <w:rFonts w:ascii="Arial" w:hAnsi="Arial" w:cs="Arial"/>
        </w:rPr>
      </w:pPr>
      <w:r w:rsidRPr="001D3906">
        <w:rPr>
          <w:rFonts w:ascii="Arial" w:hAnsi="Arial" w:cs="Arial"/>
        </w:rPr>
        <w:t>3. Reduction of debts or injection of equity to stabilise capital structure.</w:t>
      </w:r>
    </w:p>
    <w:p w14:paraId="7B7797D8" w14:textId="46054890" w:rsidR="00EB0A72" w:rsidRPr="001D3906" w:rsidRDefault="00EB0A72" w:rsidP="001D3906">
      <w:pPr>
        <w:pStyle w:val="NormalWeb"/>
        <w:spacing w:before="0" w:beforeAutospacing="0" w:after="0" w:afterAutospacing="0" w:line="360" w:lineRule="auto"/>
        <w:jc w:val="both"/>
        <w:rPr>
          <w:rFonts w:ascii="Arial" w:hAnsi="Arial" w:cs="Arial"/>
        </w:rPr>
      </w:pPr>
      <w:r w:rsidRPr="001D3906">
        <w:rPr>
          <w:rFonts w:ascii="Arial" w:hAnsi="Arial" w:cs="Arial"/>
        </w:rPr>
        <w:t>4. Tactical investment evaluation to restore sustainable returns</w:t>
      </w:r>
      <w:r w:rsidR="00316E99">
        <w:rPr>
          <w:rFonts w:ascii="Arial" w:hAnsi="Arial" w:cs="Arial"/>
        </w:rPr>
        <w:t xml:space="preserve"> </w:t>
      </w:r>
      <w:r w:rsidR="00316E99" w:rsidRPr="00316E99">
        <w:rPr>
          <w:rFonts w:ascii="Arial" w:hAnsi="Arial" w:cs="Arial"/>
        </w:rPr>
        <w:t>(Altman et al., 2017)</w:t>
      </w:r>
      <w:r w:rsidRPr="001D3906">
        <w:rPr>
          <w:rFonts w:ascii="Arial" w:hAnsi="Arial" w:cs="Arial"/>
        </w:rPr>
        <w:t>.</w:t>
      </w:r>
    </w:p>
    <w:p w14:paraId="629D79CE" w14:textId="524C59F7" w:rsidR="0032002A" w:rsidRPr="00213F19" w:rsidRDefault="0032002A" w:rsidP="001D3906">
      <w:pPr>
        <w:pStyle w:val="Heading1"/>
        <w:spacing w:before="0" w:line="360" w:lineRule="auto"/>
        <w:jc w:val="both"/>
        <w:rPr>
          <w:rFonts w:ascii="Arial" w:eastAsia="Times New Roman" w:hAnsi="Arial" w:cs="Arial"/>
          <w:b/>
          <w:bCs/>
          <w:color w:val="000000" w:themeColor="text1"/>
          <w:sz w:val="24"/>
          <w:szCs w:val="24"/>
        </w:rPr>
      </w:pPr>
      <w:bookmarkStart w:id="10" w:name="_Toc217253870"/>
      <w:r w:rsidRPr="00213F19">
        <w:rPr>
          <w:rFonts w:ascii="Arial" w:eastAsia="Times New Roman" w:hAnsi="Arial" w:cs="Arial"/>
          <w:b/>
          <w:bCs/>
          <w:color w:val="000000" w:themeColor="text1"/>
          <w:sz w:val="24"/>
          <w:szCs w:val="24"/>
        </w:rPr>
        <w:t>2. Working Capital Management Analysis</w:t>
      </w:r>
      <w:bookmarkEnd w:id="10"/>
    </w:p>
    <w:p w14:paraId="5ABADED6" w14:textId="268EB2B8" w:rsidR="0032002A" w:rsidRPr="00213F19" w:rsidRDefault="0032002A" w:rsidP="001D3906">
      <w:pPr>
        <w:pStyle w:val="Heading2"/>
        <w:spacing w:before="0" w:line="360" w:lineRule="auto"/>
        <w:jc w:val="both"/>
        <w:rPr>
          <w:rFonts w:ascii="Arial" w:eastAsia="Times New Roman" w:hAnsi="Arial" w:cs="Arial"/>
          <w:b/>
          <w:bCs/>
          <w:color w:val="000000" w:themeColor="text1"/>
          <w:sz w:val="24"/>
          <w:szCs w:val="24"/>
        </w:rPr>
      </w:pPr>
      <w:bookmarkStart w:id="11" w:name="_Toc217253871"/>
      <w:r w:rsidRPr="00213F19">
        <w:rPr>
          <w:rFonts w:ascii="Arial" w:eastAsia="Times New Roman" w:hAnsi="Arial" w:cs="Arial"/>
          <w:b/>
          <w:bCs/>
          <w:color w:val="000000" w:themeColor="text1"/>
          <w:sz w:val="24"/>
          <w:szCs w:val="24"/>
        </w:rPr>
        <w:t>2.</w:t>
      </w:r>
      <w:r w:rsidR="00F64CC8" w:rsidRPr="00213F19">
        <w:rPr>
          <w:rFonts w:ascii="Arial" w:eastAsia="Times New Roman" w:hAnsi="Arial" w:cs="Arial"/>
          <w:b/>
          <w:bCs/>
          <w:color w:val="000000" w:themeColor="text1"/>
          <w:sz w:val="24"/>
          <w:szCs w:val="24"/>
        </w:rPr>
        <w:t>1</w:t>
      </w:r>
      <w:r w:rsidRPr="00213F19">
        <w:rPr>
          <w:rFonts w:ascii="Arial" w:eastAsia="Times New Roman" w:hAnsi="Arial" w:cs="Arial"/>
          <w:b/>
          <w:bCs/>
          <w:color w:val="000000" w:themeColor="text1"/>
          <w:sz w:val="24"/>
          <w:szCs w:val="24"/>
        </w:rPr>
        <w:t xml:space="preserve"> Assessment of the Cash Operating Cycle (CCC)</w:t>
      </w:r>
      <w:bookmarkEnd w:id="11"/>
    </w:p>
    <w:p w14:paraId="2F7B80CB" w14:textId="46B9812A" w:rsidR="004D4395" w:rsidRPr="001D3906" w:rsidRDefault="004D4395"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 xml:space="preserve">Cash Conversion Cycle (CCC) is the duration of time, which is required of cash invested in operations to be converted into the cash inflows. </w:t>
      </w:r>
      <w:r w:rsidR="00316E99" w:rsidRPr="00316E99">
        <w:rPr>
          <w:rFonts w:ascii="Arial" w:eastAsia="Times New Roman" w:hAnsi="Arial" w:cs="Arial"/>
          <w:kern w:val="0"/>
          <w:sz w:val="24"/>
          <w:szCs w:val="24"/>
          <w14:ligatures w14:val="none"/>
        </w:rPr>
        <w:t>Asman et al.</w:t>
      </w:r>
      <w:r w:rsidR="00316E99">
        <w:rPr>
          <w:rFonts w:ascii="Arial" w:eastAsia="Times New Roman" w:hAnsi="Arial" w:cs="Arial"/>
          <w:kern w:val="0"/>
          <w:sz w:val="24"/>
          <w:szCs w:val="24"/>
          <w14:ligatures w14:val="none"/>
        </w:rPr>
        <w:t xml:space="preserve"> (</w:t>
      </w:r>
      <w:r w:rsidR="00316E99" w:rsidRPr="00316E99">
        <w:rPr>
          <w:rFonts w:ascii="Arial" w:eastAsia="Times New Roman" w:hAnsi="Arial" w:cs="Arial"/>
          <w:kern w:val="0"/>
          <w:sz w:val="24"/>
          <w:szCs w:val="24"/>
          <w14:ligatures w14:val="none"/>
        </w:rPr>
        <w:t>2022)</w:t>
      </w:r>
      <w:r w:rsidRPr="001D3906">
        <w:rPr>
          <w:rFonts w:ascii="Arial" w:eastAsia="Times New Roman" w:hAnsi="Arial" w:cs="Arial"/>
          <w:kern w:val="0"/>
          <w:sz w:val="24"/>
          <w:szCs w:val="24"/>
          <w14:ligatures w14:val="none"/>
        </w:rPr>
        <w:t xml:space="preserve"> state that it is the efficiency of the cash management process at the firm and can be computed as:</w:t>
      </w:r>
    </w:p>
    <w:p w14:paraId="3008C2E4" w14:textId="77777777" w:rsidR="004D4395" w:rsidRPr="001D3906" w:rsidRDefault="004D4395"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CCC=Accounts Receivable Days + Inventory Days -Accounts Payable Days.</w:t>
      </w:r>
    </w:p>
    <w:p w14:paraId="5B2961D2" w14:textId="35F1AC7B" w:rsidR="004D4395" w:rsidRPr="001D3906" w:rsidRDefault="004D4395"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Based on the 202024 data, the CCC of General Electronics had a range of 108 to 140 days with an average of about 120 days, significantly more than the 4560 days that is an industry standard in the consumer electronics industry.</w:t>
      </w:r>
    </w:p>
    <w:p w14:paraId="5D9A8995" w14:textId="77777777" w:rsidR="004D4395" w:rsidRPr="001D3906" w:rsidRDefault="004D4395"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The trend indicates a long and volatile cash operating cycle. The cycle lasted more than 30 days between 2020 and 2022, mostly because of high inventory and reduced customer collections. Although there has been a small increase by 2024 (114 days), the recovery is still not enough to rejuvenate the liquidity.</w:t>
      </w:r>
    </w:p>
    <w:p w14:paraId="0C9D003C" w14:textId="542AA586" w:rsidR="004D4395" w:rsidRPr="00362C8D" w:rsidRDefault="004D4395" w:rsidP="00362C8D">
      <w:pPr>
        <w:pStyle w:val="ListParagraph"/>
        <w:numPr>
          <w:ilvl w:val="0"/>
          <w:numId w:val="48"/>
        </w:numPr>
        <w:spacing w:after="0" w:line="360" w:lineRule="auto"/>
        <w:jc w:val="both"/>
        <w:rPr>
          <w:rFonts w:ascii="Arial" w:eastAsia="Times New Roman" w:hAnsi="Arial" w:cs="Arial"/>
          <w:kern w:val="0"/>
          <w:sz w:val="24"/>
          <w:szCs w:val="24"/>
          <w14:ligatures w14:val="none"/>
        </w:rPr>
      </w:pPr>
      <w:r w:rsidRPr="00362C8D">
        <w:rPr>
          <w:rFonts w:ascii="Arial" w:eastAsia="Times New Roman" w:hAnsi="Arial" w:cs="Arial"/>
          <w:kern w:val="0"/>
          <w:sz w:val="24"/>
          <w:szCs w:val="24"/>
          <w14:ligatures w14:val="none"/>
        </w:rPr>
        <w:t>Accounts receivables days grew to 105 days (appendix 2) indicating that the company is now taking more than three months to get cash in the company coffers through its creditors, which is a primary indicator of poor credit management.</w:t>
      </w:r>
    </w:p>
    <w:p w14:paraId="7E1EAEDF" w14:textId="07A62CBF" w:rsidR="004D4395" w:rsidRPr="00362C8D" w:rsidRDefault="004D4395" w:rsidP="00362C8D">
      <w:pPr>
        <w:pStyle w:val="ListParagraph"/>
        <w:numPr>
          <w:ilvl w:val="0"/>
          <w:numId w:val="48"/>
        </w:numPr>
        <w:spacing w:after="0" w:line="360" w:lineRule="auto"/>
        <w:jc w:val="both"/>
        <w:rPr>
          <w:rFonts w:ascii="Arial" w:eastAsia="Times New Roman" w:hAnsi="Arial" w:cs="Arial"/>
          <w:kern w:val="0"/>
          <w:sz w:val="24"/>
          <w:szCs w:val="24"/>
          <w14:ligatures w14:val="none"/>
        </w:rPr>
      </w:pPr>
      <w:r w:rsidRPr="00362C8D">
        <w:rPr>
          <w:rFonts w:ascii="Arial" w:eastAsia="Times New Roman" w:hAnsi="Arial" w:cs="Arial"/>
          <w:kern w:val="0"/>
          <w:sz w:val="24"/>
          <w:szCs w:val="24"/>
          <w14:ligatures w14:val="none"/>
        </w:rPr>
        <w:t>Inventory Days were close to 100-130 days, which means that the stock was held excessively, and the inventory was managed inefficiently.</w:t>
      </w:r>
    </w:p>
    <w:p w14:paraId="7A27A03D" w14:textId="22427B12" w:rsidR="004D4395" w:rsidRPr="00362C8D" w:rsidRDefault="004D4395" w:rsidP="00362C8D">
      <w:pPr>
        <w:pStyle w:val="ListParagraph"/>
        <w:numPr>
          <w:ilvl w:val="0"/>
          <w:numId w:val="48"/>
        </w:numPr>
        <w:spacing w:after="0" w:line="360" w:lineRule="auto"/>
        <w:jc w:val="both"/>
        <w:rPr>
          <w:rFonts w:ascii="Arial" w:eastAsia="Times New Roman" w:hAnsi="Arial" w:cs="Arial"/>
          <w:kern w:val="0"/>
          <w:sz w:val="24"/>
          <w:szCs w:val="24"/>
          <w14:ligatures w14:val="none"/>
        </w:rPr>
      </w:pPr>
      <w:r w:rsidRPr="00362C8D">
        <w:rPr>
          <w:rFonts w:ascii="Arial" w:eastAsia="Times New Roman" w:hAnsi="Arial" w:cs="Arial"/>
          <w:kern w:val="0"/>
          <w:sz w:val="24"/>
          <w:szCs w:val="24"/>
          <w14:ligatures w14:val="none"/>
        </w:rPr>
        <w:t>Accounts Payable Days increased to 94days (appendix 2), which means that it is taking the firm a bit longer to pay its suppliers and this is a short-term solution to conserve cash.</w:t>
      </w:r>
    </w:p>
    <w:p w14:paraId="33363E98" w14:textId="402E3F6A" w:rsidR="0032002A" w:rsidRPr="0032002A" w:rsidRDefault="004D4395"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In general, the CCC of General Electronics is too long, and this fact indicates that the company holds a lot of cash in the operating cycle. This long conversion period is the reason why the Operating Cash Flow Ratio decreased to 0.09 (see Section 1), and the liquidity reserves were depleted.</w:t>
      </w:r>
    </w:p>
    <w:p w14:paraId="430C1706" w14:textId="60304BD1" w:rsidR="0032002A" w:rsidRPr="00213F19" w:rsidRDefault="0032002A" w:rsidP="001D3906">
      <w:pPr>
        <w:pStyle w:val="Heading2"/>
        <w:spacing w:before="0" w:line="360" w:lineRule="auto"/>
        <w:jc w:val="both"/>
        <w:rPr>
          <w:rFonts w:ascii="Arial" w:eastAsia="Times New Roman" w:hAnsi="Arial" w:cs="Arial"/>
          <w:b/>
          <w:bCs/>
          <w:color w:val="000000" w:themeColor="text1"/>
          <w:sz w:val="24"/>
          <w:szCs w:val="24"/>
        </w:rPr>
      </w:pPr>
      <w:bookmarkStart w:id="12" w:name="_Toc217253872"/>
      <w:r w:rsidRPr="00213F19">
        <w:rPr>
          <w:rFonts w:ascii="Arial" w:eastAsia="Times New Roman" w:hAnsi="Arial" w:cs="Arial"/>
          <w:b/>
          <w:bCs/>
          <w:color w:val="000000" w:themeColor="text1"/>
          <w:sz w:val="24"/>
          <w:szCs w:val="24"/>
        </w:rPr>
        <w:t>2.</w:t>
      </w:r>
      <w:r w:rsidR="0092028C" w:rsidRPr="00213F19">
        <w:rPr>
          <w:rFonts w:ascii="Arial" w:eastAsia="Times New Roman" w:hAnsi="Arial" w:cs="Arial"/>
          <w:b/>
          <w:bCs/>
          <w:color w:val="000000" w:themeColor="text1"/>
          <w:sz w:val="24"/>
          <w:szCs w:val="24"/>
        </w:rPr>
        <w:t>2</w:t>
      </w:r>
      <w:r w:rsidRPr="00213F19">
        <w:rPr>
          <w:rFonts w:ascii="Arial" w:eastAsia="Times New Roman" w:hAnsi="Arial" w:cs="Arial"/>
          <w:b/>
          <w:bCs/>
          <w:color w:val="000000" w:themeColor="text1"/>
          <w:sz w:val="24"/>
          <w:szCs w:val="24"/>
        </w:rPr>
        <w:t xml:space="preserve"> Diagnosis of Working Capital Inefficiency</w:t>
      </w:r>
      <w:bookmarkEnd w:id="12"/>
    </w:p>
    <w:p w14:paraId="5FB57535" w14:textId="47B45A3D" w:rsidR="005011B8" w:rsidRPr="001D3906" w:rsidRDefault="006D7D35" w:rsidP="001D3906">
      <w:pPr>
        <w:spacing w:after="0" w:line="360" w:lineRule="auto"/>
        <w:jc w:val="both"/>
        <w:rPr>
          <w:rFonts w:ascii="Arial" w:eastAsia="Times New Roman" w:hAnsi="Arial" w:cs="Arial"/>
          <w:kern w:val="0"/>
          <w:sz w:val="24"/>
          <w:szCs w:val="24"/>
          <w14:ligatures w14:val="none"/>
        </w:rPr>
      </w:pPr>
      <w:r w:rsidRPr="006D7D35">
        <w:rPr>
          <w:rFonts w:ascii="Arial" w:eastAsia="Times New Roman" w:hAnsi="Arial" w:cs="Arial"/>
          <w:kern w:val="0"/>
          <w:sz w:val="24"/>
          <w:szCs w:val="24"/>
          <w14:ligatures w14:val="none"/>
        </w:rPr>
        <w:t>Nicolas</w:t>
      </w:r>
      <w:r>
        <w:rPr>
          <w:rFonts w:ascii="Arial" w:eastAsia="Times New Roman" w:hAnsi="Arial" w:cs="Arial"/>
          <w:kern w:val="0"/>
          <w:sz w:val="24"/>
          <w:szCs w:val="24"/>
          <w14:ligatures w14:val="none"/>
        </w:rPr>
        <w:t xml:space="preserve"> (</w:t>
      </w:r>
      <w:r w:rsidRPr="006D7D35">
        <w:rPr>
          <w:rFonts w:ascii="Arial" w:eastAsia="Times New Roman" w:hAnsi="Arial" w:cs="Arial"/>
          <w:kern w:val="0"/>
          <w:sz w:val="24"/>
          <w:szCs w:val="24"/>
          <w14:ligatures w14:val="none"/>
        </w:rPr>
        <w:t>2021)</w:t>
      </w:r>
      <w:r w:rsidR="005011B8" w:rsidRPr="001D3906">
        <w:rPr>
          <w:rFonts w:ascii="Arial" w:eastAsia="Times New Roman" w:hAnsi="Arial" w:cs="Arial"/>
          <w:kern w:val="0"/>
          <w:sz w:val="24"/>
          <w:szCs w:val="24"/>
          <w14:ligatures w14:val="none"/>
        </w:rPr>
        <w:t xml:space="preserve"> argue that inefficient management of working capital occurs when the current assets are not delayed in the most suitable way in relation to the short-term liabilities. In the case of General Electronics, the inefficiency can be observed in the following three areas:</w:t>
      </w:r>
    </w:p>
    <w:p w14:paraId="4F5E4FFD" w14:textId="06D04CAB" w:rsidR="005011B8" w:rsidRPr="001D3906" w:rsidRDefault="005011B8"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Large Receivable Days</w:t>
      </w:r>
      <w:r w:rsidR="00213F19">
        <w:rPr>
          <w:rFonts w:ascii="Arial" w:eastAsia="Times New Roman" w:hAnsi="Arial" w:cs="Arial"/>
          <w:kern w:val="0"/>
          <w:sz w:val="24"/>
          <w:szCs w:val="24"/>
          <w14:ligatures w14:val="none"/>
        </w:rPr>
        <w:t xml:space="preserve">: </w:t>
      </w:r>
      <w:r w:rsidRPr="001D3906">
        <w:rPr>
          <w:rFonts w:ascii="Arial" w:eastAsia="Times New Roman" w:hAnsi="Arial" w:cs="Arial"/>
          <w:kern w:val="0"/>
          <w:sz w:val="24"/>
          <w:szCs w:val="24"/>
          <w14:ligatures w14:val="none"/>
        </w:rPr>
        <w:t>indicated loose credit policy and lax collection policy. This postpones the inflows, exposes more to bad debts and requires additional external funding.</w:t>
      </w:r>
    </w:p>
    <w:p w14:paraId="702F7FAA" w14:textId="60ED7AF6" w:rsidR="005011B8" w:rsidRPr="001D3906" w:rsidRDefault="005011B8"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Too Much Inventory</w:t>
      </w:r>
      <w:r w:rsidR="00213F19">
        <w:rPr>
          <w:rFonts w:ascii="Arial" w:eastAsia="Times New Roman" w:hAnsi="Arial" w:cs="Arial"/>
          <w:kern w:val="0"/>
          <w:sz w:val="24"/>
          <w:szCs w:val="24"/>
          <w14:ligatures w14:val="none"/>
        </w:rPr>
        <w:t xml:space="preserve">: </w:t>
      </w:r>
      <w:r w:rsidRPr="001D3906">
        <w:rPr>
          <w:rFonts w:ascii="Arial" w:eastAsia="Times New Roman" w:hAnsi="Arial" w:cs="Arial"/>
          <w:kern w:val="0"/>
          <w:sz w:val="24"/>
          <w:szCs w:val="24"/>
          <w14:ligatures w14:val="none"/>
        </w:rPr>
        <w:t xml:space="preserve">implies either an overproduction or bad sales forecasting. </w:t>
      </w:r>
      <w:r w:rsidR="003132EC">
        <w:rPr>
          <w:rFonts w:ascii="Arial" w:eastAsia="Times New Roman" w:hAnsi="Arial" w:cs="Arial"/>
          <w:kern w:val="0"/>
          <w:sz w:val="24"/>
          <w:szCs w:val="24"/>
          <w14:ligatures w14:val="none"/>
        </w:rPr>
        <w:t>L</w:t>
      </w:r>
      <w:r w:rsidRPr="001D3906">
        <w:rPr>
          <w:rFonts w:ascii="Arial" w:eastAsia="Times New Roman" w:hAnsi="Arial" w:cs="Arial"/>
          <w:kern w:val="0"/>
          <w:sz w:val="24"/>
          <w:szCs w:val="24"/>
          <w14:ligatures w14:val="none"/>
        </w:rPr>
        <w:t>arge inventories raise cost of storage and risk of obsolescence but do not enhance profitability.</w:t>
      </w:r>
    </w:p>
    <w:p w14:paraId="69418608" w14:textId="649C3C6D" w:rsidR="005011B8" w:rsidRPr="001D3906" w:rsidRDefault="005011B8"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Supplier Payment Delays - lengthening AP Days (now 94) offers short-term liquidity at the cost of worsening supplier relationships and could lead to a lack of credit.</w:t>
      </w:r>
    </w:p>
    <w:p w14:paraId="733167A7" w14:textId="5F1A0545" w:rsidR="0032002A" w:rsidRPr="0032002A" w:rsidRDefault="005011B8"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These problems have come together to cage cash in operations and have increased CCC and reduced operating cash flow.</w:t>
      </w:r>
    </w:p>
    <w:p w14:paraId="49627518" w14:textId="33950613" w:rsidR="0032002A" w:rsidRPr="00213F19" w:rsidRDefault="0032002A" w:rsidP="001D3906">
      <w:pPr>
        <w:pStyle w:val="Heading2"/>
        <w:spacing w:before="0" w:line="360" w:lineRule="auto"/>
        <w:jc w:val="both"/>
        <w:rPr>
          <w:rFonts w:ascii="Arial" w:eastAsia="Times New Roman" w:hAnsi="Arial" w:cs="Arial"/>
          <w:b/>
          <w:bCs/>
          <w:color w:val="000000" w:themeColor="text1"/>
          <w:sz w:val="24"/>
          <w:szCs w:val="24"/>
        </w:rPr>
      </w:pPr>
      <w:bookmarkStart w:id="13" w:name="_Toc217253873"/>
      <w:r w:rsidRPr="00213F19">
        <w:rPr>
          <w:rFonts w:ascii="Arial" w:eastAsia="Times New Roman" w:hAnsi="Arial" w:cs="Arial"/>
          <w:b/>
          <w:bCs/>
          <w:color w:val="000000" w:themeColor="text1"/>
          <w:sz w:val="24"/>
          <w:szCs w:val="24"/>
        </w:rPr>
        <w:t>2.</w:t>
      </w:r>
      <w:r w:rsidR="0092028C" w:rsidRPr="00213F19">
        <w:rPr>
          <w:rFonts w:ascii="Arial" w:eastAsia="Times New Roman" w:hAnsi="Arial" w:cs="Arial"/>
          <w:b/>
          <w:bCs/>
          <w:color w:val="000000" w:themeColor="text1"/>
          <w:sz w:val="24"/>
          <w:szCs w:val="24"/>
        </w:rPr>
        <w:t>3</w:t>
      </w:r>
      <w:r w:rsidRPr="00213F19">
        <w:rPr>
          <w:rFonts w:ascii="Arial" w:eastAsia="Times New Roman" w:hAnsi="Arial" w:cs="Arial"/>
          <w:b/>
          <w:bCs/>
          <w:color w:val="000000" w:themeColor="text1"/>
          <w:sz w:val="24"/>
          <w:szCs w:val="24"/>
        </w:rPr>
        <w:t xml:space="preserve"> Strategies to Improve Liquidity through Working Capital Reforms</w:t>
      </w:r>
      <w:bookmarkEnd w:id="13"/>
    </w:p>
    <w:p w14:paraId="45F95E87" w14:textId="77777777" w:rsidR="006F53DE" w:rsidRPr="001D3906" w:rsidRDefault="006F53DE" w:rsidP="001D3906">
      <w:pPr>
        <w:spacing w:after="0" w:line="360" w:lineRule="auto"/>
        <w:jc w:val="both"/>
        <w:rPr>
          <w:rFonts w:ascii="Arial" w:hAnsi="Arial" w:cs="Arial"/>
          <w:sz w:val="24"/>
          <w:szCs w:val="24"/>
        </w:rPr>
      </w:pPr>
      <w:r w:rsidRPr="001D3906">
        <w:rPr>
          <w:rFonts w:ascii="Arial" w:hAnsi="Arial" w:cs="Arial"/>
          <w:sz w:val="24"/>
          <w:szCs w:val="24"/>
        </w:rPr>
        <w:t xml:space="preserve">1. </w:t>
      </w:r>
      <w:r w:rsidRPr="00213F19">
        <w:rPr>
          <w:rFonts w:ascii="Arial" w:hAnsi="Arial" w:cs="Arial"/>
          <w:b/>
          <w:bCs/>
          <w:sz w:val="24"/>
          <w:szCs w:val="24"/>
        </w:rPr>
        <w:t>Enhancement of Receivables management</w:t>
      </w:r>
      <w:r w:rsidRPr="001D3906">
        <w:rPr>
          <w:rFonts w:ascii="Arial" w:hAnsi="Arial" w:cs="Arial"/>
          <w:sz w:val="24"/>
          <w:szCs w:val="24"/>
        </w:rPr>
        <w:t>: Receivable days may be reduced through tightening of credit management and enhancing collection systems:</w:t>
      </w:r>
    </w:p>
    <w:p w14:paraId="0AAC2E73" w14:textId="77777777" w:rsidR="006F53DE" w:rsidRPr="00213F19" w:rsidRDefault="006F53DE" w:rsidP="00213F19">
      <w:pPr>
        <w:pStyle w:val="ListParagraph"/>
        <w:numPr>
          <w:ilvl w:val="0"/>
          <w:numId w:val="41"/>
        </w:numPr>
        <w:spacing w:after="0" w:line="360" w:lineRule="auto"/>
        <w:jc w:val="both"/>
        <w:rPr>
          <w:rFonts w:ascii="Arial" w:hAnsi="Arial" w:cs="Arial"/>
          <w:sz w:val="24"/>
          <w:szCs w:val="24"/>
        </w:rPr>
      </w:pPr>
      <w:r w:rsidRPr="00213F19">
        <w:rPr>
          <w:rFonts w:ascii="Arial" w:hAnsi="Arial" w:cs="Arial"/>
          <w:sz w:val="24"/>
          <w:szCs w:val="24"/>
        </w:rPr>
        <w:t>Use credit-scoring facilities to assess the risk of customers.</w:t>
      </w:r>
    </w:p>
    <w:p w14:paraId="0A7E973F" w14:textId="77777777" w:rsidR="006F53DE" w:rsidRPr="00213F19" w:rsidRDefault="006F53DE" w:rsidP="00213F19">
      <w:pPr>
        <w:pStyle w:val="ListParagraph"/>
        <w:numPr>
          <w:ilvl w:val="0"/>
          <w:numId w:val="41"/>
        </w:numPr>
        <w:spacing w:after="0" w:line="360" w:lineRule="auto"/>
        <w:jc w:val="both"/>
        <w:rPr>
          <w:rFonts w:ascii="Arial" w:hAnsi="Arial" w:cs="Arial"/>
          <w:sz w:val="24"/>
          <w:szCs w:val="24"/>
        </w:rPr>
      </w:pPr>
      <w:r w:rsidRPr="00213F19">
        <w:rPr>
          <w:rFonts w:ascii="Arial" w:hAnsi="Arial" w:cs="Arial"/>
          <w:sz w:val="24"/>
          <w:szCs w:val="24"/>
        </w:rPr>
        <w:t>Proffer incentives on early-payment (e.g., 2/10 net 30) to speed up cash inflows.</w:t>
      </w:r>
    </w:p>
    <w:p w14:paraId="357CF878" w14:textId="77777777" w:rsidR="006F53DE" w:rsidRPr="00213F19" w:rsidRDefault="006F53DE" w:rsidP="00213F19">
      <w:pPr>
        <w:pStyle w:val="ListParagraph"/>
        <w:numPr>
          <w:ilvl w:val="0"/>
          <w:numId w:val="41"/>
        </w:numPr>
        <w:spacing w:after="0" w:line="360" w:lineRule="auto"/>
        <w:jc w:val="both"/>
        <w:rPr>
          <w:rFonts w:ascii="Arial" w:hAnsi="Arial" w:cs="Arial"/>
          <w:sz w:val="24"/>
          <w:szCs w:val="24"/>
        </w:rPr>
      </w:pPr>
      <w:r w:rsidRPr="00213F19">
        <w:rPr>
          <w:rFonts w:ascii="Arial" w:hAnsi="Arial" w:cs="Arial"/>
          <w:sz w:val="24"/>
          <w:szCs w:val="24"/>
        </w:rPr>
        <w:t>Go paperless with the automation of electronic invoicing and reminders.</w:t>
      </w:r>
    </w:p>
    <w:p w14:paraId="1654F05C" w14:textId="77777777" w:rsidR="006F53DE" w:rsidRPr="00213F19" w:rsidRDefault="006F53DE" w:rsidP="00213F19">
      <w:pPr>
        <w:pStyle w:val="ListParagraph"/>
        <w:numPr>
          <w:ilvl w:val="0"/>
          <w:numId w:val="41"/>
        </w:numPr>
        <w:spacing w:after="0" w:line="360" w:lineRule="auto"/>
        <w:jc w:val="both"/>
        <w:rPr>
          <w:rFonts w:ascii="Arial" w:hAnsi="Arial" w:cs="Arial"/>
          <w:sz w:val="24"/>
          <w:szCs w:val="24"/>
        </w:rPr>
      </w:pPr>
      <w:r w:rsidRPr="00213F19">
        <w:rPr>
          <w:rFonts w:ascii="Arial" w:hAnsi="Arial" w:cs="Arial"/>
          <w:sz w:val="24"/>
          <w:szCs w:val="24"/>
        </w:rPr>
        <w:t>Implement a special receivables management department that promotes the collection of debts.</w:t>
      </w:r>
    </w:p>
    <w:p w14:paraId="5395A7F4" w14:textId="747990C6" w:rsidR="006F53DE" w:rsidRPr="001D3906" w:rsidRDefault="006F53DE" w:rsidP="001D3906">
      <w:pPr>
        <w:spacing w:after="0" w:line="360" w:lineRule="auto"/>
        <w:jc w:val="both"/>
        <w:rPr>
          <w:rFonts w:ascii="Arial" w:hAnsi="Arial" w:cs="Arial"/>
          <w:sz w:val="24"/>
          <w:szCs w:val="24"/>
        </w:rPr>
      </w:pPr>
      <w:r w:rsidRPr="001D3906">
        <w:rPr>
          <w:rFonts w:ascii="Arial" w:hAnsi="Arial" w:cs="Arial"/>
          <w:sz w:val="24"/>
          <w:szCs w:val="24"/>
        </w:rPr>
        <w:t xml:space="preserve">In fact, according to </w:t>
      </w:r>
      <w:r w:rsidR="007A3681" w:rsidRPr="007A3681">
        <w:rPr>
          <w:rFonts w:ascii="Arial" w:hAnsi="Arial" w:cs="Arial"/>
          <w:sz w:val="24"/>
          <w:szCs w:val="24"/>
        </w:rPr>
        <w:t>Reyad et al.</w:t>
      </w:r>
      <w:r w:rsidR="007A3681">
        <w:rPr>
          <w:rFonts w:ascii="Arial" w:hAnsi="Arial" w:cs="Arial"/>
          <w:sz w:val="24"/>
          <w:szCs w:val="24"/>
        </w:rPr>
        <w:t xml:space="preserve"> (</w:t>
      </w:r>
      <w:r w:rsidR="007A3681" w:rsidRPr="007A3681">
        <w:rPr>
          <w:rFonts w:ascii="Arial" w:hAnsi="Arial" w:cs="Arial"/>
          <w:sz w:val="24"/>
          <w:szCs w:val="24"/>
        </w:rPr>
        <w:t>2022)</w:t>
      </w:r>
      <w:r w:rsidRPr="001D3906">
        <w:rPr>
          <w:rFonts w:ascii="Arial" w:hAnsi="Arial" w:cs="Arial"/>
          <w:sz w:val="24"/>
          <w:szCs w:val="24"/>
        </w:rPr>
        <w:t>, any reduction in the number of days in the receivable by 10 can free up up to 3% of total sales in the cash flow.</w:t>
      </w:r>
    </w:p>
    <w:p w14:paraId="2F590DC3" w14:textId="77777777" w:rsidR="006F53DE" w:rsidRPr="001D3906" w:rsidRDefault="006F53DE" w:rsidP="001D3906">
      <w:pPr>
        <w:spacing w:after="0" w:line="360" w:lineRule="auto"/>
        <w:jc w:val="both"/>
        <w:rPr>
          <w:rFonts w:ascii="Arial" w:hAnsi="Arial" w:cs="Arial"/>
          <w:sz w:val="24"/>
          <w:szCs w:val="24"/>
        </w:rPr>
      </w:pPr>
      <w:r w:rsidRPr="001D3906">
        <w:rPr>
          <w:rFonts w:ascii="Arial" w:hAnsi="Arial" w:cs="Arial"/>
          <w:sz w:val="24"/>
          <w:szCs w:val="24"/>
        </w:rPr>
        <w:t xml:space="preserve">2. </w:t>
      </w:r>
      <w:r w:rsidRPr="00213F19">
        <w:rPr>
          <w:rFonts w:ascii="Arial" w:hAnsi="Arial" w:cs="Arial"/>
          <w:b/>
          <w:bCs/>
          <w:sz w:val="24"/>
          <w:szCs w:val="24"/>
        </w:rPr>
        <w:t>Optimise Inventory Levels</w:t>
      </w:r>
      <w:r w:rsidRPr="001D3906">
        <w:rPr>
          <w:rFonts w:ascii="Arial" w:hAnsi="Arial" w:cs="Arial"/>
          <w:sz w:val="24"/>
          <w:szCs w:val="24"/>
        </w:rPr>
        <w:t>: Inventory levels are to match the actual requirement with the help of the following tools:</w:t>
      </w:r>
    </w:p>
    <w:p w14:paraId="0671CEAE" w14:textId="77777777" w:rsidR="006F53DE" w:rsidRPr="00213F19" w:rsidRDefault="006F53DE" w:rsidP="00213F19">
      <w:pPr>
        <w:pStyle w:val="ListParagraph"/>
        <w:numPr>
          <w:ilvl w:val="0"/>
          <w:numId w:val="42"/>
        </w:numPr>
        <w:spacing w:after="0" w:line="360" w:lineRule="auto"/>
        <w:jc w:val="both"/>
        <w:rPr>
          <w:rFonts w:ascii="Arial" w:hAnsi="Arial" w:cs="Arial"/>
          <w:sz w:val="24"/>
          <w:szCs w:val="24"/>
        </w:rPr>
      </w:pPr>
      <w:r w:rsidRPr="00213F19">
        <w:rPr>
          <w:rFonts w:ascii="Arial" w:hAnsi="Arial" w:cs="Arial"/>
          <w:sz w:val="24"/>
          <w:szCs w:val="24"/>
        </w:rPr>
        <w:t>Just-in-Time (JIT) systems to reduce holding and carrying costs.</w:t>
      </w:r>
    </w:p>
    <w:p w14:paraId="57129EB5" w14:textId="77777777" w:rsidR="006F53DE" w:rsidRPr="00213F19" w:rsidRDefault="006F53DE" w:rsidP="00213F19">
      <w:pPr>
        <w:pStyle w:val="ListParagraph"/>
        <w:numPr>
          <w:ilvl w:val="0"/>
          <w:numId w:val="42"/>
        </w:numPr>
        <w:spacing w:after="0" w:line="360" w:lineRule="auto"/>
        <w:jc w:val="both"/>
        <w:rPr>
          <w:rFonts w:ascii="Arial" w:hAnsi="Arial" w:cs="Arial"/>
          <w:sz w:val="24"/>
          <w:szCs w:val="24"/>
        </w:rPr>
      </w:pPr>
      <w:r w:rsidRPr="00213F19">
        <w:rPr>
          <w:rFonts w:ascii="Arial" w:hAnsi="Arial" w:cs="Arial"/>
          <w:sz w:val="24"/>
          <w:szCs w:val="24"/>
        </w:rPr>
        <w:t>ABC analysis so as to concentrate control on high value and high turnover items.</w:t>
      </w:r>
    </w:p>
    <w:p w14:paraId="005F7A1F" w14:textId="77777777" w:rsidR="006F53DE" w:rsidRPr="00213F19" w:rsidRDefault="006F53DE" w:rsidP="00213F19">
      <w:pPr>
        <w:pStyle w:val="ListParagraph"/>
        <w:numPr>
          <w:ilvl w:val="0"/>
          <w:numId w:val="42"/>
        </w:numPr>
        <w:spacing w:after="0" w:line="360" w:lineRule="auto"/>
        <w:jc w:val="both"/>
        <w:rPr>
          <w:rFonts w:ascii="Arial" w:hAnsi="Arial" w:cs="Arial"/>
          <w:sz w:val="24"/>
          <w:szCs w:val="24"/>
        </w:rPr>
      </w:pPr>
      <w:r w:rsidRPr="00213F19">
        <w:rPr>
          <w:rFonts w:ascii="Arial" w:hAnsi="Arial" w:cs="Arial"/>
          <w:sz w:val="24"/>
          <w:szCs w:val="24"/>
        </w:rPr>
        <w:t>Real-time analytics to prevent overproduction and demand forecasting.</w:t>
      </w:r>
    </w:p>
    <w:p w14:paraId="69DCAE1B" w14:textId="2DEAB4E2" w:rsidR="006F53DE" w:rsidRPr="001D3906" w:rsidRDefault="006F53DE" w:rsidP="001D3906">
      <w:pPr>
        <w:spacing w:after="0" w:line="360" w:lineRule="auto"/>
        <w:jc w:val="both"/>
        <w:rPr>
          <w:rFonts w:ascii="Arial" w:hAnsi="Arial" w:cs="Arial"/>
          <w:sz w:val="24"/>
          <w:szCs w:val="24"/>
        </w:rPr>
      </w:pPr>
      <w:r w:rsidRPr="001D3906">
        <w:rPr>
          <w:rFonts w:ascii="Arial" w:hAnsi="Arial" w:cs="Arial"/>
          <w:sz w:val="24"/>
          <w:szCs w:val="24"/>
        </w:rPr>
        <w:t>General Electronics may release a large amount of cash in stock by reducing inventory days to approximately equal 80 and enhance its liquidity and profitability</w:t>
      </w:r>
      <w:r w:rsidR="00E54099">
        <w:rPr>
          <w:rFonts w:ascii="Arial" w:hAnsi="Arial" w:cs="Arial"/>
          <w:sz w:val="24"/>
          <w:szCs w:val="24"/>
        </w:rPr>
        <w:t>.</w:t>
      </w:r>
    </w:p>
    <w:p w14:paraId="52104083" w14:textId="77777777" w:rsidR="006F53DE" w:rsidRPr="001D3906" w:rsidRDefault="006F53DE" w:rsidP="001D3906">
      <w:pPr>
        <w:spacing w:after="0" w:line="360" w:lineRule="auto"/>
        <w:jc w:val="both"/>
        <w:rPr>
          <w:rFonts w:ascii="Arial" w:hAnsi="Arial" w:cs="Arial"/>
          <w:sz w:val="24"/>
          <w:szCs w:val="24"/>
        </w:rPr>
      </w:pPr>
      <w:r w:rsidRPr="001D3906">
        <w:rPr>
          <w:rFonts w:ascii="Arial" w:hAnsi="Arial" w:cs="Arial"/>
          <w:sz w:val="24"/>
          <w:szCs w:val="24"/>
        </w:rPr>
        <w:t xml:space="preserve">3. </w:t>
      </w:r>
      <w:r w:rsidRPr="00213F19">
        <w:rPr>
          <w:rFonts w:ascii="Arial" w:hAnsi="Arial" w:cs="Arial"/>
          <w:b/>
          <w:bCs/>
          <w:sz w:val="24"/>
          <w:szCs w:val="24"/>
        </w:rPr>
        <w:t>Manage Payables Strategically</w:t>
      </w:r>
      <w:r w:rsidRPr="001D3906">
        <w:rPr>
          <w:rFonts w:ascii="Arial" w:hAnsi="Arial" w:cs="Arial"/>
          <w:sz w:val="24"/>
          <w:szCs w:val="24"/>
        </w:rPr>
        <w:t>: Although the extension of payment to suppliers has helped the company boost its liquidity in the short-term, too many delays may destroy long-term supplier relationships. Better still, a more strategic method is to:</w:t>
      </w:r>
    </w:p>
    <w:p w14:paraId="5487CFBC" w14:textId="77777777" w:rsidR="006F53DE" w:rsidRPr="00213F19" w:rsidRDefault="006F53DE" w:rsidP="00213F19">
      <w:pPr>
        <w:pStyle w:val="ListParagraph"/>
        <w:numPr>
          <w:ilvl w:val="0"/>
          <w:numId w:val="43"/>
        </w:numPr>
        <w:spacing w:after="0" w:line="360" w:lineRule="auto"/>
        <w:jc w:val="both"/>
        <w:rPr>
          <w:rFonts w:ascii="Arial" w:hAnsi="Arial" w:cs="Arial"/>
          <w:sz w:val="24"/>
          <w:szCs w:val="24"/>
        </w:rPr>
      </w:pPr>
      <w:r w:rsidRPr="00213F19">
        <w:rPr>
          <w:rFonts w:ascii="Arial" w:hAnsi="Arial" w:cs="Arial"/>
          <w:sz w:val="24"/>
          <w:szCs w:val="24"/>
        </w:rPr>
        <w:t>Formally negotiate, and not unilaterally delay, longer terms of credit.</w:t>
      </w:r>
    </w:p>
    <w:p w14:paraId="79393995" w14:textId="77777777" w:rsidR="006F53DE" w:rsidRPr="00213F19" w:rsidRDefault="006F53DE" w:rsidP="00213F19">
      <w:pPr>
        <w:pStyle w:val="ListParagraph"/>
        <w:numPr>
          <w:ilvl w:val="0"/>
          <w:numId w:val="43"/>
        </w:numPr>
        <w:spacing w:after="0" w:line="360" w:lineRule="auto"/>
        <w:jc w:val="both"/>
        <w:rPr>
          <w:rFonts w:ascii="Arial" w:hAnsi="Arial" w:cs="Arial"/>
          <w:sz w:val="24"/>
          <w:szCs w:val="24"/>
        </w:rPr>
      </w:pPr>
      <w:r w:rsidRPr="00213F19">
        <w:rPr>
          <w:rFonts w:ascii="Arial" w:hAnsi="Arial" w:cs="Arial"/>
          <w:sz w:val="24"/>
          <w:szCs w:val="24"/>
        </w:rPr>
        <w:t>Implement supply-chain financing (reverse factoring), in which suppliers are paid at a low price by the bank earlier than the company, who then pays at a later date at a higher price.</w:t>
      </w:r>
    </w:p>
    <w:p w14:paraId="2363049D" w14:textId="77777777" w:rsidR="006F53DE" w:rsidRPr="001D3906" w:rsidRDefault="006F53DE" w:rsidP="001D3906">
      <w:pPr>
        <w:spacing w:after="0" w:line="360" w:lineRule="auto"/>
        <w:jc w:val="both"/>
        <w:rPr>
          <w:rFonts w:ascii="Arial" w:hAnsi="Arial" w:cs="Arial"/>
          <w:sz w:val="24"/>
          <w:szCs w:val="24"/>
        </w:rPr>
      </w:pPr>
      <w:r w:rsidRPr="001D3906">
        <w:rPr>
          <w:rFonts w:ascii="Arial" w:hAnsi="Arial" w:cs="Arial"/>
          <w:sz w:val="24"/>
          <w:szCs w:val="24"/>
        </w:rPr>
        <w:t>Also, ensure that ethical standards of payments are met in order to maintain corporate image of the company.</w:t>
      </w:r>
    </w:p>
    <w:p w14:paraId="28B4BBB3" w14:textId="7579A821" w:rsidR="006F53DE" w:rsidRPr="00213F19" w:rsidRDefault="006F53DE" w:rsidP="001D3906">
      <w:pPr>
        <w:spacing w:after="0" w:line="360" w:lineRule="auto"/>
        <w:jc w:val="both"/>
        <w:rPr>
          <w:rFonts w:ascii="Arial" w:hAnsi="Arial" w:cs="Arial"/>
          <w:b/>
          <w:bCs/>
          <w:color w:val="000000" w:themeColor="text1"/>
          <w:sz w:val="24"/>
          <w:szCs w:val="24"/>
        </w:rPr>
      </w:pPr>
      <w:r w:rsidRPr="00213F19">
        <w:rPr>
          <w:rFonts w:ascii="Arial" w:hAnsi="Arial" w:cs="Arial"/>
          <w:b/>
          <w:bCs/>
          <w:color w:val="000000" w:themeColor="text1"/>
          <w:sz w:val="24"/>
          <w:szCs w:val="24"/>
        </w:rPr>
        <w:t>4. Increase Cash Flow Forecasting</w:t>
      </w:r>
    </w:p>
    <w:p w14:paraId="38919280" w14:textId="77777777" w:rsidR="006F53DE" w:rsidRPr="00213F19" w:rsidRDefault="006F53DE" w:rsidP="00213F19">
      <w:pPr>
        <w:pStyle w:val="ListParagraph"/>
        <w:numPr>
          <w:ilvl w:val="0"/>
          <w:numId w:val="44"/>
        </w:numPr>
        <w:spacing w:after="0" w:line="360" w:lineRule="auto"/>
        <w:jc w:val="both"/>
        <w:rPr>
          <w:rFonts w:ascii="Arial" w:hAnsi="Arial" w:cs="Arial"/>
          <w:sz w:val="24"/>
          <w:szCs w:val="24"/>
        </w:rPr>
      </w:pPr>
      <w:r w:rsidRPr="00213F19">
        <w:rPr>
          <w:rFonts w:ascii="Arial" w:hAnsi="Arial" w:cs="Arial"/>
          <w:sz w:val="24"/>
          <w:szCs w:val="24"/>
        </w:rPr>
        <w:t>Conduct a developing 13 weeks cash flow projection to determine the liquidity lapses before they occur.</w:t>
      </w:r>
    </w:p>
    <w:p w14:paraId="43AE157C" w14:textId="77777777" w:rsidR="006F53DE" w:rsidRPr="00213F19" w:rsidRDefault="006F53DE" w:rsidP="00213F19">
      <w:pPr>
        <w:pStyle w:val="ListParagraph"/>
        <w:numPr>
          <w:ilvl w:val="0"/>
          <w:numId w:val="44"/>
        </w:numPr>
        <w:spacing w:after="0" w:line="360" w:lineRule="auto"/>
        <w:jc w:val="both"/>
        <w:rPr>
          <w:rFonts w:ascii="Arial" w:hAnsi="Arial" w:cs="Arial"/>
          <w:sz w:val="24"/>
          <w:szCs w:val="24"/>
        </w:rPr>
      </w:pPr>
      <w:r w:rsidRPr="00213F19">
        <w:rPr>
          <w:rFonts w:ascii="Arial" w:hAnsi="Arial" w:cs="Arial"/>
          <w:sz w:val="24"/>
          <w:szCs w:val="24"/>
        </w:rPr>
        <w:t>Implement cash-flow analytics in enterprise resource planning (ERP) system to have real-time visibility.</w:t>
      </w:r>
    </w:p>
    <w:p w14:paraId="087B1FD9" w14:textId="77777777" w:rsidR="006F53DE" w:rsidRPr="00213F19" w:rsidRDefault="006F53DE" w:rsidP="00213F19">
      <w:pPr>
        <w:pStyle w:val="ListParagraph"/>
        <w:numPr>
          <w:ilvl w:val="0"/>
          <w:numId w:val="44"/>
        </w:numPr>
        <w:spacing w:after="0" w:line="360" w:lineRule="auto"/>
        <w:jc w:val="both"/>
        <w:rPr>
          <w:rFonts w:ascii="Arial" w:hAnsi="Arial" w:cs="Arial"/>
          <w:sz w:val="24"/>
          <w:szCs w:val="24"/>
        </w:rPr>
      </w:pPr>
      <w:r w:rsidRPr="00213F19">
        <w:rPr>
          <w:rFonts w:ascii="Arial" w:hAnsi="Arial" w:cs="Arial"/>
          <w:sz w:val="24"/>
          <w:szCs w:val="24"/>
        </w:rPr>
        <w:t>Such actions will guarantee active liquidity management and less dependence on the more expensive external financing.</w:t>
      </w:r>
    </w:p>
    <w:p w14:paraId="43D521CE" w14:textId="2551E8DF" w:rsidR="0032002A" w:rsidRPr="0032002A" w:rsidRDefault="006F53DE" w:rsidP="001D3906">
      <w:pPr>
        <w:spacing w:after="0" w:line="360" w:lineRule="auto"/>
        <w:jc w:val="both"/>
        <w:rPr>
          <w:rFonts w:ascii="Arial" w:hAnsi="Arial" w:cs="Arial"/>
          <w:sz w:val="24"/>
          <w:szCs w:val="24"/>
        </w:rPr>
      </w:pPr>
      <w:r w:rsidRPr="001D3906">
        <w:rPr>
          <w:rFonts w:ascii="Arial" w:hAnsi="Arial" w:cs="Arial"/>
          <w:sz w:val="24"/>
          <w:szCs w:val="24"/>
        </w:rPr>
        <w:t>When properly put in place, these reforms would reduce the CCC to about 7080 days, enhance the existing ratio and reestablish a sustainable operating cash flow that is positive</w:t>
      </w:r>
      <w:r w:rsidR="004E1923">
        <w:rPr>
          <w:rFonts w:ascii="Arial" w:hAnsi="Arial" w:cs="Arial"/>
          <w:sz w:val="24"/>
          <w:szCs w:val="24"/>
        </w:rPr>
        <w:t xml:space="preserve"> </w:t>
      </w:r>
      <w:r w:rsidR="004E1923" w:rsidRPr="004E1923">
        <w:rPr>
          <w:rFonts w:ascii="Arial" w:hAnsi="Arial" w:cs="Arial"/>
          <w:sz w:val="24"/>
          <w:szCs w:val="24"/>
        </w:rPr>
        <w:t>(Atrill, 2019)</w:t>
      </w:r>
      <w:r w:rsidRPr="001D3906">
        <w:rPr>
          <w:rFonts w:ascii="Arial" w:hAnsi="Arial" w:cs="Arial"/>
          <w:sz w:val="24"/>
          <w:szCs w:val="24"/>
        </w:rPr>
        <w:t>.</w:t>
      </w:r>
    </w:p>
    <w:p w14:paraId="627EC52F" w14:textId="69F34FD2" w:rsidR="0032002A" w:rsidRPr="00213F19" w:rsidRDefault="0032002A" w:rsidP="001D3906">
      <w:pPr>
        <w:pStyle w:val="Heading2"/>
        <w:spacing w:before="0" w:line="360" w:lineRule="auto"/>
        <w:jc w:val="both"/>
        <w:rPr>
          <w:rFonts w:ascii="Arial" w:eastAsia="Times New Roman" w:hAnsi="Arial" w:cs="Arial"/>
          <w:b/>
          <w:bCs/>
          <w:sz w:val="24"/>
          <w:szCs w:val="24"/>
        </w:rPr>
      </w:pPr>
      <w:bookmarkStart w:id="14" w:name="_Toc217253874"/>
      <w:r w:rsidRPr="00213F19">
        <w:rPr>
          <w:rFonts w:ascii="Arial" w:eastAsia="Times New Roman" w:hAnsi="Arial" w:cs="Arial"/>
          <w:b/>
          <w:bCs/>
          <w:color w:val="000000" w:themeColor="text1"/>
          <w:sz w:val="24"/>
          <w:szCs w:val="24"/>
        </w:rPr>
        <w:t>2.</w:t>
      </w:r>
      <w:r w:rsidR="00E87EB0" w:rsidRPr="00213F19">
        <w:rPr>
          <w:rFonts w:ascii="Arial" w:eastAsia="Times New Roman" w:hAnsi="Arial" w:cs="Arial"/>
          <w:b/>
          <w:bCs/>
          <w:color w:val="000000" w:themeColor="text1"/>
          <w:sz w:val="24"/>
          <w:szCs w:val="24"/>
        </w:rPr>
        <w:t>4</w:t>
      </w:r>
      <w:r w:rsidRPr="00213F19">
        <w:rPr>
          <w:rFonts w:ascii="Arial" w:eastAsia="Times New Roman" w:hAnsi="Arial" w:cs="Arial"/>
          <w:b/>
          <w:bCs/>
          <w:color w:val="000000" w:themeColor="text1"/>
          <w:sz w:val="24"/>
          <w:szCs w:val="24"/>
        </w:rPr>
        <w:t xml:space="preserve"> Comparison of Short-Term and Long-Term Financing Options</w:t>
      </w:r>
      <w:bookmarkEnd w:id="14"/>
    </w:p>
    <w:p w14:paraId="345F84C0" w14:textId="3C52232C" w:rsidR="0032002A" w:rsidRDefault="0066789E"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Liquidity management does not just concern how much the business is efficient but it also concerns the way that working capital is financed. Firms are required to make decisions between the short term sources (due to temporary fluctuations) or long term sources (due to long term requirements of working-capital)</w:t>
      </w:r>
      <w:r w:rsidR="003F3955">
        <w:rPr>
          <w:rFonts w:ascii="Arial" w:eastAsia="Times New Roman" w:hAnsi="Arial" w:cs="Arial"/>
          <w:kern w:val="0"/>
          <w:sz w:val="24"/>
          <w:szCs w:val="24"/>
          <w14:ligatures w14:val="none"/>
        </w:rPr>
        <w:t xml:space="preserve"> </w:t>
      </w:r>
      <w:r w:rsidR="003F3955" w:rsidRPr="003F3955">
        <w:rPr>
          <w:rFonts w:ascii="Arial" w:eastAsia="Times New Roman" w:hAnsi="Arial" w:cs="Arial"/>
          <w:kern w:val="0"/>
          <w:sz w:val="24"/>
          <w:szCs w:val="24"/>
          <w14:ligatures w14:val="none"/>
        </w:rPr>
        <w:t>(Nicoleta Barbuta-Misu, 2014)</w:t>
      </w:r>
      <w:r w:rsidR="0032002A" w:rsidRPr="0032002A">
        <w:rPr>
          <w:rFonts w:ascii="Arial" w:eastAsia="Times New Roman" w:hAnsi="Arial" w:cs="Arial"/>
          <w:kern w:val="0"/>
          <w:sz w:val="24"/>
          <w:szCs w:val="24"/>
          <w14:ligatures w14:val="none"/>
        </w:rPr>
        <w:t>.</w:t>
      </w:r>
    </w:p>
    <w:p w14:paraId="25792BCA" w14:textId="52742322" w:rsidR="00AD1568" w:rsidRPr="0032002A" w:rsidRDefault="00AD1568" w:rsidP="001D3906">
      <w:pPr>
        <w:spacing w:after="0"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Table 1: Comparison of different financial options</w:t>
      </w:r>
    </w:p>
    <w:tbl>
      <w:tblPr>
        <w:tblStyle w:val="TableGrid"/>
        <w:tblW w:w="0" w:type="auto"/>
        <w:tblLook w:val="04A0" w:firstRow="1" w:lastRow="0" w:firstColumn="1" w:lastColumn="0" w:noHBand="0" w:noVBand="1"/>
      </w:tblPr>
      <w:tblGrid>
        <w:gridCol w:w="1461"/>
        <w:gridCol w:w="1997"/>
        <w:gridCol w:w="1947"/>
        <w:gridCol w:w="2131"/>
        <w:gridCol w:w="1814"/>
      </w:tblGrid>
      <w:tr w:rsidR="0032002A" w:rsidRPr="0032002A" w14:paraId="45924AAE" w14:textId="77777777" w:rsidTr="0032002A">
        <w:tc>
          <w:tcPr>
            <w:tcW w:w="0" w:type="auto"/>
            <w:hideMark/>
          </w:tcPr>
          <w:p w14:paraId="4F748A13" w14:textId="77777777" w:rsidR="0032002A" w:rsidRPr="0032002A" w:rsidRDefault="0032002A" w:rsidP="001D3906">
            <w:pPr>
              <w:spacing w:line="360" w:lineRule="auto"/>
              <w:jc w:val="both"/>
              <w:rPr>
                <w:rFonts w:ascii="Arial" w:eastAsia="Times New Roman" w:hAnsi="Arial" w:cs="Arial"/>
                <w:b/>
                <w:bCs/>
                <w:kern w:val="0"/>
                <w:sz w:val="24"/>
                <w:szCs w:val="24"/>
                <w14:ligatures w14:val="none"/>
              </w:rPr>
            </w:pPr>
            <w:r w:rsidRPr="0032002A">
              <w:rPr>
                <w:rFonts w:ascii="Arial" w:eastAsia="Times New Roman" w:hAnsi="Arial" w:cs="Arial"/>
                <w:b/>
                <w:bCs/>
                <w:kern w:val="0"/>
                <w:sz w:val="24"/>
                <w:szCs w:val="24"/>
                <w14:ligatures w14:val="none"/>
              </w:rPr>
              <w:t>Financing Type</w:t>
            </w:r>
          </w:p>
        </w:tc>
        <w:tc>
          <w:tcPr>
            <w:tcW w:w="0" w:type="auto"/>
            <w:hideMark/>
          </w:tcPr>
          <w:p w14:paraId="44E1C9F4" w14:textId="77777777" w:rsidR="0032002A" w:rsidRPr="0032002A" w:rsidRDefault="0032002A" w:rsidP="001D3906">
            <w:pPr>
              <w:spacing w:line="360" w:lineRule="auto"/>
              <w:jc w:val="both"/>
              <w:rPr>
                <w:rFonts w:ascii="Arial" w:eastAsia="Times New Roman" w:hAnsi="Arial" w:cs="Arial"/>
                <w:b/>
                <w:bCs/>
                <w:kern w:val="0"/>
                <w:sz w:val="24"/>
                <w:szCs w:val="24"/>
                <w14:ligatures w14:val="none"/>
              </w:rPr>
            </w:pPr>
            <w:r w:rsidRPr="0032002A">
              <w:rPr>
                <w:rFonts w:ascii="Arial" w:eastAsia="Times New Roman" w:hAnsi="Arial" w:cs="Arial"/>
                <w:b/>
                <w:bCs/>
                <w:kern w:val="0"/>
                <w:sz w:val="24"/>
                <w:szCs w:val="24"/>
                <w14:ligatures w14:val="none"/>
              </w:rPr>
              <w:t>Examples</w:t>
            </w:r>
          </w:p>
        </w:tc>
        <w:tc>
          <w:tcPr>
            <w:tcW w:w="0" w:type="auto"/>
            <w:hideMark/>
          </w:tcPr>
          <w:p w14:paraId="250D6152" w14:textId="77777777" w:rsidR="0032002A" w:rsidRPr="0032002A" w:rsidRDefault="0032002A" w:rsidP="001D3906">
            <w:pPr>
              <w:spacing w:line="360" w:lineRule="auto"/>
              <w:jc w:val="both"/>
              <w:rPr>
                <w:rFonts w:ascii="Arial" w:eastAsia="Times New Roman" w:hAnsi="Arial" w:cs="Arial"/>
                <w:b/>
                <w:bCs/>
                <w:kern w:val="0"/>
                <w:sz w:val="24"/>
                <w:szCs w:val="24"/>
                <w14:ligatures w14:val="none"/>
              </w:rPr>
            </w:pPr>
            <w:r w:rsidRPr="0032002A">
              <w:rPr>
                <w:rFonts w:ascii="Arial" w:eastAsia="Times New Roman" w:hAnsi="Arial" w:cs="Arial"/>
                <w:b/>
                <w:bCs/>
                <w:kern w:val="0"/>
                <w:sz w:val="24"/>
                <w:szCs w:val="24"/>
                <w14:ligatures w14:val="none"/>
              </w:rPr>
              <w:t>Advantages</w:t>
            </w:r>
          </w:p>
        </w:tc>
        <w:tc>
          <w:tcPr>
            <w:tcW w:w="0" w:type="auto"/>
            <w:hideMark/>
          </w:tcPr>
          <w:p w14:paraId="0D5B4BCD" w14:textId="77777777" w:rsidR="0032002A" w:rsidRPr="0032002A" w:rsidRDefault="0032002A" w:rsidP="001D3906">
            <w:pPr>
              <w:spacing w:line="360" w:lineRule="auto"/>
              <w:jc w:val="both"/>
              <w:rPr>
                <w:rFonts w:ascii="Arial" w:eastAsia="Times New Roman" w:hAnsi="Arial" w:cs="Arial"/>
                <w:b/>
                <w:bCs/>
                <w:kern w:val="0"/>
                <w:sz w:val="24"/>
                <w:szCs w:val="24"/>
                <w14:ligatures w14:val="none"/>
              </w:rPr>
            </w:pPr>
            <w:r w:rsidRPr="0032002A">
              <w:rPr>
                <w:rFonts w:ascii="Arial" w:eastAsia="Times New Roman" w:hAnsi="Arial" w:cs="Arial"/>
                <w:b/>
                <w:bCs/>
                <w:kern w:val="0"/>
                <w:sz w:val="24"/>
                <w:szCs w:val="24"/>
                <w14:ligatures w14:val="none"/>
              </w:rPr>
              <w:t>Disadvantages</w:t>
            </w:r>
          </w:p>
        </w:tc>
        <w:tc>
          <w:tcPr>
            <w:tcW w:w="0" w:type="auto"/>
            <w:hideMark/>
          </w:tcPr>
          <w:p w14:paraId="0277B61E" w14:textId="77777777" w:rsidR="0032002A" w:rsidRPr="0032002A" w:rsidRDefault="0032002A" w:rsidP="001D3906">
            <w:pPr>
              <w:spacing w:line="360" w:lineRule="auto"/>
              <w:jc w:val="both"/>
              <w:rPr>
                <w:rFonts w:ascii="Arial" w:eastAsia="Times New Roman" w:hAnsi="Arial" w:cs="Arial"/>
                <w:b/>
                <w:bCs/>
                <w:kern w:val="0"/>
                <w:sz w:val="24"/>
                <w:szCs w:val="24"/>
                <w14:ligatures w14:val="none"/>
              </w:rPr>
            </w:pPr>
            <w:r w:rsidRPr="0032002A">
              <w:rPr>
                <w:rFonts w:ascii="Arial" w:eastAsia="Times New Roman" w:hAnsi="Arial" w:cs="Arial"/>
                <w:b/>
                <w:bCs/>
                <w:kern w:val="0"/>
                <w:sz w:val="24"/>
                <w:szCs w:val="24"/>
                <w14:ligatures w14:val="none"/>
              </w:rPr>
              <w:t>Best Use Case</w:t>
            </w:r>
          </w:p>
        </w:tc>
      </w:tr>
      <w:tr w:rsidR="0032002A" w:rsidRPr="0032002A" w14:paraId="03041C2B" w14:textId="77777777" w:rsidTr="0032002A">
        <w:tc>
          <w:tcPr>
            <w:tcW w:w="0" w:type="auto"/>
            <w:hideMark/>
          </w:tcPr>
          <w:p w14:paraId="1847CE61"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Short-Term Financing</w:t>
            </w:r>
          </w:p>
        </w:tc>
        <w:tc>
          <w:tcPr>
            <w:tcW w:w="0" w:type="auto"/>
            <w:hideMark/>
          </w:tcPr>
          <w:p w14:paraId="15C52F90"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Bank overdrafts, trade credit, factoring, commercial paper</w:t>
            </w:r>
          </w:p>
        </w:tc>
        <w:tc>
          <w:tcPr>
            <w:tcW w:w="0" w:type="auto"/>
            <w:hideMark/>
          </w:tcPr>
          <w:p w14:paraId="48BE765D"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High flexibility; low cost for short-term needs</w:t>
            </w:r>
          </w:p>
        </w:tc>
        <w:tc>
          <w:tcPr>
            <w:tcW w:w="0" w:type="auto"/>
            <w:hideMark/>
          </w:tcPr>
          <w:p w14:paraId="4DCF9976"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Refinancing risk; interest-rate volatility</w:t>
            </w:r>
          </w:p>
        </w:tc>
        <w:tc>
          <w:tcPr>
            <w:tcW w:w="0" w:type="auto"/>
            <w:hideMark/>
          </w:tcPr>
          <w:p w14:paraId="303F2F3E"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Cover temporary working-capital gaps</w:t>
            </w:r>
          </w:p>
        </w:tc>
      </w:tr>
      <w:tr w:rsidR="0032002A" w:rsidRPr="0032002A" w14:paraId="31A0C1F9" w14:textId="77777777" w:rsidTr="0032002A">
        <w:tc>
          <w:tcPr>
            <w:tcW w:w="0" w:type="auto"/>
            <w:hideMark/>
          </w:tcPr>
          <w:p w14:paraId="4FB94B67"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Long-Term Financing</w:t>
            </w:r>
          </w:p>
        </w:tc>
        <w:tc>
          <w:tcPr>
            <w:tcW w:w="0" w:type="auto"/>
            <w:hideMark/>
          </w:tcPr>
          <w:p w14:paraId="128E8797"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Term loans, equity injection, retained earnings, sale-and-leaseback</w:t>
            </w:r>
          </w:p>
        </w:tc>
        <w:tc>
          <w:tcPr>
            <w:tcW w:w="0" w:type="auto"/>
            <w:hideMark/>
          </w:tcPr>
          <w:p w14:paraId="00F455D2"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Stable funding; improves liquidity and credit rating</w:t>
            </w:r>
          </w:p>
        </w:tc>
        <w:tc>
          <w:tcPr>
            <w:tcW w:w="0" w:type="auto"/>
            <w:hideMark/>
          </w:tcPr>
          <w:p w14:paraId="388D01FA"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Higher cost of capital; less flexibility</w:t>
            </w:r>
          </w:p>
        </w:tc>
        <w:tc>
          <w:tcPr>
            <w:tcW w:w="0" w:type="auto"/>
            <w:hideMark/>
          </w:tcPr>
          <w:p w14:paraId="14919F81"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Finance permanent working capital and restructure debt</w:t>
            </w:r>
          </w:p>
        </w:tc>
      </w:tr>
    </w:tbl>
    <w:p w14:paraId="7F69CA68" w14:textId="77777777" w:rsidR="0066789E" w:rsidRPr="001D3906" w:rsidRDefault="0066789E"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In the case of General Electronics, further short-term borrowing is risky due to its high gearing (Debt-to-Equity 1.11) and decreasing profitability. So, it would be advisable to use a hybrid solution:</w:t>
      </w:r>
    </w:p>
    <w:p w14:paraId="1886EAF3" w14:textId="2A7DDE3B" w:rsidR="0066789E" w:rsidRPr="00213F19" w:rsidRDefault="0066789E" w:rsidP="00213F19">
      <w:pPr>
        <w:pStyle w:val="ListParagraph"/>
        <w:numPr>
          <w:ilvl w:val="0"/>
          <w:numId w:val="45"/>
        </w:numPr>
        <w:spacing w:after="0" w:line="360" w:lineRule="auto"/>
        <w:jc w:val="both"/>
        <w:rPr>
          <w:rFonts w:ascii="Arial" w:eastAsia="Times New Roman" w:hAnsi="Arial" w:cs="Arial"/>
          <w:kern w:val="0"/>
          <w:sz w:val="24"/>
          <w:szCs w:val="24"/>
          <w14:ligatures w14:val="none"/>
        </w:rPr>
      </w:pPr>
      <w:r w:rsidRPr="00213F19">
        <w:rPr>
          <w:rFonts w:ascii="Arial" w:eastAsia="Times New Roman" w:hAnsi="Arial" w:cs="Arial"/>
          <w:kern w:val="0"/>
          <w:sz w:val="24"/>
          <w:szCs w:val="24"/>
          <w14:ligatures w14:val="none"/>
        </w:rPr>
        <w:t>Relies on short-term facilities (e.g. revolving credit, factoring) to handle seasonal liquidity pressures.</w:t>
      </w:r>
    </w:p>
    <w:p w14:paraId="0AF026CD" w14:textId="128851AE" w:rsidR="0066789E" w:rsidRPr="00213F19" w:rsidRDefault="0066789E" w:rsidP="00213F19">
      <w:pPr>
        <w:pStyle w:val="ListParagraph"/>
        <w:numPr>
          <w:ilvl w:val="0"/>
          <w:numId w:val="45"/>
        </w:numPr>
        <w:spacing w:after="0" w:line="360" w:lineRule="auto"/>
        <w:jc w:val="both"/>
        <w:rPr>
          <w:rFonts w:ascii="Arial" w:eastAsia="Times New Roman" w:hAnsi="Arial" w:cs="Arial"/>
          <w:kern w:val="0"/>
          <w:sz w:val="24"/>
          <w:szCs w:val="24"/>
          <w14:ligatures w14:val="none"/>
        </w:rPr>
      </w:pPr>
      <w:r w:rsidRPr="00213F19">
        <w:rPr>
          <w:rFonts w:ascii="Arial" w:eastAsia="Times New Roman" w:hAnsi="Arial" w:cs="Arial"/>
          <w:kern w:val="0"/>
          <w:sz w:val="24"/>
          <w:szCs w:val="24"/>
          <w14:ligatures w14:val="none"/>
        </w:rPr>
        <w:t>Find a moderate equity infusion or convertible debt to restore the permanent working-capital base without excessive leverage.</w:t>
      </w:r>
    </w:p>
    <w:p w14:paraId="13C5156F" w14:textId="316105A0" w:rsidR="0066789E" w:rsidRPr="001D3906" w:rsidRDefault="0066789E"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This strategy is flexible and at the same time stable in terms of finances, this is in line with the theory of pecking-order that places internal financings ahead of external debts.</w:t>
      </w:r>
    </w:p>
    <w:p w14:paraId="3891C793" w14:textId="3DEDA326" w:rsidR="0032002A" w:rsidRPr="001D3906" w:rsidRDefault="0066789E"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The working capital management of General Electronics has been inefficient as it has a long cycle of converting cash to cash and it has invested a lot on receivables and inventory. These inefficiencies have sucked the liquidity, diminished cash flow, and augmented dependence on external debt.</w:t>
      </w:r>
    </w:p>
    <w:p w14:paraId="25C70B40" w14:textId="7B754E55" w:rsidR="00A72660" w:rsidRPr="00213F19" w:rsidRDefault="00A72660" w:rsidP="001D3906">
      <w:pPr>
        <w:pStyle w:val="Heading1"/>
        <w:spacing w:before="0" w:line="360" w:lineRule="auto"/>
        <w:jc w:val="both"/>
        <w:rPr>
          <w:rFonts w:ascii="Arial" w:hAnsi="Arial" w:cs="Arial"/>
          <w:color w:val="000000" w:themeColor="text1"/>
          <w:sz w:val="24"/>
          <w:szCs w:val="24"/>
        </w:rPr>
      </w:pPr>
      <w:bookmarkStart w:id="15" w:name="_Toc217253875"/>
      <w:r w:rsidRPr="00213F19">
        <w:rPr>
          <w:rStyle w:val="Strong"/>
          <w:rFonts w:ascii="Arial" w:hAnsi="Arial" w:cs="Arial"/>
          <w:color w:val="000000" w:themeColor="text1"/>
          <w:sz w:val="24"/>
          <w:szCs w:val="24"/>
        </w:rPr>
        <w:t>3. Strategic Financial Restructuring Plan</w:t>
      </w:r>
      <w:bookmarkEnd w:id="15"/>
    </w:p>
    <w:p w14:paraId="59BBD545" w14:textId="0442C85A" w:rsidR="006015A0" w:rsidRPr="00213F19" w:rsidRDefault="00A72660" w:rsidP="001D3906">
      <w:pPr>
        <w:pStyle w:val="Heading2"/>
        <w:spacing w:before="0" w:line="360" w:lineRule="auto"/>
        <w:jc w:val="both"/>
        <w:rPr>
          <w:rFonts w:ascii="Arial" w:hAnsi="Arial" w:cs="Arial"/>
          <w:color w:val="000000" w:themeColor="text1"/>
          <w:sz w:val="24"/>
          <w:szCs w:val="24"/>
        </w:rPr>
      </w:pPr>
      <w:bookmarkStart w:id="16" w:name="_Toc217253876"/>
      <w:r w:rsidRPr="00213F19">
        <w:rPr>
          <w:rStyle w:val="Strong"/>
          <w:rFonts w:ascii="Arial" w:hAnsi="Arial" w:cs="Arial"/>
          <w:color w:val="000000" w:themeColor="text1"/>
          <w:sz w:val="24"/>
          <w:szCs w:val="24"/>
        </w:rPr>
        <w:t>3.</w:t>
      </w:r>
      <w:r w:rsidR="00255495" w:rsidRPr="00213F19">
        <w:rPr>
          <w:rStyle w:val="Strong"/>
          <w:rFonts w:ascii="Arial" w:hAnsi="Arial" w:cs="Arial"/>
          <w:color w:val="000000" w:themeColor="text1"/>
          <w:sz w:val="24"/>
          <w:szCs w:val="24"/>
        </w:rPr>
        <w:t>1</w:t>
      </w:r>
      <w:r w:rsidRPr="00213F19">
        <w:rPr>
          <w:rStyle w:val="Strong"/>
          <w:rFonts w:ascii="Arial" w:hAnsi="Arial" w:cs="Arial"/>
          <w:color w:val="000000" w:themeColor="text1"/>
          <w:sz w:val="24"/>
          <w:szCs w:val="24"/>
        </w:rPr>
        <w:t xml:space="preserve"> Objectives of Financial Restructuring</w:t>
      </w:r>
      <w:bookmarkEnd w:id="16"/>
    </w:p>
    <w:p w14:paraId="4D42640B" w14:textId="40AECCD5" w:rsidR="006015A0" w:rsidRPr="001D3906" w:rsidRDefault="006015A0" w:rsidP="001D3906">
      <w:pPr>
        <w:pStyle w:val="NormalWeb"/>
        <w:spacing w:before="0" w:beforeAutospacing="0" w:after="0" w:afterAutospacing="0" w:line="360" w:lineRule="auto"/>
        <w:jc w:val="both"/>
        <w:rPr>
          <w:rFonts w:ascii="Arial" w:hAnsi="Arial" w:cs="Arial"/>
        </w:rPr>
      </w:pPr>
      <w:r w:rsidRPr="001D3906">
        <w:rPr>
          <w:rFonts w:ascii="Arial" w:hAnsi="Arial" w:cs="Arial"/>
        </w:rPr>
        <w:t>The main aim of the restructuring is to attain financial salvation and regain market trust. In particular the General Electronics needs to maintain its financial leverage to a sustainable position, optimise its liquidity by optimising its asset base, increase shareholder value and restore its operating nimbleness to remain globally competitive. These goals are consistent with the principle of shareholder wealth maximisation according to which managerial decisions must be made with the long-term value creation and not with a short-term survival in mind</w:t>
      </w:r>
      <w:r w:rsidR="003B4D45">
        <w:rPr>
          <w:rFonts w:ascii="Arial" w:hAnsi="Arial" w:cs="Arial"/>
        </w:rPr>
        <w:t xml:space="preserve"> </w:t>
      </w:r>
      <w:r w:rsidR="003B4D45" w:rsidRPr="003B4D45">
        <w:rPr>
          <w:rFonts w:ascii="Arial" w:hAnsi="Arial" w:cs="Arial"/>
        </w:rPr>
        <w:t>(Inese Mavlutova, 2012)</w:t>
      </w:r>
      <w:r w:rsidRPr="001D3906">
        <w:rPr>
          <w:rFonts w:ascii="Arial" w:hAnsi="Arial" w:cs="Arial"/>
        </w:rPr>
        <w:t>.</w:t>
      </w:r>
    </w:p>
    <w:p w14:paraId="4BE6936F" w14:textId="0AD785CA" w:rsidR="00A72660" w:rsidRPr="001D3906" w:rsidRDefault="006015A0" w:rsidP="00142917">
      <w:pPr>
        <w:pStyle w:val="NormalWeb"/>
        <w:spacing w:before="0" w:beforeAutospacing="0" w:after="0" w:afterAutospacing="0" w:line="360" w:lineRule="auto"/>
        <w:jc w:val="both"/>
        <w:rPr>
          <w:rFonts w:ascii="Arial" w:hAnsi="Arial" w:cs="Arial"/>
        </w:rPr>
      </w:pPr>
      <w:r w:rsidRPr="001D3906">
        <w:rPr>
          <w:rFonts w:ascii="Arial" w:hAnsi="Arial" w:cs="Arial"/>
        </w:rPr>
        <w:t>The restructuring plan should stabilise cash generation, restore balance sheet strength and re position the company strategically in the global consumer electronics market given that the company is experiencing a fall in Altman Z-score (2.19) and negative cash flow and waning profitability.</w:t>
      </w:r>
    </w:p>
    <w:p w14:paraId="67B2E483" w14:textId="0E285E93" w:rsidR="00A72660" w:rsidRPr="00213F19" w:rsidRDefault="00A72660" w:rsidP="001D3906">
      <w:pPr>
        <w:pStyle w:val="Heading2"/>
        <w:spacing w:before="0" w:line="360" w:lineRule="auto"/>
        <w:jc w:val="both"/>
        <w:rPr>
          <w:rFonts w:ascii="Arial" w:hAnsi="Arial" w:cs="Arial"/>
          <w:color w:val="000000" w:themeColor="text1"/>
          <w:sz w:val="24"/>
          <w:szCs w:val="24"/>
        </w:rPr>
      </w:pPr>
      <w:bookmarkStart w:id="17" w:name="_Toc217253877"/>
      <w:r w:rsidRPr="00213F19">
        <w:rPr>
          <w:rStyle w:val="Strong"/>
          <w:rFonts w:ascii="Arial" w:hAnsi="Arial" w:cs="Arial"/>
          <w:color w:val="000000" w:themeColor="text1"/>
          <w:sz w:val="24"/>
          <w:szCs w:val="24"/>
        </w:rPr>
        <w:t>3.</w:t>
      </w:r>
      <w:r w:rsidR="006E5EDF" w:rsidRPr="00213F19">
        <w:rPr>
          <w:rStyle w:val="Strong"/>
          <w:rFonts w:ascii="Arial" w:hAnsi="Arial" w:cs="Arial"/>
          <w:color w:val="000000" w:themeColor="text1"/>
          <w:sz w:val="24"/>
          <w:szCs w:val="24"/>
        </w:rPr>
        <w:t>2</w:t>
      </w:r>
      <w:r w:rsidRPr="00213F19">
        <w:rPr>
          <w:rStyle w:val="Strong"/>
          <w:rFonts w:ascii="Arial" w:hAnsi="Arial" w:cs="Arial"/>
          <w:color w:val="000000" w:themeColor="text1"/>
          <w:sz w:val="24"/>
          <w:szCs w:val="24"/>
        </w:rPr>
        <w:t xml:space="preserve"> Divestiture of Non-Core or Underperforming Assets</w:t>
      </w:r>
      <w:bookmarkEnd w:id="17"/>
    </w:p>
    <w:p w14:paraId="0697AE41" w14:textId="0C0C93D8" w:rsidR="006015A0" w:rsidRPr="001D3906" w:rsidRDefault="006015A0" w:rsidP="001D3906">
      <w:pPr>
        <w:pStyle w:val="NormalWeb"/>
        <w:spacing w:before="0" w:beforeAutospacing="0" w:after="0" w:afterAutospacing="0" w:line="360" w:lineRule="auto"/>
        <w:jc w:val="both"/>
        <w:rPr>
          <w:rFonts w:ascii="Arial" w:hAnsi="Arial" w:cs="Arial"/>
        </w:rPr>
      </w:pPr>
      <w:r w:rsidRPr="001D3906">
        <w:rPr>
          <w:rFonts w:ascii="Arial" w:hAnsi="Arial" w:cs="Arial"/>
        </w:rPr>
        <w:t>Divestiture is a short-term practical approach to the release of funds and better focus.</w:t>
      </w:r>
      <w:r w:rsidR="009C794D">
        <w:rPr>
          <w:rFonts w:ascii="Arial" w:hAnsi="Arial" w:cs="Arial"/>
        </w:rPr>
        <w:t xml:space="preserve"> T</w:t>
      </w:r>
      <w:r w:rsidRPr="001D3906">
        <w:rPr>
          <w:rFonts w:ascii="Arial" w:hAnsi="Arial" w:cs="Arial"/>
        </w:rPr>
        <w:t>hrough divestment, firms are able to focus on core competency, increase efficiency as well as decrease asset base in order to increase the return on invested capital (ROIC). In the case of General Electronics, some of its product lines like household appliances or low-margin consumer products might be sold or spin-off.</w:t>
      </w:r>
    </w:p>
    <w:p w14:paraId="04049808" w14:textId="5B0E52B4" w:rsidR="006015A0" w:rsidRPr="001D3906" w:rsidRDefault="006015A0" w:rsidP="001D3906">
      <w:pPr>
        <w:pStyle w:val="NormalWeb"/>
        <w:spacing w:before="0" w:beforeAutospacing="0" w:after="0" w:afterAutospacing="0" w:line="360" w:lineRule="auto"/>
        <w:jc w:val="both"/>
        <w:rPr>
          <w:rFonts w:ascii="Arial" w:hAnsi="Arial" w:cs="Arial"/>
        </w:rPr>
      </w:pPr>
      <w:r w:rsidRPr="001D3906">
        <w:rPr>
          <w:rFonts w:ascii="Arial" w:hAnsi="Arial" w:cs="Arial"/>
        </w:rPr>
        <w:t xml:space="preserve">These divestments would create up to 10-15 billion of proceeds which can be utilized to pay off debt or invest in high growth products such as smart devices or renewable technology pieces. In addition to the benefit of liquidity, the divestiture would cut the fixed costs and simplify the cost base, with operating margins as a direct benefit. There is empirical data to support that focused companies tend to perform better than diversified companies because of better managerial efficiency and capital allocation discipline </w:t>
      </w:r>
      <w:r w:rsidR="009C794D" w:rsidRPr="009C794D">
        <w:rPr>
          <w:rFonts w:ascii="Arial" w:hAnsi="Arial" w:cs="Arial"/>
        </w:rPr>
        <w:t>(Berk and DeMarzo, 2019)</w:t>
      </w:r>
      <w:r w:rsidRPr="001D3906">
        <w:rPr>
          <w:rFonts w:ascii="Arial" w:hAnsi="Arial" w:cs="Arial"/>
        </w:rPr>
        <w:t>.</w:t>
      </w:r>
    </w:p>
    <w:p w14:paraId="2454CEA1" w14:textId="6C0EB950" w:rsidR="00A72660" w:rsidRPr="001D3906" w:rsidRDefault="006015A0" w:rsidP="00213F19">
      <w:pPr>
        <w:pStyle w:val="NormalWeb"/>
        <w:spacing w:before="0" w:beforeAutospacing="0" w:after="0" w:afterAutospacing="0" w:line="360" w:lineRule="auto"/>
        <w:jc w:val="both"/>
        <w:rPr>
          <w:rFonts w:ascii="Arial" w:hAnsi="Arial" w:cs="Arial"/>
        </w:rPr>
      </w:pPr>
      <w:r w:rsidRPr="001D3906">
        <w:rPr>
          <w:rFonts w:ascii="Arial" w:hAnsi="Arial" w:cs="Arial"/>
        </w:rPr>
        <w:t>Nonetheless, divestitures also have risk associated with them where they can lose diversification gains as well as gain market share unless they are executed strategically. Thus, the sale of assets must focus on those that are not core or those that have been running at a continuous loss and make sure that the divestiture strengthens, and not weakening the long term strategic position.</w:t>
      </w:r>
    </w:p>
    <w:p w14:paraId="6487CF34" w14:textId="0C919210" w:rsidR="00A72660" w:rsidRPr="00213F19" w:rsidRDefault="00A72660" w:rsidP="001D3906">
      <w:pPr>
        <w:pStyle w:val="Heading2"/>
        <w:spacing w:before="0" w:line="360" w:lineRule="auto"/>
        <w:jc w:val="both"/>
        <w:rPr>
          <w:rFonts w:ascii="Arial" w:hAnsi="Arial" w:cs="Arial"/>
          <w:color w:val="000000" w:themeColor="text1"/>
          <w:sz w:val="24"/>
          <w:szCs w:val="24"/>
        </w:rPr>
      </w:pPr>
      <w:bookmarkStart w:id="18" w:name="_Toc217253878"/>
      <w:r w:rsidRPr="00213F19">
        <w:rPr>
          <w:rStyle w:val="Strong"/>
          <w:rFonts w:ascii="Arial" w:hAnsi="Arial" w:cs="Arial"/>
          <w:color w:val="000000" w:themeColor="text1"/>
          <w:sz w:val="24"/>
          <w:szCs w:val="24"/>
        </w:rPr>
        <w:t>3.</w:t>
      </w:r>
      <w:r w:rsidR="00E72C46" w:rsidRPr="00213F19">
        <w:rPr>
          <w:rStyle w:val="Strong"/>
          <w:rFonts w:ascii="Arial" w:hAnsi="Arial" w:cs="Arial"/>
          <w:color w:val="000000" w:themeColor="text1"/>
          <w:sz w:val="24"/>
          <w:szCs w:val="24"/>
        </w:rPr>
        <w:t>3</w:t>
      </w:r>
      <w:r w:rsidRPr="00213F19">
        <w:rPr>
          <w:rStyle w:val="Strong"/>
          <w:rFonts w:ascii="Arial" w:hAnsi="Arial" w:cs="Arial"/>
          <w:color w:val="000000" w:themeColor="text1"/>
          <w:sz w:val="24"/>
          <w:szCs w:val="24"/>
        </w:rPr>
        <w:t xml:space="preserve"> Merger or Strategic Alliance</w:t>
      </w:r>
      <w:bookmarkEnd w:id="18"/>
    </w:p>
    <w:p w14:paraId="26AE455F" w14:textId="1E1C355E" w:rsidR="00101D76" w:rsidRPr="001D3906" w:rsidRDefault="00101D76" w:rsidP="001D3906">
      <w:pPr>
        <w:pStyle w:val="NormalWeb"/>
        <w:spacing w:before="0" w:beforeAutospacing="0" w:after="0" w:afterAutospacing="0" w:line="360" w:lineRule="auto"/>
        <w:jc w:val="both"/>
        <w:rPr>
          <w:rFonts w:ascii="Arial" w:hAnsi="Arial" w:cs="Arial"/>
        </w:rPr>
      </w:pPr>
      <w:r w:rsidRPr="001D3906">
        <w:rPr>
          <w:rFonts w:ascii="Arial" w:hAnsi="Arial" w:cs="Arial"/>
        </w:rPr>
        <w:t>A more medium-term path to enhancing competitiveness and economies of scale is provided by a merger or strategic alliance. Any merger may produce synergy due to shared resources, integration in terms of R&amp;D, and entry into new markets, especially in cases where companies have complementary strengths. In the case of General electronics a cross-border merger of a mid-sized technology or component company would create production efficiency, supply chain logistics and innovation capacity synergies.</w:t>
      </w:r>
    </w:p>
    <w:p w14:paraId="06A817B2" w14:textId="77777777" w:rsidR="00101D76" w:rsidRPr="001D3906" w:rsidRDefault="00101D76" w:rsidP="001D3906">
      <w:pPr>
        <w:pStyle w:val="NormalWeb"/>
        <w:spacing w:before="0" w:beforeAutospacing="0" w:after="0" w:afterAutospacing="0" w:line="360" w:lineRule="auto"/>
        <w:jc w:val="both"/>
        <w:rPr>
          <w:rFonts w:ascii="Arial" w:hAnsi="Arial" w:cs="Arial"/>
        </w:rPr>
      </w:pPr>
      <w:r w:rsidRPr="001D3906">
        <w:rPr>
          <w:rFonts w:ascii="Arial" w:hAnsi="Arial" w:cs="Arial"/>
        </w:rPr>
        <w:t>Another option is to form a strategic alliance, e.g., joint venture or licensing deal, which would result in such advantages with reduced capital intensity and reduced integration risk. This would enable the company to venture into the new markets or new areas of technology without anything much debt funding.</w:t>
      </w:r>
    </w:p>
    <w:p w14:paraId="091A90BF" w14:textId="71B1C6AF" w:rsidR="00A72660" w:rsidRPr="001D3906" w:rsidRDefault="00101D76" w:rsidP="00213F19">
      <w:pPr>
        <w:pStyle w:val="NormalWeb"/>
        <w:spacing w:before="0" w:beforeAutospacing="0" w:after="0" w:afterAutospacing="0" w:line="360" w:lineRule="auto"/>
        <w:jc w:val="both"/>
        <w:rPr>
          <w:rFonts w:ascii="Arial" w:hAnsi="Arial" w:cs="Arial"/>
        </w:rPr>
      </w:pPr>
      <w:r w:rsidRPr="001D3906">
        <w:rPr>
          <w:rFonts w:ascii="Arial" w:hAnsi="Arial" w:cs="Arial"/>
        </w:rPr>
        <w:t>Although these types of collaborations may enhance profit and operational flexibility, some challenges such as cultural integration, alignment of governance and execution after the merger exist. Therefore, there should be merger or alliance strategies that are only sought after financial stabilisation, with proper due diligence and risk assessment systems</w:t>
      </w:r>
      <w:r w:rsidR="009116F2">
        <w:rPr>
          <w:rFonts w:ascii="Arial" w:hAnsi="Arial" w:cs="Arial"/>
        </w:rPr>
        <w:t xml:space="preserve"> </w:t>
      </w:r>
      <w:r w:rsidR="009116F2" w:rsidRPr="009116F2">
        <w:rPr>
          <w:rFonts w:ascii="Arial" w:hAnsi="Arial" w:cs="Arial"/>
        </w:rPr>
        <w:t>(Ngwakwe, 2024)</w:t>
      </w:r>
      <w:r w:rsidRPr="001D3906">
        <w:rPr>
          <w:rFonts w:ascii="Arial" w:hAnsi="Arial" w:cs="Arial"/>
        </w:rPr>
        <w:t>.</w:t>
      </w:r>
    </w:p>
    <w:p w14:paraId="5B2F972C" w14:textId="5783BC28" w:rsidR="00A72660" w:rsidRPr="00213F19" w:rsidRDefault="00A72660" w:rsidP="001D3906">
      <w:pPr>
        <w:pStyle w:val="Heading2"/>
        <w:spacing w:before="0" w:line="360" w:lineRule="auto"/>
        <w:jc w:val="both"/>
        <w:rPr>
          <w:rFonts w:ascii="Arial" w:hAnsi="Arial" w:cs="Arial"/>
          <w:color w:val="000000" w:themeColor="text1"/>
          <w:sz w:val="24"/>
          <w:szCs w:val="24"/>
        </w:rPr>
      </w:pPr>
      <w:bookmarkStart w:id="19" w:name="_Toc217253879"/>
      <w:r w:rsidRPr="00213F19">
        <w:rPr>
          <w:rStyle w:val="Strong"/>
          <w:rFonts w:ascii="Arial" w:hAnsi="Arial" w:cs="Arial"/>
          <w:color w:val="000000" w:themeColor="text1"/>
          <w:sz w:val="24"/>
          <w:szCs w:val="24"/>
        </w:rPr>
        <w:t>3.</w:t>
      </w:r>
      <w:r w:rsidR="003C66BB" w:rsidRPr="00213F19">
        <w:rPr>
          <w:rStyle w:val="Strong"/>
          <w:rFonts w:ascii="Arial" w:hAnsi="Arial" w:cs="Arial"/>
          <w:color w:val="000000" w:themeColor="text1"/>
          <w:sz w:val="24"/>
          <w:szCs w:val="24"/>
        </w:rPr>
        <w:t>4</w:t>
      </w:r>
      <w:r w:rsidRPr="00213F19">
        <w:rPr>
          <w:rStyle w:val="Strong"/>
          <w:rFonts w:ascii="Arial" w:hAnsi="Arial" w:cs="Arial"/>
          <w:color w:val="000000" w:themeColor="text1"/>
          <w:sz w:val="24"/>
          <w:szCs w:val="24"/>
        </w:rPr>
        <w:t xml:space="preserve"> Equity Injection and Recapitalisation</w:t>
      </w:r>
      <w:bookmarkEnd w:id="19"/>
    </w:p>
    <w:p w14:paraId="377878BA" w14:textId="03ACC812" w:rsidR="00F57094" w:rsidRPr="001D3906" w:rsidRDefault="00F57094" w:rsidP="001D3906">
      <w:pPr>
        <w:pStyle w:val="NormalWeb"/>
        <w:spacing w:before="0" w:beforeAutospacing="0" w:after="0" w:afterAutospacing="0" w:line="360" w:lineRule="auto"/>
        <w:jc w:val="both"/>
        <w:rPr>
          <w:rFonts w:ascii="Arial" w:hAnsi="Arial" w:cs="Arial"/>
        </w:rPr>
      </w:pPr>
      <w:r w:rsidRPr="001D3906">
        <w:rPr>
          <w:rFonts w:ascii="Arial" w:hAnsi="Arial" w:cs="Arial"/>
        </w:rPr>
        <w:t>The equity recapitalisation is likely to be the most vital component of a sustainable restructuring plan of General Electronics. Due to the high gearing ratio of the company and the decreasing profitability, it cannot continue to use debt financing. As per the pecking-order theory formulated by Myers and Majluf, companies ought to raise new equity when they lack inside sources of funds and extra debt would increase the risk of bankruptcy</w:t>
      </w:r>
      <w:r w:rsidR="0034182E">
        <w:rPr>
          <w:rFonts w:ascii="Arial" w:hAnsi="Arial" w:cs="Arial"/>
        </w:rPr>
        <w:t xml:space="preserve"> </w:t>
      </w:r>
      <w:r w:rsidR="0034182E" w:rsidRPr="0034182E">
        <w:rPr>
          <w:rFonts w:ascii="Arial" w:hAnsi="Arial" w:cs="Arial"/>
        </w:rPr>
        <w:t>(Abdeljawad and Jaradat, 2025)</w:t>
      </w:r>
      <w:r w:rsidRPr="001D3906">
        <w:rPr>
          <w:rFonts w:ascii="Arial" w:hAnsi="Arial" w:cs="Arial"/>
        </w:rPr>
        <w:t>.</w:t>
      </w:r>
    </w:p>
    <w:p w14:paraId="23BC53CF" w14:textId="77777777" w:rsidR="00F57094" w:rsidRPr="001D3906" w:rsidRDefault="00F57094" w:rsidP="001D3906">
      <w:pPr>
        <w:pStyle w:val="NormalWeb"/>
        <w:spacing w:before="0" w:beforeAutospacing="0" w:after="0" w:afterAutospacing="0" w:line="360" w:lineRule="auto"/>
        <w:jc w:val="both"/>
        <w:rPr>
          <w:rFonts w:ascii="Arial" w:hAnsi="Arial" w:cs="Arial"/>
        </w:rPr>
      </w:pPr>
      <w:r w:rsidRPr="001D3906">
        <w:rPr>
          <w:rFonts w:ascii="Arial" w:hAnsi="Arial" w:cs="Arial"/>
        </w:rPr>
        <w:t>Moderate equity capital injection, which is likely to have a significant beneficial impact on solvency and working capital, is a medium-sized capital injection of between 20 and 25 billion £, which can be raised through a rights issue or a private placement to the institutional investors. Through the ensuing debt reduction, the debt would be less, and the payment of interest would reduce, leading to the improvement of the Altman Z-score, as well as investor confidence would be restored.</w:t>
      </w:r>
    </w:p>
    <w:p w14:paraId="34DBF290" w14:textId="2A3FA4A4" w:rsidR="00A72660" w:rsidRPr="001D3906" w:rsidRDefault="00F57094" w:rsidP="00213F19">
      <w:pPr>
        <w:pStyle w:val="NormalWeb"/>
        <w:spacing w:before="0" w:beforeAutospacing="0" w:after="0" w:afterAutospacing="0" w:line="360" w:lineRule="auto"/>
        <w:jc w:val="both"/>
        <w:rPr>
          <w:rFonts w:ascii="Arial" w:hAnsi="Arial" w:cs="Arial"/>
        </w:rPr>
      </w:pPr>
      <w:r w:rsidRPr="001D3906">
        <w:rPr>
          <w:rFonts w:ascii="Arial" w:hAnsi="Arial" w:cs="Arial"/>
        </w:rPr>
        <w:t>As much as the issuance of new equity will dilute the ownership of existing shareholders in the short term, long-term gains are high. Enhanced liquidity, less risk of default and the ability to reinvest again would result in share price growth and, thus, recover shareholder value. Besides, a joint venture with a strategic investor, e.g. a sovereign wealth fund or a private equity firm, might be a way to provide not only capital but also management skills to aid the turnaround process.</w:t>
      </w:r>
    </w:p>
    <w:p w14:paraId="74F54245" w14:textId="7F8B7E43" w:rsidR="00A72660" w:rsidRPr="00213F19" w:rsidRDefault="00A72660" w:rsidP="001D3906">
      <w:pPr>
        <w:pStyle w:val="Heading2"/>
        <w:spacing w:before="0" w:line="360" w:lineRule="auto"/>
        <w:jc w:val="both"/>
        <w:rPr>
          <w:rFonts w:ascii="Arial" w:hAnsi="Arial" w:cs="Arial"/>
          <w:color w:val="000000" w:themeColor="text1"/>
          <w:sz w:val="24"/>
          <w:szCs w:val="24"/>
        </w:rPr>
      </w:pPr>
      <w:bookmarkStart w:id="20" w:name="_Toc217253880"/>
      <w:r w:rsidRPr="00213F19">
        <w:rPr>
          <w:rStyle w:val="Strong"/>
          <w:rFonts w:ascii="Arial" w:hAnsi="Arial" w:cs="Arial"/>
          <w:color w:val="000000" w:themeColor="text1"/>
          <w:sz w:val="24"/>
          <w:szCs w:val="24"/>
        </w:rPr>
        <w:t>3.</w:t>
      </w:r>
      <w:r w:rsidR="001D6DC9" w:rsidRPr="00213F19">
        <w:rPr>
          <w:rStyle w:val="Strong"/>
          <w:rFonts w:ascii="Arial" w:hAnsi="Arial" w:cs="Arial"/>
          <w:color w:val="000000" w:themeColor="text1"/>
          <w:sz w:val="24"/>
          <w:szCs w:val="24"/>
        </w:rPr>
        <w:t>5</w:t>
      </w:r>
      <w:r w:rsidRPr="00213F19">
        <w:rPr>
          <w:rStyle w:val="Strong"/>
          <w:rFonts w:ascii="Arial" w:hAnsi="Arial" w:cs="Arial"/>
          <w:color w:val="000000" w:themeColor="text1"/>
          <w:sz w:val="24"/>
          <w:szCs w:val="24"/>
        </w:rPr>
        <w:t xml:space="preserve"> Debt Restructuring</w:t>
      </w:r>
      <w:bookmarkEnd w:id="20"/>
    </w:p>
    <w:p w14:paraId="7785693E" w14:textId="1EB6A949" w:rsidR="000D25C4" w:rsidRPr="001D3906" w:rsidRDefault="000D25C4" w:rsidP="001D3906">
      <w:pPr>
        <w:pStyle w:val="NormalWeb"/>
        <w:spacing w:before="0" w:beforeAutospacing="0" w:after="0" w:afterAutospacing="0" w:line="360" w:lineRule="auto"/>
        <w:jc w:val="both"/>
        <w:rPr>
          <w:rFonts w:ascii="Arial" w:hAnsi="Arial" w:cs="Arial"/>
        </w:rPr>
      </w:pPr>
      <w:r w:rsidRPr="001D3906">
        <w:rPr>
          <w:rFonts w:ascii="Arial" w:hAnsi="Arial" w:cs="Arial"/>
        </w:rPr>
        <w:t>Concurrent with the equity injection, General Electronics needs to seek an orderly renegotiation of debt to ease the pressure in the short term. Debt restructuring is the process of negotiating the terms with lenders to lengthen the maturity, lower the interest rates, or turn some of the debt into equity. The company will be able to relieve the strain on cash flow by negotiating longer repayment periods and reduced financing costs that would enhance its solvency in the long term.</w:t>
      </w:r>
    </w:p>
    <w:p w14:paraId="04F5B0F9" w14:textId="43E90F60" w:rsidR="00A72660" w:rsidRPr="001D3906" w:rsidRDefault="000D25C4" w:rsidP="00213F19">
      <w:pPr>
        <w:pStyle w:val="NormalWeb"/>
        <w:spacing w:before="0" w:beforeAutospacing="0" w:after="0" w:afterAutospacing="0" w:line="360" w:lineRule="auto"/>
        <w:jc w:val="both"/>
        <w:rPr>
          <w:rFonts w:ascii="Arial" w:hAnsi="Arial" w:cs="Arial"/>
        </w:rPr>
      </w:pPr>
      <w:r w:rsidRPr="001D3906">
        <w:rPr>
          <w:rFonts w:ascii="Arial" w:hAnsi="Arial" w:cs="Arial"/>
        </w:rPr>
        <w:t>Some of the high-interest short-term outstanding borrowings might be substituted with medium-term fixed-rate loans, and the volatility in the interest burden would be lowered. Moreover, a modest portion of a debt-to-equity conversion would also degear at the same time, and will be a good indicator to its lenders that it has a bright future. This is a balanced strategy that strikes the balance between the short-term goal of providing liquidity relief and the long-term goal of optimising capital structure</w:t>
      </w:r>
      <w:r w:rsidR="006422AB">
        <w:rPr>
          <w:rFonts w:ascii="Arial" w:hAnsi="Arial" w:cs="Arial"/>
        </w:rPr>
        <w:t xml:space="preserve"> </w:t>
      </w:r>
      <w:r w:rsidR="006422AB" w:rsidRPr="006422AB">
        <w:rPr>
          <w:rFonts w:ascii="Arial" w:hAnsi="Arial" w:cs="Arial"/>
        </w:rPr>
        <w:t>(Dvorkin et al., 2021)</w:t>
      </w:r>
      <w:r w:rsidRPr="001D3906">
        <w:rPr>
          <w:rFonts w:ascii="Arial" w:hAnsi="Arial" w:cs="Arial"/>
        </w:rPr>
        <w:t>.</w:t>
      </w:r>
    </w:p>
    <w:p w14:paraId="60930371" w14:textId="2E653CE1" w:rsidR="00A72660" w:rsidRPr="00213F19" w:rsidRDefault="00A72660" w:rsidP="001D3906">
      <w:pPr>
        <w:pStyle w:val="Heading2"/>
        <w:spacing w:before="0" w:line="360" w:lineRule="auto"/>
        <w:jc w:val="both"/>
        <w:rPr>
          <w:rFonts w:ascii="Arial" w:hAnsi="Arial" w:cs="Arial"/>
          <w:color w:val="000000" w:themeColor="text1"/>
          <w:sz w:val="24"/>
          <w:szCs w:val="24"/>
        </w:rPr>
      </w:pPr>
      <w:bookmarkStart w:id="21" w:name="_Toc217253881"/>
      <w:r w:rsidRPr="00213F19">
        <w:rPr>
          <w:rStyle w:val="Strong"/>
          <w:rFonts w:ascii="Arial" w:hAnsi="Arial" w:cs="Arial"/>
          <w:color w:val="000000" w:themeColor="text1"/>
          <w:sz w:val="24"/>
          <w:szCs w:val="24"/>
        </w:rPr>
        <w:t>3.</w:t>
      </w:r>
      <w:r w:rsidR="001D6DC9" w:rsidRPr="00213F19">
        <w:rPr>
          <w:rStyle w:val="Strong"/>
          <w:rFonts w:ascii="Arial" w:hAnsi="Arial" w:cs="Arial"/>
          <w:color w:val="000000" w:themeColor="text1"/>
          <w:sz w:val="24"/>
          <w:szCs w:val="24"/>
        </w:rPr>
        <w:t xml:space="preserve">6 </w:t>
      </w:r>
      <w:r w:rsidRPr="00213F19">
        <w:rPr>
          <w:rStyle w:val="Strong"/>
          <w:rFonts w:ascii="Arial" w:hAnsi="Arial" w:cs="Arial"/>
          <w:color w:val="000000" w:themeColor="text1"/>
          <w:sz w:val="24"/>
          <w:szCs w:val="24"/>
        </w:rPr>
        <w:t>Comparative Evaluation of Restructuring Options</w:t>
      </w:r>
      <w:bookmarkEnd w:id="21"/>
    </w:p>
    <w:p w14:paraId="635B2D3F" w14:textId="77777777" w:rsidR="000D25C4" w:rsidRPr="001D3906" w:rsidRDefault="000D25C4" w:rsidP="001D3906">
      <w:pPr>
        <w:pStyle w:val="NormalWeb"/>
        <w:spacing w:before="0" w:beforeAutospacing="0" w:after="0" w:afterAutospacing="0" w:line="360" w:lineRule="auto"/>
        <w:jc w:val="both"/>
        <w:rPr>
          <w:rFonts w:ascii="Arial" w:hAnsi="Arial" w:cs="Arial"/>
        </w:rPr>
      </w:pPr>
      <w:r w:rsidRPr="001D3906">
        <w:rPr>
          <w:rFonts w:ascii="Arial" w:hAnsi="Arial" w:cs="Arial"/>
        </w:rPr>
        <w:t>Equity recapitalisation is one of the analysed strategies that offers the best basis on which solvency can be recovered and shareholder value restored. This is complemented by divesting cash and improving strategic focus, and debt restructuring improves short-term liquidity. Merger or alliance plans are also good but need to be thought of after having achieved financial stability.</w:t>
      </w:r>
    </w:p>
    <w:p w14:paraId="7450913D" w14:textId="6BBA2AD7" w:rsidR="00A72660" w:rsidRPr="001D3906" w:rsidRDefault="000D25C4" w:rsidP="00213F19">
      <w:pPr>
        <w:pStyle w:val="NormalWeb"/>
        <w:spacing w:before="0" w:beforeAutospacing="0" w:after="0" w:afterAutospacing="0" w:line="360" w:lineRule="auto"/>
        <w:jc w:val="both"/>
        <w:rPr>
          <w:rFonts w:ascii="Arial" w:hAnsi="Arial" w:cs="Arial"/>
        </w:rPr>
      </w:pPr>
      <w:r w:rsidRPr="001D3906">
        <w:rPr>
          <w:rFonts w:ascii="Arial" w:hAnsi="Arial" w:cs="Arial"/>
        </w:rPr>
        <w:t>A combination of these three fundamental actions, which are the infusion of equity, debt restructuring, and selective divestiture is a comprehensive program. The combination strategy would overcome all the severe weaknesses of General Electronics in terms of liquidity, leverage, and operating focus at the same time. It also compliments the global expansion goal that the firm has as it provides it with a leaner and more financially robust base</w:t>
      </w:r>
      <w:r w:rsidR="00B27142">
        <w:rPr>
          <w:rFonts w:ascii="Arial" w:hAnsi="Arial" w:cs="Arial"/>
        </w:rPr>
        <w:t xml:space="preserve"> </w:t>
      </w:r>
      <w:r w:rsidR="00B27142" w:rsidRPr="00B27142">
        <w:rPr>
          <w:rFonts w:ascii="Arial" w:hAnsi="Arial" w:cs="Arial"/>
        </w:rPr>
        <w:t>(Ang and Lambooy, 2022)</w:t>
      </w:r>
      <w:r w:rsidRPr="001D3906">
        <w:rPr>
          <w:rFonts w:ascii="Arial" w:hAnsi="Arial" w:cs="Arial"/>
        </w:rPr>
        <w:t>.</w:t>
      </w:r>
    </w:p>
    <w:p w14:paraId="51E0DA34" w14:textId="01DBF45D" w:rsidR="00A72660" w:rsidRPr="00213F19" w:rsidRDefault="00A72660" w:rsidP="001D3906">
      <w:pPr>
        <w:pStyle w:val="Heading2"/>
        <w:spacing w:before="0" w:line="360" w:lineRule="auto"/>
        <w:jc w:val="both"/>
        <w:rPr>
          <w:rFonts w:ascii="Arial" w:hAnsi="Arial" w:cs="Arial"/>
          <w:color w:val="000000" w:themeColor="text1"/>
          <w:sz w:val="24"/>
          <w:szCs w:val="24"/>
        </w:rPr>
      </w:pPr>
      <w:bookmarkStart w:id="22" w:name="_Toc217253882"/>
      <w:r w:rsidRPr="00213F19">
        <w:rPr>
          <w:rStyle w:val="Strong"/>
          <w:rFonts w:ascii="Arial" w:hAnsi="Arial" w:cs="Arial"/>
          <w:color w:val="000000" w:themeColor="text1"/>
          <w:sz w:val="24"/>
          <w:szCs w:val="24"/>
        </w:rPr>
        <w:t>3.</w:t>
      </w:r>
      <w:r w:rsidR="001D6DC9" w:rsidRPr="00213F19">
        <w:rPr>
          <w:rStyle w:val="Strong"/>
          <w:rFonts w:ascii="Arial" w:hAnsi="Arial" w:cs="Arial"/>
          <w:color w:val="000000" w:themeColor="text1"/>
          <w:sz w:val="24"/>
          <w:szCs w:val="24"/>
        </w:rPr>
        <w:t>7</w:t>
      </w:r>
      <w:r w:rsidRPr="00213F19">
        <w:rPr>
          <w:rStyle w:val="Strong"/>
          <w:rFonts w:ascii="Arial" w:hAnsi="Arial" w:cs="Arial"/>
          <w:color w:val="000000" w:themeColor="text1"/>
          <w:sz w:val="24"/>
          <w:szCs w:val="24"/>
        </w:rPr>
        <w:t xml:space="preserve"> Impact Assessment</w:t>
      </w:r>
      <w:bookmarkEnd w:id="22"/>
    </w:p>
    <w:p w14:paraId="5F04A993" w14:textId="77777777" w:rsidR="000D25C4" w:rsidRPr="001D3906" w:rsidRDefault="000D25C4" w:rsidP="001D3906">
      <w:pPr>
        <w:pStyle w:val="NormalWeb"/>
        <w:spacing w:before="0" w:beforeAutospacing="0" w:after="0" w:afterAutospacing="0" w:line="360" w:lineRule="auto"/>
        <w:jc w:val="both"/>
        <w:rPr>
          <w:rFonts w:ascii="Arial" w:hAnsi="Arial" w:cs="Arial"/>
        </w:rPr>
      </w:pPr>
      <w:r w:rsidRPr="001D3906">
        <w:rPr>
          <w:rFonts w:ascii="Arial" w:hAnsi="Arial" w:cs="Arial"/>
        </w:rPr>
        <w:t>The effect of this combined restructuring strategy on the most important financial aspects is enormous. To begin with, shareholder value will be restored since the cost of equity will be decreased by lower financial distress and the price-to-earnings ratio will improve with time. Though the equity issue will dilute the early returns, a better profitability and dividend payout will increase the returns of the long-term investors.</w:t>
      </w:r>
    </w:p>
    <w:p w14:paraId="50EA4C63" w14:textId="77777777" w:rsidR="000D25C4" w:rsidRPr="001D3906" w:rsidRDefault="000D25C4" w:rsidP="001D3906">
      <w:pPr>
        <w:pStyle w:val="NormalWeb"/>
        <w:spacing w:before="0" w:beforeAutospacing="0" w:after="0" w:afterAutospacing="0" w:line="360" w:lineRule="auto"/>
        <w:jc w:val="both"/>
        <w:rPr>
          <w:rFonts w:ascii="Arial" w:hAnsi="Arial" w:cs="Arial"/>
        </w:rPr>
      </w:pPr>
      <w:r w:rsidRPr="001D3906">
        <w:rPr>
          <w:rFonts w:ascii="Arial" w:hAnsi="Arial" w:cs="Arial"/>
        </w:rPr>
        <w:t>Second, the debt structure will be more sustainable as the debt-to-equity ratio will decrease, and it is expected to be stable at between 0.7 (which is within the optimal range in the industry). Reduced leverage will enhance credit ratings, lower the cost of borrowing and reopen long-term capital markets.</w:t>
      </w:r>
    </w:p>
    <w:p w14:paraId="10AB3C72" w14:textId="7EB9F2BA" w:rsidR="00A72660" w:rsidRPr="001D3906" w:rsidRDefault="000D25C4" w:rsidP="001D3906">
      <w:pPr>
        <w:pStyle w:val="NormalWeb"/>
        <w:spacing w:before="0" w:beforeAutospacing="0" w:after="0" w:afterAutospacing="0" w:line="360" w:lineRule="auto"/>
        <w:jc w:val="both"/>
        <w:rPr>
          <w:rFonts w:ascii="Arial" w:hAnsi="Arial" w:cs="Arial"/>
        </w:rPr>
      </w:pPr>
      <w:r w:rsidRPr="001D3906">
        <w:rPr>
          <w:rFonts w:ascii="Arial" w:hAnsi="Arial" w:cs="Arial"/>
        </w:rPr>
        <w:t>Third, the level of operational flexibility will be increased significantly. The reduced debt service needs and enhanced cash flows will enable General Electronics to invest in innovation and supply chain efficiency and marketing. Such dynamism is also essential in order to compete in the fast-changing global electronics industry where product development cycles and customer tastes change rapidly.</w:t>
      </w:r>
    </w:p>
    <w:p w14:paraId="143AA261" w14:textId="6A978E0C" w:rsidR="00A72660" w:rsidRPr="00213F19" w:rsidRDefault="00A72660" w:rsidP="001D3906">
      <w:pPr>
        <w:pStyle w:val="Heading2"/>
        <w:spacing w:before="0" w:line="360" w:lineRule="auto"/>
        <w:jc w:val="both"/>
        <w:rPr>
          <w:rFonts w:ascii="Arial" w:hAnsi="Arial" w:cs="Arial"/>
          <w:color w:val="000000" w:themeColor="text1"/>
          <w:sz w:val="24"/>
          <w:szCs w:val="24"/>
        </w:rPr>
      </w:pPr>
      <w:bookmarkStart w:id="23" w:name="_Toc217253883"/>
      <w:r w:rsidRPr="00C141A2">
        <w:rPr>
          <w:rStyle w:val="Strong"/>
          <w:rFonts w:ascii="Arial" w:hAnsi="Arial" w:cs="Arial"/>
          <w:color w:val="000000" w:themeColor="text1"/>
          <w:sz w:val="24"/>
          <w:szCs w:val="24"/>
        </w:rPr>
        <w:t>3.</w:t>
      </w:r>
      <w:r w:rsidR="001D6DC9" w:rsidRPr="00C141A2">
        <w:rPr>
          <w:rStyle w:val="Strong"/>
          <w:rFonts w:ascii="Arial" w:hAnsi="Arial" w:cs="Arial"/>
          <w:color w:val="000000" w:themeColor="text1"/>
          <w:sz w:val="24"/>
          <w:szCs w:val="24"/>
        </w:rPr>
        <w:t>8</w:t>
      </w:r>
      <w:r w:rsidRPr="00C141A2">
        <w:rPr>
          <w:rStyle w:val="Strong"/>
          <w:rFonts w:ascii="Arial" w:hAnsi="Arial" w:cs="Arial"/>
          <w:color w:val="000000" w:themeColor="text1"/>
          <w:sz w:val="24"/>
          <w:szCs w:val="24"/>
        </w:rPr>
        <w:t xml:space="preserve"> International and Ethical Considerations</w:t>
      </w:r>
      <w:bookmarkEnd w:id="23"/>
    </w:p>
    <w:p w14:paraId="28C03627" w14:textId="77777777" w:rsidR="00D63F5D" w:rsidRPr="001D3906" w:rsidRDefault="00D63F5D" w:rsidP="001D3906">
      <w:pPr>
        <w:pStyle w:val="NormalWeb"/>
        <w:spacing w:before="0" w:beforeAutospacing="0" w:after="0" w:afterAutospacing="0" w:line="360" w:lineRule="auto"/>
        <w:jc w:val="both"/>
        <w:rPr>
          <w:rFonts w:ascii="Arial" w:hAnsi="Arial" w:cs="Arial"/>
        </w:rPr>
      </w:pPr>
      <w:r w:rsidRPr="001D3906">
        <w:rPr>
          <w:rFonts w:ascii="Arial" w:hAnsi="Arial" w:cs="Arial"/>
        </w:rPr>
        <w:t>A good restructuring plan should be executed keeping in mind the international financial risks and ethical liability. The aspect of taxation is important in the process of making decisions on divestiture and mergers because capital gains tax and cross-border taxes may play a significant role on the net proceeds. The strategic tax planning must be able to comply with the international transfer pricing and anti-avoidance regulations and the effective tax rate of the group needs to be optimized.</w:t>
      </w:r>
    </w:p>
    <w:p w14:paraId="70EA327C" w14:textId="7C5A21CF" w:rsidR="00D63F5D" w:rsidRPr="001D3906" w:rsidRDefault="00D63F5D" w:rsidP="001D3906">
      <w:pPr>
        <w:pStyle w:val="NormalWeb"/>
        <w:spacing w:before="0" w:beforeAutospacing="0" w:after="0" w:afterAutospacing="0" w:line="360" w:lineRule="auto"/>
        <w:jc w:val="both"/>
        <w:rPr>
          <w:rFonts w:ascii="Arial" w:hAnsi="Arial" w:cs="Arial"/>
        </w:rPr>
      </w:pPr>
      <w:r w:rsidRPr="001D3906">
        <w:rPr>
          <w:rFonts w:ascii="Arial" w:hAnsi="Arial" w:cs="Arial"/>
        </w:rPr>
        <w:t xml:space="preserve">Another major aspect is the currency risk, considering that the firm is a multinational. When not hedged by either natural hedging or forward contracts, exposure to volatility in the exchange rate may undermine gains of restructuring </w:t>
      </w:r>
      <w:r w:rsidR="00C141A2" w:rsidRPr="00C141A2">
        <w:rPr>
          <w:rFonts w:ascii="Arial" w:hAnsi="Arial" w:cs="Arial"/>
        </w:rPr>
        <w:t>(Akbar et al., 2022)</w:t>
      </w:r>
      <w:r w:rsidRPr="001D3906">
        <w:rPr>
          <w:rFonts w:ascii="Arial" w:hAnsi="Arial" w:cs="Arial"/>
        </w:rPr>
        <w:t>. Stabilisation of cash flows will involve the maintenance of revenues and costs in the same currencies wherever possible.</w:t>
      </w:r>
    </w:p>
    <w:p w14:paraId="639FA15A" w14:textId="76B6C171" w:rsidR="00D63F5D" w:rsidRPr="001D3906" w:rsidRDefault="00D63F5D" w:rsidP="001D3906">
      <w:pPr>
        <w:pStyle w:val="NormalWeb"/>
        <w:spacing w:before="0" w:beforeAutospacing="0" w:after="0" w:afterAutospacing="0" w:line="360" w:lineRule="auto"/>
        <w:jc w:val="both"/>
        <w:rPr>
          <w:rFonts w:ascii="Arial" w:hAnsi="Arial" w:cs="Arial"/>
        </w:rPr>
      </w:pPr>
      <w:r w:rsidRPr="001D3906">
        <w:rPr>
          <w:rFonts w:ascii="Arial" w:hAnsi="Arial" w:cs="Arial"/>
        </w:rPr>
        <w:t>The inflationary pressures also pose a challenge in management of the debt because the cost of financing is escalated due to the rise of the interest rate. This exposure can be reduced by a balanced capital structure that consists of fixed-rate long-term debt.</w:t>
      </w:r>
    </w:p>
    <w:p w14:paraId="2A4ED5C0" w14:textId="616D4C3F" w:rsidR="00D63F5D" w:rsidRPr="001D3906" w:rsidRDefault="00D63F5D" w:rsidP="001D3906">
      <w:pPr>
        <w:pStyle w:val="NormalWeb"/>
        <w:spacing w:before="0" w:beforeAutospacing="0" w:after="0" w:afterAutospacing="0" w:line="360" w:lineRule="auto"/>
        <w:jc w:val="both"/>
        <w:rPr>
          <w:rFonts w:ascii="Arial" w:hAnsi="Arial" w:cs="Arial"/>
        </w:rPr>
      </w:pPr>
      <w:r w:rsidRPr="001D3906">
        <w:rPr>
          <w:rFonts w:ascii="Arial" w:hAnsi="Arial" w:cs="Arial"/>
        </w:rPr>
        <w:t xml:space="preserve">It is morally right that General Electronics should observe corporate social responsibility during the restructuring process. The minimization of costs and divestitures must not result in the unethical labour practices, the lack of observation of the community commitments. Openness in communication with staff, suppliers and shareholders is the key to ensuring trust. </w:t>
      </w:r>
      <w:r w:rsidR="00C141A2">
        <w:rPr>
          <w:rFonts w:ascii="Arial" w:hAnsi="Arial" w:cs="Arial"/>
        </w:rPr>
        <w:t>T</w:t>
      </w:r>
      <w:r w:rsidRPr="001D3906">
        <w:rPr>
          <w:rFonts w:ascii="Arial" w:hAnsi="Arial" w:cs="Arial"/>
        </w:rPr>
        <w:t>he inclusion of CSR in financial decision-making process enhances the reputation and stakeholder retention in the long-term, which is part of sustainable recovery</w:t>
      </w:r>
      <w:r w:rsidR="0043067E">
        <w:rPr>
          <w:rFonts w:ascii="Arial" w:hAnsi="Arial" w:cs="Arial"/>
        </w:rPr>
        <w:t xml:space="preserve"> </w:t>
      </w:r>
      <w:r w:rsidR="0043067E" w:rsidRPr="0043067E">
        <w:rPr>
          <w:rFonts w:ascii="Arial" w:hAnsi="Arial" w:cs="Arial"/>
        </w:rPr>
        <w:t>(Yusif and Hafeez-Baig, 2024)</w:t>
      </w:r>
      <w:r w:rsidRPr="001D3906">
        <w:rPr>
          <w:rFonts w:ascii="Arial" w:hAnsi="Arial" w:cs="Arial"/>
        </w:rPr>
        <w:t>.</w:t>
      </w:r>
    </w:p>
    <w:p w14:paraId="538FEE50" w14:textId="6C8B7B28" w:rsidR="00A72660" w:rsidRPr="00213F19" w:rsidRDefault="00A72660" w:rsidP="001D3906">
      <w:pPr>
        <w:pStyle w:val="Heading2"/>
        <w:spacing w:before="0" w:line="360" w:lineRule="auto"/>
        <w:jc w:val="both"/>
        <w:rPr>
          <w:rFonts w:ascii="Arial" w:hAnsi="Arial" w:cs="Arial"/>
          <w:color w:val="000000" w:themeColor="text1"/>
          <w:sz w:val="24"/>
          <w:szCs w:val="24"/>
        </w:rPr>
      </w:pPr>
      <w:bookmarkStart w:id="24" w:name="_Toc217253884"/>
      <w:r w:rsidRPr="00213F19">
        <w:rPr>
          <w:rStyle w:val="Strong"/>
          <w:rFonts w:ascii="Arial" w:hAnsi="Arial" w:cs="Arial"/>
          <w:color w:val="000000" w:themeColor="text1"/>
          <w:sz w:val="24"/>
          <w:szCs w:val="24"/>
        </w:rPr>
        <w:t>3.</w:t>
      </w:r>
      <w:r w:rsidR="001D6DC9" w:rsidRPr="00213F19">
        <w:rPr>
          <w:rStyle w:val="Strong"/>
          <w:rFonts w:ascii="Arial" w:hAnsi="Arial" w:cs="Arial"/>
          <w:color w:val="000000" w:themeColor="text1"/>
          <w:sz w:val="24"/>
          <w:szCs w:val="24"/>
        </w:rPr>
        <w:t>9</w:t>
      </w:r>
      <w:r w:rsidRPr="00213F19">
        <w:rPr>
          <w:rStyle w:val="Strong"/>
          <w:rFonts w:ascii="Arial" w:hAnsi="Arial" w:cs="Arial"/>
          <w:color w:val="000000" w:themeColor="text1"/>
          <w:sz w:val="24"/>
          <w:szCs w:val="24"/>
        </w:rPr>
        <w:t xml:space="preserve"> Implementation Roadmap</w:t>
      </w:r>
      <w:bookmarkEnd w:id="24"/>
    </w:p>
    <w:p w14:paraId="3132D107" w14:textId="0D64361D" w:rsidR="00F06BA0" w:rsidRPr="001D3906" w:rsidRDefault="00F06BA0" w:rsidP="001D3906">
      <w:pPr>
        <w:pStyle w:val="NormalWeb"/>
        <w:spacing w:before="0" w:beforeAutospacing="0" w:after="0" w:afterAutospacing="0" w:line="360" w:lineRule="auto"/>
        <w:jc w:val="both"/>
        <w:rPr>
          <w:rFonts w:ascii="Arial" w:hAnsi="Arial" w:cs="Arial"/>
        </w:rPr>
      </w:pPr>
      <w:r w:rsidRPr="001D3906">
        <w:rPr>
          <w:rFonts w:ascii="Arial" w:hAnsi="Arial" w:cs="Arial"/>
        </w:rPr>
        <w:t>The restructuring plan needs to be implemented at stages. First, the company needs to strike a deal with lenders to re-structure current debt and stabilise short term liquidity. After the short-term solvency has been established, equity issues and selective divestiture can be used to cut the leverage and finance working capital. General Electronics can then engage in strategic relationships or mergers in an attempt to grow and be competitive. Implementation should be guided by clear milestones, governance oversight and performance measures to ensure transparency and accountability.</w:t>
      </w:r>
    </w:p>
    <w:p w14:paraId="0589CDB1" w14:textId="77777777" w:rsidR="00F06BA0" w:rsidRPr="001D3906" w:rsidRDefault="00F06BA0" w:rsidP="001D3906">
      <w:pPr>
        <w:pStyle w:val="NormalWeb"/>
        <w:spacing w:before="0" w:beforeAutospacing="0" w:after="0" w:afterAutospacing="0" w:line="360" w:lineRule="auto"/>
        <w:jc w:val="both"/>
        <w:rPr>
          <w:rFonts w:ascii="Arial" w:hAnsi="Arial" w:cs="Arial"/>
        </w:rPr>
      </w:pPr>
      <w:r w:rsidRPr="001D3906">
        <w:rPr>
          <w:rFonts w:ascii="Arial" w:hAnsi="Arial" w:cs="Arial"/>
        </w:rPr>
        <w:t>General Electronics is a company that is at a crossroad in its corporate life cycle. The years of financial troubles the company has experienced due to over leverage, poor liquidity and inefficiency in its operations requires a clear and well planned intervention. An equity injection, restructuring of debts and selected divestiture offer the best and most ethical path to recovery.</w:t>
      </w:r>
    </w:p>
    <w:p w14:paraId="17327088" w14:textId="3EE10374" w:rsidR="00357B8C" w:rsidRPr="00213F19" w:rsidRDefault="00357B8C" w:rsidP="00213F19">
      <w:pPr>
        <w:pStyle w:val="Heading1"/>
        <w:numPr>
          <w:ilvl w:val="0"/>
          <w:numId w:val="46"/>
        </w:numPr>
        <w:spacing w:before="0" w:line="360" w:lineRule="auto"/>
        <w:jc w:val="both"/>
        <w:rPr>
          <w:rFonts w:ascii="Arial" w:eastAsia="Times New Roman" w:hAnsi="Arial" w:cs="Arial"/>
          <w:b/>
          <w:bCs/>
          <w:color w:val="000000" w:themeColor="text1"/>
          <w:sz w:val="24"/>
          <w:szCs w:val="24"/>
        </w:rPr>
      </w:pPr>
      <w:bookmarkStart w:id="25" w:name="_Toc217253885"/>
      <w:r w:rsidRPr="00213F19">
        <w:rPr>
          <w:rFonts w:ascii="Arial" w:eastAsia="Times New Roman" w:hAnsi="Arial" w:cs="Arial"/>
          <w:b/>
          <w:bCs/>
          <w:color w:val="000000" w:themeColor="text1"/>
          <w:sz w:val="24"/>
          <w:szCs w:val="24"/>
        </w:rPr>
        <w:t>INVESTMENT APPRAISAL AND CAPITAL BUDGETING</w:t>
      </w:r>
      <w:bookmarkEnd w:id="25"/>
    </w:p>
    <w:p w14:paraId="767E2DCD" w14:textId="7CF76DE2" w:rsidR="00357B8C" w:rsidRPr="00213F19" w:rsidRDefault="00357B8C" w:rsidP="001D3906">
      <w:pPr>
        <w:pStyle w:val="Heading2"/>
        <w:spacing w:before="0" w:line="360" w:lineRule="auto"/>
        <w:jc w:val="both"/>
        <w:rPr>
          <w:rFonts w:ascii="Arial" w:eastAsia="Times New Roman" w:hAnsi="Arial" w:cs="Arial"/>
          <w:b/>
          <w:bCs/>
          <w:color w:val="000000" w:themeColor="text1"/>
          <w:sz w:val="24"/>
          <w:szCs w:val="24"/>
        </w:rPr>
      </w:pPr>
      <w:bookmarkStart w:id="26" w:name="_Toc217253886"/>
      <w:r w:rsidRPr="00213F19">
        <w:rPr>
          <w:rFonts w:ascii="Arial" w:eastAsia="Times New Roman" w:hAnsi="Arial" w:cs="Arial"/>
          <w:b/>
          <w:bCs/>
          <w:color w:val="000000" w:themeColor="text1"/>
          <w:sz w:val="24"/>
          <w:szCs w:val="24"/>
        </w:rPr>
        <w:t>4.</w:t>
      </w:r>
      <w:r w:rsidR="0071092A" w:rsidRPr="00213F19">
        <w:rPr>
          <w:rFonts w:ascii="Arial" w:eastAsia="Times New Roman" w:hAnsi="Arial" w:cs="Arial"/>
          <w:b/>
          <w:bCs/>
          <w:color w:val="000000" w:themeColor="text1"/>
          <w:sz w:val="24"/>
          <w:szCs w:val="24"/>
        </w:rPr>
        <w:t>1</w:t>
      </w:r>
      <w:r w:rsidRPr="00213F19">
        <w:rPr>
          <w:rFonts w:ascii="Arial" w:eastAsia="Times New Roman" w:hAnsi="Arial" w:cs="Arial"/>
          <w:b/>
          <w:bCs/>
          <w:color w:val="000000" w:themeColor="text1"/>
          <w:sz w:val="24"/>
          <w:szCs w:val="24"/>
        </w:rPr>
        <w:t xml:space="preserve"> </w:t>
      </w:r>
      <w:r w:rsidR="001D6DC9" w:rsidRPr="00213F19">
        <w:rPr>
          <w:rFonts w:ascii="Arial" w:eastAsia="Times New Roman" w:hAnsi="Arial" w:cs="Arial"/>
          <w:b/>
          <w:bCs/>
          <w:color w:val="000000" w:themeColor="text1"/>
          <w:sz w:val="24"/>
          <w:szCs w:val="24"/>
        </w:rPr>
        <w:t>Proposed investment projects</w:t>
      </w:r>
      <w:bookmarkEnd w:id="26"/>
      <w:r w:rsidR="001D6DC9" w:rsidRPr="00213F19">
        <w:rPr>
          <w:rFonts w:ascii="Arial" w:eastAsia="Times New Roman" w:hAnsi="Arial" w:cs="Arial"/>
          <w:b/>
          <w:bCs/>
          <w:color w:val="000000" w:themeColor="text1"/>
          <w:sz w:val="24"/>
          <w:szCs w:val="24"/>
        </w:rPr>
        <w:t xml:space="preserve"> </w:t>
      </w:r>
    </w:p>
    <w:p w14:paraId="61B009A8" w14:textId="77777777" w:rsidR="00357B8C" w:rsidRDefault="00357B8C" w:rsidP="001D3906">
      <w:pPr>
        <w:spacing w:after="0" w:line="360" w:lineRule="auto"/>
        <w:jc w:val="both"/>
        <w:rPr>
          <w:rFonts w:ascii="Arial" w:eastAsia="Times New Roman" w:hAnsi="Arial" w:cs="Arial"/>
          <w:kern w:val="0"/>
          <w:sz w:val="24"/>
          <w:szCs w:val="24"/>
          <w14:ligatures w14:val="none"/>
        </w:rPr>
      </w:pPr>
      <w:r w:rsidRPr="00357B8C">
        <w:rPr>
          <w:rFonts w:ascii="Arial" w:eastAsia="Times New Roman" w:hAnsi="Arial" w:cs="Arial"/>
          <w:kern w:val="0"/>
          <w:sz w:val="24"/>
          <w:szCs w:val="24"/>
          <w14:ligatures w14:val="none"/>
        </w:rPr>
        <w:t xml:space="preserve">The </w:t>
      </w:r>
      <w:bookmarkStart w:id="27" w:name="_Hlk217253165"/>
      <w:r w:rsidRPr="00357B8C">
        <w:rPr>
          <w:rFonts w:ascii="Arial" w:eastAsia="Times New Roman" w:hAnsi="Arial" w:cs="Arial"/>
          <w:kern w:val="0"/>
          <w:sz w:val="24"/>
          <w:szCs w:val="24"/>
          <w14:ligatures w14:val="none"/>
        </w:rPr>
        <w:t xml:space="preserve">three proposed investment projects </w:t>
      </w:r>
      <w:bookmarkEnd w:id="27"/>
      <w:r w:rsidRPr="00357B8C">
        <w:rPr>
          <w:rFonts w:ascii="Arial" w:eastAsia="Times New Roman" w:hAnsi="Arial" w:cs="Arial"/>
          <w:kern w:val="0"/>
          <w:sz w:val="24"/>
          <w:szCs w:val="24"/>
          <w14:ligatures w14:val="none"/>
        </w:rPr>
        <w:t>are presented below:</w:t>
      </w:r>
    </w:p>
    <w:p w14:paraId="38C28EE9" w14:textId="403CCBFD" w:rsidR="00142917" w:rsidRPr="00357B8C" w:rsidRDefault="00142917" w:rsidP="001D3906">
      <w:pPr>
        <w:spacing w:after="0"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Table 2: Proposed investment projects</w:t>
      </w:r>
    </w:p>
    <w:tbl>
      <w:tblPr>
        <w:tblStyle w:val="TableGrid"/>
        <w:tblW w:w="0" w:type="auto"/>
        <w:tblLook w:val="04A0" w:firstRow="1" w:lastRow="0" w:firstColumn="1" w:lastColumn="0" w:noHBand="0" w:noVBand="1"/>
      </w:tblPr>
      <w:tblGrid>
        <w:gridCol w:w="1030"/>
        <w:gridCol w:w="2750"/>
        <w:gridCol w:w="4071"/>
      </w:tblGrid>
      <w:tr w:rsidR="00357B8C" w:rsidRPr="00357B8C" w14:paraId="30517A63" w14:textId="77777777" w:rsidTr="00A863C4">
        <w:tc>
          <w:tcPr>
            <w:tcW w:w="0" w:type="auto"/>
            <w:hideMark/>
          </w:tcPr>
          <w:p w14:paraId="396F67BF" w14:textId="77777777" w:rsidR="00357B8C" w:rsidRPr="00357B8C" w:rsidRDefault="00357B8C" w:rsidP="001D3906">
            <w:pPr>
              <w:spacing w:line="360" w:lineRule="auto"/>
              <w:jc w:val="both"/>
              <w:rPr>
                <w:rFonts w:ascii="Arial" w:eastAsia="Times New Roman" w:hAnsi="Arial" w:cs="Arial"/>
                <w:b/>
                <w:bCs/>
                <w:kern w:val="0"/>
                <w:sz w:val="24"/>
                <w:szCs w:val="24"/>
                <w14:ligatures w14:val="none"/>
              </w:rPr>
            </w:pPr>
            <w:r w:rsidRPr="00357B8C">
              <w:rPr>
                <w:rFonts w:ascii="Arial" w:eastAsia="Times New Roman" w:hAnsi="Arial" w:cs="Arial"/>
                <w:b/>
                <w:bCs/>
                <w:kern w:val="0"/>
                <w:sz w:val="24"/>
                <w:szCs w:val="24"/>
                <w14:ligatures w14:val="none"/>
              </w:rPr>
              <w:t>Project</w:t>
            </w:r>
          </w:p>
        </w:tc>
        <w:tc>
          <w:tcPr>
            <w:tcW w:w="0" w:type="auto"/>
            <w:hideMark/>
          </w:tcPr>
          <w:p w14:paraId="01EBCB94" w14:textId="77777777" w:rsidR="00357B8C" w:rsidRPr="00357B8C" w:rsidRDefault="00357B8C" w:rsidP="001D3906">
            <w:pPr>
              <w:spacing w:line="360" w:lineRule="auto"/>
              <w:jc w:val="both"/>
              <w:rPr>
                <w:rFonts w:ascii="Arial" w:eastAsia="Times New Roman" w:hAnsi="Arial" w:cs="Arial"/>
                <w:b/>
                <w:bCs/>
                <w:kern w:val="0"/>
                <w:sz w:val="24"/>
                <w:szCs w:val="24"/>
                <w14:ligatures w14:val="none"/>
              </w:rPr>
            </w:pPr>
            <w:r w:rsidRPr="00357B8C">
              <w:rPr>
                <w:rFonts w:ascii="Arial" w:eastAsia="Times New Roman" w:hAnsi="Arial" w:cs="Arial"/>
                <w:b/>
                <w:bCs/>
                <w:kern w:val="0"/>
                <w:sz w:val="24"/>
                <w:szCs w:val="24"/>
                <w14:ligatures w14:val="none"/>
              </w:rPr>
              <w:t>Initial Investment (£m)</w:t>
            </w:r>
          </w:p>
        </w:tc>
        <w:tc>
          <w:tcPr>
            <w:tcW w:w="0" w:type="auto"/>
            <w:hideMark/>
          </w:tcPr>
          <w:p w14:paraId="4DEDA14A" w14:textId="77777777" w:rsidR="00357B8C" w:rsidRPr="00357B8C" w:rsidRDefault="00357B8C" w:rsidP="001D3906">
            <w:pPr>
              <w:spacing w:line="360" w:lineRule="auto"/>
              <w:jc w:val="both"/>
              <w:rPr>
                <w:rFonts w:ascii="Arial" w:eastAsia="Times New Roman" w:hAnsi="Arial" w:cs="Arial"/>
                <w:b/>
                <w:bCs/>
                <w:kern w:val="0"/>
                <w:sz w:val="24"/>
                <w:szCs w:val="24"/>
                <w14:ligatures w14:val="none"/>
              </w:rPr>
            </w:pPr>
            <w:r w:rsidRPr="00357B8C">
              <w:rPr>
                <w:rFonts w:ascii="Arial" w:eastAsia="Times New Roman" w:hAnsi="Arial" w:cs="Arial"/>
                <w:b/>
                <w:bCs/>
                <w:kern w:val="0"/>
                <w:sz w:val="24"/>
                <w:szCs w:val="24"/>
                <w14:ligatures w14:val="none"/>
              </w:rPr>
              <w:t>Net Cash Inflows (£m) (Years 1–5)</w:t>
            </w:r>
          </w:p>
        </w:tc>
      </w:tr>
      <w:tr w:rsidR="00357B8C" w:rsidRPr="00357B8C" w14:paraId="1646AD58" w14:textId="77777777" w:rsidTr="00A863C4">
        <w:tc>
          <w:tcPr>
            <w:tcW w:w="0" w:type="auto"/>
            <w:hideMark/>
          </w:tcPr>
          <w:p w14:paraId="40D10507" w14:textId="77777777" w:rsidR="00357B8C" w:rsidRPr="00357B8C" w:rsidRDefault="00357B8C" w:rsidP="001D3906">
            <w:pPr>
              <w:spacing w:line="360" w:lineRule="auto"/>
              <w:jc w:val="both"/>
              <w:rPr>
                <w:rFonts w:ascii="Arial" w:eastAsia="Times New Roman" w:hAnsi="Arial" w:cs="Arial"/>
                <w:kern w:val="0"/>
                <w:sz w:val="24"/>
                <w:szCs w:val="24"/>
                <w14:ligatures w14:val="none"/>
              </w:rPr>
            </w:pPr>
            <w:r w:rsidRPr="00357B8C">
              <w:rPr>
                <w:rFonts w:ascii="Arial" w:eastAsia="Times New Roman" w:hAnsi="Arial" w:cs="Arial"/>
                <w:kern w:val="0"/>
                <w:sz w:val="24"/>
                <w:szCs w:val="24"/>
                <w14:ligatures w14:val="none"/>
              </w:rPr>
              <w:t>A</w:t>
            </w:r>
          </w:p>
        </w:tc>
        <w:tc>
          <w:tcPr>
            <w:tcW w:w="0" w:type="auto"/>
            <w:hideMark/>
          </w:tcPr>
          <w:p w14:paraId="2DBAA7F3" w14:textId="77777777" w:rsidR="00357B8C" w:rsidRPr="00357B8C" w:rsidRDefault="00357B8C" w:rsidP="001D3906">
            <w:pPr>
              <w:spacing w:line="360" w:lineRule="auto"/>
              <w:jc w:val="both"/>
              <w:rPr>
                <w:rFonts w:ascii="Arial" w:eastAsia="Times New Roman" w:hAnsi="Arial" w:cs="Arial"/>
                <w:kern w:val="0"/>
                <w:sz w:val="24"/>
                <w:szCs w:val="24"/>
                <w14:ligatures w14:val="none"/>
              </w:rPr>
            </w:pPr>
            <w:r w:rsidRPr="00357B8C">
              <w:rPr>
                <w:rFonts w:ascii="Arial" w:eastAsia="Times New Roman" w:hAnsi="Arial" w:cs="Arial"/>
                <w:kern w:val="0"/>
                <w:sz w:val="24"/>
                <w:szCs w:val="24"/>
                <w14:ligatures w14:val="none"/>
              </w:rPr>
              <w:t>40</w:t>
            </w:r>
          </w:p>
        </w:tc>
        <w:tc>
          <w:tcPr>
            <w:tcW w:w="0" w:type="auto"/>
            <w:hideMark/>
          </w:tcPr>
          <w:p w14:paraId="6CC9D6EA" w14:textId="77777777" w:rsidR="00357B8C" w:rsidRPr="00357B8C" w:rsidRDefault="00357B8C" w:rsidP="001D3906">
            <w:pPr>
              <w:spacing w:line="360" w:lineRule="auto"/>
              <w:jc w:val="both"/>
              <w:rPr>
                <w:rFonts w:ascii="Arial" w:eastAsia="Times New Roman" w:hAnsi="Arial" w:cs="Arial"/>
                <w:kern w:val="0"/>
                <w:sz w:val="24"/>
                <w:szCs w:val="24"/>
                <w14:ligatures w14:val="none"/>
              </w:rPr>
            </w:pPr>
            <w:r w:rsidRPr="00357B8C">
              <w:rPr>
                <w:rFonts w:ascii="Arial" w:eastAsia="Times New Roman" w:hAnsi="Arial" w:cs="Arial"/>
                <w:kern w:val="0"/>
                <w:sz w:val="24"/>
                <w:szCs w:val="24"/>
                <w14:ligatures w14:val="none"/>
              </w:rPr>
              <w:t>10, 12, 14, 10, 8</w:t>
            </w:r>
          </w:p>
        </w:tc>
      </w:tr>
      <w:tr w:rsidR="00357B8C" w:rsidRPr="00357B8C" w14:paraId="2E924134" w14:textId="77777777" w:rsidTr="00A863C4">
        <w:tc>
          <w:tcPr>
            <w:tcW w:w="0" w:type="auto"/>
            <w:hideMark/>
          </w:tcPr>
          <w:p w14:paraId="3074D6D2" w14:textId="77777777" w:rsidR="00357B8C" w:rsidRPr="00357B8C" w:rsidRDefault="00357B8C" w:rsidP="001D3906">
            <w:pPr>
              <w:spacing w:line="360" w:lineRule="auto"/>
              <w:jc w:val="both"/>
              <w:rPr>
                <w:rFonts w:ascii="Arial" w:eastAsia="Times New Roman" w:hAnsi="Arial" w:cs="Arial"/>
                <w:kern w:val="0"/>
                <w:sz w:val="24"/>
                <w:szCs w:val="24"/>
                <w14:ligatures w14:val="none"/>
              </w:rPr>
            </w:pPr>
            <w:r w:rsidRPr="00357B8C">
              <w:rPr>
                <w:rFonts w:ascii="Arial" w:eastAsia="Times New Roman" w:hAnsi="Arial" w:cs="Arial"/>
                <w:kern w:val="0"/>
                <w:sz w:val="24"/>
                <w:szCs w:val="24"/>
                <w14:ligatures w14:val="none"/>
              </w:rPr>
              <w:t>B</w:t>
            </w:r>
          </w:p>
        </w:tc>
        <w:tc>
          <w:tcPr>
            <w:tcW w:w="0" w:type="auto"/>
            <w:hideMark/>
          </w:tcPr>
          <w:p w14:paraId="0D620591" w14:textId="77777777" w:rsidR="00357B8C" w:rsidRPr="00357B8C" w:rsidRDefault="00357B8C" w:rsidP="001D3906">
            <w:pPr>
              <w:spacing w:line="360" w:lineRule="auto"/>
              <w:jc w:val="both"/>
              <w:rPr>
                <w:rFonts w:ascii="Arial" w:eastAsia="Times New Roman" w:hAnsi="Arial" w:cs="Arial"/>
                <w:kern w:val="0"/>
                <w:sz w:val="24"/>
                <w:szCs w:val="24"/>
                <w14:ligatures w14:val="none"/>
              </w:rPr>
            </w:pPr>
            <w:r w:rsidRPr="00357B8C">
              <w:rPr>
                <w:rFonts w:ascii="Arial" w:eastAsia="Times New Roman" w:hAnsi="Arial" w:cs="Arial"/>
                <w:kern w:val="0"/>
                <w:sz w:val="24"/>
                <w:szCs w:val="24"/>
                <w14:ligatures w14:val="none"/>
              </w:rPr>
              <w:t>30</w:t>
            </w:r>
          </w:p>
        </w:tc>
        <w:tc>
          <w:tcPr>
            <w:tcW w:w="0" w:type="auto"/>
            <w:hideMark/>
          </w:tcPr>
          <w:p w14:paraId="047C45E6" w14:textId="77777777" w:rsidR="00357B8C" w:rsidRPr="00357B8C" w:rsidRDefault="00357B8C" w:rsidP="001D3906">
            <w:pPr>
              <w:spacing w:line="360" w:lineRule="auto"/>
              <w:jc w:val="both"/>
              <w:rPr>
                <w:rFonts w:ascii="Arial" w:eastAsia="Times New Roman" w:hAnsi="Arial" w:cs="Arial"/>
                <w:kern w:val="0"/>
                <w:sz w:val="24"/>
                <w:szCs w:val="24"/>
                <w14:ligatures w14:val="none"/>
              </w:rPr>
            </w:pPr>
            <w:r w:rsidRPr="00357B8C">
              <w:rPr>
                <w:rFonts w:ascii="Arial" w:eastAsia="Times New Roman" w:hAnsi="Arial" w:cs="Arial"/>
                <w:kern w:val="0"/>
                <w:sz w:val="24"/>
                <w:szCs w:val="24"/>
                <w14:ligatures w14:val="none"/>
              </w:rPr>
              <w:t>6, 6, 6, 6, 6</w:t>
            </w:r>
          </w:p>
        </w:tc>
      </w:tr>
      <w:tr w:rsidR="00357B8C" w:rsidRPr="00357B8C" w14:paraId="0A3895B2" w14:textId="77777777" w:rsidTr="00A863C4">
        <w:tc>
          <w:tcPr>
            <w:tcW w:w="0" w:type="auto"/>
            <w:hideMark/>
          </w:tcPr>
          <w:p w14:paraId="3BDC27A8" w14:textId="77777777" w:rsidR="00357B8C" w:rsidRPr="00357B8C" w:rsidRDefault="00357B8C" w:rsidP="001D3906">
            <w:pPr>
              <w:spacing w:line="360" w:lineRule="auto"/>
              <w:jc w:val="both"/>
              <w:rPr>
                <w:rFonts w:ascii="Arial" w:eastAsia="Times New Roman" w:hAnsi="Arial" w:cs="Arial"/>
                <w:kern w:val="0"/>
                <w:sz w:val="24"/>
                <w:szCs w:val="24"/>
                <w14:ligatures w14:val="none"/>
              </w:rPr>
            </w:pPr>
            <w:r w:rsidRPr="00357B8C">
              <w:rPr>
                <w:rFonts w:ascii="Arial" w:eastAsia="Times New Roman" w:hAnsi="Arial" w:cs="Arial"/>
                <w:kern w:val="0"/>
                <w:sz w:val="24"/>
                <w:szCs w:val="24"/>
                <w14:ligatures w14:val="none"/>
              </w:rPr>
              <w:t>C</w:t>
            </w:r>
          </w:p>
        </w:tc>
        <w:tc>
          <w:tcPr>
            <w:tcW w:w="0" w:type="auto"/>
            <w:hideMark/>
          </w:tcPr>
          <w:p w14:paraId="07EA219D" w14:textId="77777777" w:rsidR="00357B8C" w:rsidRPr="00357B8C" w:rsidRDefault="00357B8C" w:rsidP="001D3906">
            <w:pPr>
              <w:spacing w:line="360" w:lineRule="auto"/>
              <w:jc w:val="both"/>
              <w:rPr>
                <w:rFonts w:ascii="Arial" w:eastAsia="Times New Roman" w:hAnsi="Arial" w:cs="Arial"/>
                <w:kern w:val="0"/>
                <w:sz w:val="24"/>
                <w:szCs w:val="24"/>
                <w14:ligatures w14:val="none"/>
              </w:rPr>
            </w:pPr>
            <w:r w:rsidRPr="00357B8C">
              <w:rPr>
                <w:rFonts w:ascii="Arial" w:eastAsia="Times New Roman" w:hAnsi="Arial" w:cs="Arial"/>
                <w:kern w:val="0"/>
                <w:sz w:val="24"/>
                <w:szCs w:val="24"/>
                <w14:ligatures w14:val="none"/>
              </w:rPr>
              <w:t>50</w:t>
            </w:r>
          </w:p>
        </w:tc>
        <w:tc>
          <w:tcPr>
            <w:tcW w:w="0" w:type="auto"/>
            <w:hideMark/>
          </w:tcPr>
          <w:p w14:paraId="3C1845BF" w14:textId="77777777" w:rsidR="00357B8C" w:rsidRPr="00357B8C" w:rsidRDefault="00357B8C" w:rsidP="001D3906">
            <w:pPr>
              <w:spacing w:line="360" w:lineRule="auto"/>
              <w:jc w:val="both"/>
              <w:rPr>
                <w:rFonts w:ascii="Arial" w:eastAsia="Times New Roman" w:hAnsi="Arial" w:cs="Arial"/>
                <w:kern w:val="0"/>
                <w:sz w:val="24"/>
                <w:szCs w:val="24"/>
                <w14:ligatures w14:val="none"/>
              </w:rPr>
            </w:pPr>
            <w:r w:rsidRPr="00357B8C">
              <w:rPr>
                <w:rFonts w:ascii="Arial" w:eastAsia="Times New Roman" w:hAnsi="Arial" w:cs="Arial"/>
                <w:kern w:val="0"/>
                <w:sz w:val="24"/>
                <w:szCs w:val="24"/>
                <w14:ligatures w14:val="none"/>
              </w:rPr>
              <w:t>5, 10, 20, 25, 15</w:t>
            </w:r>
          </w:p>
        </w:tc>
      </w:tr>
    </w:tbl>
    <w:p w14:paraId="75617224" w14:textId="1192EB25" w:rsidR="00357B8C" w:rsidRPr="001D3906" w:rsidRDefault="00357B8C" w:rsidP="001D3906">
      <w:pPr>
        <w:spacing w:after="0" w:line="360" w:lineRule="auto"/>
        <w:jc w:val="both"/>
        <w:rPr>
          <w:rFonts w:ascii="Arial" w:hAnsi="Arial" w:cs="Arial"/>
          <w:sz w:val="24"/>
          <w:szCs w:val="24"/>
        </w:rPr>
      </w:pPr>
      <w:r w:rsidRPr="001D3906">
        <w:rPr>
          <w:rFonts w:ascii="Arial" w:hAnsi="Arial" w:cs="Arial"/>
          <w:sz w:val="24"/>
          <w:szCs w:val="24"/>
        </w:rPr>
        <w:t>Analysis of Results</w:t>
      </w:r>
      <w:r w:rsidR="00A737A8" w:rsidRPr="001D3906">
        <w:rPr>
          <w:rFonts w:ascii="Arial" w:hAnsi="Arial" w:cs="Arial"/>
          <w:sz w:val="24"/>
          <w:szCs w:val="24"/>
        </w:rPr>
        <w:t xml:space="preserve"> (results are presented in appendix </w:t>
      </w:r>
      <w:r w:rsidR="000845D5" w:rsidRPr="001D3906">
        <w:rPr>
          <w:rFonts w:ascii="Arial" w:hAnsi="Arial" w:cs="Arial"/>
          <w:sz w:val="24"/>
          <w:szCs w:val="24"/>
        </w:rPr>
        <w:t>3</w:t>
      </w:r>
      <w:r w:rsidR="00A737A8" w:rsidRPr="001D3906">
        <w:rPr>
          <w:rFonts w:ascii="Arial" w:hAnsi="Arial" w:cs="Arial"/>
          <w:sz w:val="24"/>
          <w:szCs w:val="24"/>
        </w:rPr>
        <w:t>)</w:t>
      </w:r>
    </w:p>
    <w:p w14:paraId="2EBD0B8A" w14:textId="77777777" w:rsidR="00955F98" w:rsidRPr="001D3906" w:rsidRDefault="00955F98"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b/>
          <w:bCs/>
          <w:kern w:val="0"/>
          <w:sz w:val="24"/>
          <w:szCs w:val="24"/>
          <w14:ligatures w14:val="none"/>
        </w:rPr>
        <w:t xml:space="preserve">Payback Period (PBP): </w:t>
      </w:r>
      <w:r w:rsidRPr="001D3906">
        <w:rPr>
          <w:rFonts w:ascii="Arial" w:eastAsia="Times New Roman" w:hAnsi="Arial" w:cs="Arial"/>
          <w:kern w:val="0"/>
          <w:sz w:val="24"/>
          <w:szCs w:val="24"/>
          <w14:ligatures w14:val="none"/>
        </w:rPr>
        <w:t>Project A and C recover their initial investment in four years as compared to Project B which requires five years. In liquidity-constrained companies like General Electronics, payback period should be shorter in order to reduce the liquidity risk. Therefore, Projects A and C can be judged as acceptable in this respect, whereas Project B cannot.</w:t>
      </w:r>
    </w:p>
    <w:p w14:paraId="2570700C" w14:textId="77777777" w:rsidR="00955F98" w:rsidRPr="001D3906" w:rsidRDefault="00955F98"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b/>
          <w:bCs/>
          <w:kern w:val="0"/>
          <w:sz w:val="24"/>
          <w:szCs w:val="24"/>
          <w14:ligatures w14:val="none"/>
        </w:rPr>
        <w:t xml:space="preserve">Accounting Rate of Return (ARR): </w:t>
      </w:r>
      <w:r w:rsidRPr="001D3906">
        <w:rPr>
          <w:rFonts w:ascii="Arial" w:eastAsia="Times New Roman" w:hAnsi="Arial" w:cs="Arial"/>
          <w:kern w:val="0"/>
          <w:sz w:val="24"/>
          <w:szCs w:val="24"/>
          <w14:ligatures w14:val="none"/>
        </w:rPr>
        <w:t>Project C has the highest ARR of 20% (appendix 3) and then Project A has 14% that is easily above the 10% hurdle rate. Project B has 0%, in which accounting profitability is very low. The better accounting returns of the project C suggest that it has a greater potential of asset utilisation and profitability (Atrill &amp; McLaney, 2017).</w:t>
      </w:r>
    </w:p>
    <w:p w14:paraId="658737B3" w14:textId="7FD0FED4" w:rsidR="00955F98" w:rsidRPr="001D3906" w:rsidRDefault="00955F98"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b/>
          <w:bCs/>
          <w:kern w:val="0"/>
          <w:sz w:val="24"/>
          <w:szCs w:val="24"/>
          <w14:ligatures w14:val="none"/>
        </w:rPr>
        <w:t xml:space="preserve">Net Present Value (NPV): </w:t>
      </w:r>
      <w:r w:rsidRPr="001D3906">
        <w:rPr>
          <w:rFonts w:ascii="Arial" w:eastAsia="Times New Roman" w:hAnsi="Arial" w:cs="Arial"/>
          <w:kern w:val="0"/>
          <w:sz w:val="24"/>
          <w:szCs w:val="24"/>
          <w14:ligatures w14:val="none"/>
        </w:rPr>
        <w:t>NPV is the strongest metric of decision-making because it is the gain of total value creation</w:t>
      </w:r>
      <w:r w:rsidR="0043067E">
        <w:rPr>
          <w:rFonts w:ascii="Arial" w:eastAsia="Times New Roman" w:hAnsi="Arial" w:cs="Arial"/>
          <w:kern w:val="0"/>
          <w:sz w:val="24"/>
          <w:szCs w:val="24"/>
          <w14:ligatures w14:val="none"/>
        </w:rPr>
        <w:t xml:space="preserve"> </w:t>
      </w:r>
      <w:r w:rsidR="0043067E" w:rsidRPr="0043067E">
        <w:rPr>
          <w:rFonts w:ascii="Arial" w:eastAsia="Times New Roman" w:hAnsi="Arial" w:cs="Arial"/>
          <w:kern w:val="0"/>
          <w:sz w:val="24"/>
          <w:szCs w:val="24"/>
          <w14:ligatures w14:val="none"/>
        </w:rPr>
        <w:t>(Sinaga et al., 2023)</w:t>
      </w:r>
      <w:r w:rsidRPr="001D3906">
        <w:rPr>
          <w:rFonts w:ascii="Arial" w:eastAsia="Times New Roman" w:hAnsi="Arial" w:cs="Arial"/>
          <w:kern w:val="0"/>
          <w:sz w:val="24"/>
          <w:szCs w:val="24"/>
          <w14:ligatures w14:val="none"/>
        </w:rPr>
        <w:t>. Projects A and C will both have positive NPVs (£1.32m and 4.23m, respectively), a result that will be accepted, whereas Project B NPV (- 7.26m) will be rejected. The NPV of project C is higher, and it implies that the project will contribute more to the shareholder wealth.</w:t>
      </w:r>
    </w:p>
    <w:p w14:paraId="0F70C8D7" w14:textId="77777777" w:rsidR="00955F98" w:rsidRPr="001D3906" w:rsidRDefault="00955F98" w:rsidP="001D3906">
      <w:pPr>
        <w:spacing w:after="0" w:line="360" w:lineRule="auto"/>
        <w:jc w:val="both"/>
        <w:rPr>
          <w:rFonts w:ascii="Arial" w:eastAsia="Times New Roman" w:hAnsi="Arial" w:cs="Arial"/>
          <w:b/>
          <w:bCs/>
          <w:kern w:val="0"/>
          <w:sz w:val="24"/>
          <w:szCs w:val="24"/>
          <w14:ligatures w14:val="none"/>
        </w:rPr>
      </w:pPr>
      <w:r w:rsidRPr="001D3906">
        <w:rPr>
          <w:rFonts w:ascii="Arial" w:eastAsia="Times New Roman" w:hAnsi="Arial" w:cs="Arial"/>
          <w:b/>
          <w:bCs/>
          <w:kern w:val="0"/>
          <w:sz w:val="24"/>
          <w:szCs w:val="24"/>
          <w14:ligatures w14:val="none"/>
        </w:rPr>
        <w:t xml:space="preserve">Profitability Index (PI): </w:t>
      </w:r>
      <w:r w:rsidRPr="001D3906">
        <w:rPr>
          <w:rFonts w:ascii="Arial" w:eastAsia="Times New Roman" w:hAnsi="Arial" w:cs="Arial"/>
          <w:kern w:val="0"/>
          <w:sz w:val="24"/>
          <w:szCs w:val="24"/>
          <w14:ligatures w14:val="none"/>
        </w:rPr>
        <w:t>Project C is the one that shows the highest PI (1.08), then Project A (1.03) which means that these projects have a positive net value per pound invested. The PI (0.76) of project B will mean that it is inefficient and will destroy value. In capital rationing, investment prioritisation requires the PI ranking.</w:t>
      </w:r>
    </w:p>
    <w:p w14:paraId="4DCFB794" w14:textId="395EAB52" w:rsidR="00357B8C" w:rsidRPr="00357B8C" w:rsidRDefault="00955F98" w:rsidP="001D3906">
      <w:pPr>
        <w:spacing w:after="0" w:line="360" w:lineRule="auto"/>
        <w:jc w:val="both"/>
        <w:rPr>
          <w:rFonts w:ascii="Arial" w:eastAsia="Times New Roman" w:hAnsi="Arial" w:cs="Arial"/>
          <w:b/>
          <w:bCs/>
          <w:kern w:val="0"/>
          <w:sz w:val="24"/>
          <w:szCs w:val="24"/>
          <w14:ligatures w14:val="none"/>
        </w:rPr>
      </w:pPr>
      <w:r w:rsidRPr="001D3906">
        <w:rPr>
          <w:rFonts w:ascii="Arial" w:eastAsia="Times New Roman" w:hAnsi="Arial" w:cs="Arial"/>
          <w:b/>
          <w:bCs/>
          <w:kern w:val="0"/>
          <w:sz w:val="24"/>
          <w:szCs w:val="24"/>
          <w14:ligatures w14:val="none"/>
        </w:rPr>
        <w:t xml:space="preserve">IRR: </w:t>
      </w:r>
      <w:r w:rsidRPr="001D3906">
        <w:rPr>
          <w:rFonts w:ascii="Arial" w:eastAsia="Times New Roman" w:hAnsi="Arial" w:cs="Arial"/>
          <w:kern w:val="0"/>
          <w:sz w:val="24"/>
          <w:szCs w:val="24"/>
          <w14:ligatures w14:val="none"/>
        </w:rPr>
        <w:t>The values of IRR support the NPV results: The Project C (12.72) and Project A (11.33) are above the 10% discount rate, whereas Project B (0) is below. Projects A and C, therefore, satisfy the firm on returns</w:t>
      </w:r>
      <w:r w:rsidR="002B2B44">
        <w:rPr>
          <w:rFonts w:ascii="Arial" w:eastAsia="Times New Roman" w:hAnsi="Arial" w:cs="Arial"/>
          <w:kern w:val="0"/>
          <w:sz w:val="24"/>
          <w:szCs w:val="24"/>
          <w14:ligatures w14:val="none"/>
        </w:rPr>
        <w:t xml:space="preserve"> </w:t>
      </w:r>
      <w:r w:rsidR="002B2B44" w:rsidRPr="002B2B44">
        <w:rPr>
          <w:rFonts w:ascii="Arial" w:eastAsia="Times New Roman" w:hAnsi="Arial" w:cs="Arial"/>
          <w:kern w:val="0"/>
          <w:sz w:val="24"/>
          <w:szCs w:val="24"/>
          <w14:ligatures w14:val="none"/>
        </w:rPr>
        <w:t>(Bukunmi Oyelakun Oyetola et al., 2025)</w:t>
      </w:r>
      <w:r w:rsidRPr="001D3906">
        <w:rPr>
          <w:rFonts w:ascii="Arial" w:eastAsia="Times New Roman" w:hAnsi="Arial" w:cs="Arial"/>
          <w:kern w:val="0"/>
          <w:sz w:val="24"/>
          <w:szCs w:val="24"/>
          <w14:ligatures w14:val="none"/>
        </w:rPr>
        <w:t>.</w:t>
      </w:r>
    </w:p>
    <w:p w14:paraId="34C29051" w14:textId="03559EC8" w:rsidR="00357B8C" w:rsidRPr="00213F19" w:rsidRDefault="00357B8C" w:rsidP="001D3906">
      <w:pPr>
        <w:pStyle w:val="Heading2"/>
        <w:spacing w:before="0" w:line="360" w:lineRule="auto"/>
        <w:jc w:val="both"/>
        <w:rPr>
          <w:rFonts w:ascii="Arial" w:eastAsia="Times New Roman" w:hAnsi="Arial" w:cs="Arial"/>
          <w:b/>
          <w:bCs/>
          <w:color w:val="000000" w:themeColor="text1"/>
          <w:sz w:val="24"/>
          <w:szCs w:val="24"/>
        </w:rPr>
      </w:pPr>
      <w:bookmarkStart w:id="28" w:name="_Toc217253887"/>
      <w:r w:rsidRPr="00213F19">
        <w:rPr>
          <w:rFonts w:ascii="Arial" w:eastAsia="Times New Roman" w:hAnsi="Arial" w:cs="Arial"/>
          <w:b/>
          <w:bCs/>
          <w:color w:val="000000" w:themeColor="text1"/>
          <w:sz w:val="24"/>
          <w:szCs w:val="24"/>
        </w:rPr>
        <w:t>4.</w:t>
      </w:r>
      <w:r w:rsidR="0028476F" w:rsidRPr="00213F19">
        <w:rPr>
          <w:rFonts w:ascii="Arial" w:eastAsia="Times New Roman" w:hAnsi="Arial" w:cs="Arial"/>
          <w:b/>
          <w:bCs/>
          <w:color w:val="000000" w:themeColor="text1"/>
          <w:sz w:val="24"/>
          <w:szCs w:val="24"/>
        </w:rPr>
        <w:t>2</w:t>
      </w:r>
      <w:r w:rsidRPr="00213F19">
        <w:rPr>
          <w:rFonts w:ascii="Arial" w:eastAsia="Times New Roman" w:hAnsi="Arial" w:cs="Arial"/>
          <w:b/>
          <w:bCs/>
          <w:color w:val="000000" w:themeColor="text1"/>
          <w:sz w:val="24"/>
          <w:szCs w:val="24"/>
        </w:rPr>
        <w:t xml:space="preserve"> Decision Under Capital Rationing</w:t>
      </w:r>
      <w:bookmarkEnd w:id="28"/>
    </w:p>
    <w:p w14:paraId="0A945B29" w14:textId="77777777" w:rsidR="009C3A14" w:rsidRPr="001D3906" w:rsidRDefault="009C3A14"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Considering a maximum of 60million investment limit, not everything can be done at the same time. The appropriate choice is one that will maximise NPV across the budget constraint.</w:t>
      </w:r>
    </w:p>
    <w:p w14:paraId="7879EDF6" w14:textId="77777777" w:rsidR="009C3A14" w:rsidRPr="001D3906" w:rsidRDefault="009C3A14"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An investment in A (£40m) and C (£50m) would be more than that (£90m). On NPV-to-investment efficiency, PI (1.08) of Project C is higher as compared to A (1.03) (appendix 3), which means that C has a better value created per unit of investment. Thus, the Project C should be considered a priority investment.</w:t>
      </w:r>
    </w:p>
    <w:p w14:paraId="78AAEDCD" w14:textId="3BE5CECF" w:rsidR="009C3A14" w:rsidRPr="001D3906" w:rsidRDefault="009C3A14"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The budget available is used by C (at 50m) taking 83% of the total amount, which leaves 10m to be spent. The remaining capital is capable of fortifying working capital or offer contingency in the execution of projects in line with the liquidity difficulties facing the company</w:t>
      </w:r>
      <w:r w:rsidR="002B2B44">
        <w:rPr>
          <w:rFonts w:ascii="Arial" w:eastAsia="Times New Roman" w:hAnsi="Arial" w:cs="Arial"/>
          <w:kern w:val="0"/>
          <w:sz w:val="24"/>
          <w:szCs w:val="24"/>
          <w14:ligatures w14:val="none"/>
        </w:rPr>
        <w:t xml:space="preserve"> </w:t>
      </w:r>
      <w:r w:rsidR="002B2B44" w:rsidRPr="002B2B44">
        <w:rPr>
          <w:rFonts w:ascii="Arial" w:eastAsia="Times New Roman" w:hAnsi="Arial" w:cs="Arial"/>
          <w:kern w:val="0"/>
          <w:sz w:val="24"/>
          <w:szCs w:val="24"/>
          <w14:ligatures w14:val="none"/>
        </w:rPr>
        <w:t>(Khan, 2024)</w:t>
      </w:r>
      <w:r w:rsidRPr="001D3906">
        <w:rPr>
          <w:rFonts w:ascii="Arial" w:eastAsia="Times New Roman" w:hAnsi="Arial" w:cs="Arial"/>
          <w:kern w:val="0"/>
          <w:sz w:val="24"/>
          <w:szCs w:val="24"/>
          <w14:ligatures w14:val="none"/>
        </w:rPr>
        <w:t>.</w:t>
      </w:r>
    </w:p>
    <w:p w14:paraId="6ECC8660" w14:textId="5254060B" w:rsidR="00357B8C" w:rsidRPr="00357B8C" w:rsidRDefault="009C3A14"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Project A may be postponed and revisited when the cash reserves enhance with the results of restructuring (as described in Section 3).</w:t>
      </w:r>
    </w:p>
    <w:p w14:paraId="374C15A6" w14:textId="175F3031" w:rsidR="00357B8C" w:rsidRPr="00213F19" w:rsidRDefault="00357B8C" w:rsidP="001D3906">
      <w:pPr>
        <w:pStyle w:val="Heading2"/>
        <w:spacing w:before="0" w:line="360" w:lineRule="auto"/>
        <w:jc w:val="both"/>
        <w:rPr>
          <w:rFonts w:ascii="Arial" w:eastAsia="Times New Roman" w:hAnsi="Arial" w:cs="Arial"/>
          <w:b/>
          <w:bCs/>
          <w:color w:val="000000" w:themeColor="text1"/>
          <w:sz w:val="24"/>
          <w:szCs w:val="24"/>
        </w:rPr>
      </w:pPr>
      <w:bookmarkStart w:id="29" w:name="_Toc217253888"/>
      <w:r w:rsidRPr="00213F19">
        <w:rPr>
          <w:rFonts w:ascii="Arial" w:eastAsia="Times New Roman" w:hAnsi="Arial" w:cs="Arial"/>
          <w:b/>
          <w:bCs/>
          <w:color w:val="000000" w:themeColor="text1"/>
          <w:sz w:val="24"/>
          <w:szCs w:val="24"/>
        </w:rPr>
        <w:t>4.</w:t>
      </w:r>
      <w:r w:rsidR="0028476F" w:rsidRPr="00213F19">
        <w:rPr>
          <w:rFonts w:ascii="Arial" w:eastAsia="Times New Roman" w:hAnsi="Arial" w:cs="Arial"/>
          <w:b/>
          <w:bCs/>
          <w:color w:val="000000" w:themeColor="text1"/>
          <w:sz w:val="24"/>
          <w:szCs w:val="24"/>
        </w:rPr>
        <w:t>3</w:t>
      </w:r>
      <w:r w:rsidRPr="00213F19">
        <w:rPr>
          <w:rFonts w:ascii="Arial" w:eastAsia="Times New Roman" w:hAnsi="Arial" w:cs="Arial"/>
          <w:b/>
          <w:bCs/>
          <w:color w:val="000000" w:themeColor="text1"/>
          <w:sz w:val="24"/>
          <w:szCs w:val="24"/>
        </w:rPr>
        <w:t xml:space="preserve"> Strategic and Risk Assessment</w:t>
      </w:r>
      <w:bookmarkEnd w:id="29"/>
    </w:p>
    <w:p w14:paraId="76E8087D" w14:textId="77777777" w:rsidR="000C4884" w:rsidRPr="001D3906" w:rsidRDefault="000C4884"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Project C offers the best financial returns, but has a moderate risk because of the fluctuating annual cash flow (£5m -25m). This variability can be as a result of fluctuation in the market demand and technological uncertainty that are common in the consumer electronics industry.</w:t>
      </w:r>
    </w:p>
    <w:p w14:paraId="3E9A96A6" w14:textId="77777777" w:rsidR="000C4884" w:rsidRPr="001D3906" w:rsidRDefault="000C4884"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Project A will be less profitable however, it offers stable inflows, which is more predictable. This stability is strategic to a company that is in the process of recovering its losses. The sensitivity analysis however reveals that under moderate conditions that are unfavorable to project C, the project is viable. A 10 percent change in discount rate will decrease its NPV by a little but still it is positive (appendix 3).</w:t>
      </w:r>
    </w:p>
    <w:p w14:paraId="01265D48" w14:textId="63E6C1E6" w:rsidR="00357B8C" w:rsidRPr="00357B8C" w:rsidRDefault="000C4884"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Strategically, Project C would support the objective of the General Electronics of repositioning in the high-growth product lines and recovering long-term profitability. It also promotes economies of scale and technology, which are necessary in the global competitiveness</w:t>
      </w:r>
      <w:r w:rsidR="00CA5A5A">
        <w:rPr>
          <w:rFonts w:ascii="Arial" w:eastAsia="Times New Roman" w:hAnsi="Arial" w:cs="Arial"/>
          <w:kern w:val="0"/>
          <w:sz w:val="24"/>
          <w:szCs w:val="24"/>
          <w14:ligatures w14:val="none"/>
        </w:rPr>
        <w:t xml:space="preserve"> </w:t>
      </w:r>
      <w:r w:rsidR="00CA5A5A" w:rsidRPr="00CA5A5A">
        <w:rPr>
          <w:rFonts w:ascii="Arial" w:eastAsia="Times New Roman" w:hAnsi="Arial" w:cs="Arial"/>
          <w:kern w:val="0"/>
          <w:sz w:val="24"/>
          <w:szCs w:val="24"/>
          <w14:ligatures w14:val="none"/>
        </w:rPr>
        <w:t>(Frigo and Anderson, 2011)</w:t>
      </w:r>
      <w:r w:rsidRPr="001D3906">
        <w:rPr>
          <w:rFonts w:ascii="Arial" w:eastAsia="Times New Roman" w:hAnsi="Arial" w:cs="Arial"/>
          <w:kern w:val="0"/>
          <w:sz w:val="24"/>
          <w:szCs w:val="24"/>
          <w14:ligatures w14:val="none"/>
        </w:rPr>
        <w:t>.</w:t>
      </w:r>
    </w:p>
    <w:p w14:paraId="37D53998" w14:textId="654235EC" w:rsidR="00357B8C" w:rsidRPr="00213F19" w:rsidRDefault="00357B8C" w:rsidP="001D3906">
      <w:pPr>
        <w:pStyle w:val="Heading2"/>
        <w:spacing w:before="0" w:line="360" w:lineRule="auto"/>
        <w:jc w:val="both"/>
        <w:rPr>
          <w:rFonts w:ascii="Arial" w:eastAsia="Times New Roman" w:hAnsi="Arial" w:cs="Arial"/>
          <w:b/>
          <w:bCs/>
          <w:color w:val="000000" w:themeColor="text1"/>
          <w:sz w:val="24"/>
          <w:szCs w:val="24"/>
        </w:rPr>
      </w:pPr>
      <w:bookmarkStart w:id="30" w:name="_Toc217253889"/>
      <w:r w:rsidRPr="00213F19">
        <w:rPr>
          <w:rFonts w:ascii="Arial" w:eastAsia="Times New Roman" w:hAnsi="Arial" w:cs="Arial"/>
          <w:b/>
          <w:bCs/>
          <w:color w:val="000000" w:themeColor="text1"/>
          <w:sz w:val="24"/>
          <w:szCs w:val="24"/>
        </w:rPr>
        <w:t>4.</w:t>
      </w:r>
      <w:r w:rsidR="0028476F" w:rsidRPr="00213F19">
        <w:rPr>
          <w:rFonts w:ascii="Arial" w:eastAsia="Times New Roman" w:hAnsi="Arial" w:cs="Arial"/>
          <w:b/>
          <w:bCs/>
          <w:color w:val="000000" w:themeColor="text1"/>
          <w:sz w:val="24"/>
          <w:szCs w:val="24"/>
        </w:rPr>
        <w:t>4</w:t>
      </w:r>
      <w:r w:rsidRPr="00213F19">
        <w:rPr>
          <w:rFonts w:ascii="Arial" w:eastAsia="Times New Roman" w:hAnsi="Arial" w:cs="Arial"/>
          <w:b/>
          <w:bCs/>
          <w:color w:val="000000" w:themeColor="text1"/>
          <w:sz w:val="24"/>
          <w:szCs w:val="24"/>
        </w:rPr>
        <w:t xml:space="preserve"> Integration with Financial Context</w:t>
      </w:r>
      <w:bookmarkEnd w:id="30"/>
    </w:p>
    <w:p w14:paraId="51A80520" w14:textId="77777777" w:rsidR="00E51238" w:rsidRPr="001D3906" w:rsidRDefault="00E51238"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Financial restructuring initiatives have to be complemented by investment decisions. The recent liquidity and gearing issues of General Electronics (Current Ratio 1.53) demand that new investments will not deteriorate the solvency. The inflows of project C are bigger and delayed; therefore, they coincide with the planned equity injection and debt restructuring in Section 3, which will be a source of funds and distress cash flows.</w:t>
      </w:r>
    </w:p>
    <w:p w14:paraId="1FE575B3" w14:textId="3D57C10E" w:rsidR="00357B8C" w:rsidRPr="00357B8C" w:rsidRDefault="00E51238"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Additionally, the deteriorating operating margin and cash flow ratios of the company provide them with a reason to invest in the projects that increase efficiency and profitability. The high NPV and IRR of project C will make a direct contribution to the recovery of retained earnings and shareholder equity in the long run</w:t>
      </w:r>
      <w:r w:rsidR="007C4216">
        <w:rPr>
          <w:rFonts w:ascii="Arial" w:eastAsia="Times New Roman" w:hAnsi="Arial" w:cs="Arial"/>
          <w:kern w:val="0"/>
          <w:sz w:val="24"/>
          <w:szCs w:val="24"/>
          <w14:ligatures w14:val="none"/>
        </w:rPr>
        <w:t xml:space="preserve"> </w:t>
      </w:r>
      <w:r w:rsidR="007C4216" w:rsidRPr="007C4216">
        <w:rPr>
          <w:rFonts w:ascii="Arial" w:eastAsia="Times New Roman" w:hAnsi="Arial" w:cs="Arial"/>
          <w:kern w:val="0"/>
          <w:sz w:val="24"/>
          <w:szCs w:val="24"/>
          <w14:ligatures w14:val="none"/>
        </w:rPr>
        <w:t>(Janabi, 2024)</w:t>
      </w:r>
      <w:r w:rsidRPr="001D3906">
        <w:rPr>
          <w:rFonts w:ascii="Arial" w:eastAsia="Times New Roman" w:hAnsi="Arial" w:cs="Arial"/>
          <w:kern w:val="0"/>
          <w:sz w:val="24"/>
          <w:szCs w:val="24"/>
          <w14:ligatures w14:val="none"/>
        </w:rPr>
        <w:t>.</w:t>
      </w:r>
    </w:p>
    <w:p w14:paraId="40E10E06" w14:textId="11DA0D49" w:rsidR="00357B8C" w:rsidRPr="00213F19" w:rsidRDefault="00357B8C" w:rsidP="001D3906">
      <w:pPr>
        <w:pStyle w:val="Heading2"/>
        <w:spacing w:before="0" w:line="360" w:lineRule="auto"/>
        <w:jc w:val="both"/>
        <w:rPr>
          <w:rFonts w:ascii="Arial" w:eastAsia="Times New Roman" w:hAnsi="Arial" w:cs="Arial"/>
          <w:b/>
          <w:bCs/>
          <w:color w:val="000000" w:themeColor="text1"/>
          <w:sz w:val="24"/>
          <w:szCs w:val="24"/>
        </w:rPr>
      </w:pPr>
      <w:bookmarkStart w:id="31" w:name="_Toc217253890"/>
      <w:r w:rsidRPr="00213F19">
        <w:rPr>
          <w:rFonts w:ascii="Arial" w:eastAsia="Times New Roman" w:hAnsi="Arial" w:cs="Arial"/>
          <w:b/>
          <w:bCs/>
          <w:color w:val="000000" w:themeColor="text1"/>
          <w:sz w:val="24"/>
          <w:szCs w:val="24"/>
        </w:rPr>
        <w:t>4.</w:t>
      </w:r>
      <w:r w:rsidR="0028476F" w:rsidRPr="00213F19">
        <w:rPr>
          <w:rFonts w:ascii="Arial" w:eastAsia="Times New Roman" w:hAnsi="Arial" w:cs="Arial"/>
          <w:b/>
          <w:bCs/>
          <w:color w:val="000000" w:themeColor="text1"/>
          <w:sz w:val="24"/>
          <w:szCs w:val="24"/>
        </w:rPr>
        <w:t>5</w:t>
      </w:r>
      <w:r w:rsidRPr="00213F19">
        <w:rPr>
          <w:rFonts w:ascii="Arial" w:eastAsia="Times New Roman" w:hAnsi="Arial" w:cs="Arial"/>
          <w:b/>
          <w:bCs/>
          <w:color w:val="000000" w:themeColor="text1"/>
          <w:sz w:val="24"/>
          <w:szCs w:val="24"/>
        </w:rPr>
        <w:t xml:space="preserve"> Ethical and International Considerations</w:t>
      </w:r>
      <w:bookmarkEnd w:id="31"/>
    </w:p>
    <w:p w14:paraId="1E21EEF2" w14:textId="2BDC3DD9" w:rsidR="00330498" w:rsidRPr="001D3906" w:rsidRDefault="00330498"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Ethically, investment appraisal should ascertain that financial choices are in line with the stakeholders interests as well as the corporate social responsibility. Projects are to be chosen not only depending on the profitability but also on the sustainability and social impact. The scale of Project C suggests the possibility of the cross-border activity, so it is necessary to comply with the fair labour standards and environmental regulations</w:t>
      </w:r>
      <w:r w:rsidR="000358E8">
        <w:rPr>
          <w:rFonts w:ascii="Arial" w:eastAsia="Times New Roman" w:hAnsi="Arial" w:cs="Arial"/>
          <w:kern w:val="0"/>
          <w:sz w:val="24"/>
          <w:szCs w:val="24"/>
          <w14:ligatures w14:val="none"/>
        </w:rPr>
        <w:t xml:space="preserve"> </w:t>
      </w:r>
      <w:r w:rsidR="000358E8" w:rsidRPr="000358E8">
        <w:rPr>
          <w:rFonts w:ascii="Arial" w:eastAsia="Times New Roman" w:hAnsi="Arial" w:cs="Arial"/>
          <w:kern w:val="0"/>
          <w:sz w:val="24"/>
          <w:szCs w:val="24"/>
          <w14:ligatures w14:val="none"/>
        </w:rPr>
        <w:t>(Stuart, Bedard and Clark, 2021)</w:t>
      </w:r>
      <w:r w:rsidRPr="001D3906">
        <w:rPr>
          <w:rFonts w:ascii="Arial" w:eastAsia="Times New Roman" w:hAnsi="Arial" w:cs="Arial"/>
          <w:kern w:val="0"/>
          <w:sz w:val="24"/>
          <w:szCs w:val="24"/>
          <w14:ligatures w14:val="none"/>
        </w:rPr>
        <w:t>.</w:t>
      </w:r>
    </w:p>
    <w:p w14:paraId="0820048C" w14:textId="40A80396" w:rsidR="00330498" w:rsidRPr="001D3906" w:rsidRDefault="00330498"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On a global scale, the project will expose the company to currency and inflation risks. The exchange rate volatility can be reduced with the help of efficient hedging by using both natural and financial instruments, and the real returns can be insured by using inflation-indexed borrowing. Proper project management will help to improve the image of General Electronics on the international level and improve its value in the long term</w:t>
      </w:r>
      <w:r w:rsidR="00361CE9">
        <w:rPr>
          <w:rFonts w:ascii="Arial" w:eastAsia="Times New Roman" w:hAnsi="Arial" w:cs="Arial"/>
          <w:kern w:val="0"/>
          <w:sz w:val="24"/>
          <w:szCs w:val="24"/>
          <w14:ligatures w14:val="none"/>
        </w:rPr>
        <w:t xml:space="preserve"> </w:t>
      </w:r>
      <w:r w:rsidR="00361CE9" w:rsidRPr="00361CE9">
        <w:rPr>
          <w:rFonts w:ascii="Arial" w:eastAsia="Times New Roman" w:hAnsi="Arial" w:cs="Arial"/>
          <w:kern w:val="0"/>
          <w:sz w:val="24"/>
          <w:szCs w:val="24"/>
          <w14:ligatures w14:val="none"/>
        </w:rPr>
        <w:t>(Ngai and Sherris, 2011)</w:t>
      </w:r>
      <w:r w:rsidRPr="001D3906">
        <w:rPr>
          <w:rFonts w:ascii="Arial" w:eastAsia="Times New Roman" w:hAnsi="Arial" w:cs="Arial"/>
          <w:kern w:val="0"/>
          <w:sz w:val="24"/>
          <w:szCs w:val="24"/>
          <w14:ligatures w14:val="none"/>
        </w:rPr>
        <w:t>.</w:t>
      </w:r>
    </w:p>
    <w:p w14:paraId="4F5B2050" w14:textId="77777777" w:rsidR="00330498" w:rsidRPr="001D3906" w:rsidRDefault="00330498"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The comparative analysis of the investment shows that Project C is a better financially and strategically appealing project to General Electronics. It has the best NPV (3.2m), IRR (12.72%), ARR (20%), and Profitability Index (1.08), which are higher than the cost of capital of the firm (appendix 3). Project A is a financially viable project but secondary in ranking whereas Project B should be rejected.</w:t>
      </w:r>
    </w:p>
    <w:p w14:paraId="47B91CA5" w14:textId="291E11EB" w:rsidR="00C24DA7" w:rsidRPr="00213F19" w:rsidRDefault="00C24DA7" w:rsidP="001D3906">
      <w:pPr>
        <w:pStyle w:val="Heading1"/>
        <w:spacing w:before="0" w:line="360" w:lineRule="auto"/>
        <w:jc w:val="both"/>
        <w:rPr>
          <w:rFonts w:ascii="Arial" w:hAnsi="Arial" w:cs="Arial"/>
          <w:color w:val="000000" w:themeColor="text1"/>
          <w:sz w:val="24"/>
          <w:szCs w:val="24"/>
        </w:rPr>
      </w:pPr>
      <w:bookmarkStart w:id="32" w:name="_Toc217253891"/>
      <w:r w:rsidRPr="00213F19">
        <w:rPr>
          <w:rStyle w:val="Strong"/>
          <w:rFonts w:ascii="Arial" w:hAnsi="Arial" w:cs="Arial"/>
          <w:color w:val="000000" w:themeColor="text1"/>
          <w:sz w:val="24"/>
          <w:szCs w:val="24"/>
        </w:rPr>
        <w:t>Conclusion</w:t>
      </w:r>
      <w:bookmarkEnd w:id="32"/>
    </w:p>
    <w:p w14:paraId="238CB9F0" w14:textId="4EA11C28" w:rsidR="00C24DA7" w:rsidRPr="001D3906" w:rsidRDefault="0090092A" w:rsidP="001D3906">
      <w:pPr>
        <w:pStyle w:val="NormalWeb"/>
        <w:spacing w:before="0" w:beforeAutospacing="0" w:after="0" w:afterAutospacing="0" w:line="360" w:lineRule="auto"/>
        <w:jc w:val="both"/>
        <w:rPr>
          <w:rFonts w:ascii="Arial" w:hAnsi="Arial" w:cs="Arial"/>
        </w:rPr>
      </w:pPr>
      <w:r w:rsidRPr="001D3906">
        <w:rPr>
          <w:rFonts w:ascii="Arial" w:hAnsi="Arial" w:cs="Arial"/>
        </w:rPr>
        <w:t>In summary</w:t>
      </w:r>
      <w:r w:rsidR="00330498" w:rsidRPr="001D3906">
        <w:rPr>
          <w:rFonts w:ascii="Arial" w:hAnsi="Arial" w:cs="Arial"/>
        </w:rPr>
        <w:t>, General Electronics is in dire financial trouble that needs drastic financial and strategic action. The overall analysis shows profitability, leverage, and liquidity problems decrease. By enhancing working capital management, selective restructuring through injection of equity, and debt renegotiation, and selective divesture, the company will recover its solvency and shareholder trust. The outcomes of investment appraisal show that project C is the best option and it maximises NPV and IRR with the constraints of capital. Together, these efforts offer a financial feasible, globalizable, and ethically sound turnaround model, which will place General Electronics in an equal position to recover sustainably and competitively in the world electronic market.</w:t>
      </w:r>
    </w:p>
    <w:p w14:paraId="26A64CDD" w14:textId="77777777" w:rsidR="00C24DA7" w:rsidRDefault="00C24DA7" w:rsidP="001D3906">
      <w:pPr>
        <w:spacing w:after="0" w:line="360" w:lineRule="auto"/>
        <w:jc w:val="both"/>
        <w:rPr>
          <w:rFonts w:ascii="Arial" w:eastAsia="Times New Roman" w:hAnsi="Arial" w:cs="Arial"/>
          <w:kern w:val="0"/>
          <w:sz w:val="24"/>
          <w:szCs w:val="24"/>
          <w14:ligatures w14:val="none"/>
        </w:rPr>
      </w:pPr>
    </w:p>
    <w:p w14:paraId="697B3246" w14:textId="77777777" w:rsidR="00D320FF" w:rsidRDefault="00D320FF" w:rsidP="001D3906">
      <w:pPr>
        <w:spacing w:after="0" w:line="360" w:lineRule="auto"/>
        <w:jc w:val="both"/>
        <w:rPr>
          <w:rFonts w:ascii="Arial" w:eastAsia="Times New Roman" w:hAnsi="Arial" w:cs="Arial"/>
          <w:kern w:val="0"/>
          <w:sz w:val="24"/>
          <w:szCs w:val="24"/>
          <w14:ligatures w14:val="none"/>
        </w:rPr>
      </w:pPr>
    </w:p>
    <w:p w14:paraId="013096ED" w14:textId="77777777" w:rsidR="00D320FF" w:rsidRDefault="00D320FF" w:rsidP="001D3906">
      <w:pPr>
        <w:spacing w:after="0" w:line="360" w:lineRule="auto"/>
        <w:jc w:val="both"/>
        <w:rPr>
          <w:rFonts w:ascii="Arial" w:eastAsia="Times New Roman" w:hAnsi="Arial" w:cs="Arial"/>
          <w:kern w:val="0"/>
          <w:sz w:val="24"/>
          <w:szCs w:val="24"/>
          <w14:ligatures w14:val="none"/>
        </w:rPr>
      </w:pPr>
    </w:p>
    <w:p w14:paraId="2DEEB63B" w14:textId="77777777" w:rsidR="00D320FF" w:rsidRDefault="00D320FF" w:rsidP="001D3906">
      <w:pPr>
        <w:spacing w:after="0" w:line="360" w:lineRule="auto"/>
        <w:jc w:val="both"/>
        <w:rPr>
          <w:rFonts w:ascii="Arial" w:eastAsia="Times New Roman" w:hAnsi="Arial" w:cs="Arial"/>
          <w:kern w:val="0"/>
          <w:sz w:val="24"/>
          <w:szCs w:val="24"/>
          <w14:ligatures w14:val="none"/>
        </w:rPr>
      </w:pPr>
    </w:p>
    <w:p w14:paraId="32F68C27" w14:textId="77777777" w:rsidR="00D320FF" w:rsidRDefault="00D320FF" w:rsidP="001D3906">
      <w:pPr>
        <w:spacing w:after="0" w:line="360" w:lineRule="auto"/>
        <w:jc w:val="both"/>
        <w:rPr>
          <w:rFonts w:ascii="Arial" w:eastAsia="Times New Roman" w:hAnsi="Arial" w:cs="Arial"/>
          <w:kern w:val="0"/>
          <w:sz w:val="24"/>
          <w:szCs w:val="24"/>
          <w14:ligatures w14:val="none"/>
        </w:rPr>
      </w:pPr>
    </w:p>
    <w:p w14:paraId="310C83D5" w14:textId="77777777" w:rsidR="00D320FF" w:rsidRDefault="00D320FF" w:rsidP="001D3906">
      <w:pPr>
        <w:spacing w:after="0" w:line="360" w:lineRule="auto"/>
        <w:jc w:val="both"/>
        <w:rPr>
          <w:rFonts w:ascii="Arial" w:eastAsia="Times New Roman" w:hAnsi="Arial" w:cs="Arial"/>
          <w:kern w:val="0"/>
          <w:sz w:val="24"/>
          <w:szCs w:val="24"/>
          <w14:ligatures w14:val="none"/>
        </w:rPr>
      </w:pPr>
    </w:p>
    <w:p w14:paraId="52E17613" w14:textId="77777777" w:rsidR="00D320FF" w:rsidRDefault="00D320FF" w:rsidP="001D3906">
      <w:pPr>
        <w:spacing w:after="0" w:line="360" w:lineRule="auto"/>
        <w:jc w:val="both"/>
        <w:rPr>
          <w:rFonts w:ascii="Arial" w:eastAsia="Times New Roman" w:hAnsi="Arial" w:cs="Arial"/>
          <w:kern w:val="0"/>
          <w:sz w:val="24"/>
          <w:szCs w:val="24"/>
          <w14:ligatures w14:val="none"/>
        </w:rPr>
      </w:pPr>
    </w:p>
    <w:p w14:paraId="45E99AED" w14:textId="77777777" w:rsidR="00D320FF" w:rsidRDefault="00D320FF" w:rsidP="001D3906">
      <w:pPr>
        <w:spacing w:after="0" w:line="360" w:lineRule="auto"/>
        <w:jc w:val="both"/>
        <w:rPr>
          <w:rFonts w:ascii="Arial" w:eastAsia="Times New Roman" w:hAnsi="Arial" w:cs="Arial"/>
          <w:kern w:val="0"/>
          <w:sz w:val="24"/>
          <w:szCs w:val="24"/>
          <w14:ligatures w14:val="none"/>
        </w:rPr>
      </w:pPr>
    </w:p>
    <w:p w14:paraId="4CBE4662" w14:textId="77777777" w:rsidR="00D320FF" w:rsidRDefault="00D320FF" w:rsidP="001D3906">
      <w:pPr>
        <w:spacing w:after="0" w:line="360" w:lineRule="auto"/>
        <w:jc w:val="both"/>
        <w:rPr>
          <w:rFonts w:ascii="Arial" w:eastAsia="Times New Roman" w:hAnsi="Arial" w:cs="Arial"/>
          <w:kern w:val="0"/>
          <w:sz w:val="24"/>
          <w:szCs w:val="24"/>
          <w14:ligatures w14:val="none"/>
        </w:rPr>
      </w:pPr>
    </w:p>
    <w:p w14:paraId="0966209A" w14:textId="77777777" w:rsidR="00D320FF" w:rsidRDefault="00D320FF" w:rsidP="001D3906">
      <w:pPr>
        <w:spacing w:after="0" w:line="360" w:lineRule="auto"/>
        <w:jc w:val="both"/>
        <w:rPr>
          <w:rFonts w:ascii="Arial" w:eastAsia="Times New Roman" w:hAnsi="Arial" w:cs="Arial"/>
          <w:kern w:val="0"/>
          <w:sz w:val="24"/>
          <w:szCs w:val="24"/>
          <w14:ligatures w14:val="none"/>
        </w:rPr>
      </w:pPr>
    </w:p>
    <w:p w14:paraId="4200FC9C" w14:textId="77777777" w:rsidR="00361CE9" w:rsidRDefault="00361CE9" w:rsidP="001D3906">
      <w:pPr>
        <w:spacing w:after="0" w:line="360" w:lineRule="auto"/>
        <w:jc w:val="both"/>
        <w:rPr>
          <w:rFonts w:ascii="Arial" w:eastAsia="Times New Roman" w:hAnsi="Arial" w:cs="Arial"/>
          <w:kern w:val="0"/>
          <w:sz w:val="24"/>
          <w:szCs w:val="24"/>
          <w14:ligatures w14:val="none"/>
        </w:rPr>
      </w:pPr>
    </w:p>
    <w:p w14:paraId="683BC6D2" w14:textId="77777777" w:rsidR="00361CE9" w:rsidRPr="00357B8C" w:rsidRDefault="00361CE9" w:rsidP="001D3906">
      <w:pPr>
        <w:spacing w:after="0" w:line="360" w:lineRule="auto"/>
        <w:jc w:val="both"/>
        <w:rPr>
          <w:rFonts w:ascii="Arial" w:eastAsia="Times New Roman" w:hAnsi="Arial" w:cs="Arial"/>
          <w:kern w:val="0"/>
          <w:sz w:val="24"/>
          <w:szCs w:val="24"/>
          <w14:ligatures w14:val="none"/>
        </w:rPr>
      </w:pPr>
    </w:p>
    <w:p w14:paraId="721DBEDD" w14:textId="50D12665" w:rsidR="00A72660" w:rsidRDefault="00A863C4" w:rsidP="001D3906">
      <w:pPr>
        <w:pStyle w:val="Heading1"/>
        <w:spacing w:before="0" w:line="360" w:lineRule="auto"/>
        <w:jc w:val="both"/>
        <w:rPr>
          <w:rFonts w:ascii="Arial" w:eastAsia="Times New Roman" w:hAnsi="Arial" w:cs="Arial"/>
          <w:b/>
          <w:bCs/>
          <w:color w:val="000000" w:themeColor="text1"/>
          <w:sz w:val="24"/>
          <w:szCs w:val="24"/>
        </w:rPr>
      </w:pPr>
      <w:bookmarkStart w:id="33" w:name="_Toc217253892"/>
      <w:r w:rsidRPr="00213F19">
        <w:rPr>
          <w:rFonts w:ascii="Arial" w:eastAsia="Times New Roman" w:hAnsi="Arial" w:cs="Arial"/>
          <w:b/>
          <w:bCs/>
          <w:color w:val="000000" w:themeColor="text1"/>
          <w:sz w:val="24"/>
          <w:szCs w:val="24"/>
        </w:rPr>
        <w:t>References</w:t>
      </w:r>
      <w:bookmarkEnd w:id="33"/>
    </w:p>
    <w:p w14:paraId="014104C5"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Abdeljawad, I. and Jaradat, M.N. (2025). Revisiting the pecking order theory: insights from an emerging market economy. </w:t>
      </w:r>
      <w:r w:rsidRPr="00361CE9">
        <w:rPr>
          <w:rFonts w:ascii="Arial" w:hAnsi="Arial" w:cs="Arial"/>
          <w:i/>
          <w:iCs/>
        </w:rPr>
        <w:t>International Review of Economics</w:t>
      </w:r>
      <w:r w:rsidRPr="00361CE9">
        <w:rPr>
          <w:rFonts w:ascii="Arial" w:hAnsi="Arial" w:cs="Arial"/>
        </w:rPr>
        <w:t>, 72(2). doi:https://doi.org/10.1007/s12232-025-00509-7.</w:t>
      </w:r>
    </w:p>
    <w:p w14:paraId="3660A819"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Akbar, M., Hussain, A., Sokolova, M. and Sabahat, T. (2022). Financial Distress, Firm Life Cycle, and Corporate Restructuring Decisions: Evidence from Pakistan’s Economy. </w:t>
      </w:r>
      <w:r w:rsidRPr="00361CE9">
        <w:rPr>
          <w:rFonts w:ascii="Arial" w:hAnsi="Arial" w:cs="Arial"/>
          <w:i/>
          <w:iCs/>
        </w:rPr>
        <w:t>Economies</w:t>
      </w:r>
      <w:r w:rsidRPr="00361CE9">
        <w:rPr>
          <w:rFonts w:ascii="Arial" w:hAnsi="Arial" w:cs="Arial"/>
        </w:rPr>
        <w:t>, 10(7), p.175. doi:https://doi.org/10.3390/economies10070175.</w:t>
      </w:r>
    </w:p>
    <w:p w14:paraId="351D9935"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Altman, E.I., Iwanicz-Drozdowska, M., Laitinen, E.K. and Suvas, A. (2017). Financial Distress Prediction in an International Context: A Review and Empirical Analysis of Altman’s Z- Score Model. </w:t>
      </w:r>
      <w:r w:rsidRPr="00361CE9">
        <w:rPr>
          <w:rFonts w:ascii="Arial" w:hAnsi="Arial" w:cs="Arial"/>
          <w:i/>
          <w:iCs/>
        </w:rPr>
        <w:t>Journal of International Financial Management &amp; Accounting</w:t>
      </w:r>
      <w:r w:rsidRPr="00361CE9">
        <w:rPr>
          <w:rFonts w:ascii="Arial" w:hAnsi="Arial" w:cs="Arial"/>
        </w:rPr>
        <w:t>, 28(2), pp.131–171. doi:https://doi.org/10.1111/jifm.12053.</w:t>
      </w:r>
    </w:p>
    <w:p w14:paraId="4B8B4831"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Ang, Y.S. and Lambooy, T. (2022). </w:t>
      </w:r>
      <w:r w:rsidRPr="00361CE9">
        <w:rPr>
          <w:rFonts w:ascii="Arial" w:hAnsi="Arial" w:cs="Arial"/>
          <w:i/>
          <w:iCs/>
        </w:rPr>
        <w:t>(Re)defining Corporate Solvency for Sustainability</w:t>
      </w:r>
      <w:r w:rsidRPr="00361CE9">
        <w:rPr>
          <w:rFonts w:ascii="Arial" w:hAnsi="Arial" w:cs="Arial"/>
        </w:rPr>
        <w:t>. [online] Ssrn.com. Available at: https://papers.ssrn.com/sol3/papers.cfm?abstract_id=4037129.</w:t>
      </w:r>
    </w:p>
    <w:p w14:paraId="395D53A5"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Asman, F.N., Fernandez, D., Jamaludin, N.A., Omar Zaki, H. and Ghazali, A.W. (2022). Cash Conversion Cycle and Firm’s Performance. </w:t>
      </w:r>
      <w:r w:rsidRPr="00361CE9">
        <w:rPr>
          <w:rFonts w:ascii="Arial" w:hAnsi="Arial" w:cs="Arial"/>
          <w:i/>
          <w:iCs/>
        </w:rPr>
        <w:t>International Journal of Academic Research in Business and Social Sciences</w:t>
      </w:r>
      <w:r w:rsidRPr="00361CE9">
        <w:rPr>
          <w:rFonts w:ascii="Arial" w:hAnsi="Arial" w:cs="Arial"/>
        </w:rPr>
        <w:t>, 12(11). doi:https://doi.org/10.6007/ijarbss/v12-i11/15276.</w:t>
      </w:r>
    </w:p>
    <w:p w14:paraId="4C5EC498"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Atrill, P. (2019). Accounting and finance for non-specialists. </w:t>
      </w:r>
      <w:r w:rsidRPr="00361CE9">
        <w:rPr>
          <w:rFonts w:ascii="Arial" w:hAnsi="Arial" w:cs="Arial"/>
          <w:i/>
          <w:iCs/>
        </w:rPr>
        <w:t>Thanglong.edu.vn</w:t>
      </w:r>
      <w:r w:rsidRPr="00361CE9">
        <w:rPr>
          <w:rFonts w:ascii="Arial" w:hAnsi="Arial" w:cs="Arial"/>
        </w:rPr>
        <w:t>. [online] doi:http://thuvienso.thanglong.edu.vn//handle/TLU/12823.</w:t>
      </w:r>
    </w:p>
    <w:p w14:paraId="6AA8EB62"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Berk, J. and DeMarzo, P. (2019). </w:t>
      </w:r>
      <w:r w:rsidRPr="00361CE9">
        <w:rPr>
          <w:rFonts w:ascii="Arial" w:hAnsi="Arial" w:cs="Arial"/>
          <w:i/>
          <w:iCs/>
        </w:rPr>
        <w:t>Corporate Finance, 5th edition Berk and DeMarzo</w:t>
      </w:r>
      <w:r w:rsidRPr="00361CE9">
        <w:rPr>
          <w:rFonts w:ascii="Arial" w:hAnsi="Arial" w:cs="Arial"/>
        </w:rPr>
        <w:t>. [online] www.pearson.com. Available at: https://www.pearson.com/se/Nordics-Higher-Education/subject-catalogue/finance/corporate-finance-5e-berk-and-demarzo.html.</w:t>
      </w:r>
    </w:p>
    <w:p w14:paraId="6D5B0B94"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Bukunmi Oyelakun Oyetola, Adetunji Abdul-Azeez Aderemi, Olamide Olayemi Oluseyanu and Ayomide Ibrahim Abdul-lateef (2025). THE PAYBACK PERIOD (PBP) UNIFIED FORMULA: A SIMPLIFIED PROPOSED METHOD FOR CALCULATING PBP IN CAPITAL BUDGETING DECISION. </w:t>
      </w:r>
      <w:r w:rsidRPr="00361CE9">
        <w:rPr>
          <w:rFonts w:ascii="Arial" w:hAnsi="Arial" w:cs="Arial"/>
          <w:i/>
          <w:iCs/>
        </w:rPr>
        <w:t>Advance Journal of Management, Accounting and Finance</w:t>
      </w:r>
      <w:r w:rsidRPr="00361CE9">
        <w:rPr>
          <w:rFonts w:ascii="Arial" w:hAnsi="Arial" w:cs="Arial"/>
        </w:rPr>
        <w:t>, [online] 10(2), pp.31–42. Available at: https://aspjournals.net/ajmaf/index.php/ajmaf/article/view/131 [Accessed 21 Dec. 2025].</w:t>
      </w:r>
    </w:p>
    <w:p w14:paraId="58D82C11"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Dvorkin, M., Sánchez, J.M., Sapriza, H. and Yurdagul, E. (2021). Sovereign Debt Restructurings. </w:t>
      </w:r>
      <w:r w:rsidRPr="00361CE9">
        <w:rPr>
          <w:rFonts w:ascii="Arial" w:hAnsi="Arial" w:cs="Arial"/>
          <w:i/>
          <w:iCs/>
        </w:rPr>
        <w:t>American Economic Journal: Macroeconomics</w:t>
      </w:r>
      <w:r w:rsidRPr="00361CE9">
        <w:rPr>
          <w:rFonts w:ascii="Arial" w:hAnsi="Arial" w:cs="Arial"/>
        </w:rPr>
        <w:t>, 13(2), pp.26–77. doi:https://doi.org/10.1257/mac.20190220.</w:t>
      </w:r>
    </w:p>
    <w:p w14:paraId="781F7964"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Fadillah, I.R., Nadiyah, N., Rohmah, L., Haryadi, D. and Wahyudi, W. (2024). Profitability ratio analysis to assess the financial performance. </w:t>
      </w:r>
      <w:r w:rsidRPr="00361CE9">
        <w:rPr>
          <w:rFonts w:ascii="Arial" w:hAnsi="Arial" w:cs="Arial"/>
          <w:i/>
          <w:iCs/>
        </w:rPr>
        <w:t>International Journal of Applied Finance and Business Studies</w:t>
      </w:r>
      <w:r w:rsidRPr="00361CE9">
        <w:rPr>
          <w:rFonts w:ascii="Arial" w:hAnsi="Arial" w:cs="Arial"/>
        </w:rPr>
        <w:t>, [online] 11(4), pp.964–969. doi:https://doi.org/10.35335/ijafibs.v11i4.243.</w:t>
      </w:r>
    </w:p>
    <w:p w14:paraId="6A80DCC6"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Fikri, M. and Yolanda, A.P. (2023). Impact of Liquidity and Solvency Ratios on Financial Performance: A Comprehensive Analysis. </w:t>
      </w:r>
      <w:r w:rsidRPr="00361CE9">
        <w:rPr>
          <w:rFonts w:ascii="Arial" w:hAnsi="Arial" w:cs="Arial"/>
          <w:i/>
          <w:iCs/>
        </w:rPr>
        <w:t>Indonesia Accounting Research Journal</w:t>
      </w:r>
      <w:r w:rsidRPr="00361CE9">
        <w:rPr>
          <w:rFonts w:ascii="Arial" w:hAnsi="Arial" w:cs="Arial"/>
        </w:rPr>
        <w:t>, [online] 11(2), pp.68–82. Available at: http://journals.iarn.or.id/index.php/Accounting/article/view/223.</w:t>
      </w:r>
    </w:p>
    <w:p w14:paraId="6CA2840C"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Frigo, M.L. and Anderson, R.J. (2011). Strategic risk management: A foundation for improving enterprise risk management and governance. </w:t>
      </w:r>
      <w:r w:rsidRPr="00361CE9">
        <w:rPr>
          <w:rFonts w:ascii="Arial" w:hAnsi="Arial" w:cs="Arial"/>
          <w:i/>
          <w:iCs/>
        </w:rPr>
        <w:t>Journal of Corporate Accounting &amp; Finance</w:t>
      </w:r>
      <w:r w:rsidRPr="00361CE9">
        <w:rPr>
          <w:rFonts w:ascii="Arial" w:hAnsi="Arial" w:cs="Arial"/>
        </w:rPr>
        <w:t>, [online] 22(3), pp.81–88. doi:https://doi.org/10.1002/jcaf.20677.</w:t>
      </w:r>
    </w:p>
    <w:p w14:paraId="31B0C4AF"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General electronics (2021). </w:t>
      </w:r>
      <w:r w:rsidRPr="00361CE9">
        <w:rPr>
          <w:rFonts w:ascii="Arial" w:hAnsi="Arial" w:cs="Arial"/>
          <w:i/>
          <w:iCs/>
        </w:rPr>
        <w:t>General Electronics - Electrobes</w:t>
      </w:r>
      <w:r w:rsidRPr="00361CE9">
        <w:rPr>
          <w:rFonts w:ascii="Arial" w:hAnsi="Arial" w:cs="Arial"/>
        </w:rPr>
        <w:t>. [online] Electrobes - Let’s Invent Together. Available at: https://electrobes.com/product-category/discrete-electronic-components/general-electronics/ [Accessed 21 Dec. 2025].</w:t>
      </w:r>
    </w:p>
    <w:p w14:paraId="65763F05"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Inese Mavlutova (2012). </w:t>
      </w:r>
      <w:r w:rsidRPr="00361CE9">
        <w:rPr>
          <w:rFonts w:ascii="Arial" w:hAnsi="Arial" w:cs="Arial"/>
          <w:i/>
          <w:iCs/>
        </w:rPr>
        <w:t>The Role of Business Restructuring in Financial Performance Enhancement</w:t>
      </w:r>
      <w:r w:rsidRPr="00361CE9">
        <w:rPr>
          <w:rFonts w:ascii="Arial" w:hAnsi="Arial" w:cs="Arial"/>
        </w:rPr>
        <w:t>. [online] Academia.edu. Available at: https://www.academia.edu/download/90210016/17-086.pdf.</w:t>
      </w:r>
    </w:p>
    <w:p w14:paraId="045C8DAB"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Janabi, A. (2024). Crises to Opportunities: Derivatives Trading, Liquidity Management, and Risk Mitigation Strategies in Emerging Markets. </w:t>
      </w:r>
      <w:r w:rsidRPr="00361CE9">
        <w:rPr>
          <w:rFonts w:ascii="Arial" w:hAnsi="Arial" w:cs="Arial"/>
          <w:i/>
          <w:iCs/>
        </w:rPr>
        <w:t>Liquidity Dynamics and Risk Modeling</w:t>
      </w:r>
      <w:r w:rsidRPr="00361CE9">
        <w:rPr>
          <w:rFonts w:ascii="Arial" w:hAnsi="Arial" w:cs="Arial"/>
        </w:rPr>
        <w:t>, 3(7), pp.169–256. doi:https://doi.org/10.1007/978-3-031-71503-7_3.</w:t>
      </w:r>
    </w:p>
    <w:p w14:paraId="6DB38D58"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Khan, A. (2024). Capital Rationing and Budget Allocation. </w:t>
      </w:r>
      <w:r w:rsidRPr="00361CE9">
        <w:rPr>
          <w:rFonts w:ascii="Arial" w:hAnsi="Arial" w:cs="Arial"/>
          <w:i/>
          <w:iCs/>
        </w:rPr>
        <w:t>Springer eBooks</w:t>
      </w:r>
      <w:r w:rsidRPr="00361CE9">
        <w:rPr>
          <w:rFonts w:ascii="Arial" w:hAnsi="Arial" w:cs="Arial"/>
        </w:rPr>
        <w:t>, 12(3), pp.329–367. doi:https://doi.org/10.1007/978-3-031-53674-8_9.</w:t>
      </w:r>
    </w:p>
    <w:p w14:paraId="1C4259F7"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Ngai, A. and Sherris, M. (2011). Longevity risk management for life and variable annuities: The effectiveness of static hedging using longevity bonds and derivatives. </w:t>
      </w:r>
      <w:r w:rsidRPr="00361CE9">
        <w:rPr>
          <w:rFonts w:ascii="Arial" w:hAnsi="Arial" w:cs="Arial"/>
          <w:i/>
          <w:iCs/>
        </w:rPr>
        <w:t>Insurance: Mathematics and Economics</w:t>
      </w:r>
      <w:r w:rsidRPr="00361CE9">
        <w:rPr>
          <w:rFonts w:ascii="Arial" w:hAnsi="Arial" w:cs="Arial"/>
        </w:rPr>
        <w:t>, 49(1), pp.100–114. doi:https://doi.org/10.1016/j.insmatheco.2011.02.009.</w:t>
      </w:r>
    </w:p>
    <w:p w14:paraId="388208E9"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Ngwakwe, C.C. (2024). International Corporate Strategic Alliances: Mergers &amp; Acquisitions and Financial Value Creation. </w:t>
      </w:r>
      <w:r w:rsidRPr="00361CE9">
        <w:rPr>
          <w:rFonts w:ascii="Arial" w:hAnsi="Arial" w:cs="Arial"/>
          <w:i/>
          <w:iCs/>
        </w:rPr>
        <w:t>The Journal of Accounting and Management</w:t>
      </w:r>
      <w:r w:rsidRPr="00361CE9">
        <w:rPr>
          <w:rFonts w:ascii="Arial" w:hAnsi="Arial" w:cs="Arial"/>
        </w:rPr>
        <w:t>, [online] 14(1), pp.72–80. Available at: https://dj.univ-danubius.ro/index.php/JAM/article/view/2756.</w:t>
      </w:r>
    </w:p>
    <w:p w14:paraId="6F9CA49D"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Nicolas, T. (2021). Short-term financial constraints and SMEs’ investment decision: evidence from the working capital channel. </w:t>
      </w:r>
      <w:r w:rsidRPr="00361CE9">
        <w:rPr>
          <w:rFonts w:ascii="Arial" w:hAnsi="Arial" w:cs="Arial"/>
          <w:i/>
          <w:iCs/>
        </w:rPr>
        <w:t>Small Business Economics</w:t>
      </w:r>
      <w:r w:rsidRPr="00361CE9">
        <w:rPr>
          <w:rFonts w:ascii="Arial" w:hAnsi="Arial" w:cs="Arial"/>
        </w:rPr>
        <w:t>, [online] 58(4). doi:https://doi.org/10.1007/s11187-021-00488-3.</w:t>
      </w:r>
    </w:p>
    <w:p w14:paraId="6764104C"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Nicoleta Barbuta-Misu (2014). </w:t>
      </w:r>
      <w:r w:rsidRPr="00361CE9">
        <w:rPr>
          <w:rFonts w:ascii="Arial" w:hAnsi="Arial" w:cs="Arial"/>
          <w:i/>
          <w:iCs/>
        </w:rPr>
        <w:t>Factoring – Alternative of Short-Term Financing for</w:t>
      </w:r>
      <w:r w:rsidRPr="00361CE9">
        <w:rPr>
          <w:rFonts w:ascii="Arial" w:hAnsi="Arial" w:cs="Arial"/>
        </w:rPr>
        <w:t>. [online] Academia.edu. Available at: https://www.academia.edu/download/78238230/Barbuta-Misu_Nicoleta.pdf [Accessed 21 Dec. 2025].</w:t>
      </w:r>
    </w:p>
    <w:p w14:paraId="04D217CB"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Potharla, S. (2025). From Debt to Divestiture: How Indian and Global Firms Reshaped through Corporate Restructuring. [online] doi:https://doi.org/10.2139/ssrn.5348941.</w:t>
      </w:r>
    </w:p>
    <w:p w14:paraId="0AE7749B"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Rashid, C. (2021). </w:t>
      </w:r>
      <w:r w:rsidRPr="00361CE9">
        <w:rPr>
          <w:rFonts w:ascii="Arial" w:hAnsi="Arial" w:cs="Arial"/>
          <w:i/>
          <w:iCs/>
        </w:rPr>
        <w:t>The Efficiency of Financial Ratios Analysis to Evaluate Company’s Profitability</w:t>
      </w:r>
      <w:r w:rsidRPr="00361CE9">
        <w:rPr>
          <w:rFonts w:ascii="Arial" w:hAnsi="Arial" w:cs="Arial"/>
        </w:rPr>
        <w:t>. [online] ResearchGate. Available at: https://www.researchgate.net/profile/Chnar-Rashid/publication/348686551_THE_EFFICIENCY_OF_FINANCIAL_RATIOS_ANALYSIS_TO_EVALUATE_COMPANY'S_PROFITABILITY/links/600ad9df92851c13fe2b24ba/THE-EFFICIENCY-OF-FINANCIAL-RATIOS-ANALYSIS-TO-EVALUATE-COMPANYS-PROFITABILITY.pdf.</w:t>
      </w:r>
    </w:p>
    <w:p w14:paraId="6C711813"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Rashid, C.A. (2018). Efficiency of Financial Ratios Analysis for Evaluating Companies’ Liquidity. </w:t>
      </w:r>
      <w:r w:rsidRPr="00361CE9">
        <w:rPr>
          <w:rFonts w:ascii="Arial" w:hAnsi="Arial" w:cs="Arial"/>
          <w:i/>
          <w:iCs/>
        </w:rPr>
        <w:t>International Journal of Social Sciences &amp; educational Studies</w:t>
      </w:r>
      <w:r w:rsidRPr="00361CE9">
        <w:rPr>
          <w:rFonts w:ascii="Arial" w:hAnsi="Arial" w:cs="Arial"/>
        </w:rPr>
        <w:t>, 4(4), pp.110–123. doi:https://doi.org/10.23918/ijsses.v4i4p110.</w:t>
      </w:r>
    </w:p>
    <w:p w14:paraId="49B592D4"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Reyad, H.M., Zariyawati, M.A., Ong, T.S. and Muhamad, H. (2022). The Impact of Macroeconomic Risk Factors, the Adoption of Financial Derivatives on Working Capital Management, and Firm Performance. </w:t>
      </w:r>
      <w:r w:rsidRPr="00361CE9">
        <w:rPr>
          <w:rFonts w:ascii="Arial" w:hAnsi="Arial" w:cs="Arial"/>
          <w:i/>
          <w:iCs/>
        </w:rPr>
        <w:t>Sustainability</w:t>
      </w:r>
      <w:r w:rsidRPr="00361CE9">
        <w:rPr>
          <w:rFonts w:ascii="Arial" w:hAnsi="Arial" w:cs="Arial"/>
        </w:rPr>
        <w:t>, 14(21), p.14447.</w:t>
      </w:r>
    </w:p>
    <w:p w14:paraId="55CEA7A8"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Sinaga, A., Mediatrix, M., Hutasuhut, N.A.A., Zahara, T., Amanda, N.A., Fitri, A. and Muhammad, N. (2023). Comparison of capital budgeting methods: NPV, IRR, PAYBACK PERIOD. </w:t>
      </w:r>
      <w:r w:rsidRPr="00361CE9">
        <w:rPr>
          <w:rFonts w:ascii="Arial" w:hAnsi="Arial" w:cs="Arial"/>
          <w:i/>
          <w:iCs/>
        </w:rPr>
        <w:t>World Journal Of Advanced Research and Reviews</w:t>
      </w:r>
      <w:r w:rsidRPr="00361CE9">
        <w:rPr>
          <w:rFonts w:ascii="Arial" w:hAnsi="Arial" w:cs="Arial"/>
        </w:rPr>
        <w:t>, 19(2), pp.1078–1081. doi:https://doi.org/10.30574/wjarr.2023.19.2.1483.</w:t>
      </w:r>
    </w:p>
    <w:p w14:paraId="7402AD4C"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Soboleva, Y., Matveev, V., Ilminskaya, S., Efimenko, I., Rezvyakova, I. and Mazur, L. (2018). Monitoring of Businesses Operations with Cash Flow Analysis. </w:t>
      </w:r>
      <w:r w:rsidRPr="00361CE9">
        <w:rPr>
          <w:rFonts w:ascii="Arial" w:hAnsi="Arial" w:cs="Arial"/>
          <w:i/>
          <w:iCs/>
        </w:rPr>
        <w:t>International Journal of Civil Engineering and Technology (IJCIET)</w:t>
      </w:r>
      <w:r w:rsidRPr="00361CE9">
        <w:rPr>
          <w:rFonts w:ascii="Arial" w:hAnsi="Arial" w:cs="Arial"/>
        </w:rPr>
        <w:t>, [online] 9(11), pp.2034–2044. Available at: https://ogik.ru/upload/medialibrary/dcd/65ow903z8bptwe8gl0p147v9p9llys8o.pdf.</w:t>
      </w:r>
    </w:p>
    <w:p w14:paraId="25BF3193"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Stuart, A.C., Bedard, J.C. and Clark, C.E. (2021). Corporate Social Responsibility Disclosures and Investor Judgments in Difficult Times: The Role of Ethical Culture and Assurance. </w:t>
      </w:r>
      <w:r w:rsidRPr="00361CE9">
        <w:rPr>
          <w:rFonts w:ascii="Arial" w:hAnsi="Arial" w:cs="Arial"/>
          <w:i/>
          <w:iCs/>
        </w:rPr>
        <w:t>Journal of Business Ethics</w:t>
      </w:r>
      <w:r w:rsidRPr="00361CE9">
        <w:rPr>
          <w:rFonts w:ascii="Arial" w:hAnsi="Arial" w:cs="Arial"/>
        </w:rPr>
        <w:t>, [online] 171(3), pp.565–582. doi:https://doi.org/10.2307/45386880.</w:t>
      </w:r>
    </w:p>
    <w:p w14:paraId="32DD9CB6"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Yusif, S. and Hafeez-Baig, A. (2024). Impact of stakeholder engagement strategies on managerial cognitive decision-making: the context of CSP and CSR. </w:t>
      </w:r>
      <w:r w:rsidRPr="00361CE9">
        <w:rPr>
          <w:rFonts w:ascii="Arial" w:hAnsi="Arial" w:cs="Arial"/>
          <w:i/>
          <w:iCs/>
        </w:rPr>
        <w:t>Social Responsibility Journal</w:t>
      </w:r>
      <w:r w:rsidRPr="00361CE9">
        <w:rPr>
          <w:rFonts w:ascii="Arial" w:hAnsi="Arial" w:cs="Arial"/>
        </w:rPr>
        <w:t>, 20(6), pp.1101–1121. doi:https://doi.org/10.1108/SRJ-05-2023-0295.</w:t>
      </w:r>
    </w:p>
    <w:p w14:paraId="7AD1B074"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Zahedi, J., Salehi, M. and Moradi, M. (2021). Identifying and classifying the contributing factors to financial resilience. </w:t>
      </w:r>
      <w:r w:rsidRPr="00361CE9">
        <w:rPr>
          <w:rFonts w:ascii="Arial" w:hAnsi="Arial" w:cs="Arial"/>
          <w:i/>
          <w:iCs/>
        </w:rPr>
        <w:t>foresight</w:t>
      </w:r>
      <w:r w:rsidRPr="00361CE9">
        <w:rPr>
          <w:rFonts w:ascii="Arial" w:hAnsi="Arial" w:cs="Arial"/>
        </w:rPr>
        <w:t>, ahead-of-print(ahead-of-print). doi:https://doi.org/10.1108/fs-10-2020-0102.</w:t>
      </w:r>
    </w:p>
    <w:p w14:paraId="596B5723" w14:textId="77777777" w:rsidR="00361CE9" w:rsidRPr="00361CE9" w:rsidRDefault="00361CE9" w:rsidP="00361CE9">
      <w:pPr>
        <w:pStyle w:val="NormalWeb"/>
        <w:spacing w:before="0" w:beforeAutospacing="0" w:after="0" w:afterAutospacing="0" w:line="360" w:lineRule="auto"/>
        <w:ind w:left="720" w:hanging="720"/>
        <w:jc w:val="both"/>
        <w:rPr>
          <w:rFonts w:ascii="Arial" w:hAnsi="Arial" w:cs="Arial"/>
        </w:rPr>
      </w:pPr>
      <w:r w:rsidRPr="00361CE9">
        <w:rPr>
          <w:rFonts w:ascii="Arial" w:hAnsi="Arial" w:cs="Arial"/>
        </w:rPr>
        <w:t xml:space="preserve">Zatrochová, M. and Zatrochová, M. (2023). Investment Evaluation Methods for Business Performance. </w:t>
      </w:r>
      <w:r w:rsidRPr="00361CE9">
        <w:rPr>
          <w:rFonts w:ascii="Arial" w:hAnsi="Arial" w:cs="Arial"/>
          <w:i/>
          <w:iCs/>
        </w:rPr>
        <w:t>Studies in systems, decision and control</w:t>
      </w:r>
      <w:r w:rsidRPr="00361CE9">
        <w:rPr>
          <w:rFonts w:ascii="Arial" w:hAnsi="Arial" w:cs="Arial"/>
        </w:rPr>
        <w:t>, 6(2), pp.211–244. doi:https://doi.org/10.1007/978-3-031-27506-7_9.</w:t>
      </w:r>
    </w:p>
    <w:p w14:paraId="2293B34F" w14:textId="77777777" w:rsidR="00361CE9" w:rsidRPr="00361CE9" w:rsidRDefault="00361CE9" w:rsidP="00361CE9"/>
    <w:p w14:paraId="7695F89B" w14:textId="77777777" w:rsidR="000B0E0C" w:rsidRDefault="000B0E0C" w:rsidP="001D3906">
      <w:pPr>
        <w:spacing w:after="0" w:line="360" w:lineRule="auto"/>
        <w:jc w:val="both"/>
        <w:rPr>
          <w:rFonts w:ascii="Arial" w:eastAsia="Times New Roman" w:hAnsi="Arial" w:cs="Arial"/>
          <w:b/>
          <w:bCs/>
          <w:color w:val="000000" w:themeColor="text1"/>
          <w:kern w:val="0"/>
          <w:sz w:val="24"/>
          <w:szCs w:val="24"/>
          <w14:ligatures w14:val="none"/>
        </w:rPr>
      </w:pPr>
    </w:p>
    <w:p w14:paraId="231F2DA7" w14:textId="77777777" w:rsidR="00361CE9" w:rsidRDefault="00361CE9" w:rsidP="001D3906">
      <w:pPr>
        <w:spacing w:after="0" w:line="360" w:lineRule="auto"/>
        <w:jc w:val="both"/>
        <w:rPr>
          <w:rFonts w:ascii="Arial" w:eastAsia="Times New Roman" w:hAnsi="Arial" w:cs="Arial"/>
          <w:b/>
          <w:bCs/>
          <w:color w:val="000000" w:themeColor="text1"/>
          <w:kern w:val="0"/>
          <w:sz w:val="24"/>
          <w:szCs w:val="24"/>
          <w14:ligatures w14:val="none"/>
        </w:rPr>
      </w:pPr>
    </w:p>
    <w:p w14:paraId="40439401" w14:textId="77777777" w:rsidR="00361CE9" w:rsidRDefault="00361CE9" w:rsidP="001D3906">
      <w:pPr>
        <w:spacing w:after="0" w:line="360" w:lineRule="auto"/>
        <w:jc w:val="both"/>
        <w:rPr>
          <w:rFonts w:ascii="Arial" w:eastAsia="Times New Roman" w:hAnsi="Arial" w:cs="Arial"/>
          <w:b/>
          <w:bCs/>
          <w:color w:val="000000" w:themeColor="text1"/>
          <w:kern w:val="0"/>
          <w:sz w:val="24"/>
          <w:szCs w:val="24"/>
          <w14:ligatures w14:val="none"/>
        </w:rPr>
      </w:pPr>
    </w:p>
    <w:p w14:paraId="7CF57399" w14:textId="77777777" w:rsidR="00361CE9" w:rsidRDefault="00361CE9" w:rsidP="001D3906">
      <w:pPr>
        <w:spacing w:after="0" w:line="360" w:lineRule="auto"/>
        <w:jc w:val="both"/>
        <w:rPr>
          <w:rFonts w:ascii="Arial" w:eastAsia="Times New Roman" w:hAnsi="Arial" w:cs="Arial"/>
          <w:b/>
          <w:bCs/>
          <w:color w:val="000000" w:themeColor="text1"/>
          <w:kern w:val="0"/>
          <w:sz w:val="24"/>
          <w:szCs w:val="24"/>
          <w14:ligatures w14:val="none"/>
        </w:rPr>
      </w:pPr>
    </w:p>
    <w:p w14:paraId="1681F018" w14:textId="77777777" w:rsidR="00361CE9" w:rsidRDefault="00361CE9" w:rsidP="001D3906">
      <w:pPr>
        <w:spacing w:after="0" w:line="360" w:lineRule="auto"/>
        <w:jc w:val="both"/>
        <w:rPr>
          <w:rFonts w:ascii="Arial" w:eastAsia="Times New Roman" w:hAnsi="Arial" w:cs="Arial"/>
          <w:b/>
          <w:bCs/>
          <w:color w:val="000000" w:themeColor="text1"/>
          <w:kern w:val="0"/>
          <w:sz w:val="24"/>
          <w:szCs w:val="24"/>
          <w14:ligatures w14:val="none"/>
        </w:rPr>
      </w:pPr>
    </w:p>
    <w:p w14:paraId="14AD5354" w14:textId="77777777" w:rsidR="00361CE9" w:rsidRDefault="00361CE9" w:rsidP="001D3906">
      <w:pPr>
        <w:spacing w:after="0" w:line="360" w:lineRule="auto"/>
        <w:jc w:val="both"/>
        <w:rPr>
          <w:rFonts w:ascii="Arial" w:eastAsia="Times New Roman" w:hAnsi="Arial" w:cs="Arial"/>
          <w:b/>
          <w:bCs/>
          <w:color w:val="000000" w:themeColor="text1"/>
          <w:kern w:val="0"/>
          <w:sz w:val="24"/>
          <w:szCs w:val="24"/>
          <w14:ligatures w14:val="none"/>
        </w:rPr>
      </w:pPr>
    </w:p>
    <w:p w14:paraId="7940986E" w14:textId="77777777" w:rsidR="00361CE9" w:rsidRPr="00213F19" w:rsidRDefault="00361CE9" w:rsidP="001D3906">
      <w:pPr>
        <w:spacing w:after="0" w:line="360" w:lineRule="auto"/>
        <w:jc w:val="both"/>
        <w:rPr>
          <w:rFonts w:ascii="Arial" w:eastAsia="Times New Roman" w:hAnsi="Arial" w:cs="Arial"/>
          <w:b/>
          <w:bCs/>
          <w:color w:val="000000" w:themeColor="text1"/>
          <w:kern w:val="0"/>
          <w:sz w:val="24"/>
          <w:szCs w:val="24"/>
          <w14:ligatures w14:val="none"/>
        </w:rPr>
      </w:pPr>
    </w:p>
    <w:p w14:paraId="606CC127" w14:textId="59963E8D" w:rsidR="000B0E0C" w:rsidRPr="00213F19" w:rsidRDefault="000B0E0C" w:rsidP="001D3906">
      <w:pPr>
        <w:pStyle w:val="Heading1"/>
        <w:spacing w:before="0" w:line="360" w:lineRule="auto"/>
        <w:jc w:val="both"/>
        <w:rPr>
          <w:rFonts w:ascii="Arial" w:eastAsia="Times New Roman" w:hAnsi="Arial" w:cs="Arial"/>
          <w:b/>
          <w:bCs/>
          <w:color w:val="000000" w:themeColor="text1"/>
          <w:sz w:val="24"/>
          <w:szCs w:val="24"/>
        </w:rPr>
      </w:pPr>
      <w:bookmarkStart w:id="34" w:name="_Toc217253893"/>
      <w:r w:rsidRPr="00213F19">
        <w:rPr>
          <w:rFonts w:ascii="Arial" w:eastAsia="Times New Roman" w:hAnsi="Arial" w:cs="Arial"/>
          <w:b/>
          <w:bCs/>
          <w:color w:val="000000" w:themeColor="text1"/>
          <w:sz w:val="24"/>
          <w:szCs w:val="24"/>
        </w:rPr>
        <w:t>Appendi</w:t>
      </w:r>
      <w:r w:rsidR="0028476F" w:rsidRPr="00213F19">
        <w:rPr>
          <w:rFonts w:ascii="Arial" w:eastAsia="Times New Roman" w:hAnsi="Arial" w:cs="Arial"/>
          <w:b/>
          <w:bCs/>
          <w:color w:val="000000" w:themeColor="text1"/>
          <w:sz w:val="24"/>
          <w:szCs w:val="24"/>
        </w:rPr>
        <w:t>ces</w:t>
      </w:r>
      <w:bookmarkEnd w:id="34"/>
    </w:p>
    <w:p w14:paraId="03825F79" w14:textId="60B8C1A3" w:rsidR="00B71911" w:rsidRPr="00213F19" w:rsidRDefault="0028476F" w:rsidP="001D3906">
      <w:pPr>
        <w:pStyle w:val="Heading2"/>
        <w:spacing w:before="0" w:line="360" w:lineRule="auto"/>
        <w:jc w:val="both"/>
        <w:rPr>
          <w:rFonts w:ascii="Arial" w:hAnsi="Arial" w:cs="Arial"/>
          <w:b/>
          <w:bCs/>
          <w:color w:val="000000" w:themeColor="text1"/>
          <w:sz w:val="24"/>
          <w:szCs w:val="24"/>
        </w:rPr>
      </w:pPr>
      <w:bookmarkStart w:id="35" w:name="_Toc217253894"/>
      <w:r w:rsidRPr="00213F19">
        <w:rPr>
          <w:rFonts w:ascii="Arial" w:hAnsi="Arial" w:cs="Arial"/>
          <w:b/>
          <w:bCs/>
          <w:color w:val="000000" w:themeColor="text1"/>
          <w:sz w:val="24"/>
          <w:szCs w:val="24"/>
        </w:rPr>
        <w:t>Appendix 1</w:t>
      </w:r>
      <w:r w:rsidR="008F2039" w:rsidRPr="00213F19">
        <w:rPr>
          <w:rFonts w:ascii="Arial" w:hAnsi="Arial" w:cs="Arial"/>
          <w:b/>
          <w:bCs/>
          <w:color w:val="000000" w:themeColor="text1"/>
          <w:sz w:val="24"/>
          <w:szCs w:val="24"/>
        </w:rPr>
        <w:t>- Ratio calculations</w:t>
      </w:r>
      <w:bookmarkEnd w:id="35"/>
    </w:p>
    <w:p w14:paraId="6CC55E8B" w14:textId="58CE3CA5" w:rsidR="00971A99" w:rsidRPr="004503AD" w:rsidRDefault="00971A99" w:rsidP="001D3906">
      <w:pPr>
        <w:spacing w:after="0" w:line="360" w:lineRule="auto"/>
        <w:jc w:val="both"/>
        <w:rPr>
          <w:rFonts w:ascii="Arial" w:hAnsi="Arial" w:cs="Arial"/>
          <w:b/>
          <w:bCs/>
          <w:sz w:val="24"/>
          <w:szCs w:val="24"/>
          <w:u w:val="single"/>
        </w:rPr>
      </w:pPr>
      <w:r w:rsidRPr="004503AD">
        <w:rPr>
          <w:rFonts w:ascii="Arial" w:hAnsi="Arial" w:cs="Arial"/>
          <w:b/>
          <w:bCs/>
          <w:sz w:val="24"/>
          <w:szCs w:val="24"/>
          <w:u w:val="single"/>
        </w:rPr>
        <w:t>Profitability Ratios</w:t>
      </w:r>
    </w:p>
    <w:p w14:paraId="56B03EC2" w14:textId="2A967F83" w:rsidR="00B71911" w:rsidRPr="001D3906" w:rsidRDefault="00B71911" w:rsidP="001D3906">
      <w:pPr>
        <w:spacing w:after="0" w:line="360" w:lineRule="auto"/>
        <w:jc w:val="both"/>
        <w:rPr>
          <w:rFonts w:ascii="Arial" w:hAnsi="Arial" w:cs="Arial"/>
          <w:sz w:val="24"/>
          <w:szCs w:val="24"/>
        </w:rPr>
      </w:pPr>
      <w:r w:rsidRPr="001D3906">
        <w:rPr>
          <w:rFonts w:ascii="Arial" w:hAnsi="Arial" w:cs="Arial"/>
          <w:sz w:val="24"/>
          <w:szCs w:val="24"/>
        </w:rPr>
        <w:t>Formulas</w:t>
      </w:r>
    </w:p>
    <w:p w14:paraId="6AC8FB98" w14:textId="77777777" w:rsidR="00971A99" w:rsidRPr="00971A99" w:rsidRDefault="00971A99" w:rsidP="00841081">
      <w:pPr>
        <w:spacing w:after="0" w:line="360" w:lineRule="auto"/>
        <w:jc w:val="center"/>
        <w:rPr>
          <w:rFonts w:ascii="Arial" w:eastAsia="Times New Roman" w:hAnsi="Arial" w:cs="Arial"/>
          <w:kern w:val="0"/>
          <w:sz w:val="24"/>
          <w:szCs w:val="24"/>
          <w14:ligatures w14:val="none"/>
        </w:rPr>
      </w:pPr>
      <w:r w:rsidRPr="00971A99">
        <w:rPr>
          <w:rFonts w:ascii="Arial" w:eastAsia="Times New Roman" w:hAnsi="Arial" w:cs="Arial"/>
          <w:b/>
          <w:bCs/>
          <w:kern w:val="0"/>
          <w:sz w:val="24"/>
          <w:szCs w:val="24"/>
          <w14:ligatures w14:val="none"/>
        </w:rPr>
        <w:t>Gross Profit Margin (%)</w:t>
      </w:r>
    </w:p>
    <w:p w14:paraId="6ABA5F2C" w14:textId="1A23ACB2" w:rsidR="00971A99" w:rsidRPr="001D3906" w:rsidRDefault="00971A99" w:rsidP="00841081">
      <w:pPr>
        <w:spacing w:after="0" w:line="360" w:lineRule="auto"/>
        <w:jc w:val="center"/>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Gross Profit Margin=Gross Profit</w:t>
      </w:r>
      <w:r w:rsidRPr="001D3906">
        <w:rPr>
          <w:rFonts w:ascii="Arial" w:eastAsia="Times New Roman" w:hAnsi="Arial" w:cs="Arial"/>
          <w:kern w:val="0"/>
          <w:sz w:val="24"/>
          <w:szCs w:val="24"/>
          <w14:ligatures w14:val="none"/>
        </w:rPr>
        <w:t>/</w:t>
      </w:r>
      <w:r w:rsidRPr="00971A99">
        <w:rPr>
          <w:rFonts w:ascii="Arial" w:eastAsia="Times New Roman" w:hAnsi="Arial" w:cs="Arial"/>
          <w:kern w:val="0"/>
          <w:sz w:val="24"/>
          <w:szCs w:val="24"/>
          <w14:ligatures w14:val="none"/>
        </w:rPr>
        <w:t>Net Sales×100</w:t>
      </w:r>
    </w:p>
    <w:p w14:paraId="4494610D" w14:textId="5F66182D" w:rsidR="00971A99" w:rsidRPr="00971A99" w:rsidRDefault="00971A99" w:rsidP="00841081">
      <w:pPr>
        <w:spacing w:after="0" w:line="360" w:lineRule="auto"/>
        <w:jc w:val="center"/>
        <w:rPr>
          <w:rFonts w:ascii="Arial" w:eastAsia="Times New Roman" w:hAnsi="Arial" w:cs="Arial"/>
          <w:kern w:val="0"/>
          <w:sz w:val="24"/>
          <w:szCs w:val="24"/>
          <w14:ligatures w14:val="none"/>
        </w:rPr>
      </w:pPr>
      <w:r w:rsidRPr="00971A99">
        <w:rPr>
          <w:rFonts w:ascii="Arial" w:eastAsia="Times New Roman" w:hAnsi="Arial" w:cs="Arial"/>
          <w:b/>
          <w:bCs/>
          <w:kern w:val="0"/>
          <w:sz w:val="24"/>
          <w:szCs w:val="24"/>
          <w14:ligatures w14:val="none"/>
        </w:rPr>
        <w:t>Operating Profit Margin (%)</w:t>
      </w:r>
    </w:p>
    <w:p w14:paraId="3799C72A" w14:textId="77777777" w:rsidR="0085744E" w:rsidRPr="001D3906" w:rsidRDefault="00971A99" w:rsidP="00841081">
      <w:pPr>
        <w:spacing w:after="0" w:line="360" w:lineRule="auto"/>
        <w:jc w:val="center"/>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Operating Margin=Operating Income</w:t>
      </w:r>
      <w:r w:rsidRPr="001D3906">
        <w:rPr>
          <w:rFonts w:ascii="Arial" w:eastAsia="Times New Roman" w:hAnsi="Arial" w:cs="Arial"/>
          <w:kern w:val="0"/>
          <w:sz w:val="24"/>
          <w:szCs w:val="24"/>
          <w14:ligatures w14:val="none"/>
        </w:rPr>
        <w:t>/</w:t>
      </w:r>
      <w:r w:rsidRPr="00971A99">
        <w:rPr>
          <w:rFonts w:ascii="Arial" w:eastAsia="Times New Roman" w:hAnsi="Arial" w:cs="Arial"/>
          <w:kern w:val="0"/>
          <w:sz w:val="24"/>
          <w:szCs w:val="24"/>
          <w14:ligatures w14:val="none"/>
        </w:rPr>
        <w:t>Net Sales×100</w:t>
      </w:r>
    </w:p>
    <w:p w14:paraId="6443D25B" w14:textId="4F20C7B2" w:rsidR="00971A99" w:rsidRPr="00971A99" w:rsidRDefault="00971A99" w:rsidP="00841081">
      <w:pPr>
        <w:spacing w:after="0" w:line="360" w:lineRule="auto"/>
        <w:jc w:val="center"/>
        <w:rPr>
          <w:rFonts w:ascii="Arial" w:eastAsia="Times New Roman" w:hAnsi="Arial" w:cs="Arial"/>
          <w:kern w:val="0"/>
          <w:sz w:val="24"/>
          <w:szCs w:val="24"/>
          <w14:ligatures w14:val="none"/>
        </w:rPr>
      </w:pPr>
      <w:r w:rsidRPr="00971A99">
        <w:rPr>
          <w:rFonts w:ascii="Arial" w:eastAsia="Times New Roman" w:hAnsi="Arial" w:cs="Arial"/>
          <w:b/>
          <w:bCs/>
          <w:kern w:val="0"/>
          <w:sz w:val="24"/>
          <w:szCs w:val="24"/>
          <w14:ligatures w14:val="none"/>
        </w:rPr>
        <w:t>Net Profit Margin (%)</w:t>
      </w:r>
    </w:p>
    <w:p w14:paraId="347BBB32" w14:textId="77777777" w:rsidR="00971A99" w:rsidRPr="001D3906" w:rsidRDefault="00971A99" w:rsidP="00841081">
      <w:pPr>
        <w:spacing w:after="0" w:line="360" w:lineRule="auto"/>
        <w:jc w:val="center"/>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Net Margin=Net Income</w:t>
      </w:r>
      <w:r w:rsidRPr="001D3906">
        <w:rPr>
          <w:rFonts w:ascii="Arial" w:eastAsia="Times New Roman" w:hAnsi="Arial" w:cs="Arial"/>
          <w:kern w:val="0"/>
          <w:sz w:val="24"/>
          <w:szCs w:val="24"/>
          <w14:ligatures w14:val="none"/>
        </w:rPr>
        <w:t>/</w:t>
      </w:r>
      <w:r w:rsidRPr="00971A99">
        <w:rPr>
          <w:rFonts w:ascii="Arial" w:eastAsia="Times New Roman" w:hAnsi="Arial" w:cs="Arial"/>
          <w:kern w:val="0"/>
          <w:sz w:val="24"/>
          <w:szCs w:val="24"/>
          <w14:ligatures w14:val="none"/>
        </w:rPr>
        <w:t>Net Sales×100</w:t>
      </w:r>
    </w:p>
    <w:p w14:paraId="5C240FDB" w14:textId="0680B23B" w:rsidR="00971A99" w:rsidRPr="00971A99" w:rsidRDefault="00971A99" w:rsidP="00841081">
      <w:pPr>
        <w:spacing w:after="0" w:line="360" w:lineRule="auto"/>
        <w:jc w:val="center"/>
        <w:rPr>
          <w:rFonts w:ascii="Arial" w:eastAsia="Times New Roman" w:hAnsi="Arial" w:cs="Arial"/>
          <w:kern w:val="0"/>
          <w:sz w:val="24"/>
          <w:szCs w:val="24"/>
          <w14:ligatures w14:val="none"/>
        </w:rPr>
      </w:pPr>
      <w:r w:rsidRPr="00971A99">
        <w:rPr>
          <w:rFonts w:ascii="Arial" w:eastAsia="Times New Roman" w:hAnsi="Arial" w:cs="Arial"/>
          <w:b/>
          <w:bCs/>
          <w:kern w:val="0"/>
          <w:sz w:val="24"/>
          <w:szCs w:val="24"/>
          <w14:ligatures w14:val="none"/>
        </w:rPr>
        <w:t>Return on Assets (ROA)</w:t>
      </w:r>
    </w:p>
    <w:p w14:paraId="0A0ADF24" w14:textId="4E2E85B0" w:rsidR="0085744E" w:rsidRPr="001D3906" w:rsidRDefault="00971A99" w:rsidP="00841081">
      <w:pPr>
        <w:spacing w:after="0" w:line="360" w:lineRule="auto"/>
        <w:jc w:val="center"/>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ROA=Net Income</w:t>
      </w:r>
      <w:r w:rsidRPr="001D3906">
        <w:rPr>
          <w:rFonts w:ascii="Arial" w:eastAsia="Times New Roman" w:hAnsi="Arial" w:cs="Arial"/>
          <w:kern w:val="0"/>
          <w:sz w:val="24"/>
          <w:szCs w:val="24"/>
          <w14:ligatures w14:val="none"/>
        </w:rPr>
        <w:t>/</w:t>
      </w:r>
      <w:r w:rsidRPr="00971A99">
        <w:rPr>
          <w:rFonts w:ascii="Arial" w:eastAsia="Times New Roman" w:hAnsi="Arial" w:cs="Arial"/>
          <w:kern w:val="0"/>
          <w:sz w:val="24"/>
          <w:szCs w:val="24"/>
          <w14:ligatures w14:val="none"/>
        </w:rPr>
        <w:t>Total Assets×100</w:t>
      </w:r>
    </w:p>
    <w:p w14:paraId="69B1A9A6" w14:textId="6F90333F" w:rsidR="00971A99" w:rsidRPr="00971A99" w:rsidRDefault="00971A99" w:rsidP="00841081">
      <w:pPr>
        <w:spacing w:after="0" w:line="360" w:lineRule="auto"/>
        <w:jc w:val="center"/>
        <w:rPr>
          <w:rFonts w:ascii="Arial" w:eastAsia="Times New Roman" w:hAnsi="Arial" w:cs="Arial"/>
          <w:kern w:val="0"/>
          <w:sz w:val="24"/>
          <w:szCs w:val="24"/>
          <w14:ligatures w14:val="none"/>
        </w:rPr>
      </w:pPr>
      <w:r w:rsidRPr="00971A99">
        <w:rPr>
          <w:rFonts w:ascii="Arial" w:eastAsia="Times New Roman" w:hAnsi="Arial" w:cs="Arial"/>
          <w:b/>
          <w:bCs/>
          <w:kern w:val="0"/>
          <w:sz w:val="24"/>
          <w:szCs w:val="24"/>
          <w14:ligatures w14:val="none"/>
        </w:rPr>
        <w:t>Return on Equity (ROE)</w:t>
      </w:r>
    </w:p>
    <w:p w14:paraId="16F01759" w14:textId="77777777" w:rsidR="00971A99" w:rsidRPr="001D3906" w:rsidRDefault="00971A99" w:rsidP="00841081">
      <w:pPr>
        <w:spacing w:after="0" w:line="360" w:lineRule="auto"/>
        <w:jc w:val="center"/>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ROE=Net Income/Shareholders’ Equity×100</w:t>
      </w:r>
    </w:p>
    <w:p w14:paraId="12DAB0CE" w14:textId="546C5CBD" w:rsidR="00DF2CC1" w:rsidRPr="001D3906" w:rsidRDefault="00DF2CC1" w:rsidP="001D3906">
      <w:pPr>
        <w:spacing w:after="0" w:line="360" w:lineRule="auto"/>
        <w:jc w:val="both"/>
        <w:rPr>
          <w:rFonts w:ascii="Arial" w:eastAsia="Times New Roman" w:hAnsi="Arial" w:cs="Arial"/>
          <w:kern w:val="0"/>
          <w:sz w:val="24"/>
          <w:szCs w:val="24"/>
          <w14:ligatures w14:val="none"/>
        </w:rPr>
      </w:pPr>
      <w:r w:rsidRPr="001D3906">
        <w:rPr>
          <w:rFonts w:ascii="Arial" w:hAnsi="Arial" w:cs="Arial"/>
          <w:sz w:val="24"/>
          <w:szCs w:val="24"/>
        </w:rPr>
        <w:t xml:space="preserve">Table </w:t>
      </w:r>
      <w:r w:rsidR="00401BC3">
        <w:rPr>
          <w:rFonts w:ascii="Arial" w:hAnsi="Arial" w:cs="Arial"/>
          <w:sz w:val="24"/>
          <w:szCs w:val="24"/>
        </w:rPr>
        <w:t>3</w:t>
      </w:r>
      <w:r w:rsidRPr="001D3906">
        <w:rPr>
          <w:rFonts w:ascii="Arial" w:hAnsi="Arial" w:cs="Arial"/>
          <w:sz w:val="24"/>
          <w:szCs w:val="24"/>
        </w:rPr>
        <w:t>: Profitability Ratios</w:t>
      </w:r>
    </w:p>
    <w:tbl>
      <w:tblPr>
        <w:tblStyle w:val="TableGrid"/>
        <w:tblW w:w="0" w:type="auto"/>
        <w:tblLook w:val="04A0" w:firstRow="1" w:lastRow="0" w:firstColumn="1" w:lastColumn="0" w:noHBand="0" w:noVBand="1"/>
      </w:tblPr>
      <w:tblGrid>
        <w:gridCol w:w="750"/>
        <w:gridCol w:w="1613"/>
        <w:gridCol w:w="1585"/>
        <w:gridCol w:w="1977"/>
        <w:gridCol w:w="1436"/>
        <w:gridCol w:w="998"/>
        <w:gridCol w:w="991"/>
      </w:tblGrid>
      <w:tr w:rsidR="00971A99" w:rsidRPr="00971A99" w14:paraId="39529DAF" w14:textId="77777777" w:rsidTr="00971A99">
        <w:tc>
          <w:tcPr>
            <w:tcW w:w="0" w:type="auto"/>
            <w:hideMark/>
          </w:tcPr>
          <w:p w14:paraId="0CEFB4E6" w14:textId="77777777" w:rsidR="00971A99" w:rsidRPr="00971A99" w:rsidRDefault="00971A99" w:rsidP="001D3906">
            <w:pPr>
              <w:spacing w:line="360" w:lineRule="auto"/>
              <w:jc w:val="both"/>
              <w:rPr>
                <w:rFonts w:ascii="Arial" w:eastAsia="Times New Roman" w:hAnsi="Arial" w:cs="Arial"/>
                <w:b/>
                <w:bCs/>
                <w:kern w:val="0"/>
                <w:sz w:val="24"/>
                <w:szCs w:val="24"/>
                <w14:ligatures w14:val="none"/>
              </w:rPr>
            </w:pPr>
            <w:r w:rsidRPr="00971A99">
              <w:rPr>
                <w:rFonts w:ascii="Arial" w:eastAsia="Times New Roman" w:hAnsi="Arial" w:cs="Arial"/>
                <w:b/>
                <w:bCs/>
                <w:kern w:val="0"/>
                <w:sz w:val="24"/>
                <w:szCs w:val="24"/>
                <w14:ligatures w14:val="none"/>
              </w:rPr>
              <w:t>Year</w:t>
            </w:r>
          </w:p>
        </w:tc>
        <w:tc>
          <w:tcPr>
            <w:tcW w:w="0" w:type="auto"/>
            <w:hideMark/>
          </w:tcPr>
          <w:p w14:paraId="62FB9D6A" w14:textId="77777777" w:rsidR="00971A99" w:rsidRPr="00971A99" w:rsidRDefault="00971A99" w:rsidP="001D3906">
            <w:pPr>
              <w:spacing w:line="360" w:lineRule="auto"/>
              <w:jc w:val="both"/>
              <w:rPr>
                <w:rFonts w:ascii="Arial" w:eastAsia="Times New Roman" w:hAnsi="Arial" w:cs="Arial"/>
                <w:b/>
                <w:bCs/>
                <w:kern w:val="0"/>
                <w:sz w:val="24"/>
                <w:szCs w:val="24"/>
                <w14:ligatures w14:val="none"/>
              </w:rPr>
            </w:pPr>
            <w:r w:rsidRPr="00971A99">
              <w:rPr>
                <w:rFonts w:ascii="Arial" w:eastAsia="Times New Roman" w:hAnsi="Arial" w:cs="Arial"/>
                <w:b/>
                <w:bCs/>
                <w:kern w:val="0"/>
                <w:sz w:val="24"/>
                <w:szCs w:val="24"/>
                <w14:ligatures w14:val="none"/>
              </w:rPr>
              <w:t>Gross Profit (£m)</w:t>
            </w:r>
          </w:p>
        </w:tc>
        <w:tc>
          <w:tcPr>
            <w:tcW w:w="0" w:type="auto"/>
            <w:hideMark/>
          </w:tcPr>
          <w:p w14:paraId="69D2DEBF" w14:textId="77777777" w:rsidR="00971A99" w:rsidRPr="00971A99" w:rsidRDefault="00971A99" w:rsidP="001D3906">
            <w:pPr>
              <w:spacing w:line="360" w:lineRule="auto"/>
              <w:jc w:val="both"/>
              <w:rPr>
                <w:rFonts w:ascii="Arial" w:eastAsia="Times New Roman" w:hAnsi="Arial" w:cs="Arial"/>
                <w:b/>
                <w:bCs/>
                <w:kern w:val="0"/>
                <w:sz w:val="24"/>
                <w:szCs w:val="24"/>
                <w14:ligatures w14:val="none"/>
              </w:rPr>
            </w:pPr>
            <w:r w:rsidRPr="00971A99">
              <w:rPr>
                <w:rFonts w:ascii="Arial" w:eastAsia="Times New Roman" w:hAnsi="Arial" w:cs="Arial"/>
                <w:b/>
                <w:bCs/>
                <w:kern w:val="0"/>
                <w:sz w:val="24"/>
                <w:szCs w:val="24"/>
                <w14:ligatures w14:val="none"/>
              </w:rPr>
              <w:t>Gross Margin (%)</w:t>
            </w:r>
          </w:p>
        </w:tc>
        <w:tc>
          <w:tcPr>
            <w:tcW w:w="0" w:type="auto"/>
            <w:hideMark/>
          </w:tcPr>
          <w:p w14:paraId="59B82D29" w14:textId="77777777" w:rsidR="00971A99" w:rsidRPr="00971A99" w:rsidRDefault="00971A99" w:rsidP="001D3906">
            <w:pPr>
              <w:spacing w:line="360" w:lineRule="auto"/>
              <w:jc w:val="both"/>
              <w:rPr>
                <w:rFonts w:ascii="Arial" w:eastAsia="Times New Roman" w:hAnsi="Arial" w:cs="Arial"/>
                <w:b/>
                <w:bCs/>
                <w:kern w:val="0"/>
                <w:sz w:val="24"/>
                <w:szCs w:val="24"/>
                <w14:ligatures w14:val="none"/>
              </w:rPr>
            </w:pPr>
            <w:r w:rsidRPr="00971A99">
              <w:rPr>
                <w:rFonts w:ascii="Arial" w:eastAsia="Times New Roman" w:hAnsi="Arial" w:cs="Arial"/>
                <w:b/>
                <w:bCs/>
                <w:kern w:val="0"/>
                <w:sz w:val="24"/>
                <w:szCs w:val="24"/>
                <w14:ligatures w14:val="none"/>
              </w:rPr>
              <w:t>Operating Margin (%)</w:t>
            </w:r>
          </w:p>
        </w:tc>
        <w:tc>
          <w:tcPr>
            <w:tcW w:w="0" w:type="auto"/>
            <w:hideMark/>
          </w:tcPr>
          <w:p w14:paraId="09A96DB1" w14:textId="77777777" w:rsidR="00971A99" w:rsidRPr="00971A99" w:rsidRDefault="00971A99" w:rsidP="001D3906">
            <w:pPr>
              <w:spacing w:line="360" w:lineRule="auto"/>
              <w:jc w:val="both"/>
              <w:rPr>
                <w:rFonts w:ascii="Arial" w:eastAsia="Times New Roman" w:hAnsi="Arial" w:cs="Arial"/>
                <w:b/>
                <w:bCs/>
                <w:kern w:val="0"/>
                <w:sz w:val="24"/>
                <w:szCs w:val="24"/>
                <w14:ligatures w14:val="none"/>
              </w:rPr>
            </w:pPr>
            <w:r w:rsidRPr="00971A99">
              <w:rPr>
                <w:rFonts w:ascii="Arial" w:eastAsia="Times New Roman" w:hAnsi="Arial" w:cs="Arial"/>
                <w:b/>
                <w:bCs/>
                <w:kern w:val="0"/>
                <w:sz w:val="24"/>
                <w:szCs w:val="24"/>
                <w14:ligatures w14:val="none"/>
              </w:rPr>
              <w:t>Net Margin (%)</w:t>
            </w:r>
          </w:p>
        </w:tc>
        <w:tc>
          <w:tcPr>
            <w:tcW w:w="0" w:type="auto"/>
            <w:hideMark/>
          </w:tcPr>
          <w:p w14:paraId="43E1D314" w14:textId="77777777" w:rsidR="00971A99" w:rsidRPr="00971A99" w:rsidRDefault="00971A99" w:rsidP="001D3906">
            <w:pPr>
              <w:spacing w:line="360" w:lineRule="auto"/>
              <w:jc w:val="both"/>
              <w:rPr>
                <w:rFonts w:ascii="Arial" w:eastAsia="Times New Roman" w:hAnsi="Arial" w:cs="Arial"/>
                <w:b/>
                <w:bCs/>
                <w:kern w:val="0"/>
                <w:sz w:val="24"/>
                <w:szCs w:val="24"/>
                <w14:ligatures w14:val="none"/>
              </w:rPr>
            </w:pPr>
            <w:r w:rsidRPr="00971A99">
              <w:rPr>
                <w:rFonts w:ascii="Arial" w:eastAsia="Times New Roman" w:hAnsi="Arial" w:cs="Arial"/>
                <w:b/>
                <w:bCs/>
                <w:kern w:val="0"/>
                <w:sz w:val="24"/>
                <w:szCs w:val="24"/>
                <w14:ligatures w14:val="none"/>
              </w:rPr>
              <w:t>ROA (%)</w:t>
            </w:r>
          </w:p>
        </w:tc>
        <w:tc>
          <w:tcPr>
            <w:tcW w:w="0" w:type="auto"/>
            <w:hideMark/>
          </w:tcPr>
          <w:p w14:paraId="496B6D72" w14:textId="77777777" w:rsidR="00971A99" w:rsidRPr="00971A99" w:rsidRDefault="00971A99" w:rsidP="001D3906">
            <w:pPr>
              <w:spacing w:line="360" w:lineRule="auto"/>
              <w:jc w:val="both"/>
              <w:rPr>
                <w:rFonts w:ascii="Arial" w:eastAsia="Times New Roman" w:hAnsi="Arial" w:cs="Arial"/>
                <w:b/>
                <w:bCs/>
                <w:kern w:val="0"/>
                <w:sz w:val="24"/>
                <w:szCs w:val="24"/>
                <w14:ligatures w14:val="none"/>
              </w:rPr>
            </w:pPr>
            <w:r w:rsidRPr="00971A99">
              <w:rPr>
                <w:rFonts w:ascii="Arial" w:eastAsia="Times New Roman" w:hAnsi="Arial" w:cs="Arial"/>
                <w:b/>
                <w:bCs/>
                <w:kern w:val="0"/>
                <w:sz w:val="24"/>
                <w:szCs w:val="24"/>
                <w14:ligatures w14:val="none"/>
              </w:rPr>
              <w:t>ROE (%)</w:t>
            </w:r>
          </w:p>
        </w:tc>
      </w:tr>
      <w:tr w:rsidR="00971A99" w:rsidRPr="00971A99" w14:paraId="169757B0" w14:textId="77777777" w:rsidTr="00971A99">
        <w:tc>
          <w:tcPr>
            <w:tcW w:w="0" w:type="auto"/>
            <w:hideMark/>
          </w:tcPr>
          <w:p w14:paraId="3178124D"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2020</w:t>
            </w:r>
          </w:p>
        </w:tc>
        <w:tc>
          <w:tcPr>
            <w:tcW w:w="0" w:type="auto"/>
            <w:hideMark/>
          </w:tcPr>
          <w:p w14:paraId="6662D1A3"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176,256</w:t>
            </w:r>
          </w:p>
        </w:tc>
        <w:tc>
          <w:tcPr>
            <w:tcW w:w="0" w:type="auto"/>
            <w:hideMark/>
          </w:tcPr>
          <w:p w14:paraId="781146DC"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28.67</w:t>
            </w:r>
          </w:p>
        </w:tc>
        <w:tc>
          <w:tcPr>
            <w:tcW w:w="0" w:type="auto"/>
            <w:hideMark/>
          </w:tcPr>
          <w:p w14:paraId="49D84E4C"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6.06</w:t>
            </w:r>
          </w:p>
        </w:tc>
        <w:tc>
          <w:tcPr>
            <w:tcW w:w="0" w:type="auto"/>
            <w:hideMark/>
          </w:tcPr>
          <w:p w14:paraId="0A409480"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6.28</w:t>
            </w:r>
          </w:p>
        </w:tc>
        <w:tc>
          <w:tcPr>
            <w:tcW w:w="0" w:type="auto"/>
            <w:hideMark/>
          </w:tcPr>
          <w:p w14:paraId="6A8DB2A3"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7.56</w:t>
            </w:r>
          </w:p>
        </w:tc>
        <w:tc>
          <w:tcPr>
            <w:tcW w:w="0" w:type="auto"/>
            <w:hideMark/>
          </w:tcPr>
          <w:p w14:paraId="590B03A3"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12.31</w:t>
            </w:r>
          </w:p>
        </w:tc>
      </w:tr>
      <w:tr w:rsidR="00971A99" w:rsidRPr="00971A99" w14:paraId="289E6E6A" w14:textId="77777777" w:rsidTr="00971A99">
        <w:tc>
          <w:tcPr>
            <w:tcW w:w="0" w:type="auto"/>
            <w:hideMark/>
          </w:tcPr>
          <w:p w14:paraId="470BBBC0"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2021</w:t>
            </w:r>
          </w:p>
        </w:tc>
        <w:tc>
          <w:tcPr>
            <w:tcW w:w="0" w:type="auto"/>
            <w:hideMark/>
          </w:tcPr>
          <w:p w14:paraId="282E9329"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173,016</w:t>
            </w:r>
          </w:p>
        </w:tc>
        <w:tc>
          <w:tcPr>
            <w:tcW w:w="0" w:type="auto"/>
            <w:hideMark/>
          </w:tcPr>
          <w:p w14:paraId="1DD060A4"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28.76</w:t>
            </w:r>
          </w:p>
        </w:tc>
        <w:tc>
          <w:tcPr>
            <w:tcW w:w="0" w:type="auto"/>
            <w:hideMark/>
          </w:tcPr>
          <w:p w14:paraId="5E1837C3"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3.87</w:t>
            </w:r>
          </w:p>
        </w:tc>
        <w:tc>
          <w:tcPr>
            <w:tcW w:w="0" w:type="auto"/>
            <w:hideMark/>
          </w:tcPr>
          <w:p w14:paraId="622018EB"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0.88</w:t>
            </w:r>
          </w:p>
        </w:tc>
        <w:tc>
          <w:tcPr>
            <w:tcW w:w="0" w:type="auto"/>
            <w:hideMark/>
          </w:tcPr>
          <w:p w14:paraId="0468CA7D"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1.04</w:t>
            </w:r>
          </w:p>
        </w:tc>
        <w:tc>
          <w:tcPr>
            <w:tcW w:w="0" w:type="auto"/>
            <w:hideMark/>
          </w:tcPr>
          <w:p w14:paraId="432CCC17"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1.92</w:t>
            </w:r>
          </w:p>
        </w:tc>
      </w:tr>
      <w:tr w:rsidR="00971A99" w:rsidRPr="00971A99" w14:paraId="3D5B66FB" w14:textId="77777777" w:rsidTr="00971A99">
        <w:tc>
          <w:tcPr>
            <w:tcW w:w="0" w:type="auto"/>
            <w:hideMark/>
          </w:tcPr>
          <w:p w14:paraId="60FEAD1A"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2022</w:t>
            </w:r>
          </w:p>
        </w:tc>
        <w:tc>
          <w:tcPr>
            <w:tcW w:w="0" w:type="auto"/>
            <w:hideMark/>
          </w:tcPr>
          <w:p w14:paraId="25439B0F"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152,292</w:t>
            </w:r>
          </w:p>
        </w:tc>
        <w:tc>
          <w:tcPr>
            <w:tcW w:w="0" w:type="auto"/>
            <w:hideMark/>
          </w:tcPr>
          <w:p w14:paraId="2DA05568"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28.06</w:t>
            </w:r>
          </w:p>
        </w:tc>
        <w:tc>
          <w:tcPr>
            <w:tcW w:w="0" w:type="auto"/>
            <w:hideMark/>
          </w:tcPr>
          <w:p w14:paraId="7AF95124"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2.68</w:t>
            </w:r>
          </w:p>
        </w:tc>
        <w:tc>
          <w:tcPr>
            <w:tcW w:w="0" w:type="auto"/>
            <w:hideMark/>
          </w:tcPr>
          <w:p w14:paraId="49AAD487"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0.07</w:t>
            </w:r>
          </w:p>
        </w:tc>
        <w:tc>
          <w:tcPr>
            <w:tcW w:w="0" w:type="auto"/>
            <w:hideMark/>
          </w:tcPr>
          <w:p w14:paraId="39A82206"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0.08</w:t>
            </w:r>
          </w:p>
        </w:tc>
        <w:tc>
          <w:tcPr>
            <w:tcW w:w="0" w:type="auto"/>
            <w:hideMark/>
          </w:tcPr>
          <w:p w14:paraId="022E1800"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0.15</w:t>
            </w:r>
          </w:p>
        </w:tc>
      </w:tr>
      <w:tr w:rsidR="00971A99" w:rsidRPr="00971A99" w14:paraId="14CE27CE" w14:textId="77777777" w:rsidTr="00971A99">
        <w:tc>
          <w:tcPr>
            <w:tcW w:w="0" w:type="auto"/>
            <w:hideMark/>
          </w:tcPr>
          <w:p w14:paraId="768A80C0"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2023</w:t>
            </w:r>
          </w:p>
        </w:tc>
        <w:tc>
          <w:tcPr>
            <w:tcW w:w="0" w:type="auto"/>
            <w:hideMark/>
          </w:tcPr>
          <w:p w14:paraId="3A7A473A"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97,560</w:t>
            </w:r>
          </w:p>
        </w:tc>
        <w:tc>
          <w:tcPr>
            <w:tcW w:w="0" w:type="auto"/>
            <w:hideMark/>
          </w:tcPr>
          <w:p w14:paraId="000B511E"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23.20</w:t>
            </w:r>
          </w:p>
        </w:tc>
        <w:tc>
          <w:tcPr>
            <w:tcW w:w="0" w:type="auto"/>
            <w:hideMark/>
          </w:tcPr>
          <w:p w14:paraId="4D33A598"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-20.29</w:t>
            </w:r>
          </w:p>
        </w:tc>
        <w:tc>
          <w:tcPr>
            <w:tcW w:w="0" w:type="auto"/>
            <w:hideMark/>
          </w:tcPr>
          <w:p w14:paraId="51648CD0"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-23.36</w:t>
            </w:r>
          </w:p>
        </w:tc>
        <w:tc>
          <w:tcPr>
            <w:tcW w:w="0" w:type="auto"/>
            <w:hideMark/>
          </w:tcPr>
          <w:p w14:paraId="197AF1D0"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-27.60</w:t>
            </w:r>
          </w:p>
        </w:tc>
        <w:tc>
          <w:tcPr>
            <w:tcW w:w="0" w:type="auto"/>
            <w:hideMark/>
          </w:tcPr>
          <w:p w14:paraId="1C9B81C5"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-54.91</w:t>
            </w:r>
          </w:p>
        </w:tc>
      </w:tr>
      <w:tr w:rsidR="00971A99" w:rsidRPr="00971A99" w14:paraId="615A1151" w14:textId="77777777" w:rsidTr="00971A99">
        <w:tc>
          <w:tcPr>
            <w:tcW w:w="0" w:type="auto"/>
            <w:hideMark/>
          </w:tcPr>
          <w:p w14:paraId="43D9B705"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2024</w:t>
            </w:r>
          </w:p>
        </w:tc>
        <w:tc>
          <w:tcPr>
            <w:tcW w:w="0" w:type="auto"/>
            <w:hideMark/>
          </w:tcPr>
          <w:p w14:paraId="124F029A"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113,994</w:t>
            </w:r>
          </w:p>
        </w:tc>
        <w:tc>
          <w:tcPr>
            <w:tcW w:w="0" w:type="auto"/>
            <w:hideMark/>
          </w:tcPr>
          <w:p w14:paraId="7C2381DE"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28.87</w:t>
            </w:r>
          </w:p>
        </w:tc>
        <w:tc>
          <w:tcPr>
            <w:tcW w:w="0" w:type="auto"/>
            <w:hideMark/>
          </w:tcPr>
          <w:p w14:paraId="793A1D21"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-3.87</w:t>
            </w:r>
          </w:p>
        </w:tc>
        <w:tc>
          <w:tcPr>
            <w:tcW w:w="0" w:type="auto"/>
            <w:hideMark/>
          </w:tcPr>
          <w:p w14:paraId="457C6204"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-6.09</w:t>
            </w:r>
          </w:p>
        </w:tc>
        <w:tc>
          <w:tcPr>
            <w:tcW w:w="0" w:type="auto"/>
            <w:hideMark/>
          </w:tcPr>
          <w:p w14:paraId="4FC90400"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-7.43</w:t>
            </w:r>
          </w:p>
        </w:tc>
        <w:tc>
          <w:tcPr>
            <w:tcW w:w="0" w:type="auto"/>
            <w:hideMark/>
          </w:tcPr>
          <w:p w14:paraId="6DAB57F4" w14:textId="77777777" w:rsidR="00971A99" w:rsidRPr="00971A99" w:rsidRDefault="00971A99" w:rsidP="001D3906">
            <w:pPr>
              <w:spacing w:line="360" w:lineRule="auto"/>
              <w:jc w:val="both"/>
              <w:rPr>
                <w:rFonts w:ascii="Arial" w:eastAsia="Times New Roman" w:hAnsi="Arial" w:cs="Arial"/>
                <w:kern w:val="0"/>
                <w:sz w:val="24"/>
                <w:szCs w:val="24"/>
                <w14:ligatures w14:val="none"/>
              </w:rPr>
            </w:pPr>
            <w:r w:rsidRPr="00971A99">
              <w:rPr>
                <w:rFonts w:ascii="Arial" w:eastAsia="Times New Roman" w:hAnsi="Arial" w:cs="Arial"/>
                <w:kern w:val="0"/>
                <w:sz w:val="24"/>
                <w:szCs w:val="24"/>
                <w14:ligatures w14:val="none"/>
              </w:rPr>
              <w:t>-15.69</w:t>
            </w:r>
          </w:p>
        </w:tc>
      </w:tr>
    </w:tbl>
    <w:p w14:paraId="6BFAE8C9" w14:textId="77777777" w:rsidR="006B3A4E" w:rsidRPr="004503AD" w:rsidRDefault="006B3A4E" w:rsidP="001D3906">
      <w:pPr>
        <w:spacing w:after="0" w:line="360" w:lineRule="auto"/>
        <w:jc w:val="both"/>
        <w:rPr>
          <w:rFonts w:ascii="Arial" w:hAnsi="Arial" w:cs="Arial"/>
          <w:b/>
          <w:bCs/>
          <w:sz w:val="24"/>
          <w:szCs w:val="24"/>
          <w:u w:val="single"/>
        </w:rPr>
      </w:pPr>
      <w:bookmarkStart w:id="36" w:name="_Hlk217253473"/>
      <w:r w:rsidRPr="004503AD">
        <w:rPr>
          <w:rFonts w:ascii="Arial" w:hAnsi="Arial" w:cs="Arial"/>
          <w:b/>
          <w:bCs/>
          <w:sz w:val="24"/>
          <w:szCs w:val="24"/>
          <w:u w:val="single"/>
        </w:rPr>
        <w:t>Liquidity Ratios</w:t>
      </w:r>
    </w:p>
    <w:bookmarkEnd w:id="36"/>
    <w:p w14:paraId="2402AC73" w14:textId="279BB4A8" w:rsidR="00674CF0" w:rsidRPr="001D3906" w:rsidRDefault="00674CF0" w:rsidP="001D3906">
      <w:pPr>
        <w:spacing w:after="0" w:line="360" w:lineRule="auto"/>
        <w:jc w:val="both"/>
        <w:rPr>
          <w:rFonts w:ascii="Arial" w:hAnsi="Arial" w:cs="Arial"/>
          <w:sz w:val="24"/>
          <w:szCs w:val="24"/>
        </w:rPr>
      </w:pPr>
      <w:r w:rsidRPr="001D3906">
        <w:rPr>
          <w:rFonts w:ascii="Arial" w:hAnsi="Arial" w:cs="Arial"/>
          <w:sz w:val="24"/>
          <w:szCs w:val="24"/>
        </w:rPr>
        <w:t>Formula</w:t>
      </w:r>
    </w:p>
    <w:p w14:paraId="13C1528B" w14:textId="77777777" w:rsidR="006B3A4E" w:rsidRPr="006B3A4E" w:rsidRDefault="006B3A4E" w:rsidP="00841081">
      <w:pPr>
        <w:spacing w:after="0" w:line="360" w:lineRule="auto"/>
        <w:jc w:val="center"/>
        <w:rPr>
          <w:rFonts w:ascii="Arial" w:eastAsia="Times New Roman" w:hAnsi="Arial" w:cs="Arial"/>
          <w:kern w:val="0"/>
          <w:sz w:val="24"/>
          <w:szCs w:val="24"/>
          <w14:ligatures w14:val="none"/>
        </w:rPr>
      </w:pPr>
      <w:r w:rsidRPr="006B3A4E">
        <w:rPr>
          <w:rFonts w:ascii="Arial" w:eastAsia="Times New Roman" w:hAnsi="Arial" w:cs="Arial"/>
          <w:b/>
          <w:bCs/>
          <w:kern w:val="0"/>
          <w:sz w:val="24"/>
          <w:szCs w:val="24"/>
          <w14:ligatures w14:val="none"/>
        </w:rPr>
        <w:t>Current Ratio</w:t>
      </w:r>
    </w:p>
    <w:p w14:paraId="1EAF7CB8" w14:textId="77777777" w:rsidR="006B3A4E" w:rsidRPr="001D3906" w:rsidRDefault="006B3A4E" w:rsidP="00841081">
      <w:pPr>
        <w:spacing w:after="0" w:line="360" w:lineRule="auto"/>
        <w:jc w:val="center"/>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Current Ratio=Current Assets</w:t>
      </w:r>
      <w:r w:rsidRPr="001D3906">
        <w:rPr>
          <w:rFonts w:ascii="Arial" w:eastAsia="Times New Roman" w:hAnsi="Arial" w:cs="Arial"/>
          <w:kern w:val="0"/>
          <w:sz w:val="24"/>
          <w:szCs w:val="24"/>
          <w14:ligatures w14:val="none"/>
        </w:rPr>
        <w:t>/</w:t>
      </w:r>
      <w:r w:rsidRPr="006B3A4E">
        <w:rPr>
          <w:rFonts w:ascii="Arial" w:eastAsia="Times New Roman" w:hAnsi="Arial" w:cs="Arial"/>
          <w:kern w:val="0"/>
          <w:sz w:val="24"/>
          <w:szCs w:val="24"/>
          <w14:ligatures w14:val="none"/>
        </w:rPr>
        <w:t>Current Liabilities</w:t>
      </w:r>
    </w:p>
    <w:p w14:paraId="5E8363AD" w14:textId="77777777" w:rsidR="006B3A4E" w:rsidRPr="006B3A4E" w:rsidRDefault="006B3A4E" w:rsidP="00841081">
      <w:pPr>
        <w:spacing w:after="0" w:line="360" w:lineRule="auto"/>
        <w:jc w:val="center"/>
        <w:rPr>
          <w:rFonts w:ascii="Arial" w:eastAsia="Times New Roman" w:hAnsi="Arial" w:cs="Arial"/>
          <w:kern w:val="0"/>
          <w:sz w:val="24"/>
          <w:szCs w:val="24"/>
          <w14:ligatures w14:val="none"/>
        </w:rPr>
      </w:pPr>
      <w:r w:rsidRPr="006B3A4E">
        <w:rPr>
          <w:rFonts w:ascii="Arial" w:eastAsia="Times New Roman" w:hAnsi="Arial" w:cs="Arial"/>
          <w:b/>
          <w:bCs/>
          <w:kern w:val="0"/>
          <w:sz w:val="24"/>
          <w:szCs w:val="24"/>
          <w14:ligatures w14:val="none"/>
        </w:rPr>
        <w:t>Quick Ratio (Acid-Test)</w:t>
      </w:r>
    </w:p>
    <w:p w14:paraId="5B7D4CBA" w14:textId="77777777" w:rsidR="006B3A4E" w:rsidRPr="001D3906" w:rsidRDefault="006B3A4E" w:rsidP="00841081">
      <w:pPr>
        <w:spacing w:after="0" w:line="360" w:lineRule="auto"/>
        <w:jc w:val="center"/>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Quick Ratio=Current Assets−Inventories/Current Liabilities</w:t>
      </w:r>
    </w:p>
    <w:p w14:paraId="7423D468" w14:textId="43D68097" w:rsidR="00674CF0" w:rsidRPr="001D3906" w:rsidRDefault="00674CF0"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 xml:space="preserve">Table </w:t>
      </w:r>
      <w:r w:rsidR="00841081">
        <w:rPr>
          <w:rFonts w:ascii="Arial" w:eastAsia="Times New Roman" w:hAnsi="Arial" w:cs="Arial"/>
          <w:kern w:val="0"/>
          <w:sz w:val="24"/>
          <w:szCs w:val="24"/>
          <w14:ligatures w14:val="none"/>
        </w:rPr>
        <w:t>4</w:t>
      </w:r>
      <w:r w:rsidRPr="001D3906">
        <w:rPr>
          <w:rFonts w:ascii="Arial" w:eastAsia="Times New Roman" w:hAnsi="Arial" w:cs="Arial"/>
          <w:kern w:val="0"/>
          <w:sz w:val="24"/>
          <w:szCs w:val="24"/>
          <w14:ligatures w14:val="none"/>
        </w:rPr>
        <w:t>: Liquidity Ratios</w:t>
      </w:r>
    </w:p>
    <w:tbl>
      <w:tblPr>
        <w:tblStyle w:val="TableGrid"/>
        <w:tblW w:w="0" w:type="auto"/>
        <w:tblLook w:val="04A0" w:firstRow="1" w:lastRow="0" w:firstColumn="1" w:lastColumn="0" w:noHBand="0" w:noVBand="1"/>
      </w:tblPr>
      <w:tblGrid>
        <w:gridCol w:w="750"/>
        <w:gridCol w:w="2496"/>
        <w:gridCol w:w="2816"/>
        <w:gridCol w:w="1744"/>
        <w:gridCol w:w="1544"/>
      </w:tblGrid>
      <w:tr w:rsidR="006B3A4E" w:rsidRPr="006B3A4E" w14:paraId="697E955F" w14:textId="77777777" w:rsidTr="006B3A4E">
        <w:tc>
          <w:tcPr>
            <w:tcW w:w="0" w:type="auto"/>
            <w:hideMark/>
          </w:tcPr>
          <w:p w14:paraId="24F23E8D" w14:textId="77777777" w:rsidR="006B3A4E" w:rsidRPr="006B3A4E" w:rsidRDefault="006B3A4E" w:rsidP="001D3906">
            <w:pPr>
              <w:spacing w:line="360" w:lineRule="auto"/>
              <w:jc w:val="both"/>
              <w:rPr>
                <w:rFonts w:ascii="Arial" w:eastAsia="Times New Roman" w:hAnsi="Arial" w:cs="Arial"/>
                <w:b/>
                <w:bCs/>
                <w:kern w:val="0"/>
                <w:sz w:val="24"/>
                <w:szCs w:val="24"/>
                <w14:ligatures w14:val="none"/>
              </w:rPr>
            </w:pPr>
            <w:r w:rsidRPr="006B3A4E">
              <w:rPr>
                <w:rFonts w:ascii="Arial" w:eastAsia="Times New Roman" w:hAnsi="Arial" w:cs="Arial"/>
                <w:b/>
                <w:bCs/>
                <w:kern w:val="0"/>
                <w:sz w:val="24"/>
                <w:szCs w:val="24"/>
                <w14:ligatures w14:val="none"/>
              </w:rPr>
              <w:t>Year</w:t>
            </w:r>
          </w:p>
        </w:tc>
        <w:tc>
          <w:tcPr>
            <w:tcW w:w="0" w:type="auto"/>
            <w:hideMark/>
          </w:tcPr>
          <w:p w14:paraId="7C5663C3" w14:textId="77777777" w:rsidR="006B3A4E" w:rsidRPr="006B3A4E" w:rsidRDefault="006B3A4E" w:rsidP="001D3906">
            <w:pPr>
              <w:spacing w:line="360" w:lineRule="auto"/>
              <w:jc w:val="both"/>
              <w:rPr>
                <w:rFonts w:ascii="Arial" w:eastAsia="Times New Roman" w:hAnsi="Arial" w:cs="Arial"/>
                <w:b/>
                <w:bCs/>
                <w:kern w:val="0"/>
                <w:sz w:val="24"/>
                <w:szCs w:val="24"/>
                <w14:ligatures w14:val="none"/>
              </w:rPr>
            </w:pPr>
            <w:r w:rsidRPr="006B3A4E">
              <w:rPr>
                <w:rFonts w:ascii="Arial" w:eastAsia="Times New Roman" w:hAnsi="Arial" w:cs="Arial"/>
                <w:b/>
                <w:bCs/>
                <w:kern w:val="0"/>
                <w:sz w:val="24"/>
                <w:szCs w:val="24"/>
                <w14:ligatures w14:val="none"/>
              </w:rPr>
              <w:t>Current Assets (£m)</w:t>
            </w:r>
          </w:p>
        </w:tc>
        <w:tc>
          <w:tcPr>
            <w:tcW w:w="0" w:type="auto"/>
            <w:hideMark/>
          </w:tcPr>
          <w:p w14:paraId="193E270E" w14:textId="77777777" w:rsidR="006B3A4E" w:rsidRPr="006B3A4E" w:rsidRDefault="006B3A4E" w:rsidP="001D3906">
            <w:pPr>
              <w:spacing w:line="360" w:lineRule="auto"/>
              <w:jc w:val="both"/>
              <w:rPr>
                <w:rFonts w:ascii="Arial" w:eastAsia="Times New Roman" w:hAnsi="Arial" w:cs="Arial"/>
                <w:b/>
                <w:bCs/>
                <w:kern w:val="0"/>
                <w:sz w:val="24"/>
                <w:szCs w:val="24"/>
                <w14:ligatures w14:val="none"/>
              </w:rPr>
            </w:pPr>
            <w:r w:rsidRPr="006B3A4E">
              <w:rPr>
                <w:rFonts w:ascii="Arial" w:eastAsia="Times New Roman" w:hAnsi="Arial" w:cs="Arial"/>
                <w:b/>
                <w:bCs/>
                <w:kern w:val="0"/>
                <w:sz w:val="24"/>
                <w:szCs w:val="24"/>
                <w14:ligatures w14:val="none"/>
              </w:rPr>
              <w:t>Current Liabilities (£m)</w:t>
            </w:r>
          </w:p>
        </w:tc>
        <w:tc>
          <w:tcPr>
            <w:tcW w:w="0" w:type="auto"/>
            <w:hideMark/>
          </w:tcPr>
          <w:p w14:paraId="006CF744" w14:textId="77777777" w:rsidR="006B3A4E" w:rsidRPr="006B3A4E" w:rsidRDefault="006B3A4E" w:rsidP="001D3906">
            <w:pPr>
              <w:spacing w:line="360" w:lineRule="auto"/>
              <w:jc w:val="both"/>
              <w:rPr>
                <w:rFonts w:ascii="Arial" w:eastAsia="Times New Roman" w:hAnsi="Arial" w:cs="Arial"/>
                <w:b/>
                <w:bCs/>
                <w:kern w:val="0"/>
                <w:sz w:val="24"/>
                <w:szCs w:val="24"/>
                <w14:ligatures w14:val="none"/>
              </w:rPr>
            </w:pPr>
            <w:r w:rsidRPr="006B3A4E">
              <w:rPr>
                <w:rFonts w:ascii="Arial" w:eastAsia="Times New Roman" w:hAnsi="Arial" w:cs="Arial"/>
                <w:b/>
                <w:bCs/>
                <w:kern w:val="0"/>
                <w:sz w:val="24"/>
                <w:szCs w:val="24"/>
                <w14:ligatures w14:val="none"/>
              </w:rPr>
              <w:t>Current Ratio</w:t>
            </w:r>
          </w:p>
        </w:tc>
        <w:tc>
          <w:tcPr>
            <w:tcW w:w="0" w:type="auto"/>
            <w:hideMark/>
          </w:tcPr>
          <w:p w14:paraId="6F56A180" w14:textId="77777777" w:rsidR="006B3A4E" w:rsidRPr="006B3A4E" w:rsidRDefault="006B3A4E" w:rsidP="001D3906">
            <w:pPr>
              <w:spacing w:line="360" w:lineRule="auto"/>
              <w:jc w:val="both"/>
              <w:rPr>
                <w:rFonts w:ascii="Arial" w:eastAsia="Times New Roman" w:hAnsi="Arial" w:cs="Arial"/>
                <w:b/>
                <w:bCs/>
                <w:kern w:val="0"/>
                <w:sz w:val="24"/>
                <w:szCs w:val="24"/>
                <w14:ligatures w14:val="none"/>
              </w:rPr>
            </w:pPr>
            <w:r w:rsidRPr="006B3A4E">
              <w:rPr>
                <w:rFonts w:ascii="Arial" w:eastAsia="Times New Roman" w:hAnsi="Arial" w:cs="Arial"/>
                <w:b/>
                <w:bCs/>
                <w:kern w:val="0"/>
                <w:sz w:val="24"/>
                <w:szCs w:val="24"/>
                <w14:ligatures w14:val="none"/>
              </w:rPr>
              <w:t>Quick Ratio</w:t>
            </w:r>
          </w:p>
        </w:tc>
      </w:tr>
      <w:tr w:rsidR="006B3A4E" w:rsidRPr="006B3A4E" w14:paraId="07414B30" w14:textId="77777777" w:rsidTr="006B3A4E">
        <w:tc>
          <w:tcPr>
            <w:tcW w:w="0" w:type="auto"/>
            <w:hideMark/>
          </w:tcPr>
          <w:p w14:paraId="38355C37"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2020</w:t>
            </w:r>
          </w:p>
        </w:tc>
        <w:tc>
          <w:tcPr>
            <w:tcW w:w="0" w:type="auto"/>
            <w:hideMark/>
          </w:tcPr>
          <w:p w14:paraId="721F89BC"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326,843</w:t>
            </w:r>
          </w:p>
        </w:tc>
        <w:tc>
          <w:tcPr>
            <w:tcW w:w="0" w:type="auto"/>
            <w:hideMark/>
          </w:tcPr>
          <w:p w14:paraId="3EF3F6BF"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179,510</w:t>
            </w:r>
          </w:p>
        </w:tc>
        <w:tc>
          <w:tcPr>
            <w:tcW w:w="0" w:type="auto"/>
            <w:hideMark/>
          </w:tcPr>
          <w:p w14:paraId="304DC432"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1.82</w:t>
            </w:r>
          </w:p>
        </w:tc>
        <w:tc>
          <w:tcPr>
            <w:tcW w:w="0" w:type="auto"/>
            <w:hideMark/>
          </w:tcPr>
          <w:p w14:paraId="326C7E98"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1.38</w:t>
            </w:r>
          </w:p>
        </w:tc>
      </w:tr>
      <w:tr w:rsidR="006B3A4E" w:rsidRPr="006B3A4E" w14:paraId="2CE25F75" w14:textId="77777777" w:rsidTr="006B3A4E">
        <w:tc>
          <w:tcPr>
            <w:tcW w:w="0" w:type="auto"/>
            <w:hideMark/>
          </w:tcPr>
          <w:p w14:paraId="6EEE2C3A"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2021</w:t>
            </w:r>
          </w:p>
        </w:tc>
        <w:tc>
          <w:tcPr>
            <w:tcW w:w="0" w:type="auto"/>
            <w:hideMark/>
          </w:tcPr>
          <w:p w14:paraId="4223AB53"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337,146</w:t>
            </w:r>
          </w:p>
        </w:tc>
        <w:tc>
          <w:tcPr>
            <w:tcW w:w="0" w:type="auto"/>
            <w:hideMark/>
          </w:tcPr>
          <w:p w14:paraId="6D706B89"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216,787</w:t>
            </w:r>
          </w:p>
        </w:tc>
        <w:tc>
          <w:tcPr>
            <w:tcW w:w="0" w:type="auto"/>
            <w:hideMark/>
          </w:tcPr>
          <w:p w14:paraId="0CDA658D"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1.56</w:t>
            </w:r>
          </w:p>
        </w:tc>
        <w:tc>
          <w:tcPr>
            <w:tcW w:w="0" w:type="auto"/>
            <w:hideMark/>
          </w:tcPr>
          <w:p w14:paraId="31769296"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1.09</w:t>
            </w:r>
          </w:p>
        </w:tc>
      </w:tr>
      <w:tr w:rsidR="006B3A4E" w:rsidRPr="006B3A4E" w14:paraId="6EF9509A" w14:textId="77777777" w:rsidTr="006B3A4E">
        <w:tc>
          <w:tcPr>
            <w:tcW w:w="0" w:type="auto"/>
            <w:hideMark/>
          </w:tcPr>
          <w:p w14:paraId="0374D29D"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2022</w:t>
            </w:r>
          </w:p>
        </w:tc>
        <w:tc>
          <w:tcPr>
            <w:tcW w:w="0" w:type="auto"/>
            <w:hideMark/>
          </w:tcPr>
          <w:p w14:paraId="33C092F9"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338,040</w:t>
            </w:r>
          </w:p>
        </w:tc>
        <w:tc>
          <w:tcPr>
            <w:tcW w:w="0" w:type="auto"/>
            <w:hideMark/>
          </w:tcPr>
          <w:p w14:paraId="7DD32E4C"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216,473</w:t>
            </w:r>
          </w:p>
        </w:tc>
        <w:tc>
          <w:tcPr>
            <w:tcW w:w="0" w:type="auto"/>
            <w:hideMark/>
          </w:tcPr>
          <w:p w14:paraId="29A423A1"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1.56</w:t>
            </w:r>
          </w:p>
        </w:tc>
        <w:tc>
          <w:tcPr>
            <w:tcW w:w="0" w:type="auto"/>
            <w:hideMark/>
          </w:tcPr>
          <w:p w14:paraId="18F7A172"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1.12</w:t>
            </w:r>
          </w:p>
        </w:tc>
      </w:tr>
      <w:tr w:rsidR="006B3A4E" w:rsidRPr="006B3A4E" w14:paraId="54EC992B" w14:textId="77777777" w:rsidTr="006B3A4E">
        <w:tc>
          <w:tcPr>
            <w:tcW w:w="0" w:type="auto"/>
            <w:hideMark/>
          </w:tcPr>
          <w:p w14:paraId="6D961B01"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2023</w:t>
            </w:r>
          </w:p>
        </w:tc>
        <w:tc>
          <w:tcPr>
            <w:tcW w:w="0" w:type="auto"/>
            <w:hideMark/>
          </w:tcPr>
          <w:p w14:paraId="3296E755"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258,851</w:t>
            </w:r>
          </w:p>
        </w:tc>
        <w:tc>
          <w:tcPr>
            <w:tcW w:w="0" w:type="auto"/>
            <w:hideMark/>
          </w:tcPr>
          <w:p w14:paraId="623565FE"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161,148</w:t>
            </w:r>
          </w:p>
        </w:tc>
        <w:tc>
          <w:tcPr>
            <w:tcW w:w="0" w:type="auto"/>
            <w:hideMark/>
          </w:tcPr>
          <w:p w14:paraId="3596B15E"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1.61</w:t>
            </w:r>
          </w:p>
        </w:tc>
        <w:tc>
          <w:tcPr>
            <w:tcW w:w="0" w:type="auto"/>
            <w:hideMark/>
          </w:tcPr>
          <w:p w14:paraId="711F32CB"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1.08</w:t>
            </w:r>
          </w:p>
        </w:tc>
      </w:tr>
      <w:tr w:rsidR="006B3A4E" w:rsidRPr="006B3A4E" w14:paraId="794AE96D" w14:textId="77777777" w:rsidTr="006B3A4E">
        <w:tc>
          <w:tcPr>
            <w:tcW w:w="0" w:type="auto"/>
            <w:hideMark/>
          </w:tcPr>
          <w:p w14:paraId="13BCF78B"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2024</w:t>
            </w:r>
          </w:p>
        </w:tc>
        <w:tc>
          <w:tcPr>
            <w:tcW w:w="0" w:type="auto"/>
            <w:hideMark/>
          </w:tcPr>
          <w:p w14:paraId="537138B5"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242,494</w:t>
            </w:r>
          </w:p>
        </w:tc>
        <w:tc>
          <w:tcPr>
            <w:tcW w:w="0" w:type="auto"/>
            <w:hideMark/>
          </w:tcPr>
          <w:p w14:paraId="39994DD9"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158,291</w:t>
            </w:r>
          </w:p>
        </w:tc>
        <w:tc>
          <w:tcPr>
            <w:tcW w:w="0" w:type="auto"/>
            <w:hideMark/>
          </w:tcPr>
          <w:p w14:paraId="494C4C5B"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1.53</w:t>
            </w:r>
          </w:p>
        </w:tc>
        <w:tc>
          <w:tcPr>
            <w:tcW w:w="0" w:type="auto"/>
            <w:hideMark/>
          </w:tcPr>
          <w:p w14:paraId="0F1A26B0"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1.03</w:t>
            </w:r>
          </w:p>
        </w:tc>
      </w:tr>
    </w:tbl>
    <w:p w14:paraId="2D939613" w14:textId="250C7EC6" w:rsidR="006B3A4E" w:rsidRPr="003A0EE9" w:rsidRDefault="006B3A4E" w:rsidP="001D3906">
      <w:pPr>
        <w:spacing w:after="0" w:line="360" w:lineRule="auto"/>
        <w:jc w:val="both"/>
        <w:rPr>
          <w:rFonts w:ascii="Arial" w:hAnsi="Arial" w:cs="Arial"/>
          <w:b/>
          <w:bCs/>
          <w:sz w:val="24"/>
          <w:szCs w:val="24"/>
          <w:u w:val="single"/>
        </w:rPr>
      </w:pPr>
      <w:r w:rsidRPr="003A0EE9">
        <w:rPr>
          <w:rFonts w:ascii="Arial" w:hAnsi="Arial" w:cs="Arial"/>
          <w:b/>
          <w:bCs/>
          <w:sz w:val="24"/>
          <w:szCs w:val="24"/>
          <w:u w:val="single"/>
        </w:rPr>
        <w:t>Efficiency Ratios</w:t>
      </w:r>
    </w:p>
    <w:p w14:paraId="5DF3A2ED" w14:textId="5BCBF655" w:rsidR="00674CF0" w:rsidRPr="001D3906" w:rsidRDefault="00674CF0" w:rsidP="001D3906">
      <w:pPr>
        <w:spacing w:after="0" w:line="360" w:lineRule="auto"/>
        <w:jc w:val="both"/>
        <w:rPr>
          <w:rFonts w:ascii="Arial" w:hAnsi="Arial" w:cs="Arial"/>
          <w:sz w:val="24"/>
          <w:szCs w:val="24"/>
        </w:rPr>
      </w:pPr>
      <w:r w:rsidRPr="001D3906">
        <w:rPr>
          <w:rFonts w:ascii="Arial" w:hAnsi="Arial" w:cs="Arial"/>
          <w:sz w:val="24"/>
          <w:szCs w:val="24"/>
        </w:rPr>
        <w:t>Formulas</w:t>
      </w:r>
    </w:p>
    <w:p w14:paraId="11F11FA9" w14:textId="77777777" w:rsidR="006B3A4E" w:rsidRPr="006B3A4E" w:rsidRDefault="006B3A4E" w:rsidP="003A0EE9">
      <w:pPr>
        <w:numPr>
          <w:ilvl w:val="0"/>
          <w:numId w:val="13"/>
        </w:numPr>
        <w:spacing w:after="0" w:line="360" w:lineRule="auto"/>
        <w:jc w:val="center"/>
        <w:rPr>
          <w:rFonts w:ascii="Arial" w:eastAsia="Times New Roman" w:hAnsi="Arial" w:cs="Arial"/>
          <w:kern w:val="0"/>
          <w:sz w:val="24"/>
          <w:szCs w:val="24"/>
          <w14:ligatures w14:val="none"/>
        </w:rPr>
      </w:pPr>
      <w:r w:rsidRPr="006B3A4E">
        <w:rPr>
          <w:rFonts w:ascii="Arial" w:eastAsia="Times New Roman" w:hAnsi="Arial" w:cs="Arial"/>
          <w:b/>
          <w:bCs/>
          <w:kern w:val="0"/>
          <w:sz w:val="24"/>
          <w:szCs w:val="24"/>
          <w14:ligatures w14:val="none"/>
        </w:rPr>
        <w:t>Asset Turnover</w:t>
      </w:r>
    </w:p>
    <w:p w14:paraId="077DE5E1" w14:textId="77777777" w:rsidR="006B3A4E" w:rsidRPr="001D3906" w:rsidRDefault="006B3A4E" w:rsidP="003A0EE9">
      <w:pPr>
        <w:spacing w:after="0" w:line="360" w:lineRule="auto"/>
        <w:jc w:val="center"/>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Asset Turnover=Net Sales</w:t>
      </w:r>
      <w:r w:rsidRPr="001D3906">
        <w:rPr>
          <w:rFonts w:ascii="Arial" w:eastAsia="Times New Roman" w:hAnsi="Arial" w:cs="Arial"/>
          <w:kern w:val="0"/>
          <w:sz w:val="24"/>
          <w:szCs w:val="24"/>
          <w14:ligatures w14:val="none"/>
        </w:rPr>
        <w:t>/</w:t>
      </w:r>
      <w:r w:rsidRPr="006B3A4E">
        <w:rPr>
          <w:rFonts w:ascii="Arial" w:eastAsia="Times New Roman" w:hAnsi="Arial" w:cs="Arial"/>
          <w:kern w:val="0"/>
          <w:sz w:val="24"/>
          <w:szCs w:val="24"/>
          <w14:ligatures w14:val="none"/>
        </w:rPr>
        <w:t>Total Assets</w:t>
      </w:r>
    </w:p>
    <w:p w14:paraId="5A3BC8FB" w14:textId="77777777" w:rsidR="006B3A4E" w:rsidRPr="006B3A4E" w:rsidRDefault="006B3A4E" w:rsidP="003A0EE9">
      <w:pPr>
        <w:numPr>
          <w:ilvl w:val="0"/>
          <w:numId w:val="14"/>
        </w:numPr>
        <w:spacing w:after="0" w:line="360" w:lineRule="auto"/>
        <w:jc w:val="center"/>
        <w:rPr>
          <w:rFonts w:ascii="Arial" w:eastAsia="Times New Roman" w:hAnsi="Arial" w:cs="Arial"/>
          <w:kern w:val="0"/>
          <w:sz w:val="24"/>
          <w:szCs w:val="24"/>
          <w14:ligatures w14:val="none"/>
        </w:rPr>
      </w:pPr>
      <w:r w:rsidRPr="006B3A4E">
        <w:rPr>
          <w:rFonts w:ascii="Arial" w:eastAsia="Times New Roman" w:hAnsi="Arial" w:cs="Arial"/>
          <w:b/>
          <w:bCs/>
          <w:kern w:val="0"/>
          <w:sz w:val="24"/>
          <w:szCs w:val="24"/>
          <w14:ligatures w14:val="none"/>
        </w:rPr>
        <w:t>Inventory Turnover</w:t>
      </w:r>
    </w:p>
    <w:p w14:paraId="1104ED60" w14:textId="77777777" w:rsidR="006B3A4E" w:rsidRPr="001D3906" w:rsidRDefault="006B3A4E" w:rsidP="003A0EE9">
      <w:pPr>
        <w:spacing w:after="0" w:line="360" w:lineRule="auto"/>
        <w:jc w:val="center"/>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Inventory Turnover=Cost of Sales</w:t>
      </w:r>
      <w:r w:rsidRPr="001D3906">
        <w:rPr>
          <w:rFonts w:ascii="Arial" w:eastAsia="Times New Roman" w:hAnsi="Arial" w:cs="Arial"/>
          <w:kern w:val="0"/>
          <w:sz w:val="24"/>
          <w:szCs w:val="24"/>
          <w14:ligatures w14:val="none"/>
        </w:rPr>
        <w:t>/</w:t>
      </w:r>
      <w:r w:rsidRPr="006B3A4E">
        <w:rPr>
          <w:rFonts w:ascii="Arial" w:eastAsia="Times New Roman" w:hAnsi="Arial" w:cs="Arial"/>
          <w:kern w:val="0"/>
          <w:sz w:val="24"/>
          <w:szCs w:val="24"/>
          <w14:ligatures w14:val="none"/>
        </w:rPr>
        <w:t>Average Inventory</w:t>
      </w:r>
    </w:p>
    <w:p w14:paraId="3059BBAF" w14:textId="77777777" w:rsidR="006B3A4E" w:rsidRPr="006B3A4E" w:rsidRDefault="006B3A4E" w:rsidP="003A0EE9">
      <w:pPr>
        <w:numPr>
          <w:ilvl w:val="0"/>
          <w:numId w:val="15"/>
        </w:numPr>
        <w:spacing w:after="0" w:line="360" w:lineRule="auto"/>
        <w:jc w:val="center"/>
        <w:rPr>
          <w:rFonts w:ascii="Arial" w:eastAsia="Times New Roman" w:hAnsi="Arial" w:cs="Arial"/>
          <w:kern w:val="0"/>
          <w:sz w:val="24"/>
          <w:szCs w:val="24"/>
          <w14:ligatures w14:val="none"/>
        </w:rPr>
      </w:pPr>
      <w:r w:rsidRPr="006B3A4E">
        <w:rPr>
          <w:rFonts w:ascii="Arial" w:eastAsia="Times New Roman" w:hAnsi="Arial" w:cs="Arial"/>
          <w:b/>
          <w:bCs/>
          <w:kern w:val="0"/>
          <w:sz w:val="24"/>
          <w:szCs w:val="24"/>
          <w14:ligatures w14:val="none"/>
        </w:rPr>
        <w:t>Receivables Turnover</w:t>
      </w:r>
    </w:p>
    <w:p w14:paraId="08873D49" w14:textId="77777777" w:rsidR="006B3A4E" w:rsidRPr="001D3906" w:rsidRDefault="006B3A4E" w:rsidP="003A0EE9">
      <w:pPr>
        <w:spacing w:after="0" w:line="360" w:lineRule="auto"/>
        <w:jc w:val="center"/>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Receivables Turnover=Net Sales/Average Accounts Receivable</w:t>
      </w:r>
    </w:p>
    <w:p w14:paraId="0E6B2085" w14:textId="639B92DA" w:rsidR="00674CF0" w:rsidRPr="001D3906" w:rsidRDefault="00674CF0" w:rsidP="001D3906">
      <w:pPr>
        <w:spacing w:after="0" w:line="360" w:lineRule="auto"/>
        <w:jc w:val="both"/>
        <w:rPr>
          <w:rFonts w:ascii="Arial" w:hAnsi="Arial" w:cs="Arial"/>
          <w:sz w:val="24"/>
          <w:szCs w:val="24"/>
        </w:rPr>
      </w:pPr>
      <w:r w:rsidRPr="001D3906">
        <w:rPr>
          <w:rFonts w:ascii="Arial" w:hAnsi="Arial" w:cs="Arial"/>
          <w:sz w:val="24"/>
          <w:szCs w:val="24"/>
        </w:rPr>
        <w:t xml:space="preserve">Table </w:t>
      </w:r>
      <w:r w:rsidR="003A0EE9">
        <w:rPr>
          <w:rFonts w:ascii="Arial" w:hAnsi="Arial" w:cs="Arial"/>
          <w:sz w:val="24"/>
          <w:szCs w:val="24"/>
        </w:rPr>
        <w:t>5</w:t>
      </w:r>
      <w:r w:rsidRPr="001D3906">
        <w:rPr>
          <w:rFonts w:ascii="Arial" w:hAnsi="Arial" w:cs="Arial"/>
          <w:sz w:val="24"/>
          <w:szCs w:val="24"/>
        </w:rPr>
        <w:t>: Efficiency Ratios</w:t>
      </w:r>
    </w:p>
    <w:tbl>
      <w:tblPr>
        <w:tblStyle w:val="TableGrid"/>
        <w:tblW w:w="0" w:type="auto"/>
        <w:tblLook w:val="04A0" w:firstRow="1" w:lastRow="0" w:firstColumn="1" w:lastColumn="0" w:noHBand="0" w:noVBand="1"/>
      </w:tblPr>
      <w:tblGrid>
        <w:gridCol w:w="750"/>
        <w:gridCol w:w="1256"/>
        <w:gridCol w:w="1670"/>
        <w:gridCol w:w="1629"/>
        <w:gridCol w:w="1869"/>
        <w:gridCol w:w="2176"/>
      </w:tblGrid>
      <w:tr w:rsidR="006B3A4E" w:rsidRPr="006B3A4E" w14:paraId="3A83AC6C" w14:textId="77777777" w:rsidTr="006B3A4E">
        <w:tc>
          <w:tcPr>
            <w:tcW w:w="0" w:type="auto"/>
            <w:hideMark/>
          </w:tcPr>
          <w:p w14:paraId="70906483" w14:textId="77777777" w:rsidR="006B3A4E" w:rsidRPr="006B3A4E" w:rsidRDefault="006B3A4E" w:rsidP="001D3906">
            <w:pPr>
              <w:spacing w:line="360" w:lineRule="auto"/>
              <w:jc w:val="both"/>
              <w:rPr>
                <w:rFonts w:ascii="Arial" w:eastAsia="Times New Roman" w:hAnsi="Arial" w:cs="Arial"/>
                <w:b/>
                <w:bCs/>
                <w:kern w:val="0"/>
                <w:sz w:val="24"/>
                <w:szCs w:val="24"/>
                <w14:ligatures w14:val="none"/>
              </w:rPr>
            </w:pPr>
            <w:r w:rsidRPr="006B3A4E">
              <w:rPr>
                <w:rFonts w:ascii="Arial" w:eastAsia="Times New Roman" w:hAnsi="Arial" w:cs="Arial"/>
                <w:b/>
                <w:bCs/>
                <w:kern w:val="0"/>
                <w:sz w:val="24"/>
                <w:szCs w:val="24"/>
                <w14:ligatures w14:val="none"/>
              </w:rPr>
              <w:t>Year</w:t>
            </w:r>
          </w:p>
        </w:tc>
        <w:tc>
          <w:tcPr>
            <w:tcW w:w="0" w:type="auto"/>
            <w:hideMark/>
          </w:tcPr>
          <w:p w14:paraId="6E6CEB73" w14:textId="77777777" w:rsidR="006B3A4E" w:rsidRPr="006B3A4E" w:rsidRDefault="006B3A4E" w:rsidP="001D3906">
            <w:pPr>
              <w:spacing w:line="360" w:lineRule="auto"/>
              <w:jc w:val="both"/>
              <w:rPr>
                <w:rFonts w:ascii="Arial" w:eastAsia="Times New Roman" w:hAnsi="Arial" w:cs="Arial"/>
                <w:b/>
                <w:bCs/>
                <w:kern w:val="0"/>
                <w:sz w:val="24"/>
                <w:szCs w:val="24"/>
                <w14:ligatures w14:val="none"/>
              </w:rPr>
            </w:pPr>
            <w:r w:rsidRPr="006B3A4E">
              <w:rPr>
                <w:rFonts w:ascii="Arial" w:eastAsia="Times New Roman" w:hAnsi="Arial" w:cs="Arial"/>
                <w:b/>
                <w:bCs/>
                <w:kern w:val="0"/>
                <w:sz w:val="24"/>
                <w:szCs w:val="24"/>
                <w14:ligatures w14:val="none"/>
              </w:rPr>
              <w:t>Sales (£m)</w:t>
            </w:r>
          </w:p>
        </w:tc>
        <w:tc>
          <w:tcPr>
            <w:tcW w:w="0" w:type="auto"/>
            <w:hideMark/>
          </w:tcPr>
          <w:p w14:paraId="63919057" w14:textId="77777777" w:rsidR="006B3A4E" w:rsidRPr="006B3A4E" w:rsidRDefault="006B3A4E" w:rsidP="001D3906">
            <w:pPr>
              <w:spacing w:line="360" w:lineRule="auto"/>
              <w:jc w:val="both"/>
              <w:rPr>
                <w:rFonts w:ascii="Arial" w:eastAsia="Times New Roman" w:hAnsi="Arial" w:cs="Arial"/>
                <w:b/>
                <w:bCs/>
                <w:kern w:val="0"/>
                <w:sz w:val="24"/>
                <w:szCs w:val="24"/>
                <w14:ligatures w14:val="none"/>
              </w:rPr>
            </w:pPr>
            <w:r w:rsidRPr="006B3A4E">
              <w:rPr>
                <w:rFonts w:ascii="Arial" w:eastAsia="Times New Roman" w:hAnsi="Arial" w:cs="Arial"/>
                <w:b/>
                <w:bCs/>
                <w:kern w:val="0"/>
                <w:sz w:val="24"/>
                <w:szCs w:val="24"/>
                <w14:ligatures w14:val="none"/>
              </w:rPr>
              <w:t>Total Assets (£m)</w:t>
            </w:r>
          </w:p>
        </w:tc>
        <w:tc>
          <w:tcPr>
            <w:tcW w:w="0" w:type="auto"/>
            <w:hideMark/>
          </w:tcPr>
          <w:p w14:paraId="625B334B" w14:textId="77777777" w:rsidR="006B3A4E" w:rsidRPr="006B3A4E" w:rsidRDefault="006B3A4E" w:rsidP="001D3906">
            <w:pPr>
              <w:spacing w:line="360" w:lineRule="auto"/>
              <w:jc w:val="both"/>
              <w:rPr>
                <w:rFonts w:ascii="Arial" w:eastAsia="Times New Roman" w:hAnsi="Arial" w:cs="Arial"/>
                <w:b/>
                <w:bCs/>
                <w:kern w:val="0"/>
                <w:sz w:val="24"/>
                <w:szCs w:val="24"/>
                <w14:ligatures w14:val="none"/>
              </w:rPr>
            </w:pPr>
            <w:r w:rsidRPr="006B3A4E">
              <w:rPr>
                <w:rFonts w:ascii="Arial" w:eastAsia="Times New Roman" w:hAnsi="Arial" w:cs="Arial"/>
                <w:b/>
                <w:bCs/>
                <w:kern w:val="0"/>
                <w:sz w:val="24"/>
                <w:szCs w:val="24"/>
                <w14:ligatures w14:val="none"/>
              </w:rPr>
              <w:t>Asset Turnover</w:t>
            </w:r>
          </w:p>
        </w:tc>
        <w:tc>
          <w:tcPr>
            <w:tcW w:w="0" w:type="auto"/>
            <w:hideMark/>
          </w:tcPr>
          <w:p w14:paraId="5FCBAE58" w14:textId="77777777" w:rsidR="006B3A4E" w:rsidRPr="006B3A4E" w:rsidRDefault="006B3A4E" w:rsidP="001D3906">
            <w:pPr>
              <w:spacing w:line="360" w:lineRule="auto"/>
              <w:jc w:val="both"/>
              <w:rPr>
                <w:rFonts w:ascii="Arial" w:eastAsia="Times New Roman" w:hAnsi="Arial" w:cs="Arial"/>
                <w:b/>
                <w:bCs/>
                <w:kern w:val="0"/>
                <w:sz w:val="24"/>
                <w:szCs w:val="24"/>
                <w14:ligatures w14:val="none"/>
              </w:rPr>
            </w:pPr>
            <w:r w:rsidRPr="006B3A4E">
              <w:rPr>
                <w:rFonts w:ascii="Arial" w:eastAsia="Times New Roman" w:hAnsi="Arial" w:cs="Arial"/>
                <w:b/>
                <w:bCs/>
                <w:kern w:val="0"/>
                <w:sz w:val="24"/>
                <w:szCs w:val="24"/>
                <w14:ligatures w14:val="none"/>
              </w:rPr>
              <w:t>Inventory Turnover</w:t>
            </w:r>
          </w:p>
        </w:tc>
        <w:tc>
          <w:tcPr>
            <w:tcW w:w="0" w:type="auto"/>
            <w:hideMark/>
          </w:tcPr>
          <w:p w14:paraId="23EC479A" w14:textId="77777777" w:rsidR="006B3A4E" w:rsidRPr="006B3A4E" w:rsidRDefault="006B3A4E" w:rsidP="001D3906">
            <w:pPr>
              <w:spacing w:line="360" w:lineRule="auto"/>
              <w:jc w:val="both"/>
              <w:rPr>
                <w:rFonts w:ascii="Arial" w:eastAsia="Times New Roman" w:hAnsi="Arial" w:cs="Arial"/>
                <w:b/>
                <w:bCs/>
                <w:kern w:val="0"/>
                <w:sz w:val="24"/>
                <w:szCs w:val="24"/>
                <w14:ligatures w14:val="none"/>
              </w:rPr>
            </w:pPr>
            <w:r w:rsidRPr="006B3A4E">
              <w:rPr>
                <w:rFonts w:ascii="Arial" w:eastAsia="Times New Roman" w:hAnsi="Arial" w:cs="Arial"/>
                <w:b/>
                <w:bCs/>
                <w:kern w:val="0"/>
                <w:sz w:val="24"/>
                <w:szCs w:val="24"/>
                <w14:ligatures w14:val="none"/>
              </w:rPr>
              <w:t>Receivables Turnover</w:t>
            </w:r>
          </w:p>
        </w:tc>
      </w:tr>
      <w:tr w:rsidR="006B3A4E" w:rsidRPr="006B3A4E" w14:paraId="5DB99C3C" w14:textId="77777777" w:rsidTr="006B3A4E">
        <w:tc>
          <w:tcPr>
            <w:tcW w:w="0" w:type="auto"/>
            <w:hideMark/>
          </w:tcPr>
          <w:p w14:paraId="687A7E07"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2020</w:t>
            </w:r>
          </w:p>
        </w:tc>
        <w:tc>
          <w:tcPr>
            <w:tcW w:w="0" w:type="auto"/>
            <w:hideMark/>
          </w:tcPr>
          <w:p w14:paraId="3E41C7BB"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614,680</w:t>
            </w:r>
          </w:p>
        </w:tc>
        <w:tc>
          <w:tcPr>
            <w:tcW w:w="0" w:type="auto"/>
            <w:hideMark/>
          </w:tcPr>
          <w:p w14:paraId="7C982E11"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510,290</w:t>
            </w:r>
          </w:p>
        </w:tc>
        <w:tc>
          <w:tcPr>
            <w:tcW w:w="0" w:type="auto"/>
            <w:hideMark/>
          </w:tcPr>
          <w:p w14:paraId="752C39E9"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1.20</w:t>
            </w:r>
          </w:p>
        </w:tc>
        <w:tc>
          <w:tcPr>
            <w:tcW w:w="0" w:type="auto"/>
            <w:hideMark/>
          </w:tcPr>
          <w:p w14:paraId="3CB683AD"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3.64</w:t>
            </w:r>
          </w:p>
        </w:tc>
        <w:tc>
          <w:tcPr>
            <w:tcW w:w="0" w:type="auto"/>
            <w:hideMark/>
          </w:tcPr>
          <w:p w14:paraId="40E64A35"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4.75</w:t>
            </w:r>
          </w:p>
        </w:tc>
      </w:tr>
      <w:tr w:rsidR="006B3A4E" w:rsidRPr="006B3A4E" w14:paraId="41D1AC8C" w14:textId="77777777" w:rsidTr="006B3A4E">
        <w:tc>
          <w:tcPr>
            <w:tcW w:w="0" w:type="auto"/>
            <w:hideMark/>
          </w:tcPr>
          <w:p w14:paraId="34AB807D"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2021</w:t>
            </w:r>
          </w:p>
        </w:tc>
        <w:tc>
          <w:tcPr>
            <w:tcW w:w="0" w:type="auto"/>
            <w:hideMark/>
          </w:tcPr>
          <w:p w14:paraId="326D1B52"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601,602</w:t>
            </w:r>
          </w:p>
        </w:tc>
        <w:tc>
          <w:tcPr>
            <w:tcW w:w="0" w:type="auto"/>
            <w:hideMark/>
          </w:tcPr>
          <w:p w14:paraId="1EBDDF73"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510,348</w:t>
            </w:r>
          </w:p>
        </w:tc>
        <w:tc>
          <w:tcPr>
            <w:tcW w:w="0" w:type="auto"/>
            <w:hideMark/>
          </w:tcPr>
          <w:p w14:paraId="7531FD44"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1.18</w:t>
            </w:r>
          </w:p>
        </w:tc>
        <w:tc>
          <w:tcPr>
            <w:tcW w:w="0" w:type="auto"/>
            <w:hideMark/>
          </w:tcPr>
          <w:p w14:paraId="19CE0647"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3.19</w:t>
            </w:r>
          </w:p>
        </w:tc>
        <w:tc>
          <w:tcPr>
            <w:tcW w:w="0" w:type="auto"/>
            <w:hideMark/>
          </w:tcPr>
          <w:p w14:paraId="0FD38CEA"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4.65</w:t>
            </w:r>
          </w:p>
        </w:tc>
      </w:tr>
      <w:tr w:rsidR="006B3A4E" w:rsidRPr="006B3A4E" w14:paraId="3F845C33" w14:textId="77777777" w:rsidTr="006B3A4E">
        <w:tc>
          <w:tcPr>
            <w:tcW w:w="0" w:type="auto"/>
            <w:hideMark/>
          </w:tcPr>
          <w:p w14:paraId="23D551E6"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2022</w:t>
            </w:r>
          </w:p>
        </w:tc>
        <w:tc>
          <w:tcPr>
            <w:tcW w:w="0" w:type="auto"/>
            <w:hideMark/>
          </w:tcPr>
          <w:p w14:paraId="49B3B2A1"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542,751</w:t>
            </w:r>
          </w:p>
        </w:tc>
        <w:tc>
          <w:tcPr>
            <w:tcW w:w="0" w:type="auto"/>
            <w:hideMark/>
          </w:tcPr>
          <w:p w14:paraId="0DD8AEAC"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504,163</w:t>
            </w:r>
          </w:p>
        </w:tc>
        <w:tc>
          <w:tcPr>
            <w:tcW w:w="0" w:type="auto"/>
            <w:hideMark/>
          </w:tcPr>
          <w:p w14:paraId="4CB1AA57"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1.08</w:t>
            </w:r>
          </w:p>
        </w:tc>
        <w:tc>
          <w:tcPr>
            <w:tcW w:w="0" w:type="auto"/>
            <w:hideMark/>
          </w:tcPr>
          <w:p w14:paraId="56E0ABBD"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2.79</w:t>
            </w:r>
          </w:p>
        </w:tc>
        <w:tc>
          <w:tcPr>
            <w:tcW w:w="0" w:type="auto"/>
            <w:hideMark/>
          </w:tcPr>
          <w:p w14:paraId="04294D3A"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4.83</w:t>
            </w:r>
          </w:p>
        </w:tc>
      </w:tr>
      <w:tr w:rsidR="006B3A4E" w:rsidRPr="006B3A4E" w14:paraId="41D64F2A" w14:textId="77777777" w:rsidTr="006B3A4E">
        <w:tc>
          <w:tcPr>
            <w:tcW w:w="0" w:type="auto"/>
            <w:hideMark/>
          </w:tcPr>
          <w:p w14:paraId="53D1D7DC"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2023</w:t>
            </w:r>
          </w:p>
        </w:tc>
        <w:tc>
          <w:tcPr>
            <w:tcW w:w="0" w:type="auto"/>
            <w:hideMark/>
          </w:tcPr>
          <w:p w14:paraId="3452E9C4"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420,457</w:t>
            </w:r>
          </w:p>
        </w:tc>
        <w:tc>
          <w:tcPr>
            <w:tcW w:w="0" w:type="auto"/>
            <w:hideMark/>
          </w:tcPr>
          <w:p w14:paraId="6BDECBAF"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355,872</w:t>
            </w:r>
          </w:p>
        </w:tc>
        <w:tc>
          <w:tcPr>
            <w:tcW w:w="0" w:type="auto"/>
            <w:hideMark/>
          </w:tcPr>
          <w:p w14:paraId="5D38DD5A"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1.18</w:t>
            </w:r>
          </w:p>
        </w:tc>
        <w:tc>
          <w:tcPr>
            <w:tcW w:w="0" w:type="auto"/>
            <w:hideMark/>
          </w:tcPr>
          <w:p w14:paraId="6990AB5F"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3.65</w:t>
            </w:r>
          </w:p>
        </w:tc>
        <w:tc>
          <w:tcPr>
            <w:tcW w:w="0" w:type="auto"/>
            <w:hideMark/>
          </w:tcPr>
          <w:p w14:paraId="6E0B4801"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3.74</w:t>
            </w:r>
          </w:p>
        </w:tc>
      </w:tr>
      <w:tr w:rsidR="006B3A4E" w:rsidRPr="006B3A4E" w14:paraId="37D585D7" w14:textId="77777777" w:rsidTr="006B3A4E">
        <w:tc>
          <w:tcPr>
            <w:tcW w:w="0" w:type="auto"/>
            <w:hideMark/>
          </w:tcPr>
          <w:p w14:paraId="55A7E163"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2024</w:t>
            </w:r>
          </w:p>
        </w:tc>
        <w:tc>
          <w:tcPr>
            <w:tcW w:w="0" w:type="auto"/>
            <w:hideMark/>
          </w:tcPr>
          <w:p w14:paraId="247E78B8"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394,879</w:t>
            </w:r>
          </w:p>
        </w:tc>
        <w:tc>
          <w:tcPr>
            <w:tcW w:w="0" w:type="auto"/>
            <w:hideMark/>
          </w:tcPr>
          <w:p w14:paraId="22E9F7F2"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323,354</w:t>
            </w:r>
          </w:p>
        </w:tc>
        <w:tc>
          <w:tcPr>
            <w:tcW w:w="0" w:type="auto"/>
            <w:hideMark/>
          </w:tcPr>
          <w:p w14:paraId="04D9D53C"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1.22</w:t>
            </w:r>
          </w:p>
        </w:tc>
        <w:tc>
          <w:tcPr>
            <w:tcW w:w="0" w:type="auto"/>
            <w:hideMark/>
          </w:tcPr>
          <w:p w14:paraId="33D61BDD"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3.54</w:t>
            </w:r>
          </w:p>
        </w:tc>
        <w:tc>
          <w:tcPr>
            <w:tcW w:w="0" w:type="auto"/>
            <w:hideMark/>
          </w:tcPr>
          <w:p w14:paraId="37F7C88C"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3.46</w:t>
            </w:r>
          </w:p>
        </w:tc>
      </w:tr>
    </w:tbl>
    <w:p w14:paraId="7D5C1A3C" w14:textId="77777777" w:rsidR="006B3A4E" w:rsidRPr="004503AD" w:rsidRDefault="006B3A4E" w:rsidP="001D3906">
      <w:pPr>
        <w:spacing w:after="0" w:line="360" w:lineRule="auto"/>
        <w:jc w:val="both"/>
        <w:rPr>
          <w:rFonts w:ascii="Arial" w:eastAsia="Times New Roman" w:hAnsi="Arial" w:cs="Arial"/>
          <w:b/>
          <w:bCs/>
          <w:kern w:val="0"/>
          <w:sz w:val="24"/>
          <w:szCs w:val="24"/>
          <w14:ligatures w14:val="none"/>
        </w:rPr>
      </w:pPr>
    </w:p>
    <w:p w14:paraId="3EC19709" w14:textId="77777777" w:rsidR="006B3A4E" w:rsidRPr="004503AD" w:rsidRDefault="006B3A4E" w:rsidP="001D3906">
      <w:pPr>
        <w:spacing w:after="0" w:line="360" w:lineRule="auto"/>
        <w:jc w:val="both"/>
        <w:rPr>
          <w:rFonts w:ascii="Arial" w:hAnsi="Arial" w:cs="Arial"/>
          <w:b/>
          <w:bCs/>
          <w:sz w:val="24"/>
          <w:szCs w:val="24"/>
          <w:u w:val="single"/>
        </w:rPr>
      </w:pPr>
      <w:r w:rsidRPr="004503AD">
        <w:rPr>
          <w:rFonts w:ascii="Arial" w:hAnsi="Arial" w:cs="Arial"/>
          <w:b/>
          <w:bCs/>
          <w:sz w:val="24"/>
          <w:szCs w:val="24"/>
          <w:u w:val="single"/>
        </w:rPr>
        <w:t>Gearing / Solvency Ratios</w:t>
      </w:r>
    </w:p>
    <w:p w14:paraId="232D66D9" w14:textId="41C42A41" w:rsidR="00674CF0" w:rsidRPr="001D3906" w:rsidRDefault="00674CF0" w:rsidP="001D3906">
      <w:pPr>
        <w:spacing w:after="0" w:line="360" w:lineRule="auto"/>
        <w:jc w:val="both"/>
        <w:rPr>
          <w:rFonts w:ascii="Arial" w:hAnsi="Arial" w:cs="Arial"/>
          <w:sz w:val="24"/>
          <w:szCs w:val="24"/>
        </w:rPr>
      </w:pPr>
      <w:r w:rsidRPr="001D3906">
        <w:rPr>
          <w:rFonts w:ascii="Arial" w:hAnsi="Arial" w:cs="Arial"/>
          <w:sz w:val="24"/>
          <w:szCs w:val="24"/>
        </w:rPr>
        <w:t>Formulas</w:t>
      </w:r>
    </w:p>
    <w:p w14:paraId="23CC014C" w14:textId="77777777" w:rsidR="006B3A4E" w:rsidRPr="006B3A4E" w:rsidRDefault="006B3A4E" w:rsidP="004503AD">
      <w:pPr>
        <w:numPr>
          <w:ilvl w:val="0"/>
          <w:numId w:val="16"/>
        </w:numPr>
        <w:spacing w:after="0" w:line="360" w:lineRule="auto"/>
        <w:jc w:val="center"/>
        <w:rPr>
          <w:rFonts w:ascii="Arial" w:eastAsia="Times New Roman" w:hAnsi="Arial" w:cs="Arial"/>
          <w:kern w:val="0"/>
          <w:sz w:val="24"/>
          <w:szCs w:val="24"/>
          <w14:ligatures w14:val="none"/>
        </w:rPr>
      </w:pPr>
      <w:r w:rsidRPr="006B3A4E">
        <w:rPr>
          <w:rFonts w:ascii="Arial" w:eastAsia="Times New Roman" w:hAnsi="Arial" w:cs="Arial"/>
          <w:b/>
          <w:bCs/>
          <w:kern w:val="0"/>
          <w:sz w:val="24"/>
          <w:szCs w:val="24"/>
          <w14:ligatures w14:val="none"/>
        </w:rPr>
        <w:t>Debt-to-Equity Ratio</w:t>
      </w:r>
    </w:p>
    <w:p w14:paraId="0C266321" w14:textId="77777777" w:rsidR="006B3A4E" w:rsidRPr="001D3906" w:rsidRDefault="006B3A4E" w:rsidP="004503AD">
      <w:pPr>
        <w:spacing w:after="0" w:line="360" w:lineRule="auto"/>
        <w:jc w:val="center"/>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Debt-to-Equity Ratio=Total Debt</w:t>
      </w:r>
      <w:r w:rsidRPr="001D3906">
        <w:rPr>
          <w:rFonts w:ascii="Arial" w:eastAsia="Times New Roman" w:hAnsi="Arial" w:cs="Arial"/>
          <w:kern w:val="0"/>
          <w:sz w:val="24"/>
          <w:szCs w:val="24"/>
          <w14:ligatures w14:val="none"/>
        </w:rPr>
        <w:t>/</w:t>
      </w:r>
      <w:r w:rsidRPr="006B3A4E">
        <w:rPr>
          <w:rFonts w:ascii="Arial" w:eastAsia="Times New Roman" w:hAnsi="Arial" w:cs="Arial"/>
          <w:kern w:val="0"/>
          <w:sz w:val="24"/>
          <w:szCs w:val="24"/>
          <w14:ligatures w14:val="none"/>
        </w:rPr>
        <w:t>Shareholders’ Equity</w:t>
      </w:r>
    </w:p>
    <w:p w14:paraId="0151918F" w14:textId="77777777" w:rsidR="006B3A4E" w:rsidRPr="006B3A4E" w:rsidRDefault="006B3A4E" w:rsidP="004503AD">
      <w:pPr>
        <w:numPr>
          <w:ilvl w:val="0"/>
          <w:numId w:val="17"/>
        </w:numPr>
        <w:spacing w:after="0" w:line="360" w:lineRule="auto"/>
        <w:jc w:val="center"/>
        <w:rPr>
          <w:rFonts w:ascii="Arial" w:eastAsia="Times New Roman" w:hAnsi="Arial" w:cs="Arial"/>
          <w:kern w:val="0"/>
          <w:sz w:val="24"/>
          <w:szCs w:val="24"/>
          <w14:ligatures w14:val="none"/>
        </w:rPr>
      </w:pPr>
      <w:r w:rsidRPr="006B3A4E">
        <w:rPr>
          <w:rFonts w:ascii="Arial" w:eastAsia="Times New Roman" w:hAnsi="Arial" w:cs="Arial"/>
          <w:b/>
          <w:bCs/>
          <w:kern w:val="0"/>
          <w:sz w:val="24"/>
          <w:szCs w:val="24"/>
          <w14:ligatures w14:val="none"/>
        </w:rPr>
        <w:t>Interest Coverage Ratio</w:t>
      </w:r>
    </w:p>
    <w:p w14:paraId="35BE47BD" w14:textId="5FD2EEE1" w:rsidR="006B3A4E" w:rsidRPr="001D3906" w:rsidRDefault="006B3A4E" w:rsidP="004503AD">
      <w:pPr>
        <w:spacing w:after="0" w:line="360" w:lineRule="auto"/>
        <w:jc w:val="center"/>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Interest Coverage=EBIT/Interest Expense</w:t>
      </w:r>
    </w:p>
    <w:p w14:paraId="2B5BCB2A" w14:textId="3B06DE91" w:rsidR="00674CF0" w:rsidRPr="001D3906" w:rsidRDefault="00674CF0" w:rsidP="001D3906">
      <w:pPr>
        <w:spacing w:after="0" w:line="360" w:lineRule="auto"/>
        <w:jc w:val="both"/>
        <w:rPr>
          <w:rFonts w:ascii="Arial" w:hAnsi="Arial" w:cs="Arial"/>
          <w:sz w:val="24"/>
          <w:szCs w:val="24"/>
        </w:rPr>
      </w:pPr>
      <w:r w:rsidRPr="001D3906">
        <w:rPr>
          <w:rFonts w:ascii="Arial" w:hAnsi="Arial" w:cs="Arial"/>
          <w:sz w:val="24"/>
          <w:szCs w:val="24"/>
        </w:rPr>
        <w:t xml:space="preserve">Table </w:t>
      </w:r>
      <w:r w:rsidR="004503AD">
        <w:rPr>
          <w:rFonts w:ascii="Arial" w:hAnsi="Arial" w:cs="Arial"/>
          <w:sz w:val="24"/>
          <w:szCs w:val="24"/>
        </w:rPr>
        <w:t>6</w:t>
      </w:r>
      <w:r w:rsidRPr="001D3906">
        <w:rPr>
          <w:rFonts w:ascii="Arial" w:hAnsi="Arial" w:cs="Arial"/>
          <w:sz w:val="24"/>
          <w:szCs w:val="24"/>
        </w:rPr>
        <w:t>: Solvency Ratios</w:t>
      </w:r>
    </w:p>
    <w:tbl>
      <w:tblPr>
        <w:tblStyle w:val="TableGrid"/>
        <w:tblW w:w="0" w:type="auto"/>
        <w:tblLook w:val="04A0" w:firstRow="1" w:lastRow="0" w:firstColumn="1" w:lastColumn="0" w:noHBand="0" w:noVBand="1"/>
      </w:tblPr>
      <w:tblGrid>
        <w:gridCol w:w="751"/>
        <w:gridCol w:w="1617"/>
        <w:gridCol w:w="1350"/>
        <w:gridCol w:w="1508"/>
        <w:gridCol w:w="2095"/>
        <w:gridCol w:w="2029"/>
      </w:tblGrid>
      <w:tr w:rsidR="006B3A4E" w:rsidRPr="006B3A4E" w14:paraId="33BC4678" w14:textId="77777777" w:rsidTr="006B3A4E">
        <w:tc>
          <w:tcPr>
            <w:tcW w:w="0" w:type="auto"/>
            <w:hideMark/>
          </w:tcPr>
          <w:p w14:paraId="3D0C2726" w14:textId="77777777" w:rsidR="006B3A4E" w:rsidRPr="006B3A4E" w:rsidRDefault="006B3A4E" w:rsidP="001D3906">
            <w:pPr>
              <w:spacing w:line="360" w:lineRule="auto"/>
              <w:jc w:val="both"/>
              <w:rPr>
                <w:rFonts w:ascii="Arial" w:eastAsia="Times New Roman" w:hAnsi="Arial" w:cs="Arial"/>
                <w:b/>
                <w:bCs/>
                <w:kern w:val="0"/>
                <w:sz w:val="24"/>
                <w:szCs w:val="24"/>
                <w14:ligatures w14:val="none"/>
              </w:rPr>
            </w:pPr>
            <w:r w:rsidRPr="006B3A4E">
              <w:rPr>
                <w:rFonts w:ascii="Arial" w:eastAsia="Times New Roman" w:hAnsi="Arial" w:cs="Arial"/>
                <w:b/>
                <w:bCs/>
                <w:kern w:val="0"/>
                <w:sz w:val="24"/>
                <w:szCs w:val="24"/>
                <w14:ligatures w14:val="none"/>
              </w:rPr>
              <w:t>Year</w:t>
            </w:r>
          </w:p>
        </w:tc>
        <w:tc>
          <w:tcPr>
            <w:tcW w:w="0" w:type="auto"/>
            <w:hideMark/>
          </w:tcPr>
          <w:p w14:paraId="1646B213" w14:textId="77777777" w:rsidR="006B3A4E" w:rsidRPr="006B3A4E" w:rsidRDefault="006B3A4E" w:rsidP="001D3906">
            <w:pPr>
              <w:spacing w:line="360" w:lineRule="auto"/>
              <w:jc w:val="both"/>
              <w:rPr>
                <w:rFonts w:ascii="Arial" w:eastAsia="Times New Roman" w:hAnsi="Arial" w:cs="Arial"/>
                <w:b/>
                <w:bCs/>
                <w:kern w:val="0"/>
                <w:sz w:val="24"/>
                <w:szCs w:val="24"/>
                <w14:ligatures w14:val="none"/>
              </w:rPr>
            </w:pPr>
            <w:r w:rsidRPr="006B3A4E">
              <w:rPr>
                <w:rFonts w:ascii="Arial" w:eastAsia="Times New Roman" w:hAnsi="Arial" w:cs="Arial"/>
                <w:b/>
                <w:bCs/>
                <w:kern w:val="0"/>
                <w:sz w:val="24"/>
                <w:szCs w:val="24"/>
                <w14:ligatures w14:val="none"/>
              </w:rPr>
              <w:t>Total Debt (£m)</w:t>
            </w:r>
          </w:p>
        </w:tc>
        <w:tc>
          <w:tcPr>
            <w:tcW w:w="0" w:type="auto"/>
            <w:hideMark/>
          </w:tcPr>
          <w:p w14:paraId="312A5181" w14:textId="77777777" w:rsidR="006B3A4E" w:rsidRPr="006B3A4E" w:rsidRDefault="006B3A4E" w:rsidP="001D3906">
            <w:pPr>
              <w:spacing w:line="360" w:lineRule="auto"/>
              <w:jc w:val="both"/>
              <w:rPr>
                <w:rFonts w:ascii="Arial" w:eastAsia="Times New Roman" w:hAnsi="Arial" w:cs="Arial"/>
                <w:b/>
                <w:bCs/>
                <w:kern w:val="0"/>
                <w:sz w:val="24"/>
                <w:szCs w:val="24"/>
                <w14:ligatures w14:val="none"/>
              </w:rPr>
            </w:pPr>
            <w:r w:rsidRPr="006B3A4E">
              <w:rPr>
                <w:rFonts w:ascii="Arial" w:eastAsia="Times New Roman" w:hAnsi="Arial" w:cs="Arial"/>
                <w:b/>
                <w:bCs/>
                <w:kern w:val="0"/>
                <w:sz w:val="24"/>
                <w:szCs w:val="24"/>
                <w14:ligatures w14:val="none"/>
              </w:rPr>
              <w:t>Equity (£m)</w:t>
            </w:r>
          </w:p>
        </w:tc>
        <w:tc>
          <w:tcPr>
            <w:tcW w:w="0" w:type="auto"/>
            <w:hideMark/>
          </w:tcPr>
          <w:p w14:paraId="3F858A18" w14:textId="77777777" w:rsidR="006B3A4E" w:rsidRPr="006B3A4E" w:rsidRDefault="006B3A4E" w:rsidP="001D3906">
            <w:pPr>
              <w:spacing w:line="360" w:lineRule="auto"/>
              <w:jc w:val="both"/>
              <w:rPr>
                <w:rFonts w:ascii="Arial" w:eastAsia="Times New Roman" w:hAnsi="Arial" w:cs="Arial"/>
                <w:b/>
                <w:bCs/>
                <w:kern w:val="0"/>
                <w:sz w:val="24"/>
                <w:szCs w:val="24"/>
                <w14:ligatures w14:val="none"/>
              </w:rPr>
            </w:pPr>
            <w:r w:rsidRPr="006B3A4E">
              <w:rPr>
                <w:rFonts w:ascii="Arial" w:eastAsia="Times New Roman" w:hAnsi="Arial" w:cs="Arial"/>
                <w:b/>
                <w:bCs/>
                <w:kern w:val="0"/>
                <w:sz w:val="24"/>
                <w:szCs w:val="24"/>
                <w14:ligatures w14:val="none"/>
              </w:rPr>
              <w:t>Debt-to-Equity</w:t>
            </w:r>
          </w:p>
        </w:tc>
        <w:tc>
          <w:tcPr>
            <w:tcW w:w="0" w:type="auto"/>
            <w:hideMark/>
          </w:tcPr>
          <w:p w14:paraId="010F9875" w14:textId="77777777" w:rsidR="006B3A4E" w:rsidRPr="006B3A4E" w:rsidRDefault="006B3A4E" w:rsidP="001D3906">
            <w:pPr>
              <w:spacing w:line="360" w:lineRule="auto"/>
              <w:jc w:val="both"/>
              <w:rPr>
                <w:rFonts w:ascii="Arial" w:eastAsia="Times New Roman" w:hAnsi="Arial" w:cs="Arial"/>
                <w:b/>
                <w:bCs/>
                <w:kern w:val="0"/>
                <w:sz w:val="24"/>
                <w:szCs w:val="24"/>
                <w14:ligatures w14:val="none"/>
              </w:rPr>
            </w:pPr>
            <w:r w:rsidRPr="006B3A4E">
              <w:rPr>
                <w:rFonts w:ascii="Arial" w:eastAsia="Times New Roman" w:hAnsi="Arial" w:cs="Arial"/>
                <w:b/>
                <w:bCs/>
                <w:kern w:val="0"/>
                <w:sz w:val="24"/>
                <w:szCs w:val="24"/>
                <w14:ligatures w14:val="none"/>
              </w:rPr>
              <w:t>Interest Coverage (x)</w:t>
            </w:r>
          </w:p>
        </w:tc>
        <w:tc>
          <w:tcPr>
            <w:tcW w:w="0" w:type="auto"/>
            <w:hideMark/>
          </w:tcPr>
          <w:p w14:paraId="4E587CE5" w14:textId="77777777" w:rsidR="006B3A4E" w:rsidRPr="006B3A4E" w:rsidRDefault="006B3A4E" w:rsidP="001D3906">
            <w:pPr>
              <w:spacing w:line="360" w:lineRule="auto"/>
              <w:jc w:val="both"/>
              <w:rPr>
                <w:rFonts w:ascii="Arial" w:eastAsia="Times New Roman" w:hAnsi="Arial" w:cs="Arial"/>
                <w:b/>
                <w:bCs/>
                <w:kern w:val="0"/>
                <w:sz w:val="24"/>
                <w:szCs w:val="24"/>
                <w14:ligatures w14:val="none"/>
              </w:rPr>
            </w:pPr>
            <w:r w:rsidRPr="006B3A4E">
              <w:rPr>
                <w:rFonts w:ascii="Arial" w:eastAsia="Times New Roman" w:hAnsi="Arial" w:cs="Arial"/>
                <w:b/>
                <w:bCs/>
                <w:kern w:val="0"/>
                <w:sz w:val="24"/>
                <w:szCs w:val="24"/>
                <w14:ligatures w14:val="none"/>
              </w:rPr>
              <w:t>Operating CF / Debt</w:t>
            </w:r>
          </w:p>
        </w:tc>
      </w:tr>
      <w:tr w:rsidR="006B3A4E" w:rsidRPr="006B3A4E" w14:paraId="6F6026DA" w14:textId="77777777" w:rsidTr="006B3A4E">
        <w:tc>
          <w:tcPr>
            <w:tcW w:w="0" w:type="auto"/>
            <w:hideMark/>
          </w:tcPr>
          <w:p w14:paraId="58E83066"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2020</w:t>
            </w:r>
          </w:p>
        </w:tc>
        <w:tc>
          <w:tcPr>
            <w:tcW w:w="0" w:type="auto"/>
            <w:hideMark/>
          </w:tcPr>
          <w:p w14:paraId="5E95ABD8"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196,989</w:t>
            </w:r>
          </w:p>
        </w:tc>
        <w:tc>
          <w:tcPr>
            <w:tcW w:w="0" w:type="auto"/>
            <w:hideMark/>
          </w:tcPr>
          <w:p w14:paraId="2EEE61CD"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313,301</w:t>
            </w:r>
          </w:p>
        </w:tc>
        <w:tc>
          <w:tcPr>
            <w:tcW w:w="0" w:type="auto"/>
            <w:hideMark/>
          </w:tcPr>
          <w:p w14:paraId="0A2AB145"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0.63</w:t>
            </w:r>
          </w:p>
        </w:tc>
        <w:tc>
          <w:tcPr>
            <w:tcW w:w="0" w:type="auto"/>
            <w:hideMark/>
          </w:tcPr>
          <w:p w14:paraId="22DF5599"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11.1</w:t>
            </w:r>
          </w:p>
        </w:tc>
        <w:tc>
          <w:tcPr>
            <w:tcW w:w="0" w:type="auto"/>
            <w:hideMark/>
          </w:tcPr>
          <w:p w14:paraId="6CE38487"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0.37</w:t>
            </w:r>
          </w:p>
        </w:tc>
      </w:tr>
      <w:tr w:rsidR="006B3A4E" w:rsidRPr="006B3A4E" w14:paraId="4E87DA3F" w14:textId="77777777" w:rsidTr="006B3A4E">
        <w:tc>
          <w:tcPr>
            <w:tcW w:w="0" w:type="auto"/>
            <w:hideMark/>
          </w:tcPr>
          <w:p w14:paraId="56BF641E"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2021</w:t>
            </w:r>
          </w:p>
        </w:tc>
        <w:tc>
          <w:tcPr>
            <w:tcW w:w="0" w:type="auto"/>
            <w:hideMark/>
          </w:tcPr>
          <w:p w14:paraId="0770B489"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234,399</w:t>
            </w:r>
          </w:p>
        </w:tc>
        <w:tc>
          <w:tcPr>
            <w:tcW w:w="0" w:type="auto"/>
            <w:hideMark/>
          </w:tcPr>
          <w:p w14:paraId="09CA92E3"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275,949</w:t>
            </w:r>
          </w:p>
        </w:tc>
        <w:tc>
          <w:tcPr>
            <w:tcW w:w="0" w:type="auto"/>
            <w:hideMark/>
          </w:tcPr>
          <w:p w14:paraId="3B71BAE6"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0.85</w:t>
            </w:r>
          </w:p>
        </w:tc>
        <w:tc>
          <w:tcPr>
            <w:tcW w:w="0" w:type="auto"/>
            <w:hideMark/>
          </w:tcPr>
          <w:p w14:paraId="151BD862"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4.2</w:t>
            </w:r>
          </w:p>
        </w:tc>
        <w:tc>
          <w:tcPr>
            <w:tcW w:w="0" w:type="auto"/>
            <w:hideMark/>
          </w:tcPr>
          <w:p w14:paraId="6848DE5F"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0.17</w:t>
            </w:r>
          </w:p>
        </w:tc>
      </w:tr>
      <w:tr w:rsidR="006B3A4E" w:rsidRPr="006B3A4E" w14:paraId="42A0EB1B" w14:textId="77777777" w:rsidTr="006B3A4E">
        <w:tc>
          <w:tcPr>
            <w:tcW w:w="0" w:type="auto"/>
            <w:hideMark/>
          </w:tcPr>
          <w:p w14:paraId="4CCC86C4"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2022</w:t>
            </w:r>
          </w:p>
        </w:tc>
        <w:tc>
          <w:tcPr>
            <w:tcW w:w="0" w:type="auto"/>
            <w:hideMark/>
          </w:tcPr>
          <w:p w14:paraId="5D5AEBE9"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235,757</w:t>
            </w:r>
          </w:p>
        </w:tc>
        <w:tc>
          <w:tcPr>
            <w:tcW w:w="0" w:type="auto"/>
            <w:hideMark/>
          </w:tcPr>
          <w:p w14:paraId="04193A44"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268,406</w:t>
            </w:r>
          </w:p>
        </w:tc>
        <w:tc>
          <w:tcPr>
            <w:tcW w:w="0" w:type="auto"/>
            <w:hideMark/>
          </w:tcPr>
          <w:p w14:paraId="56DCF667"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0.88</w:t>
            </w:r>
          </w:p>
        </w:tc>
        <w:tc>
          <w:tcPr>
            <w:tcW w:w="0" w:type="auto"/>
            <w:hideMark/>
          </w:tcPr>
          <w:p w14:paraId="75E5B3FE"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1.5</w:t>
            </w:r>
          </w:p>
        </w:tc>
        <w:tc>
          <w:tcPr>
            <w:tcW w:w="0" w:type="auto"/>
            <w:hideMark/>
          </w:tcPr>
          <w:p w14:paraId="08370AAB"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0.05</w:t>
            </w:r>
          </w:p>
        </w:tc>
      </w:tr>
      <w:tr w:rsidR="006B3A4E" w:rsidRPr="006B3A4E" w14:paraId="3DDC072F" w14:textId="77777777" w:rsidTr="006B3A4E">
        <w:tc>
          <w:tcPr>
            <w:tcW w:w="0" w:type="auto"/>
            <w:hideMark/>
          </w:tcPr>
          <w:p w14:paraId="3268525C"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2023</w:t>
            </w:r>
          </w:p>
        </w:tc>
        <w:tc>
          <w:tcPr>
            <w:tcW w:w="0" w:type="auto"/>
            <w:hideMark/>
          </w:tcPr>
          <w:p w14:paraId="672C6E4F"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176,952</w:t>
            </w:r>
          </w:p>
        </w:tc>
        <w:tc>
          <w:tcPr>
            <w:tcW w:w="0" w:type="auto"/>
            <w:hideMark/>
          </w:tcPr>
          <w:p w14:paraId="2E90B334"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178,920</w:t>
            </w:r>
          </w:p>
        </w:tc>
        <w:tc>
          <w:tcPr>
            <w:tcW w:w="0" w:type="auto"/>
            <w:hideMark/>
          </w:tcPr>
          <w:p w14:paraId="003797F4"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0.99</w:t>
            </w:r>
          </w:p>
        </w:tc>
        <w:tc>
          <w:tcPr>
            <w:tcW w:w="0" w:type="auto"/>
            <w:hideMark/>
          </w:tcPr>
          <w:p w14:paraId="6FCD18BF"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-19.7</w:t>
            </w:r>
          </w:p>
        </w:tc>
        <w:tc>
          <w:tcPr>
            <w:tcW w:w="0" w:type="auto"/>
            <w:hideMark/>
          </w:tcPr>
          <w:p w14:paraId="2A3B3E91"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0.14</w:t>
            </w:r>
          </w:p>
        </w:tc>
      </w:tr>
      <w:tr w:rsidR="006B3A4E" w:rsidRPr="006B3A4E" w14:paraId="1960D013" w14:textId="77777777" w:rsidTr="006B3A4E">
        <w:tc>
          <w:tcPr>
            <w:tcW w:w="0" w:type="auto"/>
            <w:hideMark/>
          </w:tcPr>
          <w:p w14:paraId="3D0C6CFE"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2024</w:t>
            </w:r>
          </w:p>
        </w:tc>
        <w:tc>
          <w:tcPr>
            <w:tcW w:w="0" w:type="auto"/>
            <w:hideMark/>
          </w:tcPr>
          <w:p w14:paraId="20BE1ABA"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170,249</w:t>
            </w:r>
          </w:p>
        </w:tc>
        <w:tc>
          <w:tcPr>
            <w:tcW w:w="0" w:type="auto"/>
            <w:hideMark/>
          </w:tcPr>
          <w:p w14:paraId="38140BDE"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153,105</w:t>
            </w:r>
          </w:p>
        </w:tc>
        <w:tc>
          <w:tcPr>
            <w:tcW w:w="0" w:type="auto"/>
            <w:hideMark/>
          </w:tcPr>
          <w:p w14:paraId="74180342"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1.11</w:t>
            </w:r>
          </w:p>
        </w:tc>
        <w:tc>
          <w:tcPr>
            <w:tcW w:w="0" w:type="auto"/>
            <w:hideMark/>
          </w:tcPr>
          <w:p w14:paraId="58420358"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-4.5</w:t>
            </w:r>
          </w:p>
        </w:tc>
        <w:tc>
          <w:tcPr>
            <w:tcW w:w="0" w:type="auto"/>
            <w:hideMark/>
          </w:tcPr>
          <w:p w14:paraId="77873748" w14:textId="77777777" w:rsidR="006B3A4E" w:rsidRPr="006B3A4E" w:rsidRDefault="006B3A4E" w:rsidP="001D3906">
            <w:pPr>
              <w:spacing w:line="360" w:lineRule="auto"/>
              <w:jc w:val="both"/>
              <w:rPr>
                <w:rFonts w:ascii="Arial" w:eastAsia="Times New Roman" w:hAnsi="Arial" w:cs="Arial"/>
                <w:kern w:val="0"/>
                <w:sz w:val="24"/>
                <w:szCs w:val="24"/>
                <w14:ligatures w14:val="none"/>
              </w:rPr>
            </w:pPr>
            <w:r w:rsidRPr="006B3A4E">
              <w:rPr>
                <w:rFonts w:ascii="Arial" w:eastAsia="Times New Roman" w:hAnsi="Arial" w:cs="Arial"/>
                <w:kern w:val="0"/>
                <w:sz w:val="24"/>
                <w:szCs w:val="24"/>
                <w14:ligatures w14:val="none"/>
              </w:rPr>
              <w:t>0.09</w:t>
            </w:r>
          </w:p>
        </w:tc>
      </w:tr>
    </w:tbl>
    <w:p w14:paraId="09E009C9" w14:textId="77777777" w:rsidR="006B3A4E" w:rsidRPr="001D3906" w:rsidRDefault="006B3A4E" w:rsidP="001D3906">
      <w:pPr>
        <w:spacing w:after="0" w:line="360" w:lineRule="auto"/>
        <w:jc w:val="both"/>
        <w:rPr>
          <w:rFonts w:ascii="Arial" w:eastAsia="Times New Roman" w:hAnsi="Arial" w:cs="Arial"/>
          <w:kern w:val="0"/>
          <w:sz w:val="24"/>
          <w:szCs w:val="24"/>
          <w14:ligatures w14:val="none"/>
        </w:rPr>
      </w:pPr>
    </w:p>
    <w:p w14:paraId="0240F456" w14:textId="2E45A1A6" w:rsidR="008D7654" w:rsidRPr="001764ED" w:rsidRDefault="008D7654" w:rsidP="001D3906">
      <w:pPr>
        <w:spacing w:after="0" w:line="360" w:lineRule="auto"/>
        <w:jc w:val="both"/>
        <w:rPr>
          <w:rFonts w:ascii="Arial" w:eastAsia="Times New Roman" w:hAnsi="Arial" w:cs="Arial"/>
          <w:b/>
          <w:bCs/>
          <w:kern w:val="0"/>
          <w:sz w:val="24"/>
          <w:szCs w:val="24"/>
          <w:u w:val="single"/>
          <w14:ligatures w14:val="none"/>
        </w:rPr>
      </w:pPr>
      <w:r w:rsidRPr="001764ED">
        <w:rPr>
          <w:rFonts w:ascii="Arial" w:eastAsia="Times New Roman" w:hAnsi="Arial" w:cs="Arial"/>
          <w:b/>
          <w:bCs/>
          <w:kern w:val="0"/>
          <w:sz w:val="24"/>
          <w:szCs w:val="24"/>
          <w:u w:val="single"/>
          <w14:ligatures w14:val="none"/>
        </w:rPr>
        <w:t>Investment ratios</w:t>
      </w:r>
    </w:p>
    <w:p w14:paraId="22CE9083" w14:textId="6016594F" w:rsidR="007A07CD" w:rsidRPr="001D3906" w:rsidRDefault="007A07CD" w:rsidP="001D3906">
      <w:pPr>
        <w:spacing w:after="0" w:line="360" w:lineRule="auto"/>
        <w:jc w:val="both"/>
        <w:rPr>
          <w:rFonts w:ascii="Arial" w:hAnsi="Arial" w:cs="Arial"/>
          <w:sz w:val="24"/>
          <w:szCs w:val="24"/>
        </w:rPr>
      </w:pPr>
      <w:r w:rsidRPr="001D3906">
        <w:rPr>
          <w:rFonts w:ascii="Arial" w:hAnsi="Arial" w:cs="Arial"/>
          <w:sz w:val="24"/>
          <w:szCs w:val="24"/>
        </w:rPr>
        <w:t>Formulas</w:t>
      </w:r>
    </w:p>
    <w:p w14:paraId="1732F547" w14:textId="77777777" w:rsidR="008D7654" w:rsidRPr="001D3906" w:rsidRDefault="008D7654" w:rsidP="001764ED">
      <w:pPr>
        <w:spacing w:after="0" w:line="360" w:lineRule="auto"/>
        <w:jc w:val="center"/>
        <w:rPr>
          <w:rFonts w:ascii="Arial" w:hAnsi="Arial" w:cs="Arial"/>
          <w:sz w:val="24"/>
          <w:szCs w:val="24"/>
        </w:rPr>
      </w:pPr>
      <w:r w:rsidRPr="001D3906">
        <w:rPr>
          <w:rFonts w:ascii="Arial" w:hAnsi="Arial" w:cs="Arial"/>
          <w:sz w:val="24"/>
          <w:szCs w:val="24"/>
        </w:rPr>
        <w:t>1. Return on Invested Capital (ROIC)</w:t>
      </w:r>
    </w:p>
    <w:p w14:paraId="7CB00517" w14:textId="30EDC9FE" w:rsidR="008D7654" w:rsidRPr="001D3906" w:rsidRDefault="008D7654" w:rsidP="00B5194F">
      <w:pPr>
        <w:spacing w:after="0" w:line="360" w:lineRule="auto"/>
        <w:jc w:val="center"/>
        <w:rPr>
          <w:rFonts w:ascii="Arial" w:hAnsi="Arial" w:cs="Arial"/>
          <w:sz w:val="24"/>
          <w:szCs w:val="24"/>
        </w:rPr>
      </w:pPr>
      <w:r w:rsidRPr="001D3906">
        <w:rPr>
          <w:rFonts w:ascii="Arial" w:hAnsi="Arial" w:cs="Arial"/>
          <w:sz w:val="24"/>
          <w:szCs w:val="24"/>
        </w:rPr>
        <w:t>ROIC=Net Operating Profit After Tax (NOPAT)/Invested Capital×100</w:t>
      </w:r>
    </w:p>
    <w:p w14:paraId="07C03879" w14:textId="77777777" w:rsidR="008D7654" w:rsidRPr="001D3906" w:rsidRDefault="008D7654" w:rsidP="001764ED">
      <w:pPr>
        <w:spacing w:after="0" w:line="360" w:lineRule="auto"/>
        <w:jc w:val="center"/>
        <w:rPr>
          <w:rFonts w:ascii="Arial" w:hAnsi="Arial" w:cs="Arial"/>
          <w:sz w:val="24"/>
          <w:szCs w:val="24"/>
        </w:rPr>
      </w:pPr>
      <w:r w:rsidRPr="001D3906">
        <w:rPr>
          <w:rFonts w:ascii="Arial" w:hAnsi="Arial" w:cs="Arial"/>
          <w:sz w:val="24"/>
          <w:szCs w:val="24"/>
        </w:rPr>
        <w:t>2. Dividend Payout Ratio</w:t>
      </w:r>
    </w:p>
    <w:p w14:paraId="4FA8D334" w14:textId="2D6AE500" w:rsidR="008D7654" w:rsidRPr="001D3906" w:rsidRDefault="008D7654" w:rsidP="00B5194F">
      <w:pPr>
        <w:spacing w:after="0" w:line="360" w:lineRule="auto"/>
        <w:jc w:val="center"/>
        <w:rPr>
          <w:rFonts w:ascii="Arial" w:hAnsi="Arial" w:cs="Arial"/>
          <w:sz w:val="24"/>
          <w:szCs w:val="24"/>
        </w:rPr>
      </w:pPr>
      <w:r w:rsidRPr="001D3906">
        <w:rPr>
          <w:rFonts w:ascii="Arial" w:hAnsi="Arial" w:cs="Arial"/>
          <w:sz w:val="24"/>
          <w:szCs w:val="24"/>
        </w:rPr>
        <w:t>Dividend Payout Ratio=Dividends per Share (DPS)/Earnings per Share (EPS)×100</w:t>
      </w:r>
    </w:p>
    <w:p w14:paraId="1ABB516D" w14:textId="77777777" w:rsidR="008D7654" w:rsidRPr="001D3906" w:rsidRDefault="008D7654" w:rsidP="001764ED">
      <w:pPr>
        <w:spacing w:after="0" w:line="360" w:lineRule="auto"/>
        <w:jc w:val="center"/>
        <w:rPr>
          <w:rFonts w:ascii="Arial" w:hAnsi="Arial" w:cs="Arial"/>
          <w:sz w:val="24"/>
          <w:szCs w:val="24"/>
        </w:rPr>
      </w:pPr>
      <w:r w:rsidRPr="001D3906">
        <w:rPr>
          <w:rFonts w:ascii="Arial" w:hAnsi="Arial" w:cs="Arial"/>
          <w:sz w:val="24"/>
          <w:szCs w:val="24"/>
        </w:rPr>
        <w:t>3. Dividend Cover Ratio</w:t>
      </w:r>
    </w:p>
    <w:p w14:paraId="7E388163" w14:textId="78DFEEAA" w:rsidR="008D7654" w:rsidRPr="001D3906" w:rsidRDefault="008D7654" w:rsidP="00B5194F">
      <w:pPr>
        <w:spacing w:after="0" w:line="360" w:lineRule="auto"/>
        <w:jc w:val="center"/>
        <w:rPr>
          <w:rFonts w:ascii="Arial" w:hAnsi="Arial" w:cs="Arial"/>
          <w:sz w:val="24"/>
          <w:szCs w:val="24"/>
        </w:rPr>
      </w:pPr>
      <w:r w:rsidRPr="001D3906">
        <w:rPr>
          <w:rFonts w:ascii="Arial" w:hAnsi="Arial" w:cs="Arial"/>
          <w:sz w:val="24"/>
          <w:szCs w:val="24"/>
        </w:rPr>
        <w:t>Dividend Cover Ratio=Earnings per Share (EPS)/Dividends per Share (DPS)</w:t>
      </w:r>
    </w:p>
    <w:p w14:paraId="58C89DA9" w14:textId="77777777" w:rsidR="008D7654" w:rsidRPr="001D3906" w:rsidRDefault="008D7654" w:rsidP="001764ED">
      <w:pPr>
        <w:spacing w:after="0" w:line="360" w:lineRule="auto"/>
        <w:jc w:val="center"/>
        <w:rPr>
          <w:rFonts w:ascii="Arial" w:hAnsi="Arial" w:cs="Arial"/>
          <w:sz w:val="24"/>
          <w:szCs w:val="24"/>
        </w:rPr>
      </w:pPr>
      <w:r w:rsidRPr="001D3906">
        <w:rPr>
          <w:rFonts w:ascii="Arial" w:hAnsi="Arial" w:cs="Arial"/>
          <w:sz w:val="24"/>
          <w:szCs w:val="24"/>
        </w:rPr>
        <w:t>4. Earnings per Share (EPS)</w:t>
      </w:r>
    </w:p>
    <w:p w14:paraId="1AD44205" w14:textId="41D3DC67" w:rsidR="008D7654" w:rsidRPr="001D3906" w:rsidRDefault="008D7654" w:rsidP="00B5194F">
      <w:pPr>
        <w:spacing w:after="0" w:line="360" w:lineRule="auto"/>
        <w:jc w:val="center"/>
        <w:rPr>
          <w:rFonts w:ascii="Arial" w:hAnsi="Arial" w:cs="Arial"/>
          <w:sz w:val="24"/>
          <w:szCs w:val="24"/>
        </w:rPr>
      </w:pPr>
      <w:r w:rsidRPr="001D3906">
        <w:rPr>
          <w:rFonts w:ascii="Arial" w:hAnsi="Arial" w:cs="Arial"/>
          <w:sz w:val="24"/>
          <w:szCs w:val="24"/>
        </w:rPr>
        <w:t>EPS=Net Income/Weighted Average Shares Outstanding</w:t>
      </w:r>
    </w:p>
    <w:p w14:paraId="5BF5693F" w14:textId="77777777" w:rsidR="008D7654" w:rsidRPr="001D3906" w:rsidRDefault="008D7654" w:rsidP="001764ED">
      <w:pPr>
        <w:spacing w:after="0" w:line="360" w:lineRule="auto"/>
        <w:jc w:val="center"/>
        <w:rPr>
          <w:rFonts w:ascii="Arial" w:hAnsi="Arial" w:cs="Arial"/>
          <w:sz w:val="24"/>
          <w:szCs w:val="24"/>
        </w:rPr>
      </w:pPr>
      <w:r w:rsidRPr="001D3906">
        <w:rPr>
          <w:rFonts w:ascii="Arial" w:hAnsi="Arial" w:cs="Arial"/>
          <w:sz w:val="24"/>
          <w:szCs w:val="24"/>
        </w:rPr>
        <w:t>5. Price-to-Earnings (P/E) Ratio</w:t>
      </w:r>
    </w:p>
    <w:p w14:paraId="2A758416" w14:textId="79590620" w:rsidR="008D7654" w:rsidRPr="001D3906" w:rsidRDefault="008D7654" w:rsidP="001764ED">
      <w:pPr>
        <w:spacing w:after="0" w:line="360" w:lineRule="auto"/>
        <w:jc w:val="center"/>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P/E Ratio=Market Price per Share</w:t>
      </w:r>
      <w:r w:rsidRPr="001D3906">
        <w:rPr>
          <w:rFonts w:ascii="Arial" w:eastAsia="Times New Roman" w:hAnsi="Arial" w:cs="Arial"/>
          <w:kern w:val="0"/>
          <w:sz w:val="24"/>
          <w:szCs w:val="24"/>
          <w14:ligatures w14:val="none"/>
        </w:rPr>
        <w:t>/</w:t>
      </w:r>
      <w:r w:rsidRPr="008D7654">
        <w:rPr>
          <w:rFonts w:ascii="Arial" w:eastAsia="Times New Roman" w:hAnsi="Arial" w:cs="Arial"/>
          <w:kern w:val="0"/>
          <w:sz w:val="24"/>
          <w:szCs w:val="24"/>
          <w14:ligatures w14:val="none"/>
        </w:rPr>
        <w:t>Earnings per Share (EPS)</w:t>
      </w:r>
    </w:p>
    <w:p w14:paraId="0BBC0584" w14:textId="77BB43F1" w:rsidR="00674CF0" w:rsidRPr="001D3906" w:rsidRDefault="00674CF0"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 xml:space="preserve">Table </w:t>
      </w:r>
      <w:r w:rsidR="001764ED">
        <w:rPr>
          <w:rFonts w:ascii="Arial" w:eastAsia="Times New Roman" w:hAnsi="Arial" w:cs="Arial"/>
          <w:kern w:val="0"/>
          <w:sz w:val="24"/>
          <w:szCs w:val="24"/>
          <w14:ligatures w14:val="none"/>
        </w:rPr>
        <w:t>7</w:t>
      </w:r>
      <w:r w:rsidRPr="001D3906">
        <w:rPr>
          <w:rFonts w:ascii="Arial" w:eastAsia="Times New Roman" w:hAnsi="Arial" w:cs="Arial"/>
          <w:kern w:val="0"/>
          <w:sz w:val="24"/>
          <w:szCs w:val="24"/>
          <w14:ligatures w14:val="none"/>
        </w:rPr>
        <w:t>: Investment ratios</w:t>
      </w:r>
    </w:p>
    <w:tbl>
      <w:tblPr>
        <w:tblStyle w:val="TableGrid"/>
        <w:tblW w:w="0" w:type="auto"/>
        <w:tblLook w:val="04A0" w:firstRow="1" w:lastRow="0" w:firstColumn="1" w:lastColumn="0" w:noHBand="0" w:noVBand="1"/>
      </w:tblPr>
      <w:tblGrid>
        <w:gridCol w:w="618"/>
        <w:gridCol w:w="1130"/>
        <w:gridCol w:w="608"/>
        <w:gridCol w:w="1231"/>
        <w:gridCol w:w="1200"/>
        <w:gridCol w:w="674"/>
        <w:gridCol w:w="1231"/>
        <w:gridCol w:w="1984"/>
        <w:gridCol w:w="674"/>
      </w:tblGrid>
      <w:tr w:rsidR="008D7654" w:rsidRPr="008D7654" w14:paraId="10C45B4D" w14:textId="77777777" w:rsidTr="008D7654">
        <w:tc>
          <w:tcPr>
            <w:tcW w:w="0" w:type="auto"/>
            <w:hideMark/>
          </w:tcPr>
          <w:p w14:paraId="2146D7B4" w14:textId="77777777" w:rsidR="008D7654" w:rsidRPr="008D7654" w:rsidRDefault="008D7654" w:rsidP="001D3906">
            <w:pPr>
              <w:spacing w:line="360" w:lineRule="auto"/>
              <w:jc w:val="both"/>
              <w:rPr>
                <w:rFonts w:ascii="Arial" w:eastAsia="Times New Roman" w:hAnsi="Arial" w:cs="Arial"/>
                <w:b/>
                <w:bCs/>
                <w:kern w:val="0"/>
                <w:sz w:val="24"/>
                <w:szCs w:val="24"/>
                <w14:ligatures w14:val="none"/>
              </w:rPr>
            </w:pPr>
            <w:r w:rsidRPr="008D7654">
              <w:rPr>
                <w:rFonts w:ascii="Arial" w:eastAsia="Times New Roman" w:hAnsi="Arial" w:cs="Arial"/>
                <w:b/>
                <w:bCs/>
                <w:kern w:val="0"/>
                <w:sz w:val="24"/>
                <w:szCs w:val="24"/>
                <w14:ligatures w14:val="none"/>
              </w:rPr>
              <w:t>Year</w:t>
            </w:r>
          </w:p>
        </w:tc>
        <w:tc>
          <w:tcPr>
            <w:tcW w:w="0" w:type="auto"/>
            <w:hideMark/>
          </w:tcPr>
          <w:p w14:paraId="35CDE863" w14:textId="77777777" w:rsidR="008D7654" w:rsidRPr="008D7654" w:rsidRDefault="008D7654" w:rsidP="001D3906">
            <w:pPr>
              <w:spacing w:line="360" w:lineRule="auto"/>
              <w:jc w:val="both"/>
              <w:rPr>
                <w:rFonts w:ascii="Arial" w:eastAsia="Times New Roman" w:hAnsi="Arial" w:cs="Arial"/>
                <w:b/>
                <w:bCs/>
                <w:kern w:val="0"/>
                <w:sz w:val="24"/>
                <w:szCs w:val="24"/>
                <w14:ligatures w14:val="none"/>
              </w:rPr>
            </w:pPr>
            <w:r w:rsidRPr="008D7654">
              <w:rPr>
                <w:rFonts w:ascii="Arial" w:eastAsia="Times New Roman" w:hAnsi="Arial" w:cs="Arial"/>
                <w:b/>
                <w:bCs/>
                <w:kern w:val="0"/>
                <w:sz w:val="24"/>
                <w:szCs w:val="24"/>
                <w14:ligatures w14:val="none"/>
              </w:rPr>
              <w:t>Operating Income (EBIT)(£m)</w:t>
            </w:r>
          </w:p>
        </w:tc>
        <w:tc>
          <w:tcPr>
            <w:tcW w:w="0" w:type="auto"/>
            <w:hideMark/>
          </w:tcPr>
          <w:p w14:paraId="3758E932" w14:textId="77777777" w:rsidR="008D7654" w:rsidRPr="008D7654" w:rsidRDefault="008D7654" w:rsidP="001D3906">
            <w:pPr>
              <w:spacing w:line="360" w:lineRule="auto"/>
              <w:jc w:val="both"/>
              <w:rPr>
                <w:rFonts w:ascii="Arial" w:eastAsia="Times New Roman" w:hAnsi="Arial" w:cs="Arial"/>
                <w:b/>
                <w:bCs/>
                <w:kern w:val="0"/>
                <w:sz w:val="24"/>
                <w:szCs w:val="24"/>
                <w14:ligatures w14:val="none"/>
              </w:rPr>
            </w:pPr>
            <w:r w:rsidRPr="008D7654">
              <w:rPr>
                <w:rFonts w:ascii="Arial" w:eastAsia="Times New Roman" w:hAnsi="Arial" w:cs="Arial"/>
                <w:b/>
                <w:bCs/>
                <w:kern w:val="0"/>
                <w:sz w:val="24"/>
                <w:szCs w:val="24"/>
                <w14:ligatures w14:val="none"/>
              </w:rPr>
              <w:t>Tax Rate (% est.)</w:t>
            </w:r>
          </w:p>
        </w:tc>
        <w:tc>
          <w:tcPr>
            <w:tcW w:w="0" w:type="auto"/>
            <w:hideMark/>
          </w:tcPr>
          <w:p w14:paraId="68F6E4B9" w14:textId="77777777" w:rsidR="008D7654" w:rsidRPr="008D7654" w:rsidRDefault="008D7654" w:rsidP="001D3906">
            <w:pPr>
              <w:spacing w:line="360" w:lineRule="auto"/>
              <w:jc w:val="both"/>
              <w:rPr>
                <w:rFonts w:ascii="Arial" w:eastAsia="Times New Roman" w:hAnsi="Arial" w:cs="Arial"/>
                <w:b/>
                <w:bCs/>
                <w:kern w:val="0"/>
                <w:sz w:val="24"/>
                <w:szCs w:val="24"/>
                <w14:ligatures w14:val="none"/>
              </w:rPr>
            </w:pPr>
            <w:r w:rsidRPr="008D7654">
              <w:rPr>
                <w:rFonts w:ascii="Arial" w:eastAsia="Times New Roman" w:hAnsi="Arial" w:cs="Arial"/>
                <w:b/>
                <w:bCs/>
                <w:kern w:val="0"/>
                <w:sz w:val="24"/>
                <w:szCs w:val="24"/>
                <w14:ligatures w14:val="none"/>
              </w:rPr>
              <w:t>NOPAT(£m)</w:t>
            </w:r>
          </w:p>
        </w:tc>
        <w:tc>
          <w:tcPr>
            <w:tcW w:w="0" w:type="auto"/>
            <w:hideMark/>
          </w:tcPr>
          <w:p w14:paraId="62B18AEF" w14:textId="77777777" w:rsidR="008D7654" w:rsidRPr="008D7654" w:rsidRDefault="008D7654" w:rsidP="001D3906">
            <w:pPr>
              <w:spacing w:line="360" w:lineRule="auto"/>
              <w:jc w:val="both"/>
              <w:rPr>
                <w:rFonts w:ascii="Arial" w:eastAsia="Times New Roman" w:hAnsi="Arial" w:cs="Arial"/>
                <w:b/>
                <w:bCs/>
                <w:kern w:val="0"/>
                <w:sz w:val="24"/>
                <w:szCs w:val="24"/>
                <w14:ligatures w14:val="none"/>
              </w:rPr>
            </w:pPr>
            <w:r w:rsidRPr="008D7654">
              <w:rPr>
                <w:rFonts w:ascii="Arial" w:eastAsia="Times New Roman" w:hAnsi="Arial" w:cs="Arial"/>
                <w:b/>
                <w:bCs/>
                <w:kern w:val="0"/>
                <w:sz w:val="24"/>
                <w:szCs w:val="24"/>
                <w14:ligatures w14:val="none"/>
              </w:rPr>
              <w:t>Invested Capital(£m)</w:t>
            </w:r>
          </w:p>
        </w:tc>
        <w:tc>
          <w:tcPr>
            <w:tcW w:w="0" w:type="auto"/>
            <w:hideMark/>
          </w:tcPr>
          <w:p w14:paraId="502BEB15" w14:textId="77777777" w:rsidR="008D7654" w:rsidRPr="008D7654" w:rsidRDefault="008D7654" w:rsidP="001D3906">
            <w:pPr>
              <w:spacing w:line="360" w:lineRule="auto"/>
              <w:jc w:val="both"/>
              <w:rPr>
                <w:rFonts w:ascii="Arial" w:eastAsia="Times New Roman" w:hAnsi="Arial" w:cs="Arial"/>
                <w:b/>
                <w:bCs/>
                <w:kern w:val="0"/>
                <w:sz w:val="24"/>
                <w:szCs w:val="24"/>
                <w14:ligatures w14:val="none"/>
              </w:rPr>
            </w:pPr>
            <w:r w:rsidRPr="008D7654">
              <w:rPr>
                <w:rFonts w:ascii="Arial" w:eastAsia="Times New Roman" w:hAnsi="Arial" w:cs="Arial"/>
                <w:b/>
                <w:bCs/>
                <w:kern w:val="0"/>
                <w:sz w:val="24"/>
                <w:szCs w:val="24"/>
                <w14:ligatures w14:val="none"/>
              </w:rPr>
              <w:t>ROIC (%)</w:t>
            </w:r>
          </w:p>
        </w:tc>
        <w:tc>
          <w:tcPr>
            <w:tcW w:w="0" w:type="auto"/>
            <w:hideMark/>
          </w:tcPr>
          <w:p w14:paraId="3FE672EC" w14:textId="77777777" w:rsidR="008D7654" w:rsidRPr="008D7654" w:rsidRDefault="008D7654" w:rsidP="001D3906">
            <w:pPr>
              <w:spacing w:line="360" w:lineRule="auto"/>
              <w:jc w:val="both"/>
              <w:rPr>
                <w:rFonts w:ascii="Arial" w:eastAsia="Times New Roman" w:hAnsi="Arial" w:cs="Arial"/>
                <w:b/>
                <w:bCs/>
                <w:kern w:val="0"/>
                <w:sz w:val="24"/>
                <w:szCs w:val="24"/>
                <w14:ligatures w14:val="none"/>
              </w:rPr>
            </w:pPr>
            <w:r w:rsidRPr="008D7654">
              <w:rPr>
                <w:rFonts w:ascii="Arial" w:eastAsia="Times New Roman" w:hAnsi="Arial" w:cs="Arial"/>
                <w:b/>
                <w:bCs/>
                <w:kern w:val="0"/>
                <w:sz w:val="24"/>
                <w:szCs w:val="24"/>
                <w14:ligatures w14:val="none"/>
              </w:rPr>
              <w:t>Net Income(£m)</w:t>
            </w:r>
          </w:p>
        </w:tc>
        <w:tc>
          <w:tcPr>
            <w:tcW w:w="0" w:type="auto"/>
            <w:hideMark/>
          </w:tcPr>
          <w:p w14:paraId="06D3AFF7" w14:textId="77777777" w:rsidR="008D7654" w:rsidRPr="008D7654" w:rsidRDefault="008D7654" w:rsidP="001D3906">
            <w:pPr>
              <w:spacing w:line="360" w:lineRule="auto"/>
              <w:jc w:val="both"/>
              <w:rPr>
                <w:rFonts w:ascii="Arial" w:eastAsia="Times New Roman" w:hAnsi="Arial" w:cs="Arial"/>
                <w:b/>
                <w:bCs/>
                <w:kern w:val="0"/>
                <w:sz w:val="24"/>
                <w:szCs w:val="24"/>
                <w14:ligatures w14:val="none"/>
              </w:rPr>
            </w:pPr>
            <w:r w:rsidRPr="008D7654">
              <w:rPr>
                <w:rFonts w:ascii="Arial" w:eastAsia="Times New Roman" w:hAnsi="Arial" w:cs="Arial"/>
                <w:b/>
                <w:bCs/>
                <w:kern w:val="0"/>
                <w:sz w:val="24"/>
                <w:szCs w:val="24"/>
                <w14:ligatures w14:val="none"/>
              </w:rPr>
              <w:t>Shares Outstanding(million)</w:t>
            </w:r>
          </w:p>
        </w:tc>
        <w:tc>
          <w:tcPr>
            <w:tcW w:w="0" w:type="auto"/>
            <w:hideMark/>
          </w:tcPr>
          <w:p w14:paraId="02123D3F" w14:textId="77777777" w:rsidR="008D7654" w:rsidRPr="008D7654" w:rsidRDefault="008D7654" w:rsidP="001D3906">
            <w:pPr>
              <w:spacing w:line="360" w:lineRule="auto"/>
              <w:jc w:val="both"/>
              <w:rPr>
                <w:rFonts w:ascii="Arial" w:eastAsia="Times New Roman" w:hAnsi="Arial" w:cs="Arial"/>
                <w:b/>
                <w:bCs/>
                <w:kern w:val="0"/>
                <w:sz w:val="24"/>
                <w:szCs w:val="24"/>
                <w14:ligatures w14:val="none"/>
              </w:rPr>
            </w:pPr>
            <w:r w:rsidRPr="008D7654">
              <w:rPr>
                <w:rFonts w:ascii="Arial" w:eastAsia="Times New Roman" w:hAnsi="Arial" w:cs="Arial"/>
                <w:b/>
                <w:bCs/>
                <w:kern w:val="0"/>
                <w:sz w:val="24"/>
                <w:szCs w:val="24"/>
                <w14:ligatures w14:val="none"/>
              </w:rPr>
              <w:t>EPS (£)</w:t>
            </w:r>
          </w:p>
        </w:tc>
      </w:tr>
      <w:tr w:rsidR="008D7654" w:rsidRPr="008D7654" w14:paraId="12B2375C" w14:textId="77777777" w:rsidTr="008D7654">
        <w:tc>
          <w:tcPr>
            <w:tcW w:w="0" w:type="auto"/>
            <w:hideMark/>
          </w:tcPr>
          <w:p w14:paraId="57EF6267"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2020</w:t>
            </w:r>
          </w:p>
        </w:tc>
        <w:tc>
          <w:tcPr>
            <w:tcW w:w="0" w:type="auto"/>
            <w:hideMark/>
          </w:tcPr>
          <w:p w14:paraId="159EFA90"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37,267</w:t>
            </w:r>
          </w:p>
        </w:tc>
        <w:tc>
          <w:tcPr>
            <w:tcW w:w="0" w:type="auto"/>
            <w:hideMark/>
          </w:tcPr>
          <w:p w14:paraId="0EFF246E"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12</w:t>
            </w:r>
          </w:p>
        </w:tc>
        <w:tc>
          <w:tcPr>
            <w:tcW w:w="0" w:type="auto"/>
            <w:hideMark/>
          </w:tcPr>
          <w:p w14:paraId="6D2559B0"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32,794</w:t>
            </w:r>
          </w:p>
        </w:tc>
        <w:tc>
          <w:tcPr>
            <w:tcW w:w="0" w:type="auto"/>
            <w:hideMark/>
          </w:tcPr>
          <w:p w14:paraId="4CEEAAF3"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452,138</w:t>
            </w:r>
          </w:p>
        </w:tc>
        <w:tc>
          <w:tcPr>
            <w:tcW w:w="0" w:type="auto"/>
            <w:hideMark/>
          </w:tcPr>
          <w:p w14:paraId="7B210969"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7.3</w:t>
            </w:r>
          </w:p>
        </w:tc>
        <w:tc>
          <w:tcPr>
            <w:tcW w:w="0" w:type="auto"/>
            <w:hideMark/>
          </w:tcPr>
          <w:p w14:paraId="3D72F8E1"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38,572</w:t>
            </w:r>
          </w:p>
        </w:tc>
        <w:tc>
          <w:tcPr>
            <w:tcW w:w="0" w:type="auto"/>
            <w:hideMark/>
          </w:tcPr>
          <w:p w14:paraId="7EC2B3C4"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13,893</w:t>
            </w:r>
          </w:p>
        </w:tc>
        <w:tc>
          <w:tcPr>
            <w:tcW w:w="0" w:type="auto"/>
            <w:hideMark/>
          </w:tcPr>
          <w:p w14:paraId="0E7752DA"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2.78</w:t>
            </w:r>
          </w:p>
        </w:tc>
      </w:tr>
      <w:tr w:rsidR="008D7654" w:rsidRPr="008D7654" w14:paraId="0A27A57F" w14:textId="77777777" w:rsidTr="008D7654">
        <w:tc>
          <w:tcPr>
            <w:tcW w:w="0" w:type="auto"/>
            <w:hideMark/>
          </w:tcPr>
          <w:p w14:paraId="5A0286CF"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2021</w:t>
            </w:r>
          </w:p>
        </w:tc>
        <w:tc>
          <w:tcPr>
            <w:tcW w:w="0" w:type="auto"/>
            <w:hideMark/>
          </w:tcPr>
          <w:p w14:paraId="2DFA8A7E"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23,253</w:t>
            </w:r>
          </w:p>
        </w:tc>
        <w:tc>
          <w:tcPr>
            <w:tcW w:w="0" w:type="auto"/>
            <w:hideMark/>
          </w:tcPr>
          <w:p w14:paraId="7F9FCEB3"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12</w:t>
            </w:r>
          </w:p>
        </w:tc>
        <w:tc>
          <w:tcPr>
            <w:tcW w:w="0" w:type="auto"/>
            <w:hideMark/>
          </w:tcPr>
          <w:p w14:paraId="30C99B72"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20,463</w:t>
            </w:r>
          </w:p>
        </w:tc>
        <w:tc>
          <w:tcPr>
            <w:tcW w:w="0" w:type="auto"/>
            <w:hideMark/>
          </w:tcPr>
          <w:p w14:paraId="415D25FA"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450,946</w:t>
            </w:r>
          </w:p>
        </w:tc>
        <w:tc>
          <w:tcPr>
            <w:tcW w:w="0" w:type="auto"/>
            <w:hideMark/>
          </w:tcPr>
          <w:p w14:paraId="2D86BF30"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4.5</w:t>
            </w:r>
          </w:p>
        </w:tc>
        <w:tc>
          <w:tcPr>
            <w:tcW w:w="0" w:type="auto"/>
            <w:hideMark/>
          </w:tcPr>
          <w:p w14:paraId="25616656"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5,301</w:t>
            </w:r>
          </w:p>
        </w:tc>
        <w:tc>
          <w:tcPr>
            <w:tcW w:w="0" w:type="auto"/>
            <w:hideMark/>
          </w:tcPr>
          <w:p w14:paraId="249FB92D"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13,465</w:t>
            </w:r>
          </w:p>
        </w:tc>
        <w:tc>
          <w:tcPr>
            <w:tcW w:w="0" w:type="auto"/>
            <w:hideMark/>
          </w:tcPr>
          <w:p w14:paraId="1E8FB536"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0.39</w:t>
            </w:r>
          </w:p>
        </w:tc>
      </w:tr>
      <w:tr w:rsidR="008D7654" w:rsidRPr="008D7654" w14:paraId="501565C3" w14:textId="77777777" w:rsidTr="008D7654">
        <w:tc>
          <w:tcPr>
            <w:tcW w:w="0" w:type="auto"/>
            <w:hideMark/>
          </w:tcPr>
          <w:p w14:paraId="2E04BA8D"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2022</w:t>
            </w:r>
          </w:p>
        </w:tc>
        <w:tc>
          <w:tcPr>
            <w:tcW w:w="0" w:type="auto"/>
            <w:hideMark/>
          </w:tcPr>
          <w:p w14:paraId="06757CA8"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14,548</w:t>
            </w:r>
          </w:p>
        </w:tc>
        <w:tc>
          <w:tcPr>
            <w:tcW w:w="0" w:type="auto"/>
            <w:hideMark/>
          </w:tcPr>
          <w:p w14:paraId="643BECCE"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12</w:t>
            </w:r>
          </w:p>
        </w:tc>
        <w:tc>
          <w:tcPr>
            <w:tcW w:w="0" w:type="auto"/>
            <w:hideMark/>
          </w:tcPr>
          <w:p w14:paraId="69F88861"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12,802</w:t>
            </w:r>
          </w:p>
        </w:tc>
        <w:tc>
          <w:tcPr>
            <w:tcW w:w="0" w:type="auto"/>
            <w:hideMark/>
          </w:tcPr>
          <w:p w14:paraId="7E94E081"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439,304</w:t>
            </w:r>
          </w:p>
        </w:tc>
        <w:tc>
          <w:tcPr>
            <w:tcW w:w="0" w:type="auto"/>
            <w:hideMark/>
          </w:tcPr>
          <w:p w14:paraId="3075AAF4"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2.9</w:t>
            </w:r>
          </w:p>
        </w:tc>
        <w:tc>
          <w:tcPr>
            <w:tcW w:w="0" w:type="auto"/>
            <w:hideMark/>
          </w:tcPr>
          <w:p w14:paraId="2D2C104F"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407</w:t>
            </w:r>
          </w:p>
        </w:tc>
        <w:tc>
          <w:tcPr>
            <w:tcW w:w="0" w:type="auto"/>
            <w:hideMark/>
          </w:tcPr>
          <w:p w14:paraId="0E7A6CFC"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12,703</w:t>
            </w:r>
          </w:p>
        </w:tc>
        <w:tc>
          <w:tcPr>
            <w:tcW w:w="0" w:type="auto"/>
            <w:hideMark/>
          </w:tcPr>
          <w:p w14:paraId="09B3C190"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0.03</w:t>
            </w:r>
          </w:p>
        </w:tc>
      </w:tr>
      <w:tr w:rsidR="008D7654" w:rsidRPr="008D7654" w14:paraId="2DE74EA9" w14:textId="77777777" w:rsidTr="008D7654">
        <w:tc>
          <w:tcPr>
            <w:tcW w:w="0" w:type="auto"/>
            <w:hideMark/>
          </w:tcPr>
          <w:p w14:paraId="5FEDC95F"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2023</w:t>
            </w:r>
          </w:p>
        </w:tc>
        <w:tc>
          <w:tcPr>
            <w:tcW w:w="0" w:type="auto"/>
            <w:hideMark/>
          </w:tcPr>
          <w:p w14:paraId="4053320E"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−85,301</w:t>
            </w:r>
          </w:p>
        </w:tc>
        <w:tc>
          <w:tcPr>
            <w:tcW w:w="0" w:type="auto"/>
            <w:hideMark/>
          </w:tcPr>
          <w:p w14:paraId="52B4162E"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6</w:t>
            </w:r>
          </w:p>
        </w:tc>
        <w:tc>
          <w:tcPr>
            <w:tcW w:w="0" w:type="auto"/>
            <w:hideMark/>
          </w:tcPr>
          <w:p w14:paraId="61C3CD68"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−80,183</w:t>
            </w:r>
          </w:p>
        </w:tc>
        <w:tc>
          <w:tcPr>
            <w:tcW w:w="0" w:type="auto"/>
            <w:hideMark/>
          </w:tcPr>
          <w:p w14:paraId="2FAC01CC"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315,071</w:t>
            </w:r>
          </w:p>
        </w:tc>
        <w:tc>
          <w:tcPr>
            <w:tcW w:w="0" w:type="auto"/>
            <w:hideMark/>
          </w:tcPr>
          <w:p w14:paraId="74CDC1FA"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−25.5</w:t>
            </w:r>
          </w:p>
        </w:tc>
        <w:tc>
          <w:tcPr>
            <w:tcW w:w="0" w:type="auto"/>
            <w:hideMark/>
          </w:tcPr>
          <w:p w14:paraId="14978FFB"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−98,238</w:t>
            </w:r>
          </w:p>
        </w:tc>
        <w:tc>
          <w:tcPr>
            <w:tcW w:w="0" w:type="auto"/>
            <w:hideMark/>
          </w:tcPr>
          <w:p w14:paraId="157B42EA"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12,855</w:t>
            </w:r>
          </w:p>
        </w:tc>
        <w:tc>
          <w:tcPr>
            <w:tcW w:w="0" w:type="auto"/>
            <w:hideMark/>
          </w:tcPr>
          <w:p w14:paraId="34C2BD5C"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−7.64</w:t>
            </w:r>
          </w:p>
        </w:tc>
      </w:tr>
      <w:tr w:rsidR="008D7654" w:rsidRPr="008D7654" w14:paraId="3AE6CE2F" w14:textId="77777777" w:rsidTr="008D7654">
        <w:tc>
          <w:tcPr>
            <w:tcW w:w="0" w:type="auto"/>
            <w:hideMark/>
          </w:tcPr>
          <w:p w14:paraId="1DC173E0"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2024</w:t>
            </w:r>
          </w:p>
        </w:tc>
        <w:tc>
          <w:tcPr>
            <w:tcW w:w="0" w:type="auto"/>
            <w:hideMark/>
          </w:tcPr>
          <w:p w14:paraId="218720FC"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−15,297</w:t>
            </w:r>
          </w:p>
        </w:tc>
        <w:tc>
          <w:tcPr>
            <w:tcW w:w="0" w:type="auto"/>
            <w:hideMark/>
          </w:tcPr>
          <w:p w14:paraId="58091765"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12</w:t>
            </w:r>
          </w:p>
        </w:tc>
        <w:tc>
          <w:tcPr>
            <w:tcW w:w="0" w:type="auto"/>
            <w:hideMark/>
          </w:tcPr>
          <w:p w14:paraId="6FD37234"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−13,461</w:t>
            </w:r>
          </w:p>
        </w:tc>
        <w:tc>
          <w:tcPr>
            <w:tcW w:w="0" w:type="auto"/>
            <w:hideMark/>
          </w:tcPr>
          <w:p w14:paraId="1DD1200A"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296,571</w:t>
            </w:r>
          </w:p>
        </w:tc>
        <w:tc>
          <w:tcPr>
            <w:tcW w:w="0" w:type="auto"/>
            <w:hideMark/>
          </w:tcPr>
          <w:p w14:paraId="7AC6EFE1"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−4.5</w:t>
            </w:r>
          </w:p>
        </w:tc>
        <w:tc>
          <w:tcPr>
            <w:tcW w:w="0" w:type="auto"/>
            <w:hideMark/>
          </w:tcPr>
          <w:p w14:paraId="3CED792F"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−24,029</w:t>
            </w:r>
          </w:p>
        </w:tc>
        <w:tc>
          <w:tcPr>
            <w:tcW w:w="0" w:type="auto"/>
            <w:hideMark/>
          </w:tcPr>
          <w:p w14:paraId="7D4ED005"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12,959</w:t>
            </w:r>
          </w:p>
        </w:tc>
        <w:tc>
          <w:tcPr>
            <w:tcW w:w="0" w:type="auto"/>
            <w:hideMark/>
          </w:tcPr>
          <w:p w14:paraId="538F48C0" w14:textId="77777777" w:rsidR="008D7654" w:rsidRPr="008D7654" w:rsidRDefault="008D7654" w:rsidP="001D3906">
            <w:pPr>
              <w:spacing w:line="360" w:lineRule="auto"/>
              <w:jc w:val="both"/>
              <w:rPr>
                <w:rFonts w:ascii="Arial" w:eastAsia="Times New Roman" w:hAnsi="Arial" w:cs="Arial"/>
                <w:kern w:val="0"/>
                <w:sz w:val="24"/>
                <w:szCs w:val="24"/>
                <w14:ligatures w14:val="none"/>
              </w:rPr>
            </w:pPr>
            <w:r w:rsidRPr="008D7654">
              <w:rPr>
                <w:rFonts w:ascii="Arial" w:eastAsia="Times New Roman" w:hAnsi="Arial" w:cs="Arial"/>
                <w:kern w:val="0"/>
                <w:sz w:val="24"/>
                <w:szCs w:val="24"/>
                <w14:ligatures w14:val="none"/>
              </w:rPr>
              <w:t>−1.85</w:t>
            </w:r>
          </w:p>
        </w:tc>
      </w:tr>
    </w:tbl>
    <w:p w14:paraId="68118FFB" w14:textId="77777777" w:rsidR="008D7654" w:rsidRPr="001D3906" w:rsidRDefault="008D7654" w:rsidP="001D3906">
      <w:pPr>
        <w:spacing w:after="0" w:line="360" w:lineRule="auto"/>
        <w:jc w:val="both"/>
        <w:rPr>
          <w:rFonts w:ascii="Arial" w:eastAsia="Times New Roman" w:hAnsi="Arial" w:cs="Arial"/>
          <w:kern w:val="0"/>
          <w:sz w:val="24"/>
          <w:szCs w:val="24"/>
          <w14:ligatures w14:val="none"/>
        </w:rPr>
      </w:pPr>
    </w:p>
    <w:p w14:paraId="512B704B" w14:textId="77777777" w:rsidR="004452D2" w:rsidRPr="00B5194F" w:rsidRDefault="004452D2" w:rsidP="001D3906">
      <w:pPr>
        <w:spacing w:after="0" w:line="360" w:lineRule="auto"/>
        <w:jc w:val="both"/>
        <w:rPr>
          <w:rFonts w:ascii="Arial" w:hAnsi="Arial" w:cs="Arial"/>
          <w:b/>
          <w:bCs/>
          <w:sz w:val="24"/>
          <w:szCs w:val="24"/>
          <w:u w:val="single"/>
        </w:rPr>
      </w:pPr>
      <w:r w:rsidRPr="00B5194F">
        <w:rPr>
          <w:rFonts w:ascii="Arial" w:hAnsi="Arial" w:cs="Arial"/>
          <w:b/>
          <w:bCs/>
          <w:sz w:val="24"/>
          <w:szCs w:val="24"/>
          <w:u w:val="single"/>
        </w:rPr>
        <w:t>Cash Flow and Market Ratios</w:t>
      </w:r>
    </w:p>
    <w:p w14:paraId="77FAC958" w14:textId="7F368594" w:rsidR="000F61AC" w:rsidRPr="001D3906" w:rsidRDefault="000F61AC" w:rsidP="001D3906">
      <w:pPr>
        <w:spacing w:after="0" w:line="360" w:lineRule="auto"/>
        <w:jc w:val="both"/>
        <w:rPr>
          <w:rFonts w:ascii="Arial" w:hAnsi="Arial" w:cs="Arial"/>
          <w:sz w:val="24"/>
          <w:szCs w:val="24"/>
        </w:rPr>
      </w:pPr>
      <w:r w:rsidRPr="001D3906">
        <w:rPr>
          <w:rFonts w:ascii="Arial" w:hAnsi="Arial" w:cs="Arial"/>
          <w:sz w:val="24"/>
          <w:szCs w:val="24"/>
        </w:rPr>
        <w:t>Formulas</w:t>
      </w:r>
    </w:p>
    <w:p w14:paraId="54E7E07A" w14:textId="4E4A9671" w:rsidR="004452D2" w:rsidRPr="004452D2" w:rsidRDefault="004452D2" w:rsidP="00B5194F">
      <w:pPr>
        <w:spacing w:after="0" w:line="360" w:lineRule="auto"/>
        <w:jc w:val="center"/>
        <w:rPr>
          <w:rFonts w:ascii="Arial" w:eastAsia="Times New Roman" w:hAnsi="Arial" w:cs="Arial"/>
          <w:kern w:val="0"/>
          <w:sz w:val="24"/>
          <w:szCs w:val="24"/>
          <w14:ligatures w14:val="none"/>
        </w:rPr>
      </w:pPr>
      <w:r w:rsidRPr="004452D2">
        <w:rPr>
          <w:rFonts w:ascii="Arial" w:eastAsia="Times New Roman" w:hAnsi="Arial" w:cs="Arial"/>
          <w:b/>
          <w:bCs/>
          <w:kern w:val="0"/>
          <w:sz w:val="24"/>
          <w:szCs w:val="24"/>
          <w14:ligatures w14:val="none"/>
        </w:rPr>
        <w:t>Operating Cash Flow Ratio</w:t>
      </w:r>
    </w:p>
    <w:p w14:paraId="631978E6" w14:textId="77777777" w:rsidR="004452D2" w:rsidRPr="001D3906" w:rsidRDefault="004452D2" w:rsidP="00B5194F">
      <w:pPr>
        <w:spacing w:after="0" w:line="360" w:lineRule="auto"/>
        <w:jc w:val="center"/>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Operating Cash Flow Ratio=Operating Cash Flow</w:t>
      </w:r>
      <w:r w:rsidRPr="001D3906">
        <w:rPr>
          <w:rFonts w:ascii="Arial" w:eastAsia="Times New Roman" w:hAnsi="Arial" w:cs="Arial"/>
          <w:kern w:val="0"/>
          <w:sz w:val="24"/>
          <w:szCs w:val="24"/>
          <w14:ligatures w14:val="none"/>
        </w:rPr>
        <w:t>/</w:t>
      </w:r>
      <w:r w:rsidRPr="004452D2">
        <w:rPr>
          <w:rFonts w:ascii="Arial" w:eastAsia="Times New Roman" w:hAnsi="Arial" w:cs="Arial"/>
          <w:kern w:val="0"/>
          <w:sz w:val="24"/>
          <w:szCs w:val="24"/>
          <w14:ligatures w14:val="none"/>
        </w:rPr>
        <w:t>Current Liabilities</w:t>
      </w:r>
    </w:p>
    <w:p w14:paraId="110237DE" w14:textId="69A5DFEE" w:rsidR="004452D2" w:rsidRPr="004452D2" w:rsidRDefault="004452D2" w:rsidP="00B5194F">
      <w:pPr>
        <w:spacing w:after="0" w:line="360" w:lineRule="auto"/>
        <w:jc w:val="center"/>
        <w:rPr>
          <w:rFonts w:ascii="Arial" w:eastAsia="Times New Roman" w:hAnsi="Arial" w:cs="Arial"/>
          <w:kern w:val="0"/>
          <w:sz w:val="24"/>
          <w:szCs w:val="24"/>
          <w14:ligatures w14:val="none"/>
        </w:rPr>
      </w:pPr>
      <w:r w:rsidRPr="004452D2">
        <w:rPr>
          <w:rFonts w:ascii="Arial" w:eastAsia="Times New Roman" w:hAnsi="Arial" w:cs="Arial"/>
          <w:b/>
          <w:bCs/>
          <w:kern w:val="0"/>
          <w:sz w:val="24"/>
          <w:szCs w:val="24"/>
          <w14:ligatures w14:val="none"/>
        </w:rPr>
        <w:t>Cash Flow to Debt Ratio</w:t>
      </w:r>
    </w:p>
    <w:p w14:paraId="2E03C0C3" w14:textId="77777777" w:rsidR="004452D2" w:rsidRPr="001D3906" w:rsidRDefault="004452D2" w:rsidP="00B5194F">
      <w:pPr>
        <w:spacing w:after="0" w:line="360" w:lineRule="auto"/>
        <w:jc w:val="center"/>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Cash Flow to Debt Ratio=Operating Cash Flow</w:t>
      </w:r>
      <w:r w:rsidRPr="001D3906">
        <w:rPr>
          <w:rFonts w:ascii="Arial" w:eastAsia="Times New Roman" w:hAnsi="Arial" w:cs="Arial"/>
          <w:kern w:val="0"/>
          <w:sz w:val="24"/>
          <w:szCs w:val="24"/>
          <w14:ligatures w14:val="none"/>
        </w:rPr>
        <w:t>/</w:t>
      </w:r>
      <w:r w:rsidRPr="004452D2">
        <w:rPr>
          <w:rFonts w:ascii="Arial" w:eastAsia="Times New Roman" w:hAnsi="Arial" w:cs="Arial"/>
          <w:kern w:val="0"/>
          <w:sz w:val="24"/>
          <w:szCs w:val="24"/>
          <w14:ligatures w14:val="none"/>
        </w:rPr>
        <w:t>Total Debt</w:t>
      </w:r>
    </w:p>
    <w:p w14:paraId="56A1A521" w14:textId="710AA272" w:rsidR="004452D2" w:rsidRPr="004452D2" w:rsidRDefault="004452D2" w:rsidP="00B5194F">
      <w:pPr>
        <w:spacing w:after="0" w:line="360" w:lineRule="auto"/>
        <w:jc w:val="center"/>
        <w:rPr>
          <w:rFonts w:ascii="Arial" w:eastAsia="Times New Roman" w:hAnsi="Arial" w:cs="Arial"/>
          <w:kern w:val="0"/>
          <w:sz w:val="24"/>
          <w:szCs w:val="24"/>
          <w14:ligatures w14:val="none"/>
        </w:rPr>
      </w:pPr>
      <w:r w:rsidRPr="004452D2">
        <w:rPr>
          <w:rFonts w:ascii="Arial" w:eastAsia="Times New Roman" w:hAnsi="Arial" w:cs="Arial"/>
          <w:b/>
          <w:bCs/>
          <w:kern w:val="0"/>
          <w:sz w:val="24"/>
          <w:szCs w:val="24"/>
          <w14:ligatures w14:val="none"/>
        </w:rPr>
        <w:t>Cash Flow Margin</w:t>
      </w:r>
    </w:p>
    <w:p w14:paraId="5D3FA0C8" w14:textId="77777777" w:rsidR="004452D2" w:rsidRPr="001D3906" w:rsidRDefault="004452D2" w:rsidP="00B5194F">
      <w:pPr>
        <w:spacing w:after="0" w:line="360" w:lineRule="auto"/>
        <w:jc w:val="center"/>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Cash Flow Margin=Operating Cash Flow</w:t>
      </w:r>
      <w:r w:rsidRPr="001D3906">
        <w:rPr>
          <w:rFonts w:ascii="Arial" w:eastAsia="Times New Roman" w:hAnsi="Arial" w:cs="Arial"/>
          <w:kern w:val="0"/>
          <w:sz w:val="24"/>
          <w:szCs w:val="24"/>
          <w14:ligatures w14:val="none"/>
        </w:rPr>
        <w:t>/</w:t>
      </w:r>
      <w:r w:rsidRPr="004452D2">
        <w:rPr>
          <w:rFonts w:ascii="Arial" w:eastAsia="Times New Roman" w:hAnsi="Arial" w:cs="Arial"/>
          <w:kern w:val="0"/>
          <w:sz w:val="24"/>
          <w:szCs w:val="24"/>
          <w14:ligatures w14:val="none"/>
        </w:rPr>
        <w:t>Sales</w:t>
      </w:r>
    </w:p>
    <w:p w14:paraId="0C137C18" w14:textId="19768E4B" w:rsidR="004452D2" w:rsidRPr="004452D2" w:rsidRDefault="004452D2" w:rsidP="00B5194F">
      <w:pPr>
        <w:spacing w:after="0" w:line="360" w:lineRule="auto"/>
        <w:jc w:val="center"/>
        <w:rPr>
          <w:rFonts w:ascii="Arial" w:eastAsia="Times New Roman" w:hAnsi="Arial" w:cs="Arial"/>
          <w:kern w:val="0"/>
          <w:sz w:val="24"/>
          <w:szCs w:val="24"/>
          <w14:ligatures w14:val="none"/>
        </w:rPr>
      </w:pPr>
      <w:r w:rsidRPr="004452D2">
        <w:rPr>
          <w:rFonts w:ascii="Arial" w:eastAsia="Times New Roman" w:hAnsi="Arial" w:cs="Arial"/>
          <w:b/>
          <w:bCs/>
          <w:kern w:val="0"/>
          <w:sz w:val="24"/>
          <w:szCs w:val="24"/>
          <w14:ligatures w14:val="none"/>
        </w:rPr>
        <w:t>Free Cash Flow (FCF)</w:t>
      </w:r>
    </w:p>
    <w:p w14:paraId="2D1A070F" w14:textId="77777777" w:rsidR="004452D2" w:rsidRPr="001D3906" w:rsidRDefault="004452D2" w:rsidP="00B5194F">
      <w:pPr>
        <w:spacing w:after="0" w:line="360" w:lineRule="auto"/>
        <w:jc w:val="center"/>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Free Cash Flow=Operating Cash Flow−Capital Expenditure</w:t>
      </w:r>
    </w:p>
    <w:p w14:paraId="400E8615" w14:textId="644A1E9A" w:rsidR="004452D2" w:rsidRPr="004452D2" w:rsidRDefault="004452D2" w:rsidP="00B5194F">
      <w:pPr>
        <w:spacing w:after="0" w:line="360" w:lineRule="auto"/>
        <w:jc w:val="center"/>
        <w:rPr>
          <w:rFonts w:ascii="Arial" w:eastAsia="Times New Roman" w:hAnsi="Arial" w:cs="Arial"/>
          <w:kern w:val="0"/>
          <w:sz w:val="24"/>
          <w:szCs w:val="24"/>
          <w14:ligatures w14:val="none"/>
        </w:rPr>
      </w:pPr>
      <w:r w:rsidRPr="004452D2">
        <w:rPr>
          <w:rFonts w:ascii="Arial" w:eastAsia="Times New Roman" w:hAnsi="Arial" w:cs="Arial"/>
          <w:b/>
          <w:bCs/>
          <w:kern w:val="0"/>
          <w:sz w:val="24"/>
          <w:szCs w:val="24"/>
          <w14:ligatures w14:val="none"/>
        </w:rPr>
        <w:t>Free Cash Flow Margin</w:t>
      </w:r>
    </w:p>
    <w:p w14:paraId="1125A743" w14:textId="6C8E5EED" w:rsidR="004452D2" w:rsidRPr="001D3906" w:rsidRDefault="004452D2" w:rsidP="00B5194F">
      <w:pPr>
        <w:spacing w:after="0" w:line="360" w:lineRule="auto"/>
        <w:jc w:val="center"/>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Free Cash Flow Margin=Free Cash Flow/Sales</w:t>
      </w:r>
    </w:p>
    <w:p w14:paraId="020F2CAA" w14:textId="4A4D4F1C" w:rsidR="00E42A41" w:rsidRPr="001D3906" w:rsidRDefault="00E42A41" w:rsidP="001D3906">
      <w:pPr>
        <w:spacing w:after="0" w:line="360" w:lineRule="auto"/>
        <w:jc w:val="both"/>
        <w:rPr>
          <w:rFonts w:ascii="Arial" w:hAnsi="Arial" w:cs="Arial"/>
          <w:sz w:val="24"/>
          <w:szCs w:val="24"/>
        </w:rPr>
      </w:pPr>
      <w:r w:rsidRPr="001D3906">
        <w:rPr>
          <w:rFonts w:ascii="Arial" w:hAnsi="Arial" w:cs="Arial"/>
          <w:sz w:val="24"/>
          <w:szCs w:val="24"/>
        </w:rPr>
        <w:t xml:space="preserve">Table </w:t>
      </w:r>
      <w:r w:rsidR="00B5194F">
        <w:rPr>
          <w:rFonts w:ascii="Arial" w:hAnsi="Arial" w:cs="Arial"/>
          <w:sz w:val="24"/>
          <w:szCs w:val="24"/>
        </w:rPr>
        <w:t>8</w:t>
      </w:r>
      <w:r w:rsidRPr="001D3906">
        <w:rPr>
          <w:rFonts w:ascii="Arial" w:hAnsi="Arial" w:cs="Arial"/>
          <w:sz w:val="24"/>
          <w:szCs w:val="24"/>
        </w:rPr>
        <w:t>: Cash Flow and Market Ratios</w:t>
      </w:r>
    </w:p>
    <w:p w14:paraId="706C33E1" w14:textId="77777777" w:rsidR="00E42A41" w:rsidRPr="001D3906" w:rsidRDefault="00E42A41" w:rsidP="001D3906">
      <w:pPr>
        <w:spacing w:after="0" w:line="360" w:lineRule="auto"/>
        <w:jc w:val="both"/>
        <w:rPr>
          <w:rFonts w:ascii="Arial" w:eastAsia="Times New Roman" w:hAnsi="Arial" w:cs="Arial"/>
          <w:kern w:val="0"/>
          <w:sz w:val="24"/>
          <w:szCs w:val="24"/>
          <w14:ligatures w14:val="none"/>
        </w:rPr>
      </w:pPr>
    </w:p>
    <w:tbl>
      <w:tblPr>
        <w:tblStyle w:val="TableGrid"/>
        <w:tblW w:w="0" w:type="auto"/>
        <w:tblLook w:val="04A0" w:firstRow="1" w:lastRow="0" w:firstColumn="1" w:lastColumn="0" w:noHBand="0" w:noVBand="1"/>
      </w:tblPr>
      <w:tblGrid>
        <w:gridCol w:w="517"/>
        <w:gridCol w:w="877"/>
        <w:gridCol w:w="1125"/>
        <w:gridCol w:w="803"/>
        <w:gridCol w:w="855"/>
        <w:gridCol w:w="1013"/>
        <w:gridCol w:w="885"/>
        <w:gridCol w:w="885"/>
        <w:gridCol w:w="757"/>
        <w:gridCol w:w="899"/>
        <w:gridCol w:w="734"/>
      </w:tblGrid>
      <w:tr w:rsidR="004452D2" w:rsidRPr="004452D2" w14:paraId="5AFD6410" w14:textId="77777777" w:rsidTr="004452D2">
        <w:tc>
          <w:tcPr>
            <w:tcW w:w="0" w:type="auto"/>
            <w:hideMark/>
          </w:tcPr>
          <w:p w14:paraId="003CC2AB" w14:textId="77777777" w:rsidR="004452D2" w:rsidRPr="004452D2" w:rsidRDefault="004452D2" w:rsidP="001D3906">
            <w:pPr>
              <w:spacing w:line="360" w:lineRule="auto"/>
              <w:jc w:val="both"/>
              <w:rPr>
                <w:rFonts w:ascii="Arial" w:eastAsia="Times New Roman" w:hAnsi="Arial" w:cs="Arial"/>
                <w:b/>
                <w:bCs/>
                <w:kern w:val="0"/>
                <w:sz w:val="24"/>
                <w:szCs w:val="24"/>
                <w14:ligatures w14:val="none"/>
              </w:rPr>
            </w:pPr>
            <w:r w:rsidRPr="004452D2">
              <w:rPr>
                <w:rFonts w:ascii="Arial" w:eastAsia="Times New Roman" w:hAnsi="Arial" w:cs="Arial"/>
                <w:b/>
                <w:bCs/>
                <w:kern w:val="0"/>
                <w:sz w:val="24"/>
                <w:szCs w:val="24"/>
                <w14:ligatures w14:val="none"/>
              </w:rPr>
              <w:t>Year</w:t>
            </w:r>
          </w:p>
        </w:tc>
        <w:tc>
          <w:tcPr>
            <w:tcW w:w="0" w:type="auto"/>
            <w:hideMark/>
          </w:tcPr>
          <w:p w14:paraId="3604B9AB" w14:textId="77777777" w:rsidR="004452D2" w:rsidRPr="004452D2" w:rsidRDefault="004452D2" w:rsidP="001D3906">
            <w:pPr>
              <w:spacing w:line="360" w:lineRule="auto"/>
              <w:jc w:val="both"/>
              <w:rPr>
                <w:rFonts w:ascii="Arial" w:eastAsia="Times New Roman" w:hAnsi="Arial" w:cs="Arial"/>
                <w:b/>
                <w:bCs/>
                <w:kern w:val="0"/>
                <w:sz w:val="24"/>
                <w:szCs w:val="24"/>
                <w14:ligatures w14:val="none"/>
              </w:rPr>
            </w:pPr>
            <w:r w:rsidRPr="004452D2">
              <w:rPr>
                <w:rFonts w:ascii="Arial" w:eastAsia="Times New Roman" w:hAnsi="Arial" w:cs="Arial"/>
                <w:b/>
                <w:bCs/>
                <w:kern w:val="0"/>
                <w:sz w:val="24"/>
                <w:szCs w:val="24"/>
                <w14:ligatures w14:val="none"/>
              </w:rPr>
              <w:t>Operating Cash Flow (OCF)</w:t>
            </w:r>
            <w:r w:rsidRPr="004452D2">
              <w:rPr>
                <w:rFonts w:ascii="Arial" w:eastAsia="Times New Roman" w:hAnsi="Arial" w:cs="Arial"/>
                <w:b/>
                <w:bCs/>
                <w:i/>
                <w:iCs/>
                <w:kern w:val="0"/>
                <w:sz w:val="24"/>
                <w:szCs w:val="24"/>
                <w14:ligatures w14:val="none"/>
              </w:rPr>
              <w:t>(£m)</w:t>
            </w:r>
          </w:p>
        </w:tc>
        <w:tc>
          <w:tcPr>
            <w:tcW w:w="0" w:type="auto"/>
            <w:hideMark/>
          </w:tcPr>
          <w:p w14:paraId="6E539AA7" w14:textId="77777777" w:rsidR="004452D2" w:rsidRPr="004452D2" w:rsidRDefault="004452D2" w:rsidP="001D3906">
            <w:pPr>
              <w:spacing w:line="360" w:lineRule="auto"/>
              <w:jc w:val="both"/>
              <w:rPr>
                <w:rFonts w:ascii="Arial" w:eastAsia="Times New Roman" w:hAnsi="Arial" w:cs="Arial"/>
                <w:b/>
                <w:bCs/>
                <w:kern w:val="0"/>
                <w:sz w:val="24"/>
                <w:szCs w:val="24"/>
                <w14:ligatures w14:val="none"/>
              </w:rPr>
            </w:pPr>
            <w:r w:rsidRPr="004452D2">
              <w:rPr>
                <w:rFonts w:ascii="Arial" w:eastAsia="Times New Roman" w:hAnsi="Arial" w:cs="Arial"/>
                <w:b/>
                <w:bCs/>
                <w:kern w:val="0"/>
                <w:sz w:val="24"/>
                <w:szCs w:val="24"/>
                <w14:ligatures w14:val="none"/>
              </w:rPr>
              <w:t>Current Liabilities</w:t>
            </w:r>
            <w:r w:rsidRPr="004452D2">
              <w:rPr>
                <w:rFonts w:ascii="Arial" w:eastAsia="Times New Roman" w:hAnsi="Arial" w:cs="Arial"/>
                <w:b/>
                <w:bCs/>
                <w:i/>
                <w:iCs/>
                <w:kern w:val="0"/>
                <w:sz w:val="24"/>
                <w:szCs w:val="24"/>
                <w14:ligatures w14:val="none"/>
              </w:rPr>
              <w:t>(£m)</w:t>
            </w:r>
          </w:p>
        </w:tc>
        <w:tc>
          <w:tcPr>
            <w:tcW w:w="0" w:type="auto"/>
            <w:hideMark/>
          </w:tcPr>
          <w:p w14:paraId="1860F67A" w14:textId="77777777" w:rsidR="004452D2" w:rsidRPr="004452D2" w:rsidRDefault="004452D2" w:rsidP="001D3906">
            <w:pPr>
              <w:spacing w:line="360" w:lineRule="auto"/>
              <w:jc w:val="both"/>
              <w:rPr>
                <w:rFonts w:ascii="Arial" w:eastAsia="Times New Roman" w:hAnsi="Arial" w:cs="Arial"/>
                <w:b/>
                <w:bCs/>
                <w:kern w:val="0"/>
                <w:sz w:val="24"/>
                <w:szCs w:val="24"/>
                <w14:ligatures w14:val="none"/>
              </w:rPr>
            </w:pPr>
            <w:r w:rsidRPr="004452D2">
              <w:rPr>
                <w:rFonts w:ascii="Arial" w:eastAsia="Times New Roman" w:hAnsi="Arial" w:cs="Arial"/>
                <w:b/>
                <w:bCs/>
                <w:kern w:val="0"/>
                <w:sz w:val="24"/>
                <w:szCs w:val="24"/>
                <w14:ligatures w14:val="none"/>
              </w:rPr>
              <w:t>Total Debt</w:t>
            </w:r>
            <w:r w:rsidRPr="004452D2">
              <w:rPr>
                <w:rFonts w:ascii="Arial" w:eastAsia="Times New Roman" w:hAnsi="Arial" w:cs="Arial"/>
                <w:b/>
                <w:bCs/>
                <w:i/>
                <w:iCs/>
                <w:kern w:val="0"/>
                <w:sz w:val="24"/>
                <w:szCs w:val="24"/>
                <w14:ligatures w14:val="none"/>
              </w:rPr>
              <w:t>(£m)</w:t>
            </w:r>
          </w:p>
        </w:tc>
        <w:tc>
          <w:tcPr>
            <w:tcW w:w="0" w:type="auto"/>
            <w:hideMark/>
          </w:tcPr>
          <w:p w14:paraId="5ADC58E5" w14:textId="77777777" w:rsidR="004452D2" w:rsidRPr="004452D2" w:rsidRDefault="004452D2" w:rsidP="001D3906">
            <w:pPr>
              <w:spacing w:line="360" w:lineRule="auto"/>
              <w:jc w:val="both"/>
              <w:rPr>
                <w:rFonts w:ascii="Arial" w:eastAsia="Times New Roman" w:hAnsi="Arial" w:cs="Arial"/>
                <w:b/>
                <w:bCs/>
                <w:kern w:val="0"/>
                <w:sz w:val="24"/>
                <w:szCs w:val="24"/>
                <w14:ligatures w14:val="none"/>
              </w:rPr>
            </w:pPr>
            <w:r w:rsidRPr="004452D2">
              <w:rPr>
                <w:rFonts w:ascii="Arial" w:eastAsia="Times New Roman" w:hAnsi="Arial" w:cs="Arial"/>
                <w:b/>
                <w:bCs/>
                <w:kern w:val="0"/>
                <w:sz w:val="24"/>
                <w:szCs w:val="24"/>
                <w14:ligatures w14:val="none"/>
              </w:rPr>
              <w:t>Sales</w:t>
            </w:r>
            <w:r w:rsidRPr="004452D2">
              <w:rPr>
                <w:rFonts w:ascii="Arial" w:eastAsia="Times New Roman" w:hAnsi="Arial" w:cs="Arial"/>
                <w:b/>
                <w:bCs/>
                <w:i/>
                <w:iCs/>
                <w:kern w:val="0"/>
                <w:sz w:val="24"/>
                <w:szCs w:val="24"/>
                <w14:ligatures w14:val="none"/>
              </w:rPr>
              <w:t>(£m)</w:t>
            </w:r>
          </w:p>
        </w:tc>
        <w:tc>
          <w:tcPr>
            <w:tcW w:w="0" w:type="auto"/>
            <w:hideMark/>
          </w:tcPr>
          <w:p w14:paraId="524B3A55" w14:textId="77777777" w:rsidR="004452D2" w:rsidRPr="004452D2" w:rsidRDefault="004452D2" w:rsidP="001D3906">
            <w:pPr>
              <w:spacing w:line="360" w:lineRule="auto"/>
              <w:jc w:val="both"/>
              <w:rPr>
                <w:rFonts w:ascii="Arial" w:eastAsia="Times New Roman" w:hAnsi="Arial" w:cs="Arial"/>
                <w:b/>
                <w:bCs/>
                <w:kern w:val="0"/>
                <w:sz w:val="24"/>
                <w:szCs w:val="24"/>
                <w14:ligatures w14:val="none"/>
              </w:rPr>
            </w:pPr>
            <w:r w:rsidRPr="004452D2">
              <w:rPr>
                <w:rFonts w:ascii="Arial" w:eastAsia="Times New Roman" w:hAnsi="Arial" w:cs="Arial"/>
                <w:b/>
                <w:bCs/>
                <w:kern w:val="0"/>
                <w:sz w:val="24"/>
                <w:szCs w:val="24"/>
                <w14:ligatures w14:val="none"/>
              </w:rPr>
              <w:t>Capital Expenditure (CapEx)</w:t>
            </w:r>
            <w:r w:rsidRPr="004452D2">
              <w:rPr>
                <w:rFonts w:ascii="Arial" w:eastAsia="Times New Roman" w:hAnsi="Arial" w:cs="Arial"/>
                <w:b/>
                <w:bCs/>
                <w:i/>
                <w:iCs/>
                <w:kern w:val="0"/>
                <w:sz w:val="24"/>
                <w:szCs w:val="24"/>
                <w14:ligatures w14:val="none"/>
              </w:rPr>
              <w:t>(£m)</w:t>
            </w:r>
          </w:p>
        </w:tc>
        <w:tc>
          <w:tcPr>
            <w:tcW w:w="0" w:type="auto"/>
            <w:hideMark/>
          </w:tcPr>
          <w:p w14:paraId="2B09B35C" w14:textId="77777777" w:rsidR="004452D2" w:rsidRPr="004452D2" w:rsidRDefault="004452D2" w:rsidP="001D3906">
            <w:pPr>
              <w:spacing w:line="360" w:lineRule="auto"/>
              <w:jc w:val="both"/>
              <w:rPr>
                <w:rFonts w:ascii="Arial" w:eastAsia="Times New Roman" w:hAnsi="Arial" w:cs="Arial"/>
                <w:b/>
                <w:bCs/>
                <w:kern w:val="0"/>
                <w:sz w:val="24"/>
                <w:szCs w:val="24"/>
                <w14:ligatures w14:val="none"/>
              </w:rPr>
            </w:pPr>
            <w:r w:rsidRPr="004452D2">
              <w:rPr>
                <w:rFonts w:ascii="Arial" w:eastAsia="Times New Roman" w:hAnsi="Arial" w:cs="Arial"/>
                <w:b/>
                <w:bCs/>
                <w:kern w:val="0"/>
                <w:sz w:val="24"/>
                <w:szCs w:val="24"/>
                <w14:ligatures w14:val="none"/>
              </w:rPr>
              <w:t>Operating Cash Flow Ratio</w:t>
            </w:r>
            <w:r w:rsidRPr="004452D2">
              <w:rPr>
                <w:rFonts w:ascii="Arial" w:eastAsia="Times New Roman" w:hAnsi="Arial" w:cs="Arial"/>
                <w:b/>
                <w:bCs/>
                <w:i/>
                <w:iCs/>
                <w:kern w:val="0"/>
                <w:sz w:val="24"/>
                <w:szCs w:val="24"/>
                <w14:ligatures w14:val="none"/>
              </w:rPr>
              <w:t>(OCF ÷ Current Liabilities)</w:t>
            </w:r>
          </w:p>
        </w:tc>
        <w:tc>
          <w:tcPr>
            <w:tcW w:w="0" w:type="auto"/>
            <w:hideMark/>
          </w:tcPr>
          <w:p w14:paraId="2E329A27" w14:textId="77777777" w:rsidR="004452D2" w:rsidRPr="004452D2" w:rsidRDefault="004452D2" w:rsidP="001D3906">
            <w:pPr>
              <w:spacing w:line="360" w:lineRule="auto"/>
              <w:jc w:val="both"/>
              <w:rPr>
                <w:rFonts w:ascii="Arial" w:eastAsia="Times New Roman" w:hAnsi="Arial" w:cs="Arial"/>
                <w:b/>
                <w:bCs/>
                <w:kern w:val="0"/>
                <w:sz w:val="24"/>
                <w:szCs w:val="24"/>
                <w14:ligatures w14:val="none"/>
              </w:rPr>
            </w:pPr>
            <w:r w:rsidRPr="004452D2">
              <w:rPr>
                <w:rFonts w:ascii="Arial" w:eastAsia="Times New Roman" w:hAnsi="Arial" w:cs="Arial"/>
                <w:b/>
                <w:bCs/>
                <w:kern w:val="0"/>
                <w:sz w:val="24"/>
                <w:szCs w:val="24"/>
                <w14:ligatures w14:val="none"/>
              </w:rPr>
              <w:t>Cash Flow to Debt Ratio</w:t>
            </w:r>
            <w:r w:rsidRPr="004452D2">
              <w:rPr>
                <w:rFonts w:ascii="Arial" w:eastAsia="Times New Roman" w:hAnsi="Arial" w:cs="Arial"/>
                <w:b/>
                <w:bCs/>
                <w:i/>
                <w:iCs/>
                <w:kern w:val="0"/>
                <w:sz w:val="24"/>
                <w:szCs w:val="24"/>
                <w14:ligatures w14:val="none"/>
              </w:rPr>
              <w:t>(OCF ÷ Total Debt)</w:t>
            </w:r>
          </w:p>
        </w:tc>
        <w:tc>
          <w:tcPr>
            <w:tcW w:w="0" w:type="auto"/>
            <w:hideMark/>
          </w:tcPr>
          <w:p w14:paraId="665099D1" w14:textId="77777777" w:rsidR="004452D2" w:rsidRPr="004452D2" w:rsidRDefault="004452D2" w:rsidP="001D3906">
            <w:pPr>
              <w:spacing w:line="360" w:lineRule="auto"/>
              <w:jc w:val="both"/>
              <w:rPr>
                <w:rFonts w:ascii="Arial" w:eastAsia="Times New Roman" w:hAnsi="Arial" w:cs="Arial"/>
                <w:b/>
                <w:bCs/>
                <w:kern w:val="0"/>
                <w:sz w:val="24"/>
                <w:szCs w:val="24"/>
                <w14:ligatures w14:val="none"/>
              </w:rPr>
            </w:pPr>
            <w:r w:rsidRPr="004452D2">
              <w:rPr>
                <w:rFonts w:ascii="Arial" w:eastAsia="Times New Roman" w:hAnsi="Arial" w:cs="Arial"/>
                <w:b/>
                <w:bCs/>
                <w:kern w:val="0"/>
                <w:sz w:val="24"/>
                <w:szCs w:val="24"/>
                <w14:ligatures w14:val="none"/>
              </w:rPr>
              <w:t>Cash Flow Margin (%)</w:t>
            </w:r>
            <w:r w:rsidRPr="004452D2">
              <w:rPr>
                <w:rFonts w:ascii="Arial" w:eastAsia="Times New Roman" w:hAnsi="Arial" w:cs="Arial"/>
                <w:b/>
                <w:bCs/>
                <w:i/>
                <w:iCs/>
                <w:kern w:val="0"/>
                <w:sz w:val="24"/>
                <w:szCs w:val="24"/>
                <w14:ligatures w14:val="none"/>
              </w:rPr>
              <w:t>(OCF ÷ Sales × 100)</w:t>
            </w:r>
          </w:p>
        </w:tc>
        <w:tc>
          <w:tcPr>
            <w:tcW w:w="0" w:type="auto"/>
            <w:hideMark/>
          </w:tcPr>
          <w:p w14:paraId="3D29C3FD" w14:textId="77777777" w:rsidR="004452D2" w:rsidRPr="004452D2" w:rsidRDefault="004452D2" w:rsidP="001D3906">
            <w:pPr>
              <w:spacing w:line="360" w:lineRule="auto"/>
              <w:jc w:val="both"/>
              <w:rPr>
                <w:rFonts w:ascii="Arial" w:eastAsia="Times New Roman" w:hAnsi="Arial" w:cs="Arial"/>
                <w:b/>
                <w:bCs/>
                <w:kern w:val="0"/>
                <w:sz w:val="24"/>
                <w:szCs w:val="24"/>
                <w14:ligatures w14:val="none"/>
              </w:rPr>
            </w:pPr>
            <w:r w:rsidRPr="004452D2">
              <w:rPr>
                <w:rFonts w:ascii="Arial" w:eastAsia="Times New Roman" w:hAnsi="Arial" w:cs="Arial"/>
                <w:b/>
                <w:bCs/>
                <w:kern w:val="0"/>
                <w:sz w:val="24"/>
                <w:szCs w:val="24"/>
                <w14:ligatures w14:val="none"/>
              </w:rPr>
              <w:t>Free Cash Flow (FCF)</w:t>
            </w:r>
            <w:r w:rsidRPr="004452D2">
              <w:rPr>
                <w:rFonts w:ascii="Arial" w:eastAsia="Times New Roman" w:hAnsi="Arial" w:cs="Arial"/>
                <w:b/>
                <w:bCs/>
                <w:i/>
                <w:iCs/>
                <w:kern w:val="0"/>
                <w:sz w:val="24"/>
                <w:szCs w:val="24"/>
                <w14:ligatures w14:val="none"/>
              </w:rPr>
              <w:t>(OCF − CapEx)</w:t>
            </w:r>
          </w:p>
        </w:tc>
        <w:tc>
          <w:tcPr>
            <w:tcW w:w="0" w:type="auto"/>
            <w:hideMark/>
          </w:tcPr>
          <w:p w14:paraId="06508B51" w14:textId="77777777" w:rsidR="004452D2" w:rsidRPr="004452D2" w:rsidRDefault="004452D2" w:rsidP="001D3906">
            <w:pPr>
              <w:spacing w:line="360" w:lineRule="auto"/>
              <w:jc w:val="both"/>
              <w:rPr>
                <w:rFonts w:ascii="Arial" w:eastAsia="Times New Roman" w:hAnsi="Arial" w:cs="Arial"/>
                <w:b/>
                <w:bCs/>
                <w:kern w:val="0"/>
                <w:sz w:val="24"/>
                <w:szCs w:val="24"/>
                <w14:ligatures w14:val="none"/>
              </w:rPr>
            </w:pPr>
            <w:r w:rsidRPr="004452D2">
              <w:rPr>
                <w:rFonts w:ascii="Arial" w:eastAsia="Times New Roman" w:hAnsi="Arial" w:cs="Arial"/>
                <w:b/>
                <w:bCs/>
                <w:kern w:val="0"/>
                <w:sz w:val="24"/>
                <w:szCs w:val="24"/>
                <w14:ligatures w14:val="none"/>
              </w:rPr>
              <w:t>Free Cash Flow Margin (%)</w:t>
            </w:r>
            <w:r w:rsidRPr="004452D2">
              <w:rPr>
                <w:rFonts w:ascii="Arial" w:eastAsia="Times New Roman" w:hAnsi="Arial" w:cs="Arial"/>
                <w:b/>
                <w:bCs/>
                <w:i/>
                <w:iCs/>
                <w:kern w:val="0"/>
                <w:sz w:val="24"/>
                <w:szCs w:val="24"/>
                <w14:ligatures w14:val="none"/>
              </w:rPr>
              <w:t>(FCF ÷ Sales × 100)</w:t>
            </w:r>
          </w:p>
        </w:tc>
      </w:tr>
      <w:tr w:rsidR="004452D2" w:rsidRPr="004452D2" w14:paraId="783C05E4" w14:textId="77777777" w:rsidTr="004452D2">
        <w:tc>
          <w:tcPr>
            <w:tcW w:w="0" w:type="auto"/>
            <w:hideMark/>
          </w:tcPr>
          <w:p w14:paraId="45F49826"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2020</w:t>
            </w:r>
          </w:p>
        </w:tc>
        <w:tc>
          <w:tcPr>
            <w:tcW w:w="0" w:type="auto"/>
            <w:hideMark/>
          </w:tcPr>
          <w:p w14:paraId="537DB794"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73,392</w:t>
            </w:r>
          </w:p>
        </w:tc>
        <w:tc>
          <w:tcPr>
            <w:tcW w:w="0" w:type="auto"/>
            <w:hideMark/>
          </w:tcPr>
          <w:p w14:paraId="18F89770"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179,510</w:t>
            </w:r>
          </w:p>
        </w:tc>
        <w:tc>
          <w:tcPr>
            <w:tcW w:w="0" w:type="auto"/>
            <w:hideMark/>
          </w:tcPr>
          <w:p w14:paraId="13D66208"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196,989</w:t>
            </w:r>
          </w:p>
        </w:tc>
        <w:tc>
          <w:tcPr>
            <w:tcW w:w="0" w:type="auto"/>
            <w:hideMark/>
          </w:tcPr>
          <w:p w14:paraId="227B852E"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614,680</w:t>
            </w:r>
          </w:p>
        </w:tc>
        <w:tc>
          <w:tcPr>
            <w:tcW w:w="0" w:type="auto"/>
            <w:hideMark/>
          </w:tcPr>
          <w:p w14:paraId="77B0F8FE"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16,862</w:t>
            </w:r>
          </w:p>
        </w:tc>
        <w:tc>
          <w:tcPr>
            <w:tcW w:w="0" w:type="auto"/>
            <w:hideMark/>
          </w:tcPr>
          <w:p w14:paraId="5B4D2CD2"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0.41</w:t>
            </w:r>
          </w:p>
        </w:tc>
        <w:tc>
          <w:tcPr>
            <w:tcW w:w="0" w:type="auto"/>
            <w:hideMark/>
          </w:tcPr>
          <w:p w14:paraId="3ABD5A91"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0.37</w:t>
            </w:r>
          </w:p>
        </w:tc>
        <w:tc>
          <w:tcPr>
            <w:tcW w:w="0" w:type="auto"/>
            <w:hideMark/>
          </w:tcPr>
          <w:p w14:paraId="0D484432"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11.9</w:t>
            </w:r>
          </w:p>
        </w:tc>
        <w:tc>
          <w:tcPr>
            <w:tcW w:w="0" w:type="auto"/>
            <w:hideMark/>
          </w:tcPr>
          <w:p w14:paraId="286CEBA3"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56,530</w:t>
            </w:r>
          </w:p>
        </w:tc>
        <w:tc>
          <w:tcPr>
            <w:tcW w:w="0" w:type="auto"/>
            <w:hideMark/>
          </w:tcPr>
          <w:p w14:paraId="75988BE7"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9.2</w:t>
            </w:r>
          </w:p>
        </w:tc>
      </w:tr>
      <w:tr w:rsidR="004452D2" w:rsidRPr="004452D2" w14:paraId="6D29336D" w14:textId="77777777" w:rsidTr="004452D2">
        <w:tc>
          <w:tcPr>
            <w:tcW w:w="0" w:type="auto"/>
            <w:hideMark/>
          </w:tcPr>
          <w:p w14:paraId="31BAE81A"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2021</w:t>
            </w:r>
          </w:p>
        </w:tc>
        <w:tc>
          <w:tcPr>
            <w:tcW w:w="0" w:type="auto"/>
            <w:hideMark/>
          </w:tcPr>
          <w:p w14:paraId="6A66F30D"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40,283</w:t>
            </w:r>
          </w:p>
        </w:tc>
        <w:tc>
          <w:tcPr>
            <w:tcW w:w="0" w:type="auto"/>
            <w:hideMark/>
          </w:tcPr>
          <w:p w14:paraId="0A87301D"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216,787</w:t>
            </w:r>
          </w:p>
        </w:tc>
        <w:tc>
          <w:tcPr>
            <w:tcW w:w="0" w:type="auto"/>
            <w:hideMark/>
          </w:tcPr>
          <w:p w14:paraId="7F4D7BB5"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234,399</w:t>
            </w:r>
          </w:p>
        </w:tc>
        <w:tc>
          <w:tcPr>
            <w:tcW w:w="0" w:type="auto"/>
            <w:hideMark/>
          </w:tcPr>
          <w:p w14:paraId="5A8FD147"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601,602</w:t>
            </w:r>
          </w:p>
        </w:tc>
        <w:tc>
          <w:tcPr>
            <w:tcW w:w="0" w:type="auto"/>
            <w:hideMark/>
          </w:tcPr>
          <w:p w14:paraId="5A5C7AD1"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17,041</w:t>
            </w:r>
          </w:p>
        </w:tc>
        <w:tc>
          <w:tcPr>
            <w:tcW w:w="0" w:type="auto"/>
            <w:hideMark/>
          </w:tcPr>
          <w:p w14:paraId="28E07E97"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0.19</w:t>
            </w:r>
          </w:p>
        </w:tc>
        <w:tc>
          <w:tcPr>
            <w:tcW w:w="0" w:type="auto"/>
            <w:hideMark/>
          </w:tcPr>
          <w:p w14:paraId="47653874"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0.17</w:t>
            </w:r>
          </w:p>
        </w:tc>
        <w:tc>
          <w:tcPr>
            <w:tcW w:w="0" w:type="auto"/>
            <w:hideMark/>
          </w:tcPr>
          <w:p w14:paraId="11338C91"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6.7</w:t>
            </w:r>
          </w:p>
        </w:tc>
        <w:tc>
          <w:tcPr>
            <w:tcW w:w="0" w:type="auto"/>
            <w:hideMark/>
          </w:tcPr>
          <w:p w14:paraId="01A442AA"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23,242</w:t>
            </w:r>
          </w:p>
        </w:tc>
        <w:tc>
          <w:tcPr>
            <w:tcW w:w="0" w:type="auto"/>
            <w:hideMark/>
          </w:tcPr>
          <w:p w14:paraId="159E18C6"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3.9</w:t>
            </w:r>
          </w:p>
        </w:tc>
      </w:tr>
      <w:tr w:rsidR="004452D2" w:rsidRPr="004452D2" w14:paraId="3C8F14A2" w14:textId="77777777" w:rsidTr="004452D2">
        <w:tc>
          <w:tcPr>
            <w:tcW w:w="0" w:type="auto"/>
            <w:hideMark/>
          </w:tcPr>
          <w:p w14:paraId="60A6DD96"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2022</w:t>
            </w:r>
          </w:p>
        </w:tc>
        <w:tc>
          <w:tcPr>
            <w:tcW w:w="0" w:type="auto"/>
            <w:hideMark/>
          </w:tcPr>
          <w:p w14:paraId="7C8FA4D2"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10,926</w:t>
            </w:r>
          </w:p>
        </w:tc>
        <w:tc>
          <w:tcPr>
            <w:tcW w:w="0" w:type="auto"/>
            <w:hideMark/>
          </w:tcPr>
          <w:p w14:paraId="2DB30A9F"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216,473</w:t>
            </w:r>
          </w:p>
        </w:tc>
        <w:tc>
          <w:tcPr>
            <w:tcW w:w="0" w:type="auto"/>
            <w:hideMark/>
          </w:tcPr>
          <w:p w14:paraId="48AB32D4"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235,757</w:t>
            </w:r>
          </w:p>
        </w:tc>
        <w:tc>
          <w:tcPr>
            <w:tcW w:w="0" w:type="auto"/>
            <w:hideMark/>
          </w:tcPr>
          <w:p w14:paraId="6AC9CA47"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542,751</w:t>
            </w:r>
          </w:p>
        </w:tc>
        <w:tc>
          <w:tcPr>
            <w:tcW w:w="0" w:type="auto"/>
            <w:hideMark/>
          </w:tcPr>
          <w:p w14:paraId="5A61E8C6"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21,208</w:t>
            </w:r>
          </w:p>
        </w:tc>
        <w:tc>
          <w:tcPr>
            <w:tcW w:w="0" w:type="auto"/>
            <w:hideMark/>
          </w:tcPr>
          <w:p w14:paraId="792BCBD1"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0.05</w:t>
            </w:r>
          </w:p>
        </w:tc>
        <w:tc>
          <w:tcPr>
            <w:tcW w:w="0" w:type="auto"/>
            <w:hideMark/>
          </w:tcPr>
          <w:p w14:paraId="2037139A"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0.05</w:t>
            </w:r>
          </w:p>
        </w:tc>
        <w:tc>
          <w:tcPr>
            <w:tcW w:w="0" w:type="auto"/>
            <w:hideMark/>
          </w:tcPr>
          <w:p w14:paraId="7BF7CC64"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2.0</w:t>
            </w:r>
          </w:p>
        </w:tc>
        <w:tc>
          <w:tcPr>
            <w:tcW w:w="0" w:type="auto"/>
            <w:hideMark/>
          </w:tcPr>
          <w:p w14:paraId="6C69032C"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-10,282</w:t>
            </w:r>
          </w:p>
        </w:tc>
        <w:tc>
          <w:tcPr>
            <w:tcW w:w="0" w:type="auto"/>
            <w:hideMark/>
          </w:tcPr>
          <w:p w14:paraId="13ABB017"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-1.9</w:t>
            </w:r>
          </w:p>
        </w:tc>
      </w:tr>
      <w:tr w:rsidR="004452D2" w:rsidRPr="004452D2" w14:paraId="6950D394" w14:textId="77777777" w:rsidTr="004452D2">
        <w:tc>
          <w:tcPr>
            <w:tcW w:w="0" w:type="auto"/>
            <w:hideMark/>
          </w:tcPr>
          <w:p w14:paraId="5817601E"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2023</w:t>
            </w:r>
          </w:p>
        </w:tc>
        <w:tc>
          <w:tcPr>
            <w:tcW w:w="0" w:type="auto"/>
            <w:hideMark/>
          </w:tcPr>
          <w:p w14:paraId="13CF53DD"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25,190</w:t>
            </w:r>
          </w:p>
        </w:tc>
        <w:tc>
          <w:tcPr>
            <w:tcW w:w="0" w:type="auto"/>
            <w:hideMark/>
          </w:tcPr>
          <w:p w14:paraId="13D10D85"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161,148</w:t>
            </w:r>
          </w:p>
        </w:tc>
        <w:tc>
          <w:tcPr>
            <w:tcW w:w="0" w:type="auto"/>
            <w:hideMark/>
          </w:tcPr>
          <w:p w14:paraId="56005EB0"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176,952</w:t>
            </w:r>
          </w:p>
        </w:tc>
        <w:tc>
          <w:tcPr>
            <w:tcW w:w="0" w:type="auto"/>
            <w:hideMark/>
          </w:tcPr>
          <w:p w14:paraId="673D68B1"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420,457</w:t>
            </w:r>
          </w:p>
        </w:tc>
        <w:tc>
          <w:tcPr>
            <w:tcW w:w="0" w:type="auto"/>
            <w:hideMark/>
          </w:tcPr>
          <w:p w14:paraId="39E63793"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13,877</w:t>
            </w:r>
          </w:p>
        </w:tc>
        <w:tc>
          <w:tcPr>
            <w:tcW w:w="0" w:type="auto"/>
            <w:hideMark/>
          </w:tcPr>
          <w:p w14:paraId="4FEEE41C"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0.16</w:t>
            </w:r>
          </w:p>
        </w:tc>
        <w:tc>
          <w:tcPr>
            <w:tcW w:w="0" w:type="auto"/>
            <w:hideMark/>
          </w:tcPr>
          <w:p w14:paraId="1AB1DA9E"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0.14</w:t>
            </w:r>
          </w:p>
        </w:tc>
        <w:tc>
          <w:tcPr>
            <w:tcW w:w="0" w:type="auto"/>
            <w:hideMark/>
          </w:tcPr>
          <w:p w14:paraId="341CAE13"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6.0</w:t>
            </w:r>
          </w:p>
        </w:tc>
        <w:tc>
          <w:tcPr>
            <w:tcW w:w="0" w:type="auto"/>
            <w:hideMark/>
          </w:tcPr>
          <w:p w14:paraId="4B4EDE1A"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11,313</w:t>
            </w:r>
          </w:p>
        </w:tc>
        <w:tc>
          <w:tcPr>
            <w:tcW w:w="0" w:type="auto"/>
            <w:hideMark/>
          </w:tcPr>
          <w:p w14:paraId="2BAB6510"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2.7</w:t>
            </w:r>
          </w:p>
        </w:tc>
      </w:tr>
      <w:tr w:rsidR="004452D2" w:rsidRPr="004452D2" w14:paraId="12C4F5FC" w14:textId="77777777" w:rsidTr="004452D2">
        <w:tc>
          <w:tcPr>
            <w:tcW w:w="0" w:type="auto"/>
            <w:hideMark/>
          </w:tcPr>
          <w:p w14:paraId="5CD1BA84"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2024</w:t>
            </w:r>
          </w:p>
        </w:tc>
        <w:tc>
          <w:tcPr>
            <w:tcW w:w="0" w:type="auto"/>
            <w:hideMark/>
          </w:tcPr>
          <w:p w14:paraId="74ED4D6A"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14,822</w:t>
            </w:r>
          </w:p>
        </w:tc>
        <w:tc>
          <w:tcPr>
            <w:tcW w:w="0" w:type="auto"/>
            <w:hideMark/>
          </w:tcPr>
          <w:p w14:paraId="4EBFD830"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158,291</w:t>
            </w:r>
          </w:p>
        </w:tc>
        <w:tc>
          <w:tcPr>
            <w:tcW w:w="0" w:type="auto"/>
            <w:hideMark/>
          </w:tcPr>
          <w:p w14:paraId="30D58CDE"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170,249</w:t>
            </w:r>
          </w:p>
        </w:tc>
        <w:tc>
          <w:tcPr>
            <w:tcW w:w="0" w:type="auto"/>
            <w:hideMark/>
          </w:tcPr>
          <w:p w14:paraId="0B89FBEA"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394,879</w:t>
            </w:r>
          </w:p>
        </w:tc>
        <w:tc>
          <w:tcPr>
            <w:tcW w:w="0" w:type="auto"/>
            <w:hideMark/>
          </w:tcPr>
          <w:p w14:paraId="4791FCA0"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8,428</w:t>
            </w:r>
          </w:p>
        </w:tc>
        <w:tc>
          <w:tcPr>
            <w:tcW w:w="0" w:type="auto"/>
            <w:hideMark/>
          </w:tcPr>
          <w:p w14:paraId="46955DF1"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0.09</w:t>
            </w:r>
          </w:p>
        </w:tc>
        <w:tc>
          <w:tcPr>
            <w:tcW w:w="0" w:type="auto"/>
            <w:hideMark/>
          </w:tcPr>
          <w:p w14:paraId="6B41BBE4"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0.09</w:t>
            </w:r>
          </w:p>
        </w:tc>
        <w:tc>
          <w:tcPr>
            <w:tcW w:w="0" w:type="auto"/>
            <w:hideMark/>
          </w:tcPr>
          <w:p w14:paraId="53D215C2"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3.8</w:t>
            </w:r>
          </w:p>
        </w:tc>
        <w:tc>
          <w:tcPr>
            <w:tcW w:w="0" w:type="auto"/>
            <w:hideMark/>
          </w:tcPr>
          <w:p w14:paraId="3D999E1A"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6,394</w:t>
            </w:r>
          </w:p>
        </w:tc>
        <w:tc>
          <w:tcPr>
            <w:tcW w:w="0" w:type="auto"/>
            <w:hideMark/>
          </w:tcPr>
          <w:p w14:paraId="49531121" w14:textId="77777777" w:rsidR="004452D2" w:rsidRPr="004452D2" w:rsidRDefault="004452D2"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1.6</w:t>
            </w:r>
          </w:p>
        </w:tc>
      </w:tr>
    </w:tbl>
    <w:p w14:paraId="3ACB620A" w14:textId="77777777" w:rsidR="004452D2" w:rsidRPr="001D3906" w:rsidRDefault="004452D2" w:rsidP="001D3906">
      <w:pPr>
        <w:spacing w:after="0" w:line="360" w:lineRule="auto"/>
        <w:jc w:val="both"/>
        <w:rPr>
          <w:rFonts w:ascii="Arial" w:eastAsia="Times New Roman" w:hAnsi="Arial" w:cs="Arial"/>
          <w:kern w:val="0"/>
          <w:sz w:val="24"/>
          <w:szCs w:val="24"/>
          <w14:ligatures w14:val="none"/>
        </w:rPr>
      </w:pPr>
    </w:p>
    <w:p w14:paraId="46F71F85" w14:textId="105D1D39" w:rsidR="00AF5A88" w:rsidRPr="00BA0E2E" w:rsidRDefault="00AF5A88" w:rsidP="001D3906">
      <w:pPr>
        <w:spacing w:after="0" w:line="360" w:lineRule="auto"/>
        <w:jc w:val="both"/>
        <w:rPr>
          <w:rFonts w:ascii="Arial" w:hAnsi="Arial" w:cs="Arial"/>
          <w:b/>
          <w:bCs/>
          <w:sz w:val="24"/>
          <w:szCs w:val="24"/>
          <w:u w:val="single"/>
        </w:rPr>
      </w:pPr>
      <w:r w:rsidRPr="00BA0E2E">
        <w:rPr>
          <w:rFonts w:ascii="Arial" w:hAnsi="Arial" w:cs="Arial"/>
          <w:b/>
          <w:bCs/>
          <w:sz w:val="24"/>
          <w:szCs w:val="24"/>
          <w:u w:val="single"/>
        </w:rPr>
        <w:t>Altman Z-Score</w:t>
      </w:r>
    </w:p>
    <w:p w14:paraId="358F0580" w14:textId="31725B58" w:rsidR="00AF5A88" w:rsidRPr="001D3906" w:rsidRDefault="00AF5A88" w:rsidP="001D3906">
      <w:pPr>
        <w:spacing w:after="0" w:line="360" w:lineRule="auto"/>
        <w:jc w:val="both"/>
        <w:rPr>
          <w:rFonts w:ascii="Arial" w:eastAsia="Times New Roman" w:hAnsi="Arial" w:cs="Arial"/>
          <w:kern w:val="0"/>
          <w:sz w:val="24"/>
          <w:szCs w:val="24"/>
          <w14:ligatures w14:val="none"/>
        </w:rPr>
      </w:pPr>
      <w:r w:rsidRPr="00AF5A88">
        <w:rPr>
          <w:rFonts w:ascii="Arial" w:eastAsia="Times New Roman" w:hAnsi="Arial" w:cs="Arial"/>
          <w:kern w:val="0"/>
          <w:sz w:val="24"/>
          <w:szCs w:val="24"/>
          <w14:ligatures w14:val="none"/>
        </w:rPr>
        <w:t>Z=1.2X</w:t>
      </w:r>
      <w:r w:rsidRPr="00AF5A88">
        <w:rPr>
          <w:rFonts w:ascii="Arial" w:eastAsia="Times New Roman" w:hAnsi="Arial" w:cs="Arial"/>
          <w:kern w:val="0"/>
          <w:sz w:val="24"/>
          <w:szCs w:val="24"/>
          <w:vertAlign w:val="subscript"/>
          <w14:ligatures w14:val="none"/>
        </w:rPr>
        <w:t>1</w:t>
      </w:r>
      <w:r w:rsidRPr="00AF5A88">
        <w:rPr>
          <w:rFonts w:ascii="Arial" w:eastAsia="Times New Roman" w:hAnsi="Arial" w:cs="Arial"/>
          <w:kern w:val="0"/>
          <w:sz w:val="24"/>
          <w:szCs w:val="24"/>
          <w14:ligatures w14:val="none"/>
        </w:rPr>
        <w:t>+1.4X</w:t>
      </w:r>
      <w:r w:rsidRPr="00AF5A88">
        <w:rPr>
          <w:rFonts w:ascii="Arial" w:eastAsia="Times New Roman" w:hAnsi="Arial" w:cs="Arial"/>
          <w:kern w:val="0"/>
          <w:sz w:val="24"/>
          <w:szCs w:val="24"/>
          <w:vertAlign w:val="subscript"/>
          <w14:ligatures w14:val="none"/>
        </w:rPr>
        <w:t>2</w:t>
      </w:r>
      <w:r w:rsidRPr="00AF5A88">
        <w:rPr>
          <w:rFonts w:ascii="Arial" w:eastAsia="Times New Roman" w:hAnsi="Arial" w:cs="Arial"/>
          <w:kern w:val="0"/>
          <w:sz w:val="24"/>
          <w:szCs w:val="24"/>
          <w14:ligatures w14:val="none"/>
        </w:rPr>
        <w:t>+3.3X</w:t>
      </w:r>
      <w:r w:rsidRPr="00AF5A88">
        <w:rPr>
          <w:rFonts w:ascii="Arial" w:eastAsia="Times New Roman" w:hAnsi="Arial" w:cs="Arial"/>
          <w:kern w:val="0"/>
          <w:sz w:val="24"/>
          <w:szCs w:val="24"/>
          <w:vertAlign w:val="subscript"/>
          <w14:ligatures w14:val="none"/>
        </w:rPr>
        <w:t>3</w:t>
      </w:r>
      <w:r w:rsidRPr="00AF5A88">
        <w:rPr>
          <w:rFonts w:ascii="Arial" w:eastAsia="Times New Roman" w:hAnsi="Arial" w:cs="Arial"/>
          <w:kern w:val="0"/>
          <w:sz w:val="24"/>
          <w:szCs w:val="24"/>
          <w14:ligatures w14:val="none"/>
        </w:rPr>
        <w:t>+0.6X</w:t>
      </w:r>
      <w:r w:rsidRPr="00AF5A88">
        <w:rPr>
          <w:rFonts w:ascii="Arial" w:eastAsia="Times New Roman" w:hAnsi="Arial" w:cs="Arial"/>
          <w:kern w:val="0"/>
          <w:sz w:val="24"/>
          <w:szCs w:val="24"/>
          <w:vertAlign w:val="subscript"/>
          <w14:ligatures w14:val="none"/>
        </w:rPr>
        <w:t>4</w:t>
      </w:r>
      <w:r w:rsidRPr="00AF5A88">
        <w:rPr>
          <w:rFonts w:ascii="Arial" w:eastAsia="Times New Roman" w:hAnsi="Arial" w:cs="Arial"/>
          <w:kern w:val="0"/>
          <w:sz w:val="24"/>
          <w:szCs w:val="24"/>
          <w14:ligatures w14:val="none"/>
        </w:rPr>
        <w:t>+1.0X</w:t>
      </w:r>
      <w:r w:rsidRPr="00AF5A88">
        <w:rPr>
          <w:rFonts w:ascii="Arial" w:eastAsia="Times New Roman" w:hAnsi="Arial" w:cs="Arial"/>
          <w:kern w:val="0"/>
          <w:sz w:val="24"/>
          <w:szCs w:val="24"/>
          <w:vertAlign w:val="subscript"/>
          <w14:ligatures w14:val="none"/>
        </w:rPr>
        <w:t>5</w:t>
      </w:r>
    </w:p>
    <w:p w14:paraId="21F45AB5" w14:textId="71F5FCA6" w:rsidR="00CF44EB" w:rsidRPr="001D3906" w:rsidRDefault="00CF44EB" w:rsidP="001D3906">
      <w:pPr>
        <w:spacing w:after="0" w:line="360" w:lineRule="auto"/>
        <w:jc w:val="both"/>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 xml:space="preserve">Table </w:t>
      </w:r>
      <w:r w:rsidR="00BA0E2E">
        <w:rPr>
          <w:rFonts w:ascii="Arial" w:eastAsia="Times New Roman" w:hAnsi="Arial" w:cs="Arial"/>
          <w:kern w:val="0"/>
          <w:sz w:val="24"/>
          <w:szCs w:val="24"/>
          <w14:ligatures w14:val="none"/>
        </w:rPr>
        <w:t>9</w:t>
      </w:r>
      <w:r w:rsidRPr="001D3906">
        <w:rPr>
          <w:rFonts w:ascii="Arial" w:eastAsia="Times New Roman" w:hAnsi="Arial" w:cs="Arial"/>
          <w:kern w:val="0"/>
          <w:sz w:val="24"/>
          <w:szCs w:val="24"/>
          <w14:ligatures w14:val="none"/>
        </w:rPr>
        <w:t>: Altman Z-Score</w:t>
      </w:r>
    </w:p>
    <w:tbl>
      <w:tblPr>
        <w:tblStyle w:val="TableGrid"/>
        <w:tblW w:w="0" w:type="auto"/>
        <w:tblLook w:val="04A0" w:firstRow="1" w:lastRow="0" w:firstColumn="1" w:lastColumn="0" w:noHBand="0" w:noVBand="1"/>
      </w:tblPr>
      <w:tblGrid>
        <w:gridCol w:w="1150"/>
        <w:gridCol w:w="1457"/>
        <w:gridCol w:w="3537"/>
      </w:tblGrid>
      <w:tr w:rsidR="0077571D" w:rsidRPr="004452D2" w14:paraId="3110E681" w14:textId="77777777" w:rsidTr="004452D2">
        <w:tc>
          <w:tcPr>
            <w:tcW w:w="0" w:type="auto"/>
            <w:hideMark/>
          </w:tcPr>
          <w:p w14:paraId="01517C23" w14:textId="77777777" w:rsidR="0077571D" w:rsidRPr="004452D2" w:rsidRDefault="0077571D" w:rsidP="001D3906">
            <w:pPr>
              <w:spacing w:line="360" w:lineRule="auto"/>
              <w:jc w:val="both"/>
              <w:rPr>
                <w:rFonts w:ascii="Arial" w:eastAsia="Times New Roman" w:hAnsi="Arial" w:cs="Arial"/>
                <w:b/>
                <w:bCs/>
                <w:kern w:val="0"/>
                <w:sz w:val="24"/>
                <w:szCs w:val="24"/>
                <w14:ligatures w14:val="none"/>
              </w:rPr>
            </w:pPr>
            <w:r w:rsidRPr="004452D2">
              <w:rPr>
                <w:rFonts w:ascii="Arial" w:eastAsia="Times New Roman" w:hAnsi="Arial" w:cs="Arial"/>
                <w:b/>
                <w:bCs/>
                <w:kern w:val="0"/>
                <w:sz w:val="24"/>
                <w:szCs w:val="24"/>
                <w14:ligatures w14:val="none"/>
              </w:rPr>
              <w:t>Variable</w:t>
            </w:r>
          </w:p>
        </w:tc>
        <w:tc>
          <w:tcPr>
            <w:tcW w:w="0" w:type="auto"/>
            <w:hideMark/>
          </w:tcPr>
          <w:p w14:paraId="51CEBB2B" w14:textId="77777777" w:rsidR="0077571D" w:rsidRPr="004452D2" w:rsidRDefault="0077571D" w:rsidP="001D3906">
            <w:pPr>
              <w:spacing w:line="360" w:lineRule="auto"/>
              <w:jc w:val="both"/>
              <w:rPr>
                <w:rFonts w:ascii="Arial" w:eastAsia="Times New Roman" w:hAnsi="Arial" w:cs="Arial"/>
                <w:b/>
                <w:bCs/>
                <w:kern w:val="0"/>
                <w:sz w:val="24"/>
                <w:szCs w:val="24"/>
                <w14:ligatures w14:val="none"/>
              </w:rPr>
            </w:pPr>
            <w:r w:rsidRPr="004452D2">
              <w:rPr>
                <w:rFonts w:ascii="Arial" w:eastAsia="Times New Roman" w:hAnsi="Arial" w:cs="Arial"/>
                <w:b/>
                <w:bCs/>
                <w:kern w:val="0"/>
                <w:sz w:val="24"/>
                <w:szCs w:val="24"/>
                <w14:ligatures w14:val="none"/>
              </w:rPr>
              <w:t>2024 Value</w:t>
            </w:r>
          </w:p>
        </w:tc>
        <w:tc>
          <w:tcPr>
            <w:tcW w:w="0" w:type="auto"/>
            <w:hideMark/>
          </w:tcPr>
          <w:p w14:paraId="02EF4AB0" w14:textId="77777777" w:rsidR="0077571D" w:rsidRPr="004452D2" w:rsidRDefault="0077571D" w:rsidP="001D3906">
            <w:pPr>
              <w:spacing w:line="360" w:lineRule="auto"/>
              <w:jc w:val="both"/>
              <w:rPr>
                <w:rFonts w:ascii="Arial" w:eastAsia="Times New Roman" w:hAnsi="Arial" w:cs="Arial"/>
                <w:b/>
                <w:bCs/>
                <w:kern w:val="0"/>
                <w:sz w:val="24"/>
                <w:szCs w:val="24"/>
                <w14:ligatures w14:val="none"/>
              </w:rPr>
            </w:pPr>
            <w:r w:rsidRPr="004452D2">
              <w:rPr>
                <w:rFonts w:ascii="Arial" w:eastAsia="Times New Roman" w:hAnsi="Arial" w:cs="Arial"/>
                <w:b/>
                <w:bCs/>
                <w:kern w:val="0"/>
                <w:sz w:val="24"/>
                <w:szCs w:val="24"/>
                <w14:ligatures w14:val="none"/>
              </w:rPr>
              <w:t>Weighted Component</w:t>
            </w:r>
          </w:p>
        </w:tc>
      </w:tr>
      <w:tr w:rsidR="0077571D" w:rsidRPr="004452D2" w14:paraId="11A195E6" w14:textId="77777777" w:rsidTr="004452D2">
        <w:tc>
          <w:tcPr>
            <w:tcW w:w="0" w:type="auto"/>
            <w:hideMark/>
          </w:tcPr>
          <w:p w14:paraId="7067AEEA" w14:textId="77777777" w:rsidR="0077571D" w:rsidRPr="004452D2" w:rsidRDefault="0077571D"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X</w:t>
            </w:r>
            <w:r w:rsidRPr="004452D2">
              <w:rPr>
                <w:rFonts w:ascii="Cambria Math" w:eastAsia="Times New Roman" w:hAnsi="Cambria Math" w:cs="Cambria Math"/>
                <w:kern w:val="0"/>
                <w:sz w:val="24"/>
                <w:szCs w:val="24"/>
                <w14:ligatures w14:val="none"/>
              </w:rPr>
              <w:t>₁</w:t>
            </w:r>
          </w:p>
        </w:tc>
        <w:tc>
          <w:tcPr>
            <w:tcW w:w="0" w:type="auto"/>
            <w:hideMark/>
          </w:tcPr>
          <w:p w14:paraId="3CBAF6B1" w14:textId="77777777" w:rsidR="0077571D" w:rsidRPr="004452D2" w:rsidRDefault="0077571D"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0.26</w:t>
            </w:r>
          </w:p>
        </w:tc>
        <w:tc>
          <w:tcPr>
            <w:tcW w:w="0" w:type="auto"/>
            <w:hideMark/>
          </w:tcPr>
          <w:p w14:paraId="6B96C21C" w14:textId="77777777" w:rsidR="0077571D" w:rsidRPr="004452D2" w:rsidRDefault="0077571D"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0.31</w:t>
            </w:r>
          </w:p>
        </w:tc>
      </w:tr>
      <w:tr w:rsidR="0077571D" w:rsidRPr="004452D2" w14:paraId="7F364D18" w14:textId="77777777" w:rsidTr="004452D2">
        <w:tc>
          <w:tcPr>
            <w:tcW w:w="0" w:type="auto"/>
            <w:hideMark/>
          </w:tcPr>
          <w:p w14:paraId="7F00576A" w14:textId="77777777" w:rsidR="0077571D" w:rsidRPr="004452D2" w:rsidRDefault="0077571D"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X</w:t>
            </w:r>
            <w:r w:rsidRPr="004452D2">
              <w:rPr>
                <w:rFonts w:ascii="Cambria Math" w:eastAsia="Times New Roman" w:hAnsi="Cambria Math" w:cs="Cambria Math"/>
                <w:kern w:val="0"/>
                <w:sz w:val="24"/>
                <w:szCs w:val="24"/>
                <w14:ligatures w14:val="none"/>
              </w:rPr>
              <w:t>₂</w:t>
            </w:r>
          </w:p>
        </w:tc>
        <w:tc>
          <w:tcPr>
            <w:tcW w:w="0" w:type="auto"/>
            <w:hideMark/>
          </w:tcPr>
          <w:p w14:paraId="20F906B0" w14:textId="77777777" w:rsidR="0077571D" w:rsidRPr="004452D2" w:rsidRDefault="0077571D"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0.64</w:t>
            </w:r>
          </w:p>
        </w:tc>
        <w:tc>
          <w:tcPr>
            <w:tcW w:w="0" w:type="auto"/>
            <w:hideMark/>
          </w:tcPr>
          <w:p w14:paraId="0C825652" w14:textId="77777777" w:rsidR="0077571D" w:rsidRPr="004452D2" w:rsidRDefault="0077571D"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0.90</w:t>
            </w:r>
          </w:p>
        </w:tc>
      </w:tr>
      <w:tr w:rsidR="0077571D" w:rsidRPr="004452D2" w14:paraId="5160F6B1" w14:textId="77777777" w:rsidTr="004452D2">
        <w:tc>
          <w:tcPr>
            <w:tcW w:w="0" w:type="auto"/>
            <w:hideMark/>
          </w:tcPr>
          <w:p w14:paraId="61389298" w14:textId="77777777" w:rsidR="0077571D" w:rsidRPr="004452D2" w:rsidRDefault="0077571D"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X</w:t>
            </w:r>
            <w:r w:rsidRPr="004452D2">
              <w:rPr>
                <w:rFonts w:ascii="Cambria Math" w:eastAsia="Times New Roman" w:hAnsi="Cambria Math" w:cs="Cambria Math"/>
                <w:kern w:val="0"/>
                <w:sz w:val="24"/>
                <w:szCs w:val="24"/>
                <w14:ligatures w14:val="none"/>
              </w:rPr>
              <w:t>₃</w:t>
            </w:r>
          </w:p>
        </w:tc>
        <w:tc>
          <w:tcPr>
            <w:tcW w:w="0" w:type="auto"/>
            <w:hideMark/>
          </w:tcPr>
          <w:p w14:paraId="4A881430" w14:textId="77777777" w:rsidR="0077571D" w:rsidRPr="004452D2" w:rsidRDefault="0077571D"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-0.05</w:t>
            </w:r>
          </w:p>
        </w:tc>
        <w:tc>
          <w:tcPr>
            <w:tcW w:w="0" w:type="auto"/>
            <w:hideMark/>
          </w:tcPr>
          <w:p w14:paraId="617B4708" w14:textId="77777777" w:rsidR="0077571D" w:rsidRPr="004452D2" w:rsidRDefault="0077571D"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-0.17</w:t>
            </w:r>
          </w:p>
        </w:tc>
      </w:tr>
      <w:tr w:rsidR="0077571D" w:rsidRPr="004452D2" w14:paraId="423FE530" w14:textId="77777777" w:rsidTr="004452D2">
        <w:tc>
          <w:tcPr>
            <w:tcW w:w="0" w:type="auto"/>
            <w:hideMark/>
          </w:tcPr>
          <w:p w14:paraId="0FE4B6A6" w14:textId="77777777" w:rsidR="0077571D" w:rsidRPr="004452D2" w:rsidRDefault="0077571D"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X</w:t>
            </w:r>
            <w:r w:rsidRPr="004452D2">
              <w:rPr>
                <w:rFonts w:ascii="Cambria Math" w:eastAsia="Times New Roman" w:hAnsi="Cambria Math" w:cs="Cambria Math"/>
                <w:kern w:val="0"/>
                <w:sz w:val="24"/>
                <w:szCs w:val="24"/>
                <w14:ligatures w14:val="none"/>
              </w:rPr>
              <w:t>₄</w:t>
            </w:r>
          </w:p>
        </w:tc>
        <w:tc>
          <w:tcPr>
            <w:tcW w:w="0" w:type="auto"/>
            <w:hideMark/>
          </w:tcPr>
          <w:p w14:paraId="2E290E13" w14:textId="77777777" w:rsidR="0077571D" w:rsidRPr="004452D2" w:rsidRDefault="0077571D"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0.90</w:t>
            </w:r>
          </w:p>
        </w:tc>
        <w:tc>
          <w:tcPr>
            <w:tcW w:w="0" w:type="auto"/>
            <w:hideMark/>
          </w:tcPr>
          <w:p w14:paraId="780DBE06" w14:textId="77777777" w:rsidR="0077571D" w:rsidRPr="004452D2" w:rsidRDefault="0077571D"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0.54</w:t>
            </w:r>
          </w:p>
        </w:tc>
      </w:tr>
      <w:tr w:rsidR="0077571D" w:rsidRPr="004452D2" w14:paraId="110863F5" w14:textId="77777777" w:rsidTr="004452D2">
        <w:tc>
          <w:tcPr>
            <w:tcW w:w="0" w:type="auto"/>
            <w:hideMark/>
          </w:tcPr>
          <w:p w14:paraId="284849C4" w14:textId="77777777" w:rsidR="0077571D" w:rsidRPr="004452D2" w:rsidRDefault="0077571D"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X</w:t>
            </w:r>
            <w:r w:rsidRPr="004452D2">
              <w:rPr>
                <w:rFonts w:ascii="Cambria Math" w:eastAsia="Times New Roman" w:hAnsi="Cambria Math" w:cs="Cambria Math"/>
                <w:kern w:val="0"/>
                <w:sz w:val="24"/>
                <w:szCs w:val="24"/>
                <w14:ligatures w14:val="none"/>
              </w:rPr>
              <w:t>₅</w:t>
            </w:r>
          </w:p>
        </w:tc>
        <w:tc>
          <w:tcPr>
            <w:tcW w:w="0" w:type="auto"/>
            <w:hideMark/>
          </w:tcPr>
          <w:p w14:paraId="3087BFF1" w14:textId="77777777" w:rsidR="0077571D" w:rsidRPr="004452D2" w:rsidRDefault="0077571D"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1.22</w:t>
            </w:r>
          </w:p>
        </w:tc>
        <w:tc>
          <w:tcPr>
            <w:tcW w:w="0" w:type="auto"/>
            <w:hideMark/>
          </w:tcPr>
          <w:p w14:paraId="62DB458F" w14:textId="77777777" w:rsidR="0077571D" w:rsidRPr="004452D2" w:rsidRDefault="0077571D"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1.22</w:t>
            </w:r>
          </w:p>
        </w:tc>
      </w:tr>
      <w:tr w:rsidR="0077571D" w:rsidRPr="004452D2" w14:paraId="0A1B7113" w14:textId="77777777" w:rsidTr="004452D2">
        <w:tc>
          <w:tcPr>
            <w:tcW w:w="0" w:type="auto"/>
            <w:hideMark/>
          </w:tcPr>
          <w:p w14:paraId="09EF5BCA" w14:textId="77777777" w:rsidR="0077571D" w:rsidRPr="004452D2" w:rsidRDefault="0077571D"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Z-Score</w:t>
            </w:r>
          </w:p>
        </w:tc>
        <w:tc>
          <w:tcPr>
            <w:tcW w:w="0" w:type="auto"/>
            <w:hideMark/>
          </w:tcPr>
          <w:p w14:paraId="429D75C2" w14:textId="77777777" w:rsidR="0077571D" w:rsidRPr="004452D2" w:rsidRDefault="0077571D"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kern w:val="0"/>
                <w:sz w:val="24"/>
                <w:szCs w:val="24"/>
                <w14:ligatures w14:val="none"/>
              </w:rPr>
              <w:t>2.19</w:t>
            </w:r>
          </w:p>
        </w:tc>
        <w:tc>
          <w:tcPr>
            <w:tcW w:w="0" w:type="auto"/>
            <w:hideMark/>
          </w:tcPr>
          <w:p w14:paraId="2DBB6B98" w14:textId="77777777" w:rsidR="0077571D" w:rsidRPr="004452D2" w:rsidRDefault="0077571D" w:rsidP="001D3906">
            <w:pPr>
              <w:spacing w:line="360" w:lineRule="auto"/>
              <w:jc w:val="both"/>
              <w:rPr>
                <w:rFonts w:ascii="Arial" w:eastAsia="Times New Roman" w:hAnsi="Arial" w:cs="Arial"/>
                <w:kern w:val="0"/>
                <w:sz w:val="24"/>
                <w:szCs w:val="24"/>
                <w14:ligatures w14:val="none"/>
              </w:rPr>
            </w:pPr>
            <w:r w:rsidRPr="004452D2">
              <w:rPr>
                <w:rFonts w:ascii="Arial" w:eastAsia="Times New Roman" w:hAnsi="Arial" w:cs="Arial"/>
                <w:i/>
                <w:iCs/>
                <w:kern w:val="0"/>
                <w:sz w:val="24"/>
                <w:szCs w:val="24"/>
                <w14:ligatures w14:val="none"/>
              </w:rPr>
              <w:t>Grey Zone (High Distress Risk)</w:t>
            </w:r>
          </w:p>
        </w:tc>
      </w:tr>
    </w:tbl>
    <w:p w14:paraId="1AFDDC3D" w14:textId="77777777" w:rsidR="00C337DA" w:rsidRDefault="00C337DA" w:rsidP="00C337DA">
      <w:bookmarkStart w:id="37" w:name="_Toc217253895"/>
    </w:p>
    <w:p w14:paraId="36183D3F" w14:textId="77777777" w:rsidR="001C46AD" w:rsidRDefault="001C46AD" w:rsidP="00C337DA"/>
    <w:p w14:paraId="1F1B3D1A" w14:textId="77777777" w:rsidR="001C46AD" w:rsidRDefault="001C46AD" w:rsidP="00C337DA"/>
    <w:p w14:paraId="656413CF" w14:textId="77777777" w:rsidR="001C46AD" w:rsidRPr="00C337DA" w:rsidRDefault="001C46AD" w:rsidP="00C337DA"/>
    <w:p w14:paraId="60B1E9ED" w14:textId="6CF6B88E" w:rsidR="004452D2" w:rsidRPr="00213F19" w:rsidRDefault="00E42A41" w:rsidP="001D3906">
      <w:pPr>
        <w:pStyle w:val="Heading2"/>
        <w:spacing w:before="0" w:line="360" w:lineRule="auto"/>
        <w:jc w:val="both"/>
        <w:rPr>
          <w:rFonts w:ascii="Arial" w:hAnsi="Arial" w:cs="Arial"/>
          <w:b/>
          <w:bCs/>
          <w:color w:val="000000" w:themeColor="text1"/>
          <w:sz w:val="24"/>
          <w:szCs w:val="24"/>
        </w:rPr>
      </w:pPr>
      <w:r w:rsidRPr="00213F19">
        <w:rPr>
          <w:rFonts w:ascii="Arial" w:hAnsi="Arial" w:cs="Arial"/>
          <w:b/>
          <w:bCs/>
          <w:color w:val="000000" w:themeColor="text1"/>
          <w:sz w:val="24"/>
          <w:szCs w:val="24"/>
        </w:rPr>
        <w:t xml:space="preserve">Appendix 2 </w:t>
      </w:r>
      <w:r w:rsidR="0032002A" w:rsidRPr="00213F19">
        <w:rPr>
          <w:rFonts w:ascii="Arial" w:hAnsi="Arial" w:cs="Arial"/>
          <w:b/>
          <w:bCs/>
          <w:color w:val="000000" w:themeColor="text1"/>
          <w:sz w:val="24"/>
          <w:szCs w:val="24"/>
        </w:rPr>
        <w:t>Working Capital Ratios and Calculations</w:t>
      </w:r>
      <w:bookmarkEnd w:id="37"/>
    </w:p>
    <w:p w14:paraId="0EF6061B" w14:textId="7BDB12C8" w:rsidR="00E42A41" w:rsidRPr="001D3906" w:rsidRDefault="00E42A41" w:rsidP="001D3906">
      <w:pPr>
        <w:spacing w:after="0" w:line="360" w:lineRule="auto"/>
        <w:jc w:val="both"/>
        <w:rPr>
          <w:rFonts w:ascii="Arial" w:hAnsi="Arial" w:cs="Arial"/>
          <w:sz w:val="24"/>
          <w:szCs w:val="24"/>
        </w:rPr>
      </w:pPr>
      <w:r w:rsidRPr="001D3906">
        <w:rPr>
          <w:rFonts w:ascii="Arial" w:hAnsi="Arial" w:cs="Arial"/>
          <w:sz w:val="24"/>
          <w:szCs w:val="24"/>
        </w:rPr>
        <w:t>Formulas</w:t>
      </w:r>
    </w:p>
    <w:p w14:paraId="746BC22F" w14:textId="77777777" w:rsidR="0032002A" w:rsidRPr="0032002A" w:rsidRDefault="0032002A" w:rsidP="00763F11">
      <w:pPr>
        <w:numPr>
          <w:ilvl w:val="0"/>
          <w:numId w:val="28"/>
        </w:numPr>
        <w:spacing w:after="0" w:line="360" w:lineRule="auto"/>
        <w:jc w:val="center"/>
        <w:rPr>
          <w:rFonts w:ascii="Arial" w:eastAsia="Times New Roman" w:hAnsi="Arial" w:cs="Arial"/>
          <w:kern w:val="0"/>
          <w:sz w:val="24"/>
          <w:szCs w:val="24"/>
          <w14:ligatures w14:val="none"/>
        </w:rPr>
      </w:pPr>
      <w:r w:rsidRPr="0032002A">
        <w:rPr>
          <w:rFonts w:ascii="Arial" w:eastAsia="Times New Roman" w:hAnsi="Arial" w:cs="Arial"/>
          <w:b/>
          <w:bCs/>
          <w:kern w:val="0"/>
          <w:sz w:val="24"/>
          <w:szCs w:val="24"/>
          <w14:ligatures w14:val="none"/>
        </w:rPr>
        <w:t>Working Capital (WC)</w:t>
      </w:r>
    </w:p>
    <w:p w14:paraId="6B7CD47B" w14:textId="77777777" w:rsidR="0032002A" w:rsidRPr="001D3906" w:rsidRDefault="0032002A" w:rsidP="00763F11">
      <w:pPr>
        <w:spacing w:after="0" w:line="360" w:lineRule="auto"/>
        <w:jc w:val="center"/>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Working Capital=Current Assets−Current Liabilities</w:t>
      </w:r>
    </w:p>
    <w:p w14:paraId="1D1C45E5" w14:textId="77777777" w:rsidR="0032002A" w:rsidRPr="0032002A" w:rsidRDefault="0032002A" w:rsidP="00763F11">
      <w:pPr>
        <w:numPr>
          <w:ilvl w:val="0"/>
          <w:numId w:val="29"/>
        </w:numPr>
        <w:spacing w:after="0" w:line="360" w:lineRule="auto"/>
        <w:jc w:val="center"/>
        <w:rPr>
          <w:rFonts w:ascii="Arial" w:eastAsia="Times New Roman" w:hAnsi="Arial" w:cs="Arial"/>
          <w:kern w:val="0"/>
          <w:sz w:val="24"/>
          <w:szCs w:val="24"/>
          <w14:ligatures w14:val="none"/>
        </w:rPr>
      </w:pPr>
      <w:r w:rsidRPr="0032002A">
        <w:rPr>
          <w:rFonts w:ascii="Arial" w:eastAsia="Times New Roman" w:hAnsi="Arial" w:cs="Arial"/>
          <w:b/>
          <w:bCs/>
          <w:kern w:val="0"/>
          <w:sz w:val="24"/>
          <w:szCs w:val="24"/>
          <w14:ligatures w14:val="none"/>
        </w:rPr>
        <w:t>Accounts Receivable Days (ARD)</w:t>
      </w:r>
    </w:p>
    <w:p w14:paraId="23A5E0F7" w14:textId="77777777" w:rsidR="0032002A" w:rsidRPr="001D3906" w:rsidRDefault="0032002A" w:rsidP="00763F11">
      <w:pPr>
        <w:spacing w:after="0" w:line="360" w:lineRule="auto"/>
        <w:jc w:val="center"/>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Accounts Receivable Days=Accounts Receivable</w:t>
      </w:r>
      <w:r w:rsidRPr="001D3906">
        <w:rPr>
          <w:rFonts w:ascii="Arial" w:eastAsia="Times New Roman" w:hAnsi="Arial" w:cs="Arial"/>
          <w:kern w:val="0"/>
          <w:sz w:val="24"/>
          <w:szCs w:val="24"/>
          <w14:ligatures w14:val="none"/>
        </w:rPr>
        <w:t>/</w:t>
      </w:r>
      <w:r w:rsidRPr="0032002A">
        <w:rPr>
          <w:rFonts w:ascii="Arial" w:eastAsia="Times New Roman" w:hAnsi="Arial" w:cs="Arial"/>
          <w:kern w:val="0"/>
          <w:sz w:val="24"/>
          <w:szCs w:val="24"/>
          <w14:ligatures w14:val="none"/>
        </w:rPr>
        <w:t>Average Daily Sales=Accounts ReceivableSales/365</w:t>
      </w:r>
    </w:p>
    <w:p w14:paraId="2B7D2CB7" w14:textId="77777777" w:rsidR="0032002A" w:rsidRPr="0032002A" w:rsidRDefault="0032002A" w:rsidP="00763F11">
      <w:pPr>
        <w:numPr>
          <w:ilvl w:val="0"/>
          <w:numId w:val="30"/>
        </w:numPr>
        <w:spacing w:after="0" w:line="360" w:lineRule="auto"/>
        <w:jc w:val="center"/>
        <w:rPr>
          <w:rFonts w:ascii="Arial" w:eastAsia="Times New Roman" w:hAnsi="Arial" w:cs="Arial"/>
          <w:kern w:val="0"/>
          <w:sz w:val="24"/>
          <w:szCs w:val="24"/>
          <w14:ligatures w14:val="none"/>
        </w:rPr>
      </w:pPr>
      <w:r w:rsidRPr="0032002A">
        <w:rPr>
          <w:rFonts w:ascii="Arial" w:eastAsia="Times New Roman" w:hAnsi="Arial" w:cs="Arial"/>
          <w:b/>
          <w:bCs/>
          <w:kern w:val="0"/>
          <w:sz w:val="24"/>
          <w:szCs w:val="24"/>
          <w14:ligatures w14:val="none"/>
        </w:rPr>
        <w:t>Accounts Payable Days (APD)</w:t>
      </w:r>
    </w:p>
    <w:p w14:paraId="41214564" w14:textId="77777777" w:rsidR="0032002A" w:rsidRPr="001D3906" w:rsidRDefault="0032002A" w:rsidP="00763F11">
      <w:pPr>
        <w:spacing w:after="0" w:line="360" w:lineRule="auto"/>
        <w:jc w:val="center"/>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Accounts Payable Days=Accounts Payable</w:t>
      </w:r>
      <w:r w:rsidRPr="001D3906">
        <w:rPr>
          <w:rFonts w:ascii="Arial" w:eastAsia="Times New Roman" w:hAnsi="Arial" w:cs="Arial"/>
          <w:kern w:val="0"/>
          <w:sz w:val="24"/>
          <w:szCs w:val="24"/>
          <w14:ligatures w14:val="none"/>
        </w:rPr>
        <w:t>/</w:t>
      </w:r>
      <w:r w:rsidRPr="0032002A">
        <w:rPr>
          <w:rFonts w:ascii="Arial" w:eastAsia="Times New Roman" w:hAnsi="Arial" w:cs="Arial"/>
          <w:kern w:val="0"/>
          <w:sz w:val="24"/>
          <w:szCs w:val="24"/>
          <w14:ligatures w14:val="none"/>
        </w:rPr>
        <w:t>Average Daily Cost of Goods Sold=Accounts PayableCOGS/365</w:t>
      </w:r>
    </w:p>
    <w:p w14:paraId="5588F978" w14:textId="77777777" w:rsidR="0032002A" w:rsidRPr="0032002A" w:rsidRDefault="0032002A" w:rsidP="00763F11">
      <w:pPr>
        <w:numPr>
          <w:ilvl w:val="0"/>
          <w:numId w:val="31"/>
        </w:numPr>
        <w:spacing w:after="0" w:line="360" w:lineRule="auto"/>
        <w:jc w:val="center"/>
        <w:rPr>
          <w:rFonts w:ascii="Arial" w:eastAsia="Times New Roman" w:hAnsi="Arial" w:cs="Arial"/>
          <w:kern w:val="0"/>
          <w:sz w:val="24"/>
          <w:szCs w:val="24"/>
          <w14:ligatures w14:val="none"/>
        </w:rPr>
      </w:pPr>
      <w:r w:rsidRPr="0032002A">
        <w:rPr>
          <w:rFonts w:ascii="Arial" w:eastAsia="Times New Roman" w:hAnsi="Arial" w:cs="Arial"/>
          <w:b/>
          <w:bCs/>
          <w:kern w:val="0"/>
          <w:sz w:val="24"/>
          <w:szCs w:val="24"/>
          <w14:ligatures w14:val="none"/>
        </w:rPr>
        <w:t>Inventory Days (ID)</w:t>
      </w:r>
    </w:p>
    <w:p w14:paraId="23529196" w14:textId="130BE54A" w:rsidR="0032002A" w:rsidRPr="001D3906" w:rsidRDefault="0032002A" w:rsidP="00763F11">
      <w:pPr>
        <w:spacing w:after="0" w:line="360" w:lineRule="auto"/>
        <w:jc w:val="center"/>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Inventory Days=Inventory</w:t>
      </w:r>
      <w:r w:rsidRPr="001D3906">
        <w:rPr>
          <w:rFonts w:ascii="Arial" w:eastAsia="Times New Roman" w:hAnsi="Arial" w:cs="Arial"/>
          <w:kern w:val="0"/>
          <w:sz w:val="24"/>
          <w:szCs w:val="24"/>
          <w14:ligatures w14:val="none"/>
        </w:rPr>
        <w:t>/</w:t>
      </w:r>
      <w:r w:rsidRPr="0032002A">
        <w:rPr>
          <w:rFonts w:ascii="Arial" w:eastAsia="Times New Roman" w:hAnsi="Arial" w:cs="Arial"/>
          <w:kern w:val="0"/>
          <w:sz w:val="24"/>
          <w:szCs w:val="24"/>
          <w14:ligatures w14:val="none"/>
        </w:rPr>
        <w:t>Average Daily Cost of Goods Sold=InventoryCOGS/365</w:t>
      </w:r>
    </w:p>
    <w:p w14:paraId="1A26C0CA" w14:textId="77777777" w:rsidR="0032002A" w:rsidRPr="0032002A" w:rsidRDefault="0032002A" w:rsidP="00763F11">
      <w:pPr>
        <w:numPr>
          <w:ilvl w:val="0"/>
          <w:numId w:val="32"/>
        </w:numPr>
        <w:spacing w:after="0" w:line="360" w:lineRule="auto"/>
        <w:jc w:val="center"/>
        <w:rPr>
          <w:rFonts w:ascii="Arial" w:eastAsia="Times New Roman" w:hAnsi="Arial" w:cs="Arial"/>
          <w:kern w:val="0"/>
          <w:sz w:val="24"/>
          <w:szCs w:val="24"/>
          <w14:ligatures w14:val="none"/>
        </w:rPr>
      </w:pPr>
      <w:r w:rsidRPr="0032002A">
        <w:rPr>
          <w:rFonts w:ascii="Arial" w:eastAsia="Times New Roman" w:hAnsi="Arial" w:cs="Arial"/>
          <w:b/>
          <w:bCs/>
          <w:kern w:val="0"/>
          <w:sz w:val="24"/>
          <w:szCs w:val="24"/>
          <w14:ligatures w14:val="none"/>
        </w:rPr>
        <w:t>Inventory Turnover (IT)</w:t>
      </w:r>
    </w:p>
    <w:p w14:paraId="691F2DA9" w14:textId="77777777" w:rsidR="0032002A" w:rsidRPr="001D3906" w:rsidRDefault="0032002A" w:rsidP="00763F11">
      <w:pPr>
        <w:spacing w:after="0" w:line="360" w:lineRule="auto"/>
        <w:jc w:val="center"/>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Inventory Turnover=Cost of Goods Sold</w:t>
      </w:r>
      <w:r w:rsidRPr="001D3906">
        <w:rPr>
          <w:rFonts w:ascii="Arial" w:eastAsia="Times New Roman" w:hAnsi="Arial" w:cs="Arial"/>
          <w:kern w:val="0"/>
          <w:sz w:val="24"/>
          <w:szCs w:val="24"/>
          <w14:ligatures w14:val="none"/>
        </w:rPr>
        <w:t>/</w:t>
      </w:r>
      <w:r w:rsidRPr="0032002A">
        <w:rPr>
          <w:rFonts w:ascii="Arial" w:eastAsia="Times New Roman" w:hAnsi="Arial" w:cs="Arial"/>
          <w:kern w:val="0"/>
          <w:sz w:val="24"/>
          <w:szCs w:val="24"/>
          <w14:ligatures w14:val="none"/>
        </w:rPr>
        <w:t>Inventory</w:t>
      </w:r>
    </w:p>
    <w:p w14:paraId="40E8E006" w14:textId="77777777" w:rsidR="0032002A" w:rsidRPr="0032002A" w:rsidRDefault="0032002A" w:rsidP="00763F11">
      <w:pPr>
        <w:numPr>
          <w:ilvl w:val="0"/>
          <w:numId w:val="33"/>
        </w:numPr>
        <w:spacing w:after="0" w:line="360" w:lineRule="auto"/>
        <w:jc w:val="center"/>
        <w:rPr>
          <w:rFonts w:ascii="Arial" w:eastAsia="Times New Roman" w:hAnsi="Arial" w:cs="Arial"/>
          <w:kern w:val="0"/>
          <w:sz w:val="24"/>
          <w:szCs w:val="24"/>
          <w14:ligatures w14:val="none"/>
        </w:rPr>
      </w:pPr>
      <w:r w:rsidRPr="0032002A">
        <w:rPr>
          <w:rFonts w:ascii="Arial" w:eastAsia="Times New Roman" w:hAnsi="Arial" w:cs="Arial"/>
          <w:b/>
          <w:bCs/>
          <w:kern w:val="0"/>
          <w:sz w:val="24"/>
          <w:szCs w:val="24"/>
          <w14:ligatures w14:val="none"/>
        </w:rPr>
        <w:t>Cash Conversion Cycle (CCC)</w:t>
      </w:r>
    </w:p>
    <w:p w14:paraId="337218D5" w14:textId="4EF5F5E2" w:rsidR="0032002A" w:rsidRPr="001D3906" w:rsidRDefault="0032002A" w:rsidP="00763F11">
      <w:pPr>
        <w:spacing w:after="0" w:line="360" w:lineRule="auto"/>
        <w:jc w:val="center"/>
        <w:rPr>
          <w:rFonts w:ascii="Arial" w:eastAsia="Times New Roman" w:hAnsi="Arial" w:cs="Arial"/>
          <w:kern w:val="0"/>
          <w:sz w:val="24"/>
          <w:szCs w:val="24"/>
          <w14:ligatures w14:val="none"/>
        </w:rPr>
      </w:pPr>
      <w:r w:rsidRPr="001D3906">
        <w:rPr>
          <w:rFonts w:ascii="Arial" w:eastAsia="Times New Roman" w:hAnsi="Arial" w:cs="Arial"/>
          <w:kern w:val="0"/>
          <w:sz w:val="24"/>
          <w:szCs w:val="24"/>
          <w14:ligatures w14:val="none"/>
        </w:rPr>
        <w:t>CCC=Accounts Receivable Days + Inventory Days−Accounts Payable Days</w:t>
      </w:r>
    </w:p>
    <w:p w14:paraId="27764CAD" w14:textId="03B65D59" w:rsidR="0032002A" w:rsidRPr="001D3906" w:rsidRDefault="006C30B5" w:rsidP="001D3906">
      <w:pPr>
        <w:spacing w:after="0" w:line="360" w:lineRule="auto"/>
        <w:jc w:val="both"/>
        <w:rPr>
          <w:rFonts w:ascii="Arial" w:eastAsia="Times New Roman" w:hAnsi="Arial" w:cs="Arial"/>
          <w:b/>
          <w:bCs/>
          <w:kern w:val="0"/>
          <w:sz w:val="24"/>
          <w:szCs w:val="24"/>
          <w14:ligatures w14:val="none"/>
        </w:rPr>
      </w:pPr>
      <w:r w:rsidRPr="001D3906">
        <w:rPr>
          <w:rFonts w:ascii="Arial" w:hAnsi="Arial" w:cs="Arial"/>
          <w:b/>
          <w:bCs/>
          <w:sz w:val="24"/>
          <w:szCs w:val="24"/>
        </w:rPr>
        <w:t xml:space="preserve">Table </w:t>
      </w:r>
      <w:r w:rsidR="00763F11">
        <w:rPr>
          <w:rFonts w:ascii="Arial" w:hAnsi="Arial" w:cs="Arial"/>
          <w:b/>
          <w:bCs/>
          <w:sz w:val="24"/>
          <w:szCs w:val="24"/>
        </w:rPr>
        <w:t>10</w:t>
      </w:r>
      <w:r w:rsidRPr="001D3906">
        <w:rPr>
          <w:rFonts w:ascii="Arial" w:hAnsi="Arial" w:cs="Arial"/>
          <w:b/>
          <w:bCs/>
          <w:sz w:val="24"/>
          <w:szCs w:val="24"/>
        </w:rPr>
        <w:t>:</w:t>
      </w:r>
      <w:r w:rsidR="0032002A" w:rsidRPr="001D3906">
        <w:rPr>
          <w:rFonts w:ascii="Arial" w:hAnsi="Arial" w:cs="Arial"/>
          <w:b/>
          <w:bCs/>
          <w:sz w:val="24"/>
          <w:szCs w:val="24"/>
        </w:rPr>
        <w:t xml:space="preserve"> Working Capital and Ratios</w:t>
      </w:r>
    </w:p>
    <w:tbl>
      <w:tblPr>
        <w:tblStyle w:val="TableGrid"/>
        <w:tblW w:w="0" w:type="auto"/>
        <w:tblLook w:val="04A0" w:firstRow="1" w:lastRow="0" w:firstColumn="1" w:lastColumn="0" w:noHBand="0" w:noVBand="1"/>
      </w:tblPr>
      <w:tblGrid>
        <w:gridCol w:w="750"/>
        <w:gridCol w:w="1257"/>
        <w:gridCol w:w="1572"/>
        <w:gridCol w:w="1401"/>
        <w:gridCol w:w="1333"/>
        <w:gridCol w:w="1380"/>
        <w:gridCol w:w="1657"/>
      </w:tblGrid>
      <w:tr w:rsidR="0032002A" w:rsidRPr="0032002A" w14:paraId="4CE1BA43" w14:textId="77777777" w:rsidTr="0032002A">
        <w:tc>
          <w:tcPr>
            <w:tcW w:w="0" w:type="auto"/>
            <w:hideMark/>
          </w:tcPr>
          <w:p w14:paraId="39F3C4D5" w14:textId="77777777" w:rsidR="0032002A" w:rsidRPr="0032002A" w:rsidRDefault="0032002A" w:rsidP="001D3906">
            <w:pPr>
              <w:spacing w:line="360" w:lineRule="auto"/>
              <w:jc w:val="both"/>
              <w:rPr>
                <w:rFonts w:ascii="Arial" w:eastAsia="Times New Roman" w:hAnsi="Arial" w:cs="Arial"/>
                <w:b/>
                <w:bCs/>
                <w:kern w:val="0"/>
                <w:sz w:val="24"/>
                <w:szCs w:val="24"/>
                <w14:ligatures w14:val="none"/>
              </w:rPr>
            </w:pPr>
            <w:r w:rsidRPr="0032002A">
              <w:rPr>
                <w:rFonts w:ascii="Arial" w:eastAsia="Times New Roman" w:hAnsi="Arial" w:cs="Arial"/>
                <w:b/>
                <w:bCs/>
                <w:kern w:val="0"/>
                <w:sz w:val="24"/>
                <w:szCs w:val="24"/>
                <w14:ligatures w14:val="none"/>
              </w:rPr>
              <w:t>Year</w:t>
            </w:r>
          </w:p>
        </w:tc>
        <w:tc>
          <w:tcPr>
            <w:tcW w:w="0" w:type="auto"/>
            <w:hideMark/>
          </w:tcPr>
          <w:p w14:paraId="57D2E789" w14:textId="77777777" w:rsidR="0032002A" w:rsidRPr="0032002A" w:rsidRDefault="0032002A" w:rsidP="001D3906">
            <w:pPr>
              <w:spacing w:line="360" w:lineRule="auto"/>
              <w:jc w:val="both"/>
              <w:rPr>
                <w:rFonts w:ascii="Arial" w:eastAsia="Times New Roman" w:hAnsi="Arial" w:cs="Arial"/>
                <w:b/>
                <w:bCs/>
                <w:kern w:val="0"/>
                <w:sz w:val="24"/>
                <w:szCs w:val="24"/>
                <w14:ligatures w14:val="none"/>
              </w:rPr>
            </w:pPr>
            <w:r w:rsidRPr="0032002A">
              <w:rPr>
                <w:rFonts w:ascii="Arial" w:eastAsia="Times New Roman" w:hAnsi="Arial" w:cs="Arial"/>
                <w:b/>
                <w:bCs/>
                <w:kern w:val="0"/>
                <w:sz w:val="24"/>
                <w:szCs w:val="24"/>
                <w14:ligatures w14:val="none"/>
              </w:rPr>
              <w:t>Working Capital (£m)</w:t>
            </w:r>
          </w:p>
        </w:tc>
        <w:tc>
          <w:tcPr>
            <w:tcW w:w="0" w:type="auto"/>
            <w:hideMark/>
          </w:tcPr>
          <w:p w14:paraId="51094989" w14:textId="77777777" w:rsidR="0032002A" w:rsidRPr="0032002A" w:rsidRDefault="0032002A" w:rsidP="001D3906">
            <w:pPr>
              <w:spacing w:line="360" w:lineRule="auto"/>
              <w:jc w:val="both"/>
              <w:rPr>
                <w:rFonts w:ascii="Arial" w:eastAsia="Times New Roman" w:hAnsi="Arial" w:cs="Arial"/>
                <w:b/>
                <w:bCs/>
                <w:kern w:val="0"/>
                <w:sz w:val="24"/>
                <w:szCs w:val="24"/>
                <w14:ligatures w14:val="none"/>
              </w:rPr>
            </w:pPr>
            <w:r w:rsidRPr="0032002A">
              <w:rPr>
                <w:rFonts w:ascii="Arial" w:eastAsia="Times New Roman" w:hAnsi="Arial" w:cs="Arial"/>
                <w:b/>
                <w:bCs/>
                <w:kern w:val="0"/>
                <w:sz w:val="24"/>
                <w:szCs w:val="24"/>
                <w14:ligatures w14:val="none"/>
              </w:rPr>
              <w:t>Accounts Receivable Days</w:t>
            </w:r>
          </w:p>
        </w:tc>
        <w:tc>
          <w:tcPr>
            <w:tcW w:w="0" w:type="auto"/>
            <w:hideMark/>
          </w:tcPr>
          <w:p w14:paraId="6C56F3A5" w14:textId="77777777" w:rsidR="0032002A" w:rsidRPr="0032002A" w:rsidRDefault="0032002A" w:rsidP="001D3906">
            <w:pPr>
              <w:spacing w:line="360" w:lineRule="auto"/>
              <w:jc w:val="both"/>
              <w:rPr>
                <w:rFonts w:ascii="Arial" w:eastAsia="Times New Roman" w:hAnsi="Arial" w:cs="Arial"/>
                <w:b/>
                <w:bCs/>
                <w:kern w:val="0"/>
                <w:sz w:val="24"/>
                <w:szCs w:val="24"/>
                <w14:ligatures w14:val="none"/>
              </w:rPr>
            </w:pPr>
            <w:r w:rsidRPr="0032002A">
              <w:rPr>
                <w:rFonts w:ascii="Arial" w:eastAsia="Times New Roman" w:hAnsi="Arial" w:cs="Arial"/>
                <w:b/>
                <w:bCs/>
                <w:kern w:val="0"/>
                <w:sz w:val="24"/>
                <w:szCs w:val="24"/>
                <w14:ligatures w14:val="none"/>
              </w:rPr>
              <w:t>Accounts Payable Days</w:t>
            </w:r>
          </w:p>
        </w:tc>
        <w:tc>
          <w:tcPr>
            <w:tcW w:w="0" w:type="auto"/>
            <w:hideMark/>
          </w:tcPr>
          <w:p w14:paraId="5ECDE9D7" w14:textId="77777777" w:rsidR="0032002A" w:rsidRPr="0032002A" w:rsidRDefault="0032002A" w:rsidP="001D3906">
            <w:pPr>
              <w:spacing w:line="360" w:lineRule="auto"/>
              <w:jc w:val="both"/>
              <w:rPr>
                <w:rFonts w:ascii="Arial" w:eastAsia="Times New Roman" w:hAnsi="Arial" w:cs="Arial"/>
                <w:b/>
                <w:bCs/>
                <w:kern w:val="0"/>
                <w:sz w:val="24"/>
                <w:szCs w:val="24"/>
                <w14:ligatures w14:val="none"/>
              </w:rPr>
            </w:pPr>
            <w:r w:rsidRPr="0032002A">
              <w:rPr>
                <w:rFonts w:ascii="Arial" w:eastAsia="Times New Roman" w:hAnsi="Arial" w:cs="Arial"/>
                <w:b/>
                <w:bCs/>
                <w:kern w:val="0"/>
                <w:sz w:val="24"/>
                <w:szCs w:val="24"/>
                <w14:ligatures w14:val="none"/>
              </w:rPr>
              <w:t>Inventory Days</w:t>
            </w:r>
          </w:p>
        </w:tc>
        <w:tc>
          <w:tcPr>
            <w:tcW w:w="0" w:type="auto"/>
            <w:hideMark/>
          </w:tcPr>
          <w:p w14:paraId="1C90C256" w14:textId="77777777" w:rsidR="0032002A" w:rsidRPr="0032002A" w:rsidRDefault="0032002A" w:rsidP="001D3906">
            <w:pPr>
              <w:spacing w:line="360" w:lineRule="auto"/>
              <w:jc w:val="both"/>
              <w:rPr>
                <w:rFonts w:ascii="Arial" w:eastAsia="Times New Roman" w:hAnsi="Arial" w:cs="Arial"/>
                <w:b/>
                <w:bCs/>
                <w:kern w:val="0"/>
                <w:sz w:val="24"/>
                <w:szCs w:val="24"/>
                <w14:ligatures w14:val="none"/>
              </w:rPr>
            </w:pPr>
            <w:r w:rsidRPr="0032002A">
              <w:rPr>
                <w:rFonts w:ascii="Arial" w:eastAsia="Times New Roman" w:hAnsi="Arial" w:cs="Arial"/>
                <w:b/>
                <w:bCs/>
                <w:kern w:val="0"/>
                <w:sz w:val="24"/>
                <w:szCs w:val="24"/>
                <w14:ligatures w14:val="none"/>
              </w:rPr>
              <w:t>Inventory Turnover (x)</w:t>
            </w:r>
          </w:p>
        </w:tc>
        <w:tc>
          <w:tcPr>
            <w:tcW w:w="0" w:type="auto"/>
            <w:hideMark/>
          </w:tcPr>
          <w:p w14:paraId="787C1FED" w14:textId="77777777" w:rsidR="0032002A" w:rsidRPr="0032002A" w:rsidRDefault="0032002A" w:rsidP="001D3906">
            <w:pPr>
              <w:spacing w:line="360" w:lineRule="auto"/>
              <w:jc w:val="both"/>
              <w:rPr>
                <w:rFonts w:ascii="Arial" w:eastAsia="Times New Roman" w:hAnsi="Arial" w:cs="Arial"/>
                <w:b/>
                <w:bCs/>
                <w:kern w:val="0"/>
                <w:sz w:val="24"/>
                <w:szCs w:val="24"/>
                <w14:ligatures w14:val="none"/>
              </w:rPr>
            </w:pPr>
            <w:r w:rsidRPr="0032002A">
              <w:rPr>
                <w:rFonts w:ascii="Arial" w:eastAsia="Times New Roman" w:hAnsi="Arial" w:cs="Arial"/>
                <w:b/>
                <w:bCs/>
                <w:kern w:val="0"/>
                <w:sz w:val="24"/>
                <w:szCs w:val="24"/>
                <w14:ligatures w14:val="none"/>
              </w:rPr>
              <w:t>Cash Conversion Cycle (days)</w:t>
            </w:r>
          </w:p>
        </w:tc>
      </w:tr>
      <w:tr w:rsidR="0032002A" w:rsidRPr="0032002A" w14:paraId="20E28FF4" w14:textId="77777777" w:rsidTr="0032002A">
        <w:tc>
          <w:tcPr>
            <w:tcW w:w="0" w:type="auto"/>
            <w:hideMark/>
          </w:tcPr>
          <w:p w14:paraId="0AB37D3A"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2020</w:t>
            </w:r>
          </w:p>
        </w:tc>
        <w:tc>
          <w:tcPr>
            <w:tcW w:w="0" w:type="auto"/>
            <w:hideMark/>
          </w:tcPr>
          <w:p w14:paraId="22D7C83A"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147,333</w:t>
            </w:r>
          </w:p>
        </w:tc>
        <w:tc>
          <w:tcPr>
            <w:tcW w:w="0" w:type="auto"/>
            <w:hideMark/>
          </w:tcPr>
          <w:p w14:paraId="4B292EB7"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77</w:t>
            </w:r>
          </w:p>
        </w:tc>
        <w:tc>
          <w:tcPr>
            <w:tcW w:w="0" w:type="auto"/>
            <w:hideMark/>
          </w:tcPr>
          <w:p w14:paraId="05F1ED90"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69</w:t>
            </w:r>
          </w:p>
        </w:tc>
        <w:tc>
          <w:tcPr>
            <w:tcW w:w="0" w:type="auto"/>
            <w:hideMark/>
          </w:tcPr>
          <w:p w14:paraId="2D3360F1"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100</w:t>
            </w:r>
          </w:p>
        </w:tc>
        <w:tc>
          <w:tcPr>
            <w:tcW w:w="0" w:type="auto"/>
            <w:hideMark/>
          </w:tcPr>
          <w:p w14:paraId="271AB6CC"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3.64</w:t>
            </w:r>
          </w:p>
        </w:tc>
        <w:tc>
          <w:tcPr>
            <w:tcW w:w="0" w:type="auto"/>
            <w:hideMark/>
          </w:tcPr>
          <w:p w14:paraId="46E38142"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108</w:t>
            </w:r>
          </w:p>
        </w:tc>
      </w:tr>
      <w:tr w:rsidR="0032002A" w:rsidRPr="0032002A" w14:paraId="2439682F" w14:textId="77777777" w:rsidTr="0032002A">
        <w:tc>
          <w:tcPr>
            <w:tcW w:w="0" w:type="auto"/>
            <w:hideMark/>
          </w:tcPr>
          <w:p w14:paraId="2EB9485A"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2021</w:t>
            </w:r>
          </w:p>
        </w:tc>
        <w:tc>
          <w:tcPr>
            <w:tcW w:w="0" w:type="auto"/>
            <w:hideMark/>
          </w:tcPr>
          <w:p w14:paraId="15196DD4"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120,359</w:t>
            </w:r>
          </w:p>
        </w:tc>
        <w:tc>
          <w:tcPr>
            <w:tcW w:w="0" w:type="auto"/>
            <w:hideMark/>
          </w:tcPr>
          <w:p w14:paraId="0B971C49"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78</w:t>
            </w:r>
          </w:p>
        </w:tc>
        <w:tc>
          <w:tcPr>
            <w:tcW w:w="0" w:type="auto"/>
            <w:hideMark/>
          </w:tcPr>
          <w:p w14:paraId="3F24CDD3"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79</w:t>
            </w:r>
          </w:p>
        </w:tc>
        <w:tc>
          <w:tcPr>
            <w:tcW w:w="0" w:type="auto"/>
            <w:hideMark/>
          </w:tcPr>
          <w:p w14:paraId="01F8DF10"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115</w:t>
            </w:r>
          </w:p>
        </w:tc>
        <w:tc>
          <w:tcPr>
            <w:tcW w:w="0" w:type="auto"/>
            <w:hideMark/>
          </w:tcPr>
          <w:p w14:paraId="43922042"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3.19</w:t>
            </w:r>
          </w:p>
        </w:tc>
        <w:tc>
          <w:tcPr>
            <w:tcW w:w="0" w:type="auto"/>
            <w:hideMark/>
          </w:tcPr>
          <w:p w14:paraId="57EC6DB4"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114</w:t>
            </w:r>
          </w:p>
        </w:tc>
      </w:tr>
      <w:tr w:rsidR="0032002A" w:rsidRPr="0032002A" w14:paraId="4B642472" w14:textId="77777777" w:rsidTr="0032002A">
        <w:tc>
          <w:tcPr>
            <w:tcW w:w="0" w:type="auto"/>
            <w:hideMark/>
          </w:tcPr>
          <w:p w14:paraId="495EAC17"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2022</w:t>
            </w:r>
          </w:p>
        </w:tc>
        <w:tc>
          <w:tcPr>
            <w:tcW w:w="0" w:type="auto"/>
            <w:hideMark/>
          </w:tcPr>
          <w:p w14:paraId="4FFCC01A"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121,567</w:t>
            </w:r>
          </w:p>
        </w:tc>
        <w:tc>
          <w:tcPr>
            <w:tcW w:w="0" w:type="auto"/>
            <w:hideMark/>
          </w:tcPr>
          <w:p w14:paraId="2E6285CE"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76</w:t>
            </w:r>
          </w:p>
        </w:tc>
        <w:tc>
          <w:tcPr>
            <w:tcW w:w="0" w:type="auto"/>
            <w:hideMark/>
          </w:tcPr>
          <w:p w14:paraId="14B3F9F1"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67</w:t>
            </w:r>
          </w:p>
        </w:tc>
        <w:tc>
          <w:tcPr>
            <w:tcW w:w="0" w:type="auto"/>
            <w:hideMark/>
          </w:tcPr>
          <w:p w14:paraId="57885EAD"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131</w:t>
            </w:r>
          </w:p>
        </w:tc>
        <w:tc>
          <w:tcPr>
            <w:tcW w:w="0" w:type="auto"/>
            <w:hideMark/>
          </w:tcPr>
          <w:p w14:paraId="25A501AB"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2.79</w:t>
            </w:r>
          </w:p>
        </w:tc>
        <w:tc>
          <w:tcPr>
            <w:tcW w:w="0" w:type="auto"/>
            <w:hideMark/>
          </w:tcPr>
          <w:p w14:paraId="463DC966"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140</w:t>
            </w:r>
          </w:p>
        </w:tc>
      </w:tr>
      <w:tr w:rsidR="0032002A" w:rsidRPr="0032002A" w14:paraId="129FA89E" w14:textId="77777777" w:rsidTr="0032002A">
        <w:tc>
          <w:tcPr>
            <w:tcW w:w="0" w:type="auto"/>
            <w:hideMark/>
          </w:tcPr>
          <w:p w14:paraId="5BD713D0"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2023</w:t>
            </w:r>
          </w:p>
        </w:tc>
        <w:tc>
          <w:tcPr>
            <w:tcW w:w="0" w:type="auto"/>
            <w:hideMark/>
          </w:tcPr>
          <w:p w14:paraId="651FE9B4"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97,703</w:t>
            </w:r>
          </w:p>
        </w:tc>
        <w:tc>
          <w:tcPr>
            <w:tcW w:w="0" w:type="auto"/>
            <w:hideMark/>
          </w:tcPr>
          <w:p w14:paraId="145581C0"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98</w:t>
            </w:r>
          </w:p>
        </w:tc>
        <w:tc>
          <w:tcPr>
            <w:tcW w:w="0" w:type="auto"/>
            <w:hideMark/>
          </w:tcPr>
          <w:p w14:paraId="2F5F50AF"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64</w:t>
            </w:r>
          </w:p>
        </w:tc>
        <w:tc>
          <w:tcPr>
            <w:tcW w:w="0" w:type="auto"/>
            <w:hideMark/>
          </w:tcPr>
          <w:p w14:paraId="76A70A4F"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100</w:t>
            </w:r>
          </w:p>
        </w:tc>
        <w:tc>
          <w:tcPr>
            <w:tcW w:w="0" w:type="auto"/>
            <w:hideMark/>
          </w:tcPr>
          <w:p w14:paraId="01437682"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3.66</w:t>
            </w:r>
          </w:p>
        </w:tc>
        <w:tc>
          <w:tcPr>
            <w:tcW w:w="0" w:type="auto"/>
            <w:hideMark/>
          </w:tcPr>
          <w:p w14:paraId="14260BCE"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134</w:t>
            </w:r>
          </w:p>
        </w:tc>
      </w:tr>
      <w:tr w:rsidR="0032002A" w:rsidRPr="0032002A" w14:paraId="18536AAE" w14:textId="77777777" w:rsidTr="0032002A">
        <w:tc>
          <w:tcPr>
            <w:tcW w:w="0" w:type="auto"/>
            <w:hideMark/>
          </w:tcPr>
          <w:p w14:paraId="12147F05"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2024</w:t>
            </w:r>
          </w:p>
        </w:tc>
        <w:tc>
          <w:tcPr>
            <w:tcW w:w="0" w:type="auto"/>
            <w:hideMark/>
          </w:tcPr>
          <w:p w14:paraId="375994D5"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84,203</w:t>
            </w:r>
          </w:p>
        </w:tc>
        <w:tc>
          <w:tcPr>
            <w:tcW w:w="0" w:type="auto"/>
            <w:hideMark/>
          </w:tcPr>
          <w:p w14:paraId="02AF7F72"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105</w:t>
            </w:r>
          </w:p>
        </w:tc>
        <w:tc>
          <w:tcPr>
            <w:tcW w:w="0" w:type="auto"/>
            <w:hideMark/>
          </w:tcPr>
          <w:p w14:paraId="21B8DBEF"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94</w:t>
            </w:r>
          </w:p>
        </w:tc>
        <w:tc>
          <w:tcPr>
            <w:tcW w:w="0" w:type="auto"/>
            <w:hideMark/>
          </w:tcPr>
          <w:p w14:paraId="4BDA170C"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103</w:t>
            </w:r>
          </w:p>
        </w:tc>
        <w:tc>
          <w:tcPr>
            <w:tcW w:w="0" w:type="auto"/>
            <w:hideMark/>
          </w:tcPr>
          <w:p w14:paraId="08B3132F"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3.54</w:t>
            </w:r>
          </w:p>
        </w:tc>
        <w:tc>
          <w:tcPr>
            <w:tcW w:w="0" w:type="auto"/>
            <w:hideMark/>
          </w:tcPr>
          <w:p w14:paraId="58F3B429" w14:textId="77777777" w:rsidR="0032002A" w:rsidRPr="0032002A" w:rsidRDefault="0032002A" w:rsidP="001D3906">
            <w:pPr>
              <w:spacing w:line="360" w:lineRule="auto"/>
              <w:jc w:val="both"/>
              <w:rPr>
                <w:rFonts w:ascii="Arial" w:eastAsia="Times New Roman" w:hAnsi="Arial" w:cs="Arial"/>
                <w:kern w:val="0"/>
                <w:sz w:val="24"/>
                <w:szCs w:val="24"/>
                <w14:ligatures w14:val="none"/>
              </w:rPr>
            </w:pPr>
            <w:r w:rsidRPr="0032002A">
              <w:rPr>
                <w:rFonts w:ascii="Arial" w:eastAsia="Times New Roman" w:hAnsi="Arial" w:cs="Arial"/>
                <w:kern w:val="0"/>
                <w:sz w:val="24"/>
                <w:szCs w:val="24"/>
                <w14:ligatures w14:val="none"/>
              </w:rPr>
              <w:t>114</w:t>
            </w:r>
          </w:p>
        </w:tc>
      </w:tr>
    </w:tbl>
    <w:p w14:paraId="5250E50E" w14:textId="77777777" w:rsidR="006D0D3A" w:rsidRDefault="006D0D3A" w:rsidP="001D3906">
      <w:pPr>
        <w:pStyle w:val="Heading2"/>
        <w:spacing w:before="0" w:line="360" w:lineRule="auto"/>
        <w:jc w:val="both"/>
        <w:rPr>
          <w:rFonts w:ascii="Arial" w:hAnsi="Arial" w:cs="Arial"/>
          <w:b/>
          <w:bCs/>
          <w:color w:val="000000" w:themeColor="text1"/>
          <w:sz w:val="24"/>
          <w:szCs w:val="24"/>
        </w:rPr>
      </w:pPr>
      <w:bookmarkStart w:id="38" w:name="_Toc217253896"/>
    </w:p>
    <w:p w14:paraId="5FB9EEC4" w14:textId="77777777" w:rsidR="006D0D3A" w:rsidRDefault="006D0D3A" w:rsidP="006D0D3A"/>
    <w:p w14:paraId="3DEEC645" w14:textId="77777777" w:rsidR="006D0D3A" w:rsidRDefault="006D0D3A" w:rsidP="001D3906">
      <w:pPr>
        <w:pStyle w:val="Heading2"/>
        <w:spacing w:before="0" w:line="360" w:lineRule="auto"/>
        <w:jc w:val="both"/>
        <w:rPr>
          <w:rFonts w:ascii="Arial" w:hAnsi="Arial" w:cs="Arial"/>
          <w:b/>
          <w:bCs/>
          <w:color w:val="000000" w:themeColor="text1"/>
          <w:sz w:val="24"/>
          <w:szCs w:val="24"/>
        </w:rPr>
      </w:pPr>
    </w:p>
    <w:p w14:paraId="19DD0A98" w14:textId="77777777" w:rsidR="006D0D3A" w:rsidRDefault="006D0D3A" w:rsidP="006D0D3A"/>
    <w:p w14:paraId="301E49F3" w14:textId="77777777" w:rsidR="006D0D3A" w:rsidRDefault="006D0D3A" w:rsidP="006D0D3A"/>
    <w:p w14:paraId="4C340683" w14:textId="77777777" w:rsidR="006D0D3A" w:rsidRPr="006D0D3A" w:rsidRDefault="006D0D3A" w:rsidP="006D0D3A"/>
    <w:p w14:paraId="6D64EE93" w14:textId="7B09B196" w:rsidR="0032002A" w:rsidRPr="00213F19" w:rsidRDefault="003C2F24" w:rsidP="001D3906">
      <w:pPr>
        <w:pStyle w:val="Heading2"/>
        <w:spacing w:before="0" w:line="360" w:lineRule="auto"/>
        <w:jc w:val="both"/>
        <w:rPr>
          <w:rFonts w:ascii="Arial" w:hAnsi="Arial" w:cs="Arial"/>
          <w:b/>
          <w:bCs/>
          <w:color w:val="000000" w:themeColor="text1"/>
          <w:sz w:val="24"/>
          <w:szCs w:val="24"/>
        </w:rPr>
      </w:pPr>
      <w:r w:rsidRPr="00213F19">
        <w:rPr>
          <w:rFonts w:ascii="Arial" w:hAnsi="Arial" w:cs="Arial"/>
          <w:b/>
          <w:bCs/>
          <w:color w:val="000000" w:themeColor="text1"/>
          <w:sz w:val="24"/>
          <w:szCs w:val="24"/>
        </w:rPr>
        <w:t>APPENDIX</w:t>
      </w:r>
      <w:r w:rsidR="00BD74A1" w:rsidRPr="00213F19">
        <w:rPr>
          <w:rFonts w:ascii="Arial" w:hAnsi="Arial" w:cs="Arial"/>
          <w:b/>
          <w:bCs/>
          <w:color w:val="000000" w:themeColor="text1"/>
          <w:sz w:val="24"/>
          <w:szCs w:val="24"/>
        </w:rPr>
        <w:t xml:space="preserve"> 3</w:t>
      </w:r>
      <w:r w:rsidRPr="00213F19">
        <w:rPr>
          <w:rFonts w:ascii="Arial" w:hAnsi="Arial" w:cs="Arial"/>
          <w:b/>
          <w:bCs/>
          <w:color w:val="000000" w:themeColor="text1"/>
          <w:sz w:val="24"/>
          <w:szCs w:val="24"/>
        </w:rPr>
        <w:t>: Investment Appraisal Calculations</w:t>
      </w:r>
      <w:bookmarkEnd w:id="38"/>
    </w:p>
    <w:p w14:paraId="162DB7CD" w14:textId="77777777" w:rsidR="00A863C4" w:rsidRPr="00357B8C" w:rsidRDefault="00A863C4" w:rsidP="001D3906">
      <w:pPr>
        <w:spacing w:after="0" w:line="360" w:lineRule="auto"/>
        <w:jc w:val="both"/>
        <w:rPr>
          <w:rFonts w:ascii="Arial" w:eastAsia="Times New Roman" w:hAnsi="Arial" w:cs="Arial"/>
          <w:kern w:val="0"/>
          <w:sz w:val="24"/>
          <w:szCs w:val="24"/>
          <w14:ligatures w14:val="none"/>
        </w:rPr>
      </w:pPr>
      <w:r w:rsidRPr="00357B8C">
        <w:rPr>
          <w:rFonts w:ascii="Arial" w:eastAsia="Times New Roman" w:hAnsi="Arial" w:cs="Arial"/>
          <w:kern w:val="0"/>
          <w:sz w:val="24"/>
          <w:szCs w:val="24"/>
          <w14:ligatures w14:val="none"/>
        </w:rPr>
        <w:t>The investment appraisal follows the conventional formulas:</w:t>
      </w:r>
    </w:p>
    <w:p w14:paraId="72F0E73F" w14:textId="77777777" w:rsidR="00A863C4" w:rsidRPr="001D3906" w:rsidRDefault="00A863C4" w:rsidP="001D3906">
      <w:pPr>
        <w:spacing w:after="0" w:line="360" w:lineRule="auto"/>
        <w:jc w:val="both"/>
        <w:rPr>
          <w:rFonts w:ascii="Arial" w:eastAsia="Times New Roman" w:hAnsi="Arial" w:cs="Arial"/>
          <w:kern w:val="0"/>
          <w:sz w:val="24"/>
          <w:szCs w:val="24"/>
          <w14:ligatures w14:val="none"/>
        </w:rPr>
      </w:pPr>
      <w:r w:rsidRPr="00357B8C">
        <w:rPr>
          <w:rFonts w:ascii="Arial" w:eastAsia="Times New Roman" w:hAnsi="Arial" w:cs="Arial"/>
          <w:kern w:val="0"/>
          <w:sz w:val="24"/>
          <w:szCs w:val="24"/>
          <w14:ligatures w14:val="none"/>
        </w:rPr>
        <w:t>PBP=Time until cumulative inflows = Initial Investment</w:t>
      </w:r>
    </w:p>
    <w:p w14:paraId="1EE4496F" w14:textId="77777777" w:rsidR="00A863C4" w:rsidRPr="001D3906" w:rsidRDefault="00A863C4" w:rsidP="001D3906">
      <w:pPr>
        <w:spacing w:after="0" w:line="360" w:lineRule="auto"/>
        <w:jc w:val="both"/>
        <w:rPr>
          <w:rFonts w:ascii="Arial" w:eastAsia="Times New Roman" w:hAnsi="Arial" w:cs="Arial"/>
          <w:kern w:val="0"/>
          <w:sz w:val="24"/>
          <w:szCs w:val="24"/>
          <w14:ligatures w14:val="none"/>
        </w:rPr>
      </w:pPr>
      <w:r w:rsidRPr="00357B8C">
        <w:rPr>
          <w:rFonts w:ascii="Arial" w:eastAsia="Times New Roman" w:hAnsi="Arial" w:cs="Arial"/>
          <w:kern w:val="0"/>
          <w:sz w:val="24"/>
          <w:szCs w:val="24"/>
          <w14:ligatures w14:val="none"/>
        </w:rPr>
        <w:t>ARR=Average Annual Accounting ProfitAverage Investment×100</w:t>
      </w:r>
    </w:p>
    <w:p w14:paraId="36E1F061" w14:textId="77777777" w:rsidR="00A863C4" w:rsidRPr="001D3906" w:rsidRDefault="00A863C4" w:rsidP="001D3906">
      <w:pPr>
        <w:spacing w:after="0" w:line="360" w:lineRule="auto"/>
        <w:jc w:val="both"/>
        <w:rPr>
          <w:rFonts w:ascii="Arial" w:eastAsia="Times New Roman" w:hAnsi="Arial" w:cs="Arial"/>
          <w:kern w:val="0"/>
          <w:sz w:val="24"/>
          <w:szCs w:val="24"/>
          <w14:ligatures w14:val="none"/>
        </w:rPr>
      </w:pPr>
      <w:r w:rsidRPr="00357B8C">
        <w:rPr>
          <w:rFonts w:ascii="Arial" w:eastAsia="Times New Roman" w:hAnsi="Arial" w:cs="Arial"/>
          <w:kern w:val="0"/>
          <w:sz w:val="24"/>
          <w:szCs w:val="24"/>
          <w14:ligatures w14:val="none"/>
        </w:rPr>
        <w:t>NPV=</w:t>
      </w:r>
      <w:r w:rsidRPr="001D3906">
        <w:rPr>
          <w:rFonts w:ascii="Arial" w:eastAsia="Times New Roman" w:hAnsi="Arial" w:cs="Arial"/>
          <w:kern w:val="0"/>
          <w:sz w:val="24"/>
          <w:szCs w:val="24"/>
          <w:vertAlign w:val="superscript"/>
          <w14:ligatures w14:val="none"/>
        </w:rPr>
        <w:t>n</w:t>
      </w:r>
      <w:r w:rsidRPr="00357B8C">
        <w:rPr>
          <w:rFonts w:ascii="Arial" w:eastAsia="Times New Roman" w:hAnsi="Arial" w:cs="Arial"/>
          <w:kern w:val="0"/>
          <w:sz w:val="24"/>
          <w:szCs w:val="24"/>
          <w14:ligatures w14:val="none"/>
        </w:rPr>
        <w:t>∑</w:t>
      </w:r>
      <w:r w:rsidRPr="00357B8C">
        <w:rPr>
          <w:rFonts w:ascii="Arial" w:eastAsia="Times New Roman" w:hAnsi="Arial" w:cs="Arial"/>
          <w:kern w:val="0"/>
          <w:sz w:val="24"/>
          <w:szCs w:val="24"/>
          <w:vertAlign w:val="subscript"/>
          <w14:ligatures w14:val="none"/>
        </w:rPr>
        <w:t>t=1</w:t>
      </w:r>
      <w:r w:rsidRPr="001D3906">
        <w:rPr>
          <w:rFonts w:ascii="Arial" w:eastAsia="Times New Roman" w:hAnsi="Arial" w:cs="Arial"/>
          <w:kern w:val="0"/>
          <w:sz w:val="24"/>
          <w:szCs w:val="24"/>
          <w14:ligatures w14:val="none"/>
        </w:rPr>
        <w:t xml:space="preserve"> </w:t>
      </w:r>
      <w:r w:rsidRPr="00357B8C">
        <w:rPr>
          <w:rFonts w:ascii="Arial" w:eastAsia="Times New Roman" w:hAnsi="Arial" w:cs="Arial"/>
          <w:kern w:val="0"/>
          <w:sz w:val="24"/>
          <w:szCs w:val="24"/>
          <w14:ligatures w14:val="none"/>
        </w:rPr>
        <w:t>Cash Inflow</w:t>
      </w:r>
      <w:r w:rsidRPr="00357B8C">
        <w:rPr>
          <w:rFonts w:ascii="Arial" w:eastAsia="Times New Roman" w:hAnsi="Arial" w:cs="Arial"/>
          <w:kern w:val="0"/>
          <w:sz w:val="24"/>
          <w:szCs w:val="24"/>
          <w:vertAlign w:val="subscript"/>
          <w14:ligatures w14:val="none"/>
        </w:rPr>
        <w:t>t</w:t>
      </w:r>
      <w:r w:rsidRPr="001D3906">
        <w:rPr>
          <w:rFonts w:ascii="Arial" w:eastAsia="Times New Roman" w:hAnsi="Arial" w:cs="Arial"/>
          <w:kern w:val="0"/>
          <w:sz w:val="24"/>
          <w:szCs w:val="24"/>
          <w14:ligatures w14:val="none"/>
        </w:rPr>
        <w:t>/</w:t>
      </w:r>
      <w:r w:rsidRPr="00357B8C">
        <w:rPr>
          <w:rFonts w:ascii="Arial" w:eastAsia="Times New Roman" w:hAnsi="Arial" w:cs="Arial"/>
          <w:kern w:val="0"/>
          <w:sz w:val="24"/>
          <w:szCs w:val="24"/>
          <w14:ligatures w14:val="none"/>
        </w:rPr>
        <w:t>(1+r)</w:t>
      </w:r>
      <w:r w:rsidRPr="00357B8C">
        <w:rPr>
          <w:rFonts w:ascii="Arial" w:eastAsia="Times New Roman" w:hAnsi="Arial" w:cs="Arial"/>
          <w:kern w:val="0"/>
          <w:sz w:val="24"/>
          <w:szCs w:val="24"/>
          <w:vertAlign w:val="superscript"/>
          <w14:ligatures w14:val="none"/>
        </w:rPr>
        <w:t>t</w:t>
      </w:r>
      <w:r w:rsidRPr="00357B8C">
        <w:rPr>
          <w:rFonts w:ascii="Arial" w:eastAsia="Times New Roman" w:hAnsi="Arial" w:cs="Arial"/>
          <w:kern w:val="0"/>
          <w:sz w:val="24"/>
          <w:szCs w:val="24"/>
          <w14:ligatures w14:val="none"/>
        </w:rPr>
        <w:t>−Initial Investment</w:t>
      </w:r>
    </w:p>
    <w:p w14:paraId="14CF96E7" w14:textId="77777777" w:rsidR="00A863C4" w:rsidRPr="001D3906" w:rsidRDefault="00A863C4" w:rsidP="001D3906">
      <w:pPr>
        <w:spacing w:after="0" w:line="360" w:lineRule="auto"/>
        <w:jc w:val="both"/>
        <w:rPr>
          <w:rFonts w:ascii="Arial" w:eastAsia="Times New Roman" w:hAnsi="Arial" w:cs="Arial"/>
          <w:kern w:val="0"/>
          <w:sz w:val="24"/>
          <w:szCs w:val="24"/>
          <w14:ligatures w14:val="none"/>
        </w:rPr>
      </w:pPr>
      <w:r w:rsidRPr="00357B8C">
        <w:rPr>
          <w:rFonts w:ascii="Arial" w:eastAsia="Times New Roman" w:hAnsi="Arial" w:cs="Arial"/>
          <w:kern w:val="0"/>
          <w:sz w:val="24"/>
          <w:szCs w:val="24"/>
          <w14:ligatures w14:val="none"/>
        </w:rPr>
        <w:t xml:space="preserve">IRR=r such that NPV = 0 </w:t>
      </w:r>
    </w:p>
    <w:p w14:paraId="3EE945F6" w14:textId="4F709FC7" w:rsidR="00A863C4" w:rsidRPr="001D3906" w:rsidRDefault="00A863C4" w:rsidP="001D3906">
      <w:pPr>
        <w:spacing w:after="0" w:line="360" w:lineRule="auto"/>
        <w:jc w:val="both"/>
        <w:rPr>
          <w:rFonts w:ascii="Arial" w:eastAsia="Times New Roman" w:hAnsi="Arial" w:cs="Arial"/>
          <w:kern w:val="0"/>
          <w:sz w:val="24"/>
          <w:szCs w:val="24"/>
          <w14:ligatures w14:val="none"/>
        </w:rPr>
      </w:pPr>
      <w:r w:rsidRPr="00357B8C">
        <w:rPr>
          <w:rFonts w:ascii="Arial" w:eastAsia="Times New Roman" w:hAnsi="Arial" w:cs="Arial"/>
          <w:kern w:val="0"/>
          <w:sz w:val="24"/>
          <w:szCs w:val="24"/>
          <w14:ligatures w14:val="none"/>
        </w:rPr>
        <w:t>PI=PV of Cash Inflows</w:t>
      </w:r>
      <w:r w:rsidRPr="001D3906">
        <w:rPr>
          <w:rFonts w:ascii="Arial" w:eastAsia="Times New Roman" w:hAnsi="Arial" w:cs="Arial"/>
          <w:kern w:val="0"/>
          <w:sz w:val="24"/>
          <w:szCs w:val="24"/>
          <w14:ligatures w14:val="none"/>
        </w:rPr>
        <w:t xml:space="preserve">/ </w:t>
      </w:r>
      <w:r w:rsidRPr="00357B8C">
        <w:rPr>
          <w:rFonts w:ascii="Arial" w:eastAsia="Times New Roman" w:hAnsi="Arial" w:cs="Arial"/>
          <w:kern w:val="0"/>
          <w:sz w:val="24"/>
          <w:szCs w:val="24"/>
          <w14:ligatures w14:val="none"/>
        </w:rPr>
        <w:t>Initial Investment</w:t>
      </w:r>
    </w:p>
    <w:p w14:paraId="2DBDD18F" w14:textId="50D32649" w:rsidR="003C2F24" w:rsidRPr="001D3906" w:rsidRDefault="00BD74A1" w:rsidP="001D3906">
      <w:pPr>
        <w:spacing w:after="0" w:line="360" w:lineRule="auto"/>
        <w:jc w:val="both"/>
        <w:rPr>
          <w:rFonts w:ascii="Arial" w:hAnsi="Arial" w:cs="Arial"/>
          <w:sz w:val="24"/>
          <w:szCs w:val="24"/>
        </w:rPr>
      </w:pPr>
      <w:r w:rsidRPr="001D3906">
        <w:rPr>
          <w:rFonts w:ascii="Arial" w:hAnsi="Arial" w:cs="Arial"/>
          <w:sz w:val="24"/>
          <w:szCs w:val="24"/>
        </w:rPr>
        <w:t xml:space="preserve">Table </w:t>
      </w:r>
      <w:r w:rsidR="00F23629">
        <w:rPr>
          <w:rFonts w:ascii="Arial" w:hAnsi="Arial" w:cs="Arial"/>
          <w:sz w:val="24"/>
          <w:szCs w:val="24"/>
        </w:rPr>
        <w:t>11</w:t>
      </w:r>
      <w:r w:rsidRPr="001D3906">
        <w:rPr>
          <w:rFonts w:ascii="Arial" w:hAnsi="Arial" w:cs="Arial"/>
          <w:sz w:val="24"/>
          <w:szCs w:val="24"/>
        </w:rPr>
        <w:t xml:space="preserve">: </w:t>
      </w:r>
      <w:r w:rsidR="003C2F24" w:rsidRPr="001D3906">
        <w:rPr>
          <w:rFonts w:ascii="Arial" w:hAnsi="Arial" w:cs="Arial"/>
          <w:sz w:val="24"/>
          <w:szCs w:val="24"/>
        </w:rPr>
        <w:t>Discounted Cash Flow (NPV and PI Calculations)</w:t>
      </w:r>
    </w:p>
    <w:tbl>
      <w:tblPr>
        <w:tblStyle w:val="TableGrid"/>
        <w:tblW w:w="0" w:type="auto"/>
        <w:tblLook w:val="04A0" w:firstRow="1" w:lastRow="0" w:firstColumn="1" w:lastColumn="0" w:noHBand="0" w:noVBand="1"/>
      </w:tblPr>
      <w:tblGrid>
        <w:gridCol w:w="1483"/>
        <w:gridCol w:w="1360"/>
        <w:gridCol w:w="1192"/>
        <w:gridCol w:w="977"/>
        <w:gridCol w:w="1192"/>
        <w:gridCol w:w="977"/>
        <w:gridCol w:w="1192"/>
        <w:gridCol w:w="977"/>
      </w:tblGrid>
      <w:tr w:rsidR="003C2F24" w:rsidRPr="003C2F24" w14:paraId="22633E35" w14:textId="77777777" w:rsidTr="003C2F24">
        <w:tc>
          <w:tcPr>
            <w:tcW w:w="0" w:type="auto"/>
            <w:hideMark/>
          </w:tcPr>
          <w:p w14:paraId="661D16E4"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Year</w:t>
            </w:r>
          </w:p>
        </w:tc>
        <w:tc>
          <w:tcPr>
            <w:tcW w:w="0" w:type="auto"/>
            <w:hideMark/>
          </w:tcPr>
          <w:p w14:paraId="05040EA9"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Discount Factor (10%)</w:t>
            </w:r>
          </w:p>
        </w:tc>
        <w:tc>
          <w:tcPr>
            <w:tcW w:w="0" w:type="auto"/>
            <w:hideMark/>
          </w:tcPr>
          <w:p w14:paraId="07B3171B"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Project A Cash Flow (£m)</w:t>
            </w:r>
          </w:p>
        </w:tc>
        <w:tc>
          <w:tcPr>
            <w:tcW w:w="0" w:type="auto"/>
            <w:hideMark/>
          </w:tcPr>
          <w:p w14:paraId="7C8A12A3"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PV (A)</w:t>
            </w:r>
          </w:p>
        </w:tc>
        <w:tc>
          <w:tcPr>
            <w:tcW w:w="0" w:type="auto"/>
            <w:hideMark/>
          </w:tcPr>
          <w:p w14:paraId="57FA0162"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Project B Cash Flow (£m)</w:t>
            </w:r>
          </w:p>
        </w:tc>
        <w:tc>
          <w:tcPr>
            <w:tcW w:w="0" w:type="auto"/>
            <w:hideMark/>
          </w:tcPr>
          <w:p w14:paraId="2D13E458"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PV (B)</w:t>
            </w:r>
          </w:p>
        </w:tc>
        <w:tc>
          <w:tcPr>
            <w:tcW w:w="0" w:type="auto"/>
            <w:hideMark/>
          </w:tcPr>
          <w:p w14:paraId="6F2BD257"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Project C Cash Flow (£m)</w:t>
            </w:r>
          </w:p>
        </w:tc>
        <w:tc>
          <w:tcPr>
            <w:tcW w:w="0" w:type="auto"/>
            <w:hideMark/>
          </w:tcPr>
          <w:p w14:paraId="7F3153A8"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PV (C)</w:t>
            </w:r>
          </w:p>
        </w:tc>
      </w:tr>
      <w:tr w:rsidR="003C2F24" w:rsidRPr="003C2F24" w14:paraId="14DA4F0A" w14:textId="77777777" w:rsidTr="003C2F24">
        <w:tc>
          <w:tcPr>
            <w:tcW w:w="0" w:type="auto"/>
            <w:hideMark/>
          </w:tcPr>
          <w:p w14:paraId="54563991"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w:t>
            </w:r>
          </w:p>
        </w:tc>
        <w:tc>
          <w:tcPr>
            <w:tcW w:w="0" w:type="auto"/>
            <w:hideMark/>
          </w:tcPr>
          <w:p w14:paraId="0AEB4001"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0.909</w:t>
            </w:r>
          </w:p>
        </w:tc>
        <w:tc>
          <w:tcPr>
            <w:tcW w:w="0" w:type="auto"/>
            <w:hideMark/>
          </w:tcPr>
          <w:p w14:paraId="7E030F0C"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10</w:t>
            </w:r>
          </w:p>
        </w:tc>
        <w:tc>
          <w:tcPr>
            <w:tcW w:w="0" w:type="auto"/>
            <w:hideMark/>
          </w:tcPr>
          <w:p w14:paraId="56653166"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9.09</w:t>
            </w:r>
          </w:p>
        </w:tc>
        <w:tc>
          <w:tcPr>
            <w:tcW w:w="0" w:type="auto"/>
            <w:hideMark/>
          </w:tcPr>
          <w:p w14:paraId="03250195"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6</w:t>
            </w:r>
          </w:p>
        </w:tc>
        <w:tc>
          <w:tcPr>
            <w:tcW w:w="0" w:type="auto"/>
            <w:hideMark/>
          </w:tcPr>
          <w:p w14:paraId="3DBA5758"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5.45</w:t>
            </w:r>
          </w:p>
        </w:tc>
        <w:tc>
          <w:tcPr>
            <w:tcW w:w="0" w:type="auto"/>
            <w:hideMark/>
          </w:tcPr>
          <w:p w14:paraId="30B596E0"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5</w:t>
            </w:r>
          </w:p>
        </w:tc>
        <w:tc>
          <w:tcPr>
            <w:tcW w:w="0" w:type="auto"/>
            <w:hideMark/>
          </w:tcPr>
          <w:p w14:paraId="4169D9EE"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4.55</w:t>
            </w:r>
          </w:p>
        </w:tc>
      </w:tr>
      <w:tr w:rsidR="003C2F24" w:rsidRPr="003C2F24" w14:paraId="497C95CF" w14:textId="77777777" w:rsidTr="003C2F24">
        <w:tc>
          <w:tcPr>
            <w:tcW w:w="0" w:type="auto"/>
            <w:hideMark/>
          </w:tcPr>
          <w:p w14:paraId="1616E25D"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2</w:t>
            </w:r>
          </w:p>
        </w:tc>
        <w:tc>
          <w:tcPr>
            <w:tcW w:w="0" w:type="auto"/>
            <w:hideMark/>
          </w:tcPr>
          <w:p w14:paraId="06F6D850"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0.826</w:t>
            </w:r>
          </w:p>
        </w:tc>
        <w:tc>
          <w:tcPr>
            <w:tcW w:w="0" w:type="auto"/>
            <w:hideMark/>
          </w:tcPr>
          <w:p w14:paraId="46D53653"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12</w:t>
            </w:r>
          </w:p>
        </w:tc>
        <w:tc>
          <w:tcPr>
            <w:tcW w:w="0" w:type="auto"/>
            <w:hideMark/>
          </w:tcPr>
          <w:p w14:paraId="7C91F001"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9.91</w:t>
            </w:r>
          </w:p>
        </w:tc>
        <w:tc>
          <w:tcPr>
            <w:tcW w:w="0" w:type="auto"/>
            <w:hideMark/>
          </w:tcPr>
          <w:p w14:paraId="05B15F1C"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6</w:t>
            </w:r>
          </w:p>
        </w:tc>
        <w:tc>
          <w:tcPr>
            <w:tcW w:w="0" w:type="auto"/>
            <w:hideMark/>
          </w:tcPr>
          <w:p w14:paraId="009A7BAF"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4.96</w:t>
            </w:r>
          </w:p>
        </w:tc>
        <w:tc>
          <w:tcPr>
            <w:tcW w:w="0" w:type="auto"/>
            <w:hideMark/>
          </w:tcPr>
          <w:p w14:paraId="41879921"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10</w:t>
            </w:r>
          </w:p>
        </w:tc>
        <w:tc>
          <w:tcPr>
            <w:tcW w:w="0" w:type="auto"/>
            <w:hideMark/>
          </w:tcPr>
          <w:p w14:paraId="0A0A5571"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8.26</w:t>
            </w:r>
          </w:p>
        </w:tc>
      </w:tr>
      <w:tr w:rsidR="003C2F24" w:rsidRPr="003C2F24" w14:paraId="0D2F70F7" w14:textId="77777777" w:rsidTr="003C2F24">
        <w:tc>
          <w:tcPr>
            <w:tcW w:w="0" w:type="auto"/>
            <w:hideMark/>
          </w:tcPr>
          <w:p w14:paraId="4B8C0429"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3</w:t>
            </w:r>
          </w:p>
        </w:tc>
        <w:tc>
          <w:tcPr>
            <w:tcW w:w="0" w:type="auto"/>
            <w:hideMark/>
          </w:tcPr>
          <w:p w14:paraId="55886A31"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0.751</w:t>
            </w:r>
          </w:p>
        </w:tc>
        <w:tc>
          <w:tcPr>
            <w:tcW w:w="0" w:type="auto"/>
            <w:hideMark/>
          </w:tcPr>
          <w:p w14:paraId="6D5EB6B6"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14</w:t>
            </w:r>
          </w:p>
        </w:tc>
        <w:tc>
          <w:tcPr>
            <w:tcW w:w="0" w:type="auto"/>
            <w:hideMark/>
          </w:tcPr>
          <w:p w14:paraId="659446F2"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10.51</w:t>
            </w:r>
          </w:p>
        </w:tc>
        <w:tc>
          <w:tcPr>
            <w:tcW w:w="0" w:type="auto"/>
            <w:hideMark/>
          </w:tcPr>
          <w:p w14:paraId="0472A23C"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6</w:t>
            </w:r>
          </w:p>
        </w:tc>
        <w:tc>
          <w:tcPr>
            <w:tcW w:w="0" w:type="auto"/>
            <w:hideMark/>
          </w:tcPr>
          <w:p w14:paraId="3CC695FD"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4.51</w:t>
            </w:r>
          </w:p>
        </w:tc>
        <w:tc>
          <w:tcPr>
            <w:tcW w:w="0" w:type="auto"/>
            <w:hideMark/>
          </w:tcPr>
          <w:p w14:paraId="2974DB9C"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20</w:t>
            </w:r>
          </w:p>
        </w:tc>
        <w:tc>
          <w:tcPr>
            <w:tcW w:w="0" w:type="auto"/>
            <w:hideMark/>
          </w:tcPr>
          <w:p w14:paraId="0319BB34"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15.02</w:t>
            </w:r>
          </w:p>
        </w:tc>
      </w:tr>
      <w:tr w:rsidR="003C2F24" w:rsidRPr="003C2F24" w14:paraId="3A65E45E" w14:textId="77777777" w:rsidTr="003C2F24">
        <w:tc>
          <w:tcPr>
            <w:tcW w:w="0" w:type="auto"/>
            <w:hideMark/>
          </w:tcPr>
          <w:p w14:paraId="700D7A9D"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4</w:t>
            </w:r>
          </w:p>
        </w:tc>
        <w:tc>
          <w:tcPr>
            <w:tcW w:w="0" w:type="auto"/>
            <w:hideMark/>
          </w:tcPr>
          <w:p w14:paraId="5025C36C"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0.683</w:t>
            </w:r>
          </w:p>
        </w:tc>
        <w:tc>
          <w:tcPr>
            <w:tcW w:w="0" w:type="auto"/>
            <w:hideMark/>
          </w:tcPr>
          <w:p w14:paraId="53C6F49A"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10</w:t>
            </w:r>
          </w:p>
        </w:tc>
        <w:tc>
          <w:tcPr>
            <w:tcW w:w="0" w:type="auto"/>
            <w:hideMark/>
          </w:tcPr>
          <w:p w14:paraId="12A2A724"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6.83</w:t>
            </w:r>
          </w:p>
        </w:tc>
        <w:tc>
          <w:tcPr>
            <w:tcW w:w="0" w:type="auto"/>
            <w:hideMark/>
          </w:tcPr>
          <w:p w14:paraId="04F2D8D6"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6</w:t>
            </w:r>
          </w:p>
        </w:tc>
        <w:tc>
          <w:tcPr>
            <w:tcW w:w="0" w:type="auto"/>
            <w:hideMark/>
          </w:tcPr>
          <w:p w14:paraId="73754B87"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4.10</w:t>
            </w:r>
          </w:p>
        </w:tc>
        <w:tc>
          <w:tcPr>
            <w:tcW w:w="0" w:type="auto"/>
            <w:hideMark/>
          </w:tcPr>
          <w:p w14:paraId="75DF6650"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25</w:t>
            </w:r>
          </w:p>
        </w:tc>
        <w:tc>
          <w:tcPr>
            <w:tcW w:w="0" w:type="auto"/>
            <w:hideMark/>
          </w:tcPr>
          <w:p w14:paraId="1664F709"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17.08</w:t>
            </w:r>
          </w:p>
        </w:tc>
      </w:tr>
      <w:tr w:rsidR="003C2F24" w:rsidRPr="003C2F24" w14:paraId="018B11BA" w14:textId="77777777" w:rsidTr="003C2F24">
        <w:tc>
          <w:tcPr>
            <w:tcW w:w="0" w:type="auto"/>
            <w:hideMark/>
          </w:tcPr>
          <w:p w14:paraId="71F6CAA7"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5</w:t>
            </w:r>
          </w:p>
        </w:tc>
        <w:tc>
          <w:tcPr>
            <w:tcW w:w="0" w:type="auto"/>
            <w:hideMark/>
          </w:tcPr>
          <w:p w14:paraId="23C96713"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0.621</w:t>
            </w:r>
          </w:p>
        </w:tc>
        <w:tc>
          <w:tcPr>
            <w:tcW w:w="0" w:type="auto"/>
            <w:hideMark/>
          </w:tcPr>
          <w:p w14:paraId="008407DE"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8</w:t>
            </w:r>
          </w:p>
        </w:tc>
        <w:tc>
          <w:tcPr>
            <w:tcW w:w="0" w:type="auto"/>
            <w:hideMark/>
          </w:tcPr>
          <w:p w14:paraId="642E7975"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4.97</w:t>
            </w:r>
          </w:p>
        </w:tc>
        <w:tc>
          <w:tcPr>
            <w:tcW w:w="0" w:type="auto"/>
            <w:hideMark/>
          </w:tcPr>
          <w:p w14:paraId="65F664FB"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6</w:t>
            </w:r>
          </w:p>
        </w:tc>
        <w:tc>
          <w:tcPr>
            <w:tcW w:w="0" w:type="auto"/>
            <w:hideMark/>
          </w:tcPr>
          <w:p w14:paraId="388CD091"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3.73</w:t>
            </w:r>
          </w:p>
        </w:tc>
        <w:tc>
          <w:tcPr>
            <w:tcW w:w="0" w:type="auto"/>
            <w:hideMark/>
          </w:tcPr>
          <w:p w14:paraId="0D2A2D49"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15</w:t>
            </w:r>
          </w:p>
        </w:tc>
        <w:tc>
          <w:tcPr>
            <w:tcW w:w="0" w:type="auto"/>
            <w:hideMark/>
          </w:tcPr>
          <w:p w14:paraId="2617FE7F"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9.32</w:t>
            </w:r>
          </w:p>
        </w:tc>
      </w:tr>
      <w:tr w:rsidR="003C2F24" w:rsidRPr="003C2F24" w14:paraId="6812BF8C" w14:textId="77777777" w:rsidTr="003C2F24">
        <w:tc>
          <w:tcPr>
            <w:tcW w:w="0" w:type="auto"/>
            <w:hideMark/>
          </w:tcPr>
          <w:p w14:paraId="4F33B9E7"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Total PV Inflows (£m)</w:t>
            </w:r>
          </w:p>
        </w:tc>
        <w:tc>
          <w:tcPr>
            <w:tcW w:w="0" w:type="auto"/>
            <w:hideMark/>
          </w:tcPr>
          <w:p w14:paraId="0E6FA8A4"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p>
        </w:tc>
        <w:tc>
          <w:tcPr>
            <w:tcW w:w="0" w:type="auto"/>
            <w:hideMark/>
          </w:tcPr>
          <w:p w14:paraId="6CA552B9"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p>
        </w:tc>
        <w:tc>
          <w:tcPr>
            <w:tcW w:w="0" w:type="auto"/>
            <w:hideMark/>
          </w:tcPr>
          <w:p w14:paraId="1D63776C"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41.31</w:t>
            </w:r>
          </w:p>
        </w:tc>
        <w:tc>
          <w:tcPr>
            <w:tcW w:w="0" w:type="auto"/>
            <w:hideMark/>
          </w:tcPr>
          <w:p w14:paraId="0BE93996"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p>
        </w:tc>
        <w:tc>
          <w:tcPr>
            <w:tcW w:w="0" w:type="auto"/>
            <w:hideMark/>
          </w:tcPr>
          <w:p w14:paraId="0D52F0AF"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22.75</w:t>
            </w:r>
          </w:p>
        </w:tc>
        <w:tc>
          <w:tcPr>
            <w:tcW w:w="0" w:type="auto"/>
            <w:hideMark/>
          </w:tcPr>
          <w:p w14:paraId="41E81E19"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p>
        </w:tc>
        <w:tc>
          <w:tcPr>
            <w:tcW w:w="0" w:type="auto"/>
            <w:hideMark/>
          </w:tcPr>
          <w:p w14:paraId="00D78B97"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54.23</w:t>
            </w:r>
          </w:p>
        </w:tc>
      </w:tr>
      <w:tr w:rsidR="003C2F24" w:rsidRPr="003C2F24" w14:paraId="0FE478E9" w14:textId="77777777" w:rsidTr="003C2F24">
        <w:tc>
          <w:tcPr>
            <w:tcW w:w="0" w:type="auto"/>
            <w:hideMark/>
          </w:tcPr>
          <w:p w14:paraId="324B57B2"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Initial Investment (£m)</w:t>
            </w:r>
          </w:p>
        </w:tc>
        <w:tc>
          <w:tcPr>
            <w:tcW w:w="0" w:type="auto"/>
            <w:hideMark/>
          </w:tcPr>
          <w:p w14:paraId="0F7013F2"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p>
        </w:tc>
        <w:tc>
          <w:tcPr>
            <w:tcW w:w="0" w:type="auto"/>
            <w:hideMark/>
          </w:tcPr>
          <w:p w14:paraId="59B9DAF1"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p>
        </w:tc>
        <w:tc>
          <w:tcPr>
            <w:tcW w:w="0" w:type="auto"/>
            <w:hideMark/>
          </w:tcPr>
          <w:p w14:paraId="4A1139F3"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(40.00)</w:t>
            </w:r>
          </w:p>
        </w:tc>
        <w:tc>
          <w:tcPr>
            <w:tcW w:w="0" w:type="auto"/>
            <w:hideMark/>
          </w:tcPr>
          <w:p w14:paraId="11E8F66C"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p>
        </w:tc>
        <w:tc>
          <w:tcPr>
            <w:tcW w:w="0" w:type="auto"/>
            <w:hideMark/>
          </w:tcPr>
          <w:p w14:paraId="31424A3A"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(30.00)</w:t>
            </w:r>
          </w:p>
        </w:tc>
        <w:tc>
          <w:tcPr>
            <w:tcW w:w="0" w:type="auto"/>
            <w:hideMark/>
          </w:tcPr>
          <w:p w14:paraId="5726675D"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p>
        </w:tc>
        <w:tc>
          <w:tcPr>
            <w:tcW w:w="0" w:type="auto"/>
            <w:hideMark/>
          </w:tcPr>
          <w:p w14:paraId="775841E2"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(50.00)</w:t>
            </w:r>
          </w:p>
        </w:tc>
      </w:tr>
      <w:tr w:rsidR="003C2F24" w:rsidRPr="003C2F24" w14:paraId="3831E400" w14:textId="77777777" w:rsidTr="003C2F24">
        <w:tc>
          <w:tcPr>
            <w:tcW w:w="0" w:type="auto"/>
            <w:hideMark/>
          </w:tcPr>
          <w:p w14:paraId="4AFF3539"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NPV (£m)</w:t>
            </w:r>
          </w:p>
        </w:tc>
        <w:tc>
          <w:tcPr>
            <w:tcW w:w="0" w:type="auto"/>
            <w:hideMark/>
          </w:tcPr>
          <w:p w14:paraId="3BA9967C"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p>
        </w:tc>
        <w:tc>
          <w:tcPr>
            <w:tcW w:w="0" w:type="auto"/>
            <w:hideMark/>
          </w:tcPr>
          <w:p w14:paraId="73FEF786"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p>
        </w:tc>
        <w:tc>
          <w:tcPr>
            <w:tcW w:w="0" w:type="auto"/>
            <w:hideMark/>
          </w:tcPr>
          <w:p w14:paraId="176ABFC6"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1.31</w:t>
            </w:r>
          </w:p>
        </w:tc>
        <w:tc>
          <w:tcPr>
            <w:tcW w:w="0" w:type="auto"/>
            <w:hideMark/>
          </w:tcPr>
          <w:p w14:paraId="754BDE93"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p>
        </w:tc>
        <w:tc>
          <w:tcPr>
            <w:tcW w:w="0" w:type="auto"/>
            <w:hideMark/>
          </w:tcPr>
          <w:p w14:paraId="7AA6B0D3"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–7.25</w:t>
            </w:r>
          </w:p>
        </w:tc>
        <w:tc>
          <w:tcPr>
            <w:tcW w:w="0" w:type="auto"/>
            <w:hideMark/>
          </w:tcPr>
          <w:p w14:paraId="67DA7F91"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p>
        </w:tc>
        <w:tc>
          <w:tcPr>
            <w:tcW w:w="0" w:type="auto"/>
            <w:hideMark/>
          </w:tcPr>
          <w:p w14:paraId="445CD3B0"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4.23</w:t>
            </w:r>
          </w:p>
        </w:tc>
      </w:tr>
      <w:tr w:rsidR="003C2F24" w:rsidRPr="003C2F24" w14:paraId="4EA79649" w14:textId="77777777" w:rsidTr="003C2F24">
        <w:tc>
          <w:tcPr>
            <w:tcW w:w="0" w:type="auto"/>
            <w:hideMark/>
          </w:tcPr>
          <w:p w14:paraId="6D049E67"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PI</w:t>
            </w:r>
          </w:p>
        </w:tc>
        <w:tc>
          <w:tcPr>
            <w:tcW w:w="0" w:type="auto"/>
            <w:hideMark/>
          </w:tcPr>
          <w:p w14:paraId="653DBD6B"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p>
        </w:tc>
        <w:tc>
          <w:tcPr>
            <w:tcW w:w="0" w:type="auto"/>
            <w:hideMark/>
          </w:tcPr>
          <w:p w14:paraId="0C989036"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p>
        </w:tc>
        <w:tc>
          <w:tcPr>
            <w:tcW w:w="0" w:type="auto"/>
            <w:hideMark/>
          </w:tcPr>
          <w:p w14:paraId="53E10F07"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1.03</w:t>
            </w:r>
          </w:p>
        </w:tc>
        <w:tc>
          <w:tcPr>
            <w:tcW w:w="0" w:type="auto"/>
            <w:hideMark/>
          </w:tcPr>
          <w:p w14:paraId="7C0A6E35"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p>
        </w:tc>
        <w:tc>
          <w:tcPr>
            <w:tcW w:w="0" w:type="auto"/>
            <w:hideMark/>
          </w:tcPr>
          <w:p w14:paraId="3732F252"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0.76</w:t>
            </w:r>
          </w:p>
        </w:tc>
        <w:tc>
          <w:tcPr>
            <w:tcW w:w="0" w:type="auto"/>
            <w:hideMark/>
          </w:tcPr>
          <w:p w14:paraId="3887126D"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p>
        </w:tc>
        <w:tc>
          <w:tcPr>
            <w:tcW w:w="0" w:type="auto"/>
            <w:hideMark/>
          </w:tcPr>
          <w:p w14:paraId="30DAA2E2"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1.08</w:t>
            </w:r>
          </w:p>
        </w:tc>
      </w:tr>
    </w:tbl>
    <w:p w14:paraId="61E80DC1" w14:textId="73970C48" w:rsidR="003C2F24" w:rsidRPr="001D3906" w:rsidRDefault="00BD74A1" w:rsidP="001D3906">
      <w:pPr>
        <w:spacing w:after="0" w:line="360" w:lineRule="auto"/>
        <w:jc w:val="both"/>
        <w:rPr>
          <w:rFonts w:ascii="Arial" w:hAnsi="Arial" w:cs="Arial"/>
          <w:sz w:val="24"/>
          <w:szCs w:val="24"/>
        </w:rPr>
      </w:pPr>
      <w:r w:rsidRPr="001D3906">
        <w:rPr>
          <w:rFonts w:ascii="Arial" w:hAnsi="Arial" w:cs="Arial"/>
          <w:sz w:val="24"/>
          <w:szCs w:val="24"/>
        </w:rPr>
        <w:t>Table 1</w:t>
      </w:r>
      <w:r w:rsidR="00F23629">
        <w:rPr>
          <w:rFonts w:ascii="Arial" w:hAnsi="Arial" w:cs="Arial"/>
          <w:sz w:val="24"/>
          <w:szCs w:val="24"/>
        </w:rPr>
        <w:t>2</w:t>
      </w:r>
      <w:r w:rsidRPr="001D3906">
        <w:rPr>
          <w:rFonts w:ascii="Arial" w:hAnsi="Arial" w:cs="Arial"/>
          <w:sz w:val="24"/>
          <w:szCs w:val="24"/>
        </w:rPr>
        <w:t xml:space="preserve">: </w:t>
      </w:r>
      <w:r w:rsidR="003C2F24" w:rsidRPr="001D3906">
        <w:rPr>
          <w:rFonts w:ascii="Arial" w:hAnsi="Arial" w:cs="Arial"/>
          <w:sz w:val="24"/>
          <w:szCs w:val="24"/>
        </w:rPr>
        <w:t>Payback Period (PBP) Calculation</w:t>
      </w:r>
    </w:p>
    <w:tbl>
      <w:tblPr>
        <w:tblStyle w:val="TableGrid"/>
        <w:tblW w:w="0" w:type="auto"/>
        <w:tblLook w:val="04A0" w:firstRow="1" w:lastRow="0" w:firstColumn="1" w:lastColumn="0" w:noHBand="0" w:noVBand="1"/>
      </w:tblPr>
      <w:tblGrid>
        <w:gridCol w:w="1030"/>
        <w:gridCol w:w="6154"/>
        <w:gridCol w:w="1778"/>
      </w:tblGrid>
      <w:tr w:rsidR="003C2F24" w:rsidRPr="003C2F24" w14:paraId="41ACA1BD" w14:textId="77777777" w:rsidTr="003C2F24">
        <w:tc>
          <w:tcPr>
            <w:tcW w:w="0" w:type="auto"/>
            <w:hideMark/>
          </w:tcPr>
          <w:p w14:paraId="1E648912"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Project</w:t>
            </w:r>
          </w:p>
        </w:tc>
        <w:tc>
          <w:tcPr>
            <w:tcW w:w="0" w:type="auto"/>
            <w:hideMark/>
          </w:tcPr>
          <w:p w14:paraId="11EB36DB"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Cumulative Cash Flows (£m)</w:t>
            </w:r>
          </w:p>
        </w:tc>
        <w:tc>
          <w:tcPr>
            <w:tcW w:w="0" w:type="auto"/>
            <w:hideMark/>
          </w:tcPr>
          <w:p w14:paraId="07A435B2"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Payback Year</w:t>
            </w:r>
          </w:p>
        </w:tc>
      </w:tr>
      <w:tr w:rsidR="003C2F24" w:rsidRPr="003C2F24" w14:paraId="7EA01409" w14:textId="77777777" w:rsidTr="003C2F24">
        <w:tc>
          <w:tcPr>
            <w:tcW w:w="0" w:type="auto"/>
            <w:hideMark/>
          </w:tcPr>
          <w:p w14:paraId="16C5B2B8"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A</w:t>
            </w:r>
          </w:p>
        </w:tc>
        <w:tc>
          <w:tcPr>
            <w:tcW w:w="0" w:type="auto"/>
            <w:hideMark/>
          </w:tcPr>
          <w:p w14:paraId="3965F544"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Year 1: 10; Year 2: 22; Year 3: 36; Year 4: 46</w:t>
            </w:r>
          </w:p>
        </w:tc>
        <w:tc>
          <w:tcPr>
            <w:tcW w:w="0" w:type="auto"/>
            <w:hideMark/>
          </w:tcPr>
          <w:p w14:paraId="177F02EE"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4 years</w:t>
            </w:r>
          </w:p>
        </w:tc>
      </w:tr>
      <w:tr w:rsidR="003C2F24" w:rsidRPr="003C2F24" w14:paraId="648A7E3A" w14:textId="77777777" w:rsidTr="003C2F24">
        <w:tc>
          <w:tcPr>
            <w:tcW w:w="0" w:type="auto"/>
            <w:hideMark/>
          </w:tcPr>
          <w:p w14:paraId="5E2DAA95"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B</w:t>
            </w:r>
          </w:p>
        </w:tc>
        <w:tc>
          <w:tcPr>
            <w:tcW w:w="0" w:type="auto"/>
            <w:hideMark/>
          </w:tcPr>
          <w:p w14:paraId="18F60626"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Year 1: 6; Year 2: 12; Year 3: 18; Year 4: 24; Year 5: 30</w:t>
            </w:r>
          </w:p>
        </w:tc>
        <w:tc>
          <w:tcPr>
            <w:tcW w:w="0" w:type="auto"/>
            <w:hideMark/>
          </w:tcPr>
          <w:p w14:paraId="3156A87D"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5 years</w:t>
            </w:r>
          </w:p>
        </w:tc>
      </w:tr>
      <w:tr w:rsidR="003C2F24" w:rsidRPr="003C2F24" w14:paraId="0AA72530" w14:textId="77777777" w:rsidTr="003C2F24">
        <w:tc>
          <w:tcPr>
            <w:tcW w:w="0" w:type="auto"/>
            <w:hideMark/>
          </w:tcPr>
          <w:p w14:paraId="30196777"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C</w:t>
            </w:r>
          </w:p>
        </w:tc>
        <w:tc>
          <w:tcPr>
            <w:tcW w:w="0" w:type="auto"/>
            <w:hideMark/>
          </w:tcPr>
          <w:p w14:paraId="59A30563"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Year 1: 5; Year 2: 15; Year 3: 35; Year 4: 60</w:t>
            </w:r>
          </w:p>
        </w:tc>
        <w:tc>
          <w:tcPr>
            <w:tcW w:w="0" w:type="auto"/>
            <w:hideMark/>
          </w:tcPr>
          <w:p w14:paraId="5E1299E7"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4 years</w:t>
            </w:r>
          </w:p>
        </w:tc>
      </w:tr>
    </w:tbl>
    <w:p w14:paraId="43D1A38D" w14:textId="3240FF6A" w:rsidR="003C2F24" w:rsidRPr="001D3906" w:rsidRDefault="00BD74A1" w:rsidP="001D3906">
      <w:pPr>
        <w:spacing w:after="0" w:line="360" w:lineRule="auto"/>
        <w:jc w:val="both"/>
        <w:rPr>
          <w:rFonts w:ascii="Arial" w:hAnsi="Arial" w:cs="Arial"/>
          <w:sz w:val="24"/>
          <w:szCs w:val="24"/>
        </w:rPr>
      </w:pPr>
      <w:r w:rsidRPr="001D3906">
        <w:rPr>
          <w:rFonts w:ascii="Arial" w:hAnsi="Arial" w:cs="Arial"/>
          <w:sz w:val="24"/>
          <w:szCs w:val="24"/>
        </w:rPr>
        <w:t>Table 1</w:t>
      </w:r>
      <w:r w:rsidR="00F23629">
        <w:rPr>
          <w:rFonts w:ascii="Arial" w:hAnsi="Arial" w:cs="Arial"/>
          <w:sz w:val="24"/>
          <w:szCs w:val="24"/>
        </w:rPr>
        <w:t>3</w:t>
      </w:r>
      <w:r w:rsidRPr="001D3906">
        <w:rPr>
          <w:rFonts w:ascii="Arial" w:hAnsi="Arial" w:cs="Arial"/>
          <w:sz w:val="24"/>
          <w:szCs w:val="24"/>
        </w:rPr>
        <w:t xml:space="preserve">: </w:t>
      </w:r>
      <w:r w:rsidR="003C2F24" w:rsidRPr="001D3906">
        <w:rPr>
          <w:rFonts w:ascii="Arial" w:hAnsi="Arial" w:cs="Arial"/>
          <w:sz w:val="24"/>
          <w:szCs w:val="24"/>
        </w:rPr>
        <w:t>Accounting Rate of Return (ARR)</w:t>
      </w:r>
    </w:p>
    <w:tbl>
      <w:tblPr>
        <w:tblStyle w:val="TableGrid"/>
        <w:tblW w:w="0" w:type="auto"/>
        <w:tblLook w:val="04A0" w:firstRow="1" w:lastRow="0" w:firstColumn="1" w:lastColumn="0" w:noHBand="0" w:noVBand="1"/>
      </w:tblPr>
      <w:tblGrid>
        <w:gridCol w:w="1030"/>
        <w:gridCol w:w="3884"/>
        <w:gridCol w:w="3071"/>
        <w:gridCol w:w="1176"/>
      </w:tblGrid>
      <w:tr w:rsidR="003C2F24" w:rsidRPr="003C2F24" w14:paraId="4F8A4C40" w14:textId="77777777" w:rsidTr="003C2F24">
        <w:tc>
          <w:tcPr>
            <w:tcW w:w="0" w:type="auto"/>
            <w:hideMark/>
          </w:tcPr>
          <w:p w14:paraId="5C7C2D7D"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Project</w:t>
            </w:r>
          </w:p>
        </w:tc>
        <w:tc>
          <w:tcPr>
            <w:tcW w:w="0" w:type="auto"/>
            <w:hideMark/>
          </w:tcPr>
          <w:p w14:paraId="22EA0960"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Average Annual Cash Flow (£m)</w:t>
            </w:r>
          </w:p>
        </w:tc>
        <w:tc>
          <w:tcPr>
            <w:tcW w:w="0" w:type="auto"/>
            <w:hideMark/>
          </w:tcPr>
          <w:p w14:paraId="0776701C"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Average Investment (£m)</w:t>
            </w:r>
          </w:p>
        </w:tc>
        <w:tc>
          <w:tcPr>
            <w:tcW w:w="0" w:type="auto"/>
            <w:hideMark/>
          </w:tcPr>
          <w:p w14:paraId="65B7998B"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ARR (%)</w:t>
            </w:r>
          </w:p>
        </w:tc>
      </w:tr>
      <w:tr w:rsidR="003C2F24" w:rsidRPr="003C2F24" w14:paraId="4BCC8DA3" w14:textId="77777777" w:rsidTr="003C2F24">
        <w:tc>
          <w:tcPr>
            <w:tcW w:w="0" w:type="auto"/>
            <w:hideMark/>
          </w:tcPr>
          <w:p w14:paraId="079C1C87"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A</w:t>
            </w:r>
          </w:p>
        </w:tc>
        <w:tc>
          <w:tcPr>
            <w:tcW w:w="0" w:type="auto"/>
            <w:hideMark/>
          </w:tcPr>
          <w:p w14:paraId="0AFF2264"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10.8</w:t>
            </w:r>
          </w:p>
        </w:tc>
        <w:tc>
          <w:tcPr>
            <w:tcW w:w="0" w:type="auto"/>
            <w:hideMark/>
          </w:tcPr>
          <w:p w14:paraId="78D70468"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20</w:t>
            </w:r>
          </w:p>
        </w:tc>
        <w:tc>
          <w:tcPr>
            <w:tcW w:w="0" w:type="auto"/>
            <w:hideMark/>
          </w:tcPr>
          <w:p w14:paraId="6BD0FED1"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14.0%</w:t>
            </w:r>
          </w:p>
        </w:tc>
      </w:tr>
      <w:tr w:rsidR="003C2F24" w:rsidRPr="003C2F24" w14:paraId="0157143D" w14:textId="77777777" w:rsidTr="003C2F24">
        <w:tc>
          <w:tcPr>
            <w:tcW w:w="0" w:type="auto"/>
            <w:hideMark/>
          </w:tcPr>
          <w:p w14:paraId="01628DD8"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B</w:t>
            </w:r>
          </w:p>
        </w:tc>
        <w:tc>
          <w:tcPr>
            <w:tcW w:w="0" w:type="auto"/>
            <w:hideMark/>
          </w:tcPr>
          <w:p w14:paraId="3CE852F6"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6.0</w:t>
            </w:r>
          </w:p>
        </w:tc>
        <w:tc>
          <w:tcPr>
            <w:tcW w:w="0" w:type="auto"/>
            <w:hideMark/>
          </w:tcPr>
          <w:p w14:paraId="37C389C0"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15</w:t>
            </w:r>
          </w:p>
        </w:tc>
        <w:tc>
          <w:tcPr>
            <w:tcW w:w="0" w:type="auto"/>
            <w:hideMark/>
          </w:tcPr>
          <w:p w14:paraId="63885CA5"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0.0%</w:t>
            </w:r>
          </w:p>
        </w:tc>
      </w:tr>
      <w:tr w:rsidR="003C2F24" w:rsidRPr="003C2F24" w14:paraId="6E12D80C" w14:textId="77777777" w:rsidTr="003C2F24">
        <w:tc>
          <w:tcPr>
            <w:tcW w:w="0" w:type="auto"/>
            <w:hideMark/>
          </w:tcPr>
          <w:p w14:paraId="04B02A07"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C</w:t>
            </w:r>
          </w:p>
        </w:tc>
        <w:tc>
          <w:tcPr>
            <w:tcW w:w="0" w:type="auto"/>
            <w:hideMark/>
          </w:tcPr>
          <w:p w14:paraId="7548F50E"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15.0</w:t>
            </w:r>
          </w:p>
        </w:tc>
        <w:tc>
          <w:tcPr>
            <w:tcW w:w="0" w:type="auto"/>
            <w:hideMark/>
          </w:tcPr>
          <w:p w14:paraId="0AEE0D5D"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25</w:t>
            </w:r>
          </w:p>
        </w:tc>
        <w:tc>
          <w:tcPr>
            <w:tcW w:w="0" w:type="auto"/>
            <w:hideMark/>
          </w:tcPr>
          <w:p w14:paraId="698352F8"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20.0%</w:t>
            </w:r>
          </w:p>
        </w:tc>
      </w:tr>
    </w:tbl>
    <w:p w14:paraId="1C1487D8" w14:textId="0BC2C451" w:rsidR="003C2F24" w:rsidRPr="001D3906" w:rsidRDefault="00BD74A1" w:rsidP="001D3906">
      <w:pPr>
        <w:spacing w:after="0" w:line="360" w:lineRule="auto"/>
        <w:jc w:val="both"/>
        <w:rPr>
          <w:rFonts w:ascii="Arial" w:hAnsi="Arial" w:cs="Arial"/>
          <w:sz w:val="24"/>
          <w:szCs w:val="24"/>
        </w:rPr>
      </w:pPr>
      <w:r w:rsidRPr="001D3906">
        <w:rPr>
          <w:rFonts w:ascii="Arial" w:hAnsi="Arial" w:cs="Arial"/>
          <w:sz w:val="24"/>
          <w:szCs w:val="24"/>
        </w:rPr>
        <w:t>Table 1</w:t>
      </w:r>
      <w:r w:rsidR="000251CB">
        <w:rPr>
          <w:rFonts w:ascii="Arial" w:hAnsi="Arial" w:cs="Arial"/>
          <w:sz w:val="24"/>
          <w:szCs w:val="24"/>
        </w:rPr>
        <w:t>4</w:t>
      </w:r>
      <w:r w:rsidRPr="001D3906">
        <w:rPr>
          <w:rFonts w:ascii="Arial" w:hAnsi="Arial" w:cs="Arial"/>
          <w:sz w:val="24"/>
          <w:szCs w:val="24"/>
        </w:rPr>
        <w:t xml:space="preserve">: </w:t>
      </w:r>
      <w:r w:rsidR="003C2F24" w:rsidRPr="001D3906">
        <w:rPr>
          <w:rFonts w:ascii="Arial" w:hAnsi="Arial" w:cs="Arial"/>
          <w:sz w:val="24"/>
          <w:szCs w:val="24"/>
        </w:rPr>
        <w:t>Internal Rate of Return (IRR)</w:t>
      </w:r>
    </w:p>
    <w:tbl>
      <w:tblPr>
        <w:tblStyle w:val="TableGrid"/>
        <w:tblW w:w="0" w:type="auto"/>
        <w:tblLook w:val="04A0" w:firstRow="1" w:lastRow="0" w:firstColumn="1" w:lastColumn="0" w:noHBand="0" w:noVBand="1"/>
      </w:tblPr>
      <w:tblGrid>
        <w:gridCol w:w="1030"/>
        <w:gridCol w:w="1070"/>
      </w:tblGrid>
      <w:tr w:rsidR="003C2F24" w:rsidRPr="003C2F24" w14:paraId="6CABB7D6" w14:textId="77777777" w:rsidTr="003C2F24">
        <w:tc>
          <w:tcPr>
            <w:tcW w:w="0" w:type="auto"/>
            <w:hideMark/>
          </w:tcPr>
          <w:p w14:paraId="5AAC2483"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Project</w:t>
            </w:r>
          </w:p>
        </w:tc>
        <w:tc>
          <w:tcPr>
            <w:tcW w:w="0" w:type="auto"/>
            <w:hideMark/>
          </w:tcPr>
          <w:p w14:paraId="19019487"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IRR (%)</w:t>
            </w:r>
          </w:p>
        </w:tc>
      </w:tr>
      <w:tr w:rsidR="003C2F24" w:rsidRPr="003C2F24" w14:paraId="62CBBE77" w14:textId="77777777" w:rsidTr="003C2F24">
        <w:tc>
          <w:tcPr>
            <w:tcW w:w="0" w:type="auto"/>
            <w:hideMark/>
          </w:tcPr>
          <w:p w14:paraId="12B880CF"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A</w:t>
            </w:r>
          </w:p>
        </w:tc>
        <w:tc>
          <w:tcPr>
            <w:tcW w:w="0" w:type="auto"/>
            <w:hideMark/>
          </w:tcPr>
          <w:p w14:paraId="4B32469C"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11.33</w:t>
            </w:r>
          </w:p>
        </w:tc>
      </w:tr>
      <w:tr w:rsidR="003C2F24" w:rsidRPr="003C2F24" w14:paraId="2E1EA992" w14:textId="77777777" w:rsidTr="003C2F24">
        <w:tc>
          <w:tcPr>
            <w:tcW w:w="0" w:type="auto"/>
            <w:hideMark/>
          </w:tcPr>
          <w:p w14:paraId="3D56B55F"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B</w:t>
            </w:r>
          </w:p>
        </w:tc>
        <w:tc>
          <w:tcPr>
            <w:tcW w:w="0" w:type="auto"/>
            <w:hideMark/>
          </w:tcPr>
          <w:p w14:paraId="4278C4B2"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0.00</w:t>
            </w:r>
          </w:p>
        </w:tc>
      </w:tr>
      <w:tr w:rsidR="003C2F24" w:rsidRPr="003C2F24" w14:paraId="196FDA4C" w14:textId="77777777" w:rsidTr="003C2F24">
        <w:tc>
          <w:tcPr>
            <w:tcW w:w="0" w:type="auto"/>
            <w:hideMark/>
          </w:tcPr>
          <w:p w14:paraId="695C15C3"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C</w:t>
            </w:r>
          </w:p>
        </w:tc>
        <w:tc>
          <w:tcPr>
            <w:tcW w:w="0" w:type="auto"/>
            <w:hideMark/>
          </w:tcPr>
          <w:p w14:paraId="0CBBBDDF"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12.72</w:t>
            </w:r>
          </w:p>
        </w:tc>
      </w:tr>
    </w:tbl>
    <w:p w14:paraId="3B2C4993" w14:textId="70B47EA0" w:rsidR="003C2F24" w:rsidRPr="001D3906" w:rsidRDefault="00BD74A1" w:rsidP="001D3906">
      <w:pPr>
        <w:spacing w:after="0" w:line="360" w:lineRule="auto"/>
        <w:jc w:val="both"/>
        <w:rPr>
          <w:rFonts w:ascii="Arial" w:hAnsi="Arial" w:cs="Arial"/>
          <w:sz w:val="24"/>
          <w:szCs w:val="24"/>
        </w:rPr>
      </w:pPr>
      <w:r w:rsidRPr="001D3906">
        <w:rPr>
          <w:rFonts w:ascii="Arial" w:hAnsi="Arial" w:cs="Arial"/>
          <w:sz w:val="24"/>
          <w:szCs w:val="24"/>
        </w:rPr>
        <w:t>Table 1</w:t>
      </w:r>
      <w:r w:rsidR="00D73C7A">
        <w:rPr>
          <w:rFonts w:ascii="Arial" w:hAnsi="Arial" w:cs="Arial"/>
          <w:sz w:val="24"/>
          <w:szCs w:val="24"/>
        </w:rPr>
        <w:t>5</w:t>
      </w:r>
      <w:r w:rsidRPr="001D3906">
        <w:rPr>
          <w:rFonts w:ascii="Arial" w:hAnsi="Arial" w:cs="Arial"/>
          <w:sz w:val="24"/>
          <w:szCs w:val="24"/>
        </w:rPr>
        <w:t xml:space="preserve">: </w:t>
      </w:r>
      <w:r w:rsidR="003C2F24" w:rsidRPr="001D3906">
        <w:rPr>
          <w:rFonts w:ascii="Arial" w:hAnsi="Arial" w:cs="Arial"/>
          <w:sz w:val="24"/>
          <w:szCs w:val="24"/>
        </w:rPr>
        <w:t>Summary of Results</w:t>
      </w:r>
    </w:p>
    <w:tbl>
      <w:tblPr>
        <w:tblStyle w:val="TableGrid"/>
        <w:tblW w:w="0" w:type="auto"/>
        <w:tblLook w:val="04A0" w:firstRow="1" w:lastRow="0" w:firstColumn="1" w:lastColumn="0" w:noHBand="0" w:noVBand="1"/>
      </w:tblPr>
      <w:tblGrid>
        <w:gridCol w:w="1030"/>
        <w:gridCol w:w="1283"/>
        <w:gridCol w:w="1070"/>
        <w:gridCol w:w="1564"/>
        <w:gridCol w:w="1176"/>
        <w:gridCol w:w="684"/>
        <w:gridCol w:w="2324"/>
      </w:tblGrid>
      <w:tr w:rsidR="003C2F24" w:rsidRPr="003C2F24" w14:paraId="226808A6" w14:textId="77777777" w:rsidTr="003C2F24">
        <w:tc>
          <w:tcPr>
            <w:tcW w:w="0" w:type="auto"/>
            <w:hideMark/>
          </w:tcPr>
          <w:p w14:paraId="2D0F6BF0"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Project</w:t>
            </w:r>
          </w:p>
        </w:tc>
        <w:tc>
          <w:tcPr>
            <w:tcW w:w="0" w:type="auto"/>
            <w:hideMark/>
          </w:tcPr>
          <w:p w14:paraId="43ACA05E"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NPV (£m)</w:t>
            </w:r>
          </w:p>
        </w:tc>
        <w:tc>
          <w:tcPr>
            <w:tcW w:w="0" w:type="auto"/>
            <w:hideMark/>
          </w:tcPr>
          <w:p w14:paraId="5091093E"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IRR (%)</w:t>
            </w:r>
          </w:p>
        </w:tc>
        <w:tc>
          <w:tcPr>
            <w:tcW w:w="0" w:type="auto"/>
            <w:hideMark/>
          </w:tcPr>
          <w:p w14:paraId="671C7A38"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PBP (years)</w:t>
            </w:r>
          </w:p>
        </w:tc>
        <w:tc>
          <w:tcPr>
            <w:tcW w:w="0" w:type="auto"/>
            <w:hideMark/>
          </w:tcPr>
          <w:p w14:paraId="4A89A95C"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ARR (%)</w:t>
            </w:r>
          </w:p>
        </w:tc>
        <w:tc>
          <w:tcPr>
            <w:tcW w:w="0" w:type="auto"/>
            <w:hideMark/>
          </w:tcPr>
          <w:p w14:paraId="1E33014C"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PI</w:t>
            </w:r>
          </w:p>
        </w:tc>
        <w:tc>
          <w:tcPr>
            <w:tcW w:w="0" w:type="auto"/>
            <w:hideMark/>
          </w:tcPr>
          <w:p w14:paraId="25C5700A" w14:textId="77777777" w:rsidR="003C2F24" w:rsidRPr="003C2F24" w:rsidRDefault="003C2F24" w:rsidP="001D3906">
            <w:pPr>
              <w:spacing w:line="360" w:lineRule="auto"/>
              <w:jc w:val="both"/>
              <w:rPr>
                <w:rFonts w:ascii="Arial" w:eastAsia="Times New Roman" w:hAnsi="Arial" w:cs="Arial"/>
                <w:b/>
                <w:bCs/>
                <w:kern w:val="0"/>
                <w:sz w:val="24"/>
                <w:szCs w:val="24"/>
                <w14:ligatures w14:val="none"/>
              </w:rPr>
            </w:pPr>
            <w:r w:rsidRPr="003C2F24">
              <w:rPr>
                <w:rFonts w:ascii="Arial" w:eastAsia="Times New Roman" w:hAnsi="Arial" w:cs="Arial"/>
                <w:b/>
                <w:bCs/>
                <w:kern w:val="0"/>
                <w:sz w:val="24"/>
                <w:szCs w:val="24"/>
                <w14:ligatures w14:val="none"/>
              </w:rPr>
              <w:t>Decision</w:t>
            </w:r>
          </w:p>
        </w:tc>
      </w:tr>
      <w:tr w:rsidR="003C2F24" w:rsidRPr="003C2F24" w14:paraId="3F89F1BF" w14:textId="77777777" w:rsidTr="003C2F24">
        <w:tc>
          <w:tcPr>
            <w:tcW w:w="0" w:type="auto"/>
            <w:hideMark/>
          </w:tcPr>
          <w:p w14:paraId="0C209A0E"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A</w:t>
            </w:r>
          </w:p>
        </w:tc>
        <w:tc>
          <w:tcPr>
            <w:tcW w:w="0" w:type="auto"/>
            <w:hideMark/>
          </w:tcPr>
          <w:p w14:paraId="59C2C514"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1.32</w:t>
            </w:r>
          </w:p>
        </w:tc>
        <w:tc>
          <w:tcPr>
            <w:tcW w:w="0" w:type="auto"/>
            <w:hideMark/>
          </w:tcPr>
          <w:p w14:paraId="200F80BC"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11.33</w:t>
            </w:r>
          </w:p>
        </w:tc>
        <w:tc>
          <w:tcPr>
            <w:tcW w:w="0" w:type="auto"/>
            <w:hideMark/>
          </w:tcPr>
          <w:p w14:paraId="0DCA786D"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4</w:t>
            </w:r>
          </w:p>
        </w:tc>
        <w:tc>
          <w:tcPr>
            <w:tcW w:w="0" w:type="auto"/>
            <w:hideMark/>
          </w:tcPr>
          <w:p w14:paraId="2B7AB60E"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14.0</w:t>
            </w:r>
          </w:p>
        </w:tc>
        <w:tc>
          <w:tcPr>
            <w:tcW w:w="0" w:type="auto"/>
            <w:hideMark/>
          </w:tcPr>
          <w:p w14:paraId="1DA7035E"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1.03</w:t>
            </w:r>
          </w:p>
        </w:tc>
        <w:tc>
          <w:tcPr>
            <w:tcW w:w="0" w:type="auto"/>
            <w:hideMark/>
          </w:tcPr>
          <w:p w14:paraId="2B38DD2E"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Accept (Secondary)</w:t>
            </w:r>
          </w:p>
        </w:tc>
      </w:tr>
      <w:tr w:rsidR="003C2F24" w:rsidRPr="003C2F24" w14:paraId="49EAAED3" w14:textId="77777777" w:rsidTr="003C2F24">
        <w:tc>
          <w:tcPr>
            <w:tcW w:w="0" w:type="auto"/>
            <w:hideMark/>
          </w:tcPr>
          <w:p w14:paraId="2A0C0388"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B</w:t>
            </w:r>
          </w:p>
        </w:tc>
        <w:tc>
          <w:tcPr>
            <w:tcW w:w="0" w:type="auto"/>
            <w:hideMark/>
          </w:tcPr>
          <w:p w14:paraId="29F03566"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-7.26</w:t>
            </w:r>
          </w:p>
        </w:tc>
        <w:tc>
          <w:tcPr>
            <w:tcW w:w="0" w:type="auto"/>
            <w:hideMark/>
          </w:tcPr>
          <w:p w14:paraId="7F3D5E58"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0.00</w:t>
            </w:r>
          </w:p>
        </w:tc>
        <w:tc>
          <w:tcPr>
            <w:tcW w:w="0" w:type="auto"/>
            <w:hideMark/>
          </w:tcPr>
          <w:p w14:paraId="7059636E"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5</w:t>
            </w:r>
          </w:p>
        </w:tc>
        <w:tc>
          <w:tcPr>
            <w:tcW w:w="0" w:type="auto"/>
            <w:hideMark/>
          </w:tcPr>
          <w:p w14:paraId="304870C4"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0.0</w:t>
            </w:r>
          </w:p>
        </w:tc>
        <w:tc>
          <w:tcPr>
            <w:tcW w:w="0" w:type="auto"/>
            <w:hideMark/>
          </w:tcPr>
          <w:p w14:paraId="661AE824"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0.76</w:t>
            </w:r>
          </w:p>
        </w:tc>
        <w:tc>
          <w:tcPr>
            <w:tcW w:w="0" w:type="auto"/>
            <w:hideMark/>
          </w:tcPr>
          <w:p w14:paraId="31489E39"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Reject</w:t>
            </w:r>
          </w:p>
        </w:tc>
      </w:tr>
      <w:tr w:rsidR="003C2F24" w:rsidRPr="003C2F24" w14:paraId="314E757B" w14:textId="77777777" w:rsidTr="003C2F24">
        <w:tc>
          <w:tcPr>
            <w:tcW w:w="0" w:type="auto"/>
            <w:hideMark/>
          </w:tcPr>
          <w:p w14:paraId="4B419E62"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C</w:t>
            </w:r>
          </w:p>
        </w:tc>
        <w:tc>
          <w:tcPr>
            <w:tcW w:w="0" w:type="auto"/>
            <w:hideMark/>
          </w:tcPr>
          <w:p w14:paraId="2F65E540"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4.23</w:t>
            </w:r>
          </w:p>
        </w:tc>
        <w:tc>
          <w:tcPr>
            <w:tcW w:w="0" w:type="auto"/>
            <w:hideMark/>
          </w:tcPr>
          <w:p w14:paraId="7318A54F"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12.72</w:t>
            </w:r>
          </w:p>
        </w:tc>
        <w:tc>
          <w:tcPr>
            <w:tcW w:w="0" w:type="auto"/>
            <w:hideMark/>
          </w:tcPr>
          <w:p w14:paraId="138AB878"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4</w:t>
            </w:r>
          </w:p>
        </w:tc>
        <w:tc>
          <w:tcPr>
            <w:tcW w:w="0" w:type="auto"/>
            <w:hideMark/>
          </w:tcPr>
          <w:p w14:paraId="4BD3954E"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20.0</w:t>
            </w:r>
          </w:p>
        </w:tc>
        <w:tc>
          <w:tcPr>
            <w:tcW w:w="0" w:type="auto"/>
            <w:hideMark/>
          </w:tcPr>
          <w:p w14:paraId="0F13B6A4"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1.08</w:t>
            </w:r>
          </w:p>
        </w:tc>
        <w:tc>
          <w:tcPr>
            <w:tcW w:w="0" w:type="auto"/>
            <w:hideMark/>
          </w:tcPr>
          <w:p w14:paraId="02527B3D" w14:textId="77777777" w:rsidR="003C2F24" w:rsidRPr="003C2F24" w:rsidRDefault="003C2F24" w:rsidP="001D3906">
            <w:pPr>
              <w:spacing w:line="360" w:lineRule="auto"/>
              <w:jc w:val="both"/>
              <w:rPr>
                <w:rFonts w:ascii="Arial" w:eastAsia="Times New Roman" w:hAnsi="Arial" w:cs="Arial"/>
                <w:kern w:val="0"/>
                <w:sz w:val="24"/>
                <w:szCs w:val="24"/>
                <w14:ligatures w14:val="none"/>
              </w:rPr>
            </w:pPr>
            <w:r w:rsidRPr="003C2F24">
              <w:rPr>
                <w:rFonts w:ascii="Arial" w:eastAsia="Times New Roman" w:hAnsi="Arial" w:cs="Arial"/>
                <w:kern w:val="0"/>
                <w:sz w:val="24"/>
                <w:szCs w:val="24"/>
                <w14:ligatures w14:val="none"/>
              </w:rPr>
              <w:t>Accept (Preferred)</w:t>
            </w:r>
          </w:p>
        </w:tc>
      </w:tr>
    </w:tbl>
    <w:p w14:paraId="29FDAA82" w14:textId="0546A7B5" w:rsidR="003C2F24" w:rsidRPr="003C2F24" w:rsidRDefault="003C2F24" w:rsidP="001D3906">
      <w:pPr>
        <w:spacing w:after="0" w:line="360" w:lineRule="auto"/>
        <w:jc w:val="both"/>
        <w:rPr>
          <w:rFonts w:ascii="Arial" w:eastAsia="Times New Roman" w:hAnsi="Arial" w:cs="Arial"/>
          <w:kern w:val="0"/>
          <w:sz w:val="24"/>
          <w:szCs w:val="24"/>
          <w14:ligatures w14:val="none"/>
        </w:rPr>
      </w:pPr>
    </w:p>
    <w:p w14:paraId="38E07A22" w14:textId="77777777" w:rsidR="003C2F24" w:rsidRPr="001D3906" w:rsidRDefault="003C2F24" w:rsidP="001D3906">
      <w:pPr>
        <w:spacing w:after="0" w:line="360" w:lineRule="auto"/>
        <w:jc w:val="both"/>
        <w:rPr>
          <w:rFonts w:ascii="Arial" w:eastAsia="Times New Roman" w:hAnsi="Arial" w:cs="Arial"/>
          <w:kern w:val="0"/>
          <w:sz w:val="24"/>
          <w:szCs w:val="24"/>
          <w14:ligatures w14:val="none"/>
        </w:rPr>
      </w:pPr>
    </w:p>
    <w:sectPr w:rsidR="003C2F24" w:rsidRPr="001D3906">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B3F4FF" w14:textId="77777777" w:rsidR="008E6775" w:rsidRDefault="008E6775" w:rsidP="008D55A7">
      <w:pPr>
        <w:spacing w:after="0" w:line="240" w:lineRule="auto"/>
      </w:pPr>
      <w:r>
        <w:separator/>
      </w:r>
    </w:p>
  </w:endnote>
  <w:endnote w:type="continuationSeparator" w:id="0">
    <w:p w14:paraId="10AB874F" w14:textId="77777777" w:rsidR="008E6775" w:rsidRDefault="008E6775" w:rsidP="008D55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3155723"/>
      <w:docPartObj>
        <w:docPartGallery w:val="Page Numbers (Bottom of Page)"/>
        <w:docPartUnique/>
      </w:docPartObj>
    </w:sdtPr>
    <w:sdtEndPr>
      <w:rPr>
        <w:noProof/>
      </w:rPr>
    </w:sdtEndPr>
    <w:sdtContent>
      <w:p w14:paraId="14CB04C1" w14:textId="41D2C8D5" w:rsidR="008D55A7" w:rsidRDefault="008D55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1CDE48" w14:textId="77777777" w:rsidR="008D55A7" w:rsidRDefault="008D55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8A1BF7" w14:textId="77777777" w:rsidR="008E6775" w:rsidRDefault="008E6775" w:rsidP="008D55A7">
      <w:pPr>
        <w:spacing w:after="0" w:line="240" w:lineRule="auto"/>
      </w:pPr>
      <w:r>
        <w:separator/>
      </w:r>
    </w:p>
  </w:footnote>
  <w:footnote w:type="continuationSeparator" w:id="0">
    <w:p w14:paraId="1801A7FD" w14:textId="77777777" w:rsidR="008E6775" w:rsidRDefault="008E6775" w:rsidP="008D55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15AF3"/>
    <w:multiLevelType w:val="multilevel"/>
    <w:tmpl w:val="ECA8726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E23FE0"/>
    <w:multiLevelType w:val="multilevel"/>
    <w:tmpl w:val="50A0994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DF48C6"/>
    <w:multiLevelType w:val="multilevel"/>
    <w:tmpl w:val="49CC8F6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1D6F3F"/>
    <w:multiLevelType w:val="multilevel"/>
    <w:tmpl w:val="34F87C8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C959EF"/>
    <w:multiLevelType w:val="multilevel"/>
    <w:tmpl w:val="BF98B24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2B3983"/>
    <w:multiLevelType w:val="multilevel"/>
    <w:tmpl w:val="2C3EB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54425C"/>
    <w:multiLevelType w:val="multilevel"/>
    <w:tmpl w:val="E588251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9B7AFF"/>
    <w:multiLevelType w:val="multilevel"/>
    <w:tmpl w:val="919CA9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AF4152"/>
    <w:multiLevelType w:val="multilevel"/>
    <w:tmpl w:val="53485C7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D427EA4"/>
    <w:multiLevelType w:val="multilevel"/>
    <w:tmpl w:val="5B78A6B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3614A3C"/>
    <w:multiLevelType w:val="multilevel"/>
    <w:tmpl w:val="5554DD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6801708"/>
    <w:multiLevelType w:val="multilevel"/>
    <w:tmpl w:val="7D6ADAB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82C3AEC"/>
    <w:multiLevelType w:val="hybridMultilevel"/>
    <w:tmpl w:val="3AC644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CD87122"/>
    <w:multiLevelType w:val="multilevel"/>
    <w:tmpl w:val="E27A05F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E9E0089"/>
    <w:multiLevelType w:val="multilevel"/>
    <w:tmpl w:val="812009E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EBA3221"/>
    <w:multiLevelType w:val="multilevel"/>
    <w:tmpl w:val="CF6AC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8918E0"/>
    <w:multiLevelType w:val="hybridMultilevel"/>
    <w:tmpl w:val="223496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0EF557C"/>
    <w:multiLevelType w:val="multilevel"/>
    <w:tmpl w:val="8E668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156D74"/>
    <w:multiLevelType w:val="hybridMultilevel"/>
    <w:tmpl w:val="B120A6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2F9088C"/>
    <w:multiLevelType w:val="multilevel"/>
    <w:tmpl w:val="0D8059F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75A137D"/>
    <w:multiLevelType w:val="hybridMultilevel"/>
    <w:tmpl w:val="BE58A5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7CF1F93"/>
    <w:multiLevelType w:val="multilevel"/>
    <w:tmpl w:val="FFEA6D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D8D7027"/>
    <w:multiLevelType w:val="multilevel"/>
    <w:tmpl w:val="BA2A665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F2334A4"/>
    <w:multiLevelType w:val="multilevel"/>
    <w:tmpl w:val="68B2F8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F425237"/>
    <w:multiLevelType w:val="multilevel"/>
    <w:tmpl w:val="8E9C722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01A46FB"/>
    <w:multiLevelType w:val="multilevel"/>
    <w:tmpl w:val="B91602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1503F27"/>
    <w:multiLevelType w:val="multilevel"/>
    <w:tmpl w:val="FB9AF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72339F"/>
    <w:multiLevelType w:val="multilevel"/>
    <w:tmpl w:val="262A73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3C5070D"/>
    <w:multiLevelType w:val="multilevel"/>
    <w:tmpl w:val="6B16C1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3D30D7B"/>
    <w:multiLevelType w:val="multilevel"/>
    <w:tmpl w:val="98FEEE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6F132C6"/>
    <w:multiLevelType w:val="multilevel"/>
    <w:tmpl w:val="4126BDA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7300843"/>
    <w:multiLevelType w:val="multilevel"/>
    <w:tmpl w:val="5AE8EB4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8A20DF2"/>
    <w:multiLevelType w:val="multilevel"/>
    <w:tmpl w:val="83A00DC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A261A2D"/>
    <w:multiLevelType w:val="hybridMultilevel"/>
    <w:tmpl w:val="AD8EB5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DF426E3"/>
    <w:multiLevelType w:val="multilevel"/>
    <w:tmpl w:val="17FA5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0BD7121"/>
    <w:multiLevelType w:val="multilevel"/>
    <w:tmpl w:val="ADE24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43A424C"/>
    <w:multiLevelType w:val="hybridMultilevel"/>
    <w:tmpl w:val="4E904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5F12ABB"/>
    <w:multiLevelType w:val="hybridMultilevel"/>
    <w:tmpl w:val="038671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6C9757D"/>
    <w:multiLevelType w:val="multilevel"/>
    <w:tmpl w:val="3BEEA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A174FA8"/>
    <w:multiLevelType w:val="multilevel"/>
    <w:tmpl w:val="679C6C6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14F3EC4"/>
    <w:multiLevelType w:val="multilevel"/>
    <w:tmpl w:val="3F52867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1952298"/>
    <w:multiLevelType w:val="multilevel"/>
    <w:tmpl w:val="CCECF5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5981A74"/>
    <w:multiLevelType w:val="multilevel"/>
    <w:tmpl w:val="FCFE4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5C963DD"/>
    <w:multiLevelType w:val="hybridMultilevel"/>
    <w:tmpl w:val="3BC41C00"/>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79450BE8"/>
    <w:multiLevelType w:val="multilevel"/>
    <w:tmpl w:val="F48AF61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B6F3716"/>
    <w:multiLevelType w:val="multilevel"/>
    <w:tmpl w:val="E8F0D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E6B2E2D"/>
    <w:multiLevelType w:val="multilevel"/>
    <w:tmpl w:val="80B2C0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E710D2F"/>
    <w:multiLevelType w:val="multilevel"/>
    <w:tmpl w:val="EEC6A0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0360326">
    <w:abstractNumId w:val="23"/>
  </w:num>
  <w:num w:numId="2" w16cid:durableId="2102558415">
    <w:abstractNumId w:val="8"/>
  </w:num>
  <w:num w:numId="3" w16cid:durableId="530068411">
    <w:abstractNumId w:val="2"/>
  </w:num>
  <w:num w:numId="4" w16cid:durableId="1404257645">
    <w:abstractNumId w:val="31"/>
  </w:num>
  <w:num w:numId="5" w16cid:durableId="428816663">
    <w:abstractNumId w:val="9"/>
  </w:num>
  <w:num w:numId="6" w16cid:durableId="127406397">
    <w:abstractNumId w:val="47"/>
  </w:num>
  <w:num w:numId="7" w16cid:durableId="701128642">
    <w:abstractNumId w:val="0"/>
  </w:num>
  <w:num w:numId="8" w16cid:durableId="92626413">
    <w:abstractNumId w:val="29"/>
  </w:num>
  <w:num w:numId="9" w16cid:durableId="730084496">
    <w:abstractNumId w:val="4"/>
  </w:num>
  <w:num w:numId="10" w16cid:durableId="1111583968">
    <w:abstractNumId w:val="19"/>
  </w:num>
  <w:num w:numId="11" w16cid:durableId="724304682">
    <w:abstractNumId w:val="41"/>
  </w:num>
  <w:num w:numId="12" w16cid:durableId="2029990987">
    <w:abstractNumId w:val="3"/>
  </w:num>
  <w:num w:numId="13" w16cid:durableId="204756481">
    <w:abstractNumId w:val="10"/>
  </w:num>
  <w:num w:numId="14" w16cid:durableId="496387129">
    <w:abstractNumId w:val="13"/>
  </w:num>
  <w:num w:numId="15" w16cid:durableId="45181819">
    <w:abstractNumId w:val="44"/>
  </w:num>
  <w:num w:numId="16" w16cid:durableId="1421366015">
    <w:abstractNumId w:val="27"/>
  </w:num>
  <w:num w:numId="17" w16cid:durableId="1530875453">
    <w:abstractNumId w:val="22"/>
  </w:num>
  <w:num w:numId="18" w16cid:durableId="1199321426">
    <w:abstractNumId w:val="35"/>
  </w:num>
  <w:num w:numId="19" w16cid:durableId="666402369">
    <w:abstractNumId w:val="21"/>
  </w:num>
  <w:num w:numId="20" w16cid:durableId="1673754864">
    <w:abstractNumId w:val="39"/>
  </w:num>
  <w:num w:numId="21" w16cid:durableId="59521584">
    <w:abstractNumId w:val="30"/>
  </w:num>
  <w:num w:numId="22" w16cid:durableId="1465196415">
    <w:abstractNumId w:val="1"/>
  </w:num>
  <w:num w:numId="23" w16cid:durableId="1645239416">
    <w:abstractNumId w:val="46"/>
  </w:num>
  <w:num w:numId="24" w16cid:durableId="903174712">
    <w:abstractNumId w:val="6"/>
  </w:num>
  <w:num w:numId="25" w16cid:durableId="443621592">
    <w:abstractNumId w:val="28"/>
  </w:num>
  <w:num w:numId="26" w16cid:durableId="1341928640">
    <w:abstractNumId w:val="26"/>
  </w:num>
  <w:num w:numId="27" w16cid:durableId="67924342">
    <w:abstractNumId w:val="7"/>
  </w:num>
  <w:num w:numId="28" w16cid:durableId="1784957847">
    <w:abstractNumId w:val="38"/>
  </w:num>
  <w:num w:numId="29" w16cid:durableId="104623656">
    <w:abstractNumId w:val="11"/>
  </w:num>
  <w:num w:numId="30" w16cid:durableId="234513146">
    <w:abstractNumId w:val="14"/>
  </w:num>
  <w:num w:numId="31" w16cid:durableId="777987724">
    <w:abstractNumId w:val="32"/>
  </w:num>
  <w:num w:numId="32" w16cid:durableId="1110782163">
    <w:abstractNumId w:val="40"/>
  </w:num>
  <w:num w:numId="33" w16cid:durableId="1787238725">
    <w:abstractNumId w:val="24"/>
  </w:num>
  <w:num w:numId="34" w16cid:durableId="204417465">
    <w:abstractNumId w:val="34"/>
  </w:num>
  <w:num w:numId="35" w16cid:durableId="1106391765">
    <w:abstractNumId w:val="25"/>
  </w:num>
  <w:num w:numId="36" w16cid:durableId="698627782">
    <w:abstractNumId w:val="17"/>
  </w:num>
  <w:num w:numId="37" w16cid:durableId="1480417686">
    <w:abstractNumId w:val="45"/>
  </w:num>
  <w:num w:numId="38" w16cid:durableId="1029647207">
    <w:abstractNumId w:val="42"/>
  </w:num>
  <w:num w:numId="39" w16cid:durableId="649091871">
    <w:abstractNumId w:val="15"/>
  </w:num>
  <w:num w:numId="40" w16cid:durableId="1500656670">
    <w:abstractNumId w:val="5"/>
  </w:num>
  <w:num w:numId="41" w16cid:durableId="704908112">
    <w:abstractNumId w:val="12"/>
  </w:num>
  <w:num w:numId="42" w16cid:durableId="110054824">
    <w:abstractNumId w:val="33"/>
  </w:num>
  <w:num w:numId="43" w16cid:durableId="1421441920">
    <w:abstractNumId w:val="16"/>
  </w:num>
  <w:num w:numId="44" w16cid:durableId="499664164">
    <w:abstractNumId w:val="20"/>
  </w:num>
  <w:num w:numId="45" w16cid:durableId="782306086">
    <w:abstractNumId w:val="36"/>
  </w:num>
  <w:num w:numId="46" w16cid:durableId="1877887891">
    <w:abstractNumId w:val="43"/>
  </w:num>
  <w:num w:numId="47" w16cid:durableId="1057513547">
    <w:abstractNumId w:val="37"/>
  </w:num>
  <w:num w:numId="48" w16cid:durableId="85977572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A99"/>
    <w:rsid w:val="00022A5A"/>
    <w:rsid w:val="000251CB"/>
    <w:rsid w:val="0003005C"/>
    <w:rsid w:val="000358E8"/>
    <w:rsid w:val="000633D3"/>
    <w:rsid w:val="000845D5"/>
    <w:rsid w:val="000B0E0C"/>
    <w:rsid w:val="000B6661"/>
    <w:rsid w:val="000C4884"/>
    <w:rsid w:val="000D25C4"/>
    <w:rsid w:val="000E7C60"/>
    <w:rsid w:val="000F61AC"/>
    <w:rsid w:val="00101D76"/>
    <w:rsid w:val="00116A8A"/>
    <w:rsid w:val="00132008"/>
    <w:rsid w:val="00142917"/>
    <w:rsid w:val="00157F4B"/>
    <w:rsid w:val="00162641"/>
    <w:rsid w:val="001735F5"/>
    <w:rsid w:val="001764ED"/>
    <w:rsid w:val="00176D04"/>
    <w:rsid w:val="001A10AC"/>
    <w:rsid w:val="001C46AD"/>
    <w:rsid w:val="001D3906"/>
    <w:rsid w:val="001D6DC9"/>
    <w:rsid w:val="00213D1F"/>
    <w:rsid w:val="00213F19"/>
    <w:rsid w:val="00214864"/>
    <w:rsid w:val="00227BE0"/>
    <w:rsid w:val="002510A3"/>
    <w:rsid w:val="00255495"/>
    <w:rsid w:val="0028476F"/>
    <w:rsid w:val="00295130"/>
    <w:rsid w:val="002B2B44"/>
    <w:rsid w:val="002B525F"/>
    <w:rsid w:val="00310DFA"/>
    <w:rsid w:val="003132EC"/>
    <w:rsid w:val="003145C2"/>
    <w:rsid w:val="00316E99"/>
    <w:rsid w:val="0032002A"/>
    <w:rsid w:val="00330498"/>
    <w:rsid w:val="0034182E"/>
    <w:rsid w:val="00357B8C"/>
    <w:rsid w:val="00361CE9"/>
    <w:rsid w:val="00362C8D"/>
    <w:rsid w:val="003A0EE9"/>
    <w:rsid w:val="003A2ABD"/>
    <w:rsid w:val="003A5706"/>
    <w:rsid w:val="003B02EE"/>
    <w:rsid w:val="003B4D45"/>
    <w:rsid w:val="003C2F24"/>
    <w:rsid w:val="003C66BB"/>
    <w:rsid w:val="003F3955"/>
    <w:rsid w:val="00401BC3"/>
    <w:rsid w:val="00410119"/>
    <w:rsid w:val="0043067E"/>
    <w:rsid w:val="00435E51"/>
    <w:rsid w:val="00437EDC"/>
    <w:rsid w:val="004452D2"/>
    <w:rsid w:val="004503AD"/>
    <w:rsid w:val="00486408"/>
    <w:rsid w:val="0049288E"/>
    <w:rsid w:val="004C131C"/>
    <w:rsid w:val="004D4395"/>
    <w:rsid w:val="004E1923"/>
    <w:rsid w:val="004E334D"/>
    <w:rsid w:val="005011B8"/>
    <w:rsid w:val="00501965"/>
    <w:rsid w:val="005243FA"/>
    <w:rsid w:val="005360A8"/>
    <w:rsid w:val="005A318D"/>
    <w:rsid w:val="005B720C"/>
    <w:rsid w:val="006015A0"/>
    <w:rsid w:val="006163D8"/>
    <w:rsid w:val="006422AB"/>
    <w:rsid w:val="0066789E"/>
    <w:rsid w:val="00674CF0"/>
    <w:rsid w:val="00676CC2"/>
    <w:rsid w:val="00681C84"/>
    <w:rsid w:val="006B3A4E"/>
    <w:rsid w:val="006C30B5"/>
    <w:rsid w:val="006C4F43"/>
    <w:rsid w:val="006D0D3A"/>
    <w:rsid w:val="006D7D35"/>
    <w:rsid w:val="006E5EDF"/>
    <w:rsid w:val="006E79D0"/>
    <w:rsid w:val="006F53DE"/>
    <w:rsid w:val="0071092A"/>
    <w:rsid w:val="00743A54"/>
    <w:rsid w:val="00763F11"/>
    <w:rsid w:val="0077571D"/>
    <w:rsid w:val="007A07CD"/>
    <w:rsid w:val="007A3681"/>
    <w:rsid w:val="007C4216"/>
    <w:rsid w:val="00841081"/>
    <w:rsid w:val="00852581"/>
    <w:rsid w:val="00856383"/>
    <w:rsid w:val="0085744E"/>
    <w:rsid w:val="008B48DD"/>
    <w:rsid w:val="008B7D44"/>
    <w:rsid w:val="008C4B4B"/>
    <w:rsid w:val="008D55A7"/>
    <w:rsid w:val="008D7654"/>
    <w:rsid w:val="008E6775"/>
    <w:rsid w:val="008F2039"/>
    <w:rsid w:val="0090092A"/>
    <w:rsid w:val="009116F2"/>
    <w:rsid w:val="0092028C"/>
    <w:rsid w:val="00955F98"/>
    <w:rsid w:val="00971A99"/>
    <w:rsid w:val="009A4C91"/>
    <w:rsid w:val="009B6E1B"/>
    <w:rsid w:val="009C3A14"/>
    <w:rsid w:val="009C794D"/>
    <w:rsid w:val="009E5473"/>
    <w:rsid w:val="00A2232A"/>
    <w:rsid w:val="00A720F3"/>
    <w:rsid w:val="00A72660"/>
    <w:rsid w:val="00A737A8"/>
    <w:rsid w:val="00A84F96"/>
    <w:rsid w:val="00A863C4"/>
    <w:rsid w:val="00AD1568"/>
    <w:rsid w:val="00AF5698"/>
    <w:rsid w:val="00AF5A88"/>
    <w:rsid w:val="00B050F1"/>
    <w:rsid w:val="00B22D8B"/>
    <w:rsid w:val="00B27142"/>
    <w:rsid w:val="00B5194F"/>
    <w:rsid w:val="00B54794"/>
    <w:rsid w:val="00B71911"/>
    <w:rsid w:val="00BA0E2E"/>
    <w:rsid w:val="00BC34A7"/>
    <w:rsid w:val="00BD5E56"/>
    <w:rsid w:val="00BD74A1"/>
    <w:rsid w:val="00BE11D7"/>
    <w:rsid w:val="00C141A2"/>
    <w:rsid w:val="00C23D78"/>
    <w:rsid w:val="00C24DA7"/>
    <w:rsid w:val="00C337DA"/>
    <w:rsid w:val="00C83204"/>
    <w:rsid w:val="00CA5A5A"/>
    <w:rsid w:val="00CB19BC"/>
    <w:rsid w:val="00CB5FCA"/>
    <w:rsid w:val="00CE3C7A"/>
    <w:rsid w:val="00CF44EB"/>
    <w:rsid w:val="00D14317"/>
    <w:rsid w:val="00D1574C"/>
    <w:rsid w:val="00D320FF"/>
    <w:rsid w:val="00D32595"/>
    <w:rsid w:val="00D63F5D"/>
    <w:rsid w:val="00D73C7A"/>
    <w:rsid w:val="00D858CD"/>
    <w:rsid w:val="00DF2CC1"/>
    <w:rsid w:val="00E26CBA"/>
    <w:rsid w:val="00E30B66"/>
    <w:rsid w:val="00E42A41"/>
    <w:rsid w:val="00E51238"/>
    <w:rsid w:val="00E54099"/>
    <w:rsid w:val="00E72C46"/>
    <w:rsid w:val="00E847CF"/>
    <w:rsid w:val="00E87EB0"/>
    <w:rsid w:val="00EB0A72"/>
    <w:rsid w:val="00EE3F59"/>
    <w:rsid w:val="00F06BA0"/>
    <w:rsid w:val="00F23629"/>
    <w:rsid w:val="00F44E7E"/>
    <w:rsid w:val="00F5590E"/>
    <w:rsid w:val="00F57094"/>
    <w:rsid w:val="00F64CC8"/>
    <w:rsid w:val="00F763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5793F"/>
  <w15:chartTrackingRefBased/>
  <w15:docId w15:val="{686F056F-7D02-4E42-915A-B880D3ABF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0E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0E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971A99"/>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paragraph" w:styleId="Heading4">
    <w:name w:val="heading 4"/>
    <w:basedOn w:val="Normal"/>
    <w:next w:val="Normal"/>
    <w:link w:val="Heading4Char"/>
    <w:uiPriority w:val="9"/>
    <w:semiHidden/>
    <w:unhideWhenUsed/>
    <w:qFormat/>
    <w:rsid w:val="0032002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71A99"/>
    <w:rPr>
      <w:rFonts w:ascii="Times New Roman" w:eastAsia="Times New Roman" w:hAnsi="Times New Roman" w:cs="Times New Roman"/>
      <w:b/>
      <w:bCs/>
      <w:kern w:val="0"/>
      <w:sz w:val="27"/>
      <w:szCs w:val="27"/>
      <w14:ligatures w14:val="none"/>
    </w:rPr>
  </w:style>
  <w:style w:type="character" w:styleId="Strong">
    <w:name w:val="Strong"/>
    <w:basedOn w:val="DefaultParagraphFont"/>
    <w:uiPriority w:val="22"/>
    <w:qFormat/>
    <w:rsid w:val="00971A99"/>
    <w:rPr>
      <w:b/>
      <w:bCs/>
    </w:rPr>
  </w:style>
  <w:style w:type="paragraph" w:styleId="NormalWeb">
    <w:name w:val="Normal (Web)"/>
    <w:basedOn w:val="Normal"/>
    <w:uiPriority w:val="99"/>
    <w:unhideWhenUsed/>
    <w:rsid w:val="00971A9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971A99"/>
    <w:rPr>
      <w:i/>
      <w:iCs/>
    </w:rPr>
  </w:style>
  <w:style w:type="table" w:styleId="TableGrid">
    <w:name w:val="Table Grid"/>
    <w:basedOn w:val="TableNormal"/>
    <w:uiPriority w:val="39"/>
    <w:rsid w:val="00971A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katex-mathml">
    <w:name w:val="katex-mathml"/>
    <w:basedOn w:val="DefaultParagraphFont"/>
    <w:rsid w:val="006B3A4E"/>
  </w:style>
  <w:style w:type="character" w:customStyle="1" w:styleId="mord">
    <w:name w:val="mord"/>
    <w:basedOn w:val="DefaultParagraphFont"/>
    <w:rsid w:val="006B3A4E"/>
  </w:style>
  <w:style w:type="character" w:customStyle="1" w:styleId="mrel">
    <w:name w:val="mrel"/>
    <w:basedOn w:val="DefaultParagraphFont"/>
    <w:rsid w:val="006B3A4E"/>
  </w:style>
  <w:style w:type="character" w:customStyle="1" w:styleId="vlist-s">
    <w:name w:val="vlist-s"/>
    <w:basedOn w:val="DefaultParagraphFont"/>
    <w:rsid w:val="006B3A4E"/>
  </w:style>
  <w:style w:type="character" w:customStyle="1" w:styleId="mbin">
    <w:name w:val="mbin"/>
    <w:basedOn w:val="DefaultParagraphFont"/>
    <w:rsid w:val="006B3A4E"/>
  </w:style>
  <w:style w:type="character" w:customStyle="1" w:styleId="Heading1Char">
    <w:name w:val="Heading 1 Char"/>
    <w:basedOn w:val="DefaultParagraphFont"/>
    <w:link w:val="Heading1"/>
    <w:uiPriority w:val="9"/>
    <w:rsid w:val="000B0E0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B0E0C"/>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32002A"/>
    <w:rPr>
      <w:rFonts w:asciiTheme="majorHAnsi" w:eastAsiaTheme="majorEastAsia" w:hAnsiTheme="majorHAnsi" w:cstheme="majorBidi"/>
      <w:i/>
      <w:iCs/>
      <w:color w:val="2F5496" w:themeColor="accent1" w:themeShade="BF"/>
    </w:rPr>
  </w:style>
  <w:style w:type="character" w:styleId="PlaceholderText">
    <w:name w:val="Placeholder Text"/>
    <w:basedOn w:val="DefaultParagraphFont"/>
    <w:uiPriority w:val="99"/>
    <w:semiHidden/>
    <w:rsid w:val="00357B8C"/>
    <w:rPr>
      <w:color w:val="666666"/>
    </w:rPr>
  </w:style>
  <w:style w:type="paragraph" w:styleId="ListParagraph">
    <w:name w:val="List Paragraph"/>
    <w:basedOn w:val="Normal"/>
    <w:uiPriority w:val="34"/>
    <w:qFormat/>
    <w:rsid w:val="001D6DC9"/>
    <w:pPr>
      <w:ind w:left="720"/>
      <w:contextualSpacing/>
    </w:pPr>
  </w:style>
  <w:style w:type="paragraph" w:styleId="TOCHeading">
    <w:name w:val="TOC Heading"/>
    <w:basedOn w:val="Heading1"/>
    <w:next w:val="Normal"/>
    <w:uiPriority w:val="39"/>
    <w:unhideWhenUsed/>
    <w:qFormat/>
    <w:rsid w:val="00501965"/>
    <w:pPr>
      <w:outlineLvl w:val="9"/>
    </w:pPr>
    <w:rPr>
      <w:kern w:val="0"/>
      <w14:ligatures w14:val="none"/>
    </w:rPr>
  </w:style>
  <w:style w:type="paragraph" w:styleId="TOC3">
    <w:name w:val="toc 3"/>
    <w:basedOn w:val="Normal"/>
    <w:next w:val="Normal"/>
    <w:autoRedefine/>
    <w:uiPriority w:val="39"/>
    <w:unhideWhenUsed/>
    <w:rsid w:val="00501965"/>
    <w:pPr>
      <w:spacing w:after="100"/>
      <w:ind w:left="440"/>
    </w:pPr>
  </w:style>
  <w:style w:type="paragraph" w:styleId="TOC1">
    <w:name w:val="toc 1"/>
    <w:basedOn w:val="Normal"/>
    <w:next w:val="Normal"/>
    <w:autoRedefine/>
    <w:uiPriority w:val="39"/>
    <w:unhideWhenUsed/>
    <w:rsid w:val="00501965"/>
    <w:pPr>
      <w:spacing w:after="100"/>
    </w:pPr>
  </w:style>
  <w:style w:type="paragraph" w:styleId="TOC2">
    <w:name w:val="toc 2"/>
    <w:basedOn w:val="Normal"/>
    <w:next w:val="Normal"/>
    <w:autoRedefine/>
    <w:uiPriority w:val="39"/>
    <w:unhideWhenUsed/>
    <w:rsid w:val="00501965"/>
    <w:pPr>
      <w:spacing w:after="100"/>
      <w:ind w:left="220"/>
    </w:pPr>
  </w:style>
  <w:style w:type="character" w:styleId="Hyperlink">
    <w:name w:val="Hyperlink"/>
    <w:basedOn w:val="DefaultParagraphFont"/>
    <w:uiPriority w:val="99"/>
    <w:unhideWhenUsed/>
    <w:rsid w:val="00501965"/>
    <w:rPr>
      <w:color w:val="0563C1" w:themeColor="hyperlink"/>
      <w:u w:val="single"/>
    </w:rPr>
  </w:style>
  <w:style w:type="paragraph" w:styleId="Header">
    <w:name w:val="header"/>
    <w:basedOn w:val="Normal"/>
    <w:link w:val="HeaderChar"/>
    <w:uiPriority w:val="99"/>
    <w:unhideWhenUsed/>
    <w:rsid w:val="008D55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55A7"/>
  </w:style>
  <w:style w:type="paragraph" w:styleId="Footer">
    <w:name w:val="footer"/>
    <w:basedOn w:val="Normal"/>
    <w:link w:val="FooterChar"/>
    <w:uiPriority w:val="99"/>
    <w:unhideWhenUsed/>
    <w:rsid w:val="008D55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55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813002">
      <w:bodyDiv w:val="1"/>
      <w:marLeft w:val="0"/>
      <w:marRight w:val="0"/>
      <w:marTop w:val="0"/>
      <w:marBottom w:val="0"/>
      <w:divBdr>
        <w:top w:val="none" w:sz="0" w:space="0" w:color="auto"/>
        <w:left w:val="none" w:sz="0" w:space="0" w:color="auto"/>
        <w:bottom w:val="none" w:sz="0" w:space="0" w:color="auto"/>
        <w:right w:val="none" w:sz="0" w:space="0" w:color="auto"/>
      </w:divBdr>
    </w:div>
    <w:div w:id="81413363">
      <w:bodyDiv w:val="1"/>
      <w:marLeft w:val="0"/>
      <w:marRight w:val="0"/>
      <w:marTop w:val="0"/>
      <w:marBottom w:val="0"/>
      <w:divBdr>
        <w:top w:val="none" w:sz="0" w:space="0" w:color="auto"/>
        <w:left w:val="none" w:sz="0" w:space="0" w:color="auto"/>
        <w:bottom w:val="none" w:sz="0" w:space="0" w:color="auto"/>
        <w:right w:val="none" w:sz="0" w:space="0" w:color="auto"/>
      </w:divBdr>
    </w:div>
    <w:div w:id="273710263">
      <w:bodyDiv w:val="1"/>
      <w:marLeft w:val="0"/>
      <w:marRight w:val="0"/>
      <w:marTop w:val="0"/>
      <w:marBottom w:val="0"/>
      <w:divBdr>
        <w:top w:val="none" w:sz="0" w:space="0" w:color="auto"/>
        <w:left w:val="none" w:sz="0" w:space="0" w:color="auto"/>
        <w:bottom w:val="none" w:sz="0" w:space="0" w:color="auto"/>
        <w:right w:val="none" w:sz="0" w:space="0" w:color="auto"/>
      </w:divBdr>
      <w:divsChild>
        <w:div w:id="1589536115">
          <w:marLeft w:val="0"/>
          <w:marRight w:val="0"/>
          <w:marTop w:val="0"/>
          <w:marBottom w:val="0"/>
          <w:divBdr>
            <w:top w:val="none" w:sz="0" w:space="0" w:color="auto"/>
            <w:left w:val="none" w:sz="0" w:space="0" w:color="auto"/>
            <w:bottom w:val="none" w:sz="0" w:space="0" w:color="auto"/>
            <w:right w:val="none" w:sz="0" w:space="0" w:color="auto"/>
          </w:divBdr>
          <w:divsChild>
            <w:div w:id="377827817">
              <w:marLeft w:val="0"/>
              <w:marRight w:val="0"/>
              <w:marTop w:val="0"/>
              <w:marBottom w:val="0"/>
              <w:divBdr>
                <w:top w:val="none" w:sz="0" w:space="0" w:color="auto"/>
                <w:left w:val="none" w:sz="0" w:space="0" w:color="auto"/>
                <w:bottom w:val="none" w:sz="0" w:space="0" w:color="auto"/>
                <w:right w:val="none" w:sz="0" w:space="0" w:color="auto"/>
              </w:divBdr>
            </w:div>
          </w:divsChild>
        </w:div>
        <w:div w:id="1970238323">
          <w:marLeft w:val="0"/>
          <w:marRight w:val="0"/>
          <w:marTop w:val="0"/>
          <w:marBottom w:val="0"/>
          <w:divBdr>
            <w:top w:val="none" w:sz="0" w:space="0" w:color="auto"/>
            <w:left w:val="none" w:sz="0" w:space="0" w:color="auto"/>
            <w:bottom w:val="none" w:sz="0" w:space="0" w:color="auto"/>
            <w:right w:val="none" w:sz="0" w:space="0" w:color="auto"/>
          </w:divBdr>
          <w:divsChild>
            <w:div w:id="414714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533178">
      <w:bodyDiv w:val="1"/>
      <w:marLeft w:val="0"/>
      <w:marRight w:val="0"/>
      <w:marTop w:val="0"/>
      <w:marBottom w:val="0"/>
      <w:divBdr>
        <w:top w:val="none" w:sz="0" w:space="0" w:color="auto"/>
        <w:left w:val="none" w:sz="0" w:space="0" w:color="auto"/>
        <w:bottom w:val="none" w:sz="0" w:space="0" w:color="auto"/>
        <w:right w:val="none" w:sz="0" w:space="0" w:color="auto"/>
      </w:divBdr>
      <w:divsChild>
        <w:div w:id="1539397205">
          <w:marLeft w:val="0"/>
          <w:marRight w:val="0"/>
          <w:marTop w:val="0"/>
          <w:marBottom w:val="0"/>
          <w:divBdr>
            <w:top w:val="none" w:sz="0" w:space="0" w:color="auto"/>
            <w:left w:val="none" w:sz="0" w:space="0" w:color="auto"/>
            <w:bottom w:val="none" w:sz="0" w:space="0" w:color="auto"/>
            <w:right w:val="none" w:sz="0" w:space="0" w:color="auto"/>
          </w:divBdr>
          <w:divsChild>
            <w:div w:id="401297499">
              <w:marLeft w:val="0"/>
              <w:marRight w:val="0"/>
              <w:marTop w:val="0"/>
              <w:marBottom w:val="0"/>
              <w:divBdr>
                <w:top w:val="none" w:sz="0" w:space="0" w:color="auto"/>
                <w:left w:val="none" w:sz="0" w:space="0" w:color="auto"/>
                <w:bottom w:val="none" w:sz="0" w:space="0" w:color="auto"/>
                <w:right w:val="none" w:sz="0" w:space="0" w:color="auto"/>
              </w:divBdr>
            </w:div>
          </w:divsChild>
        </w:div>
        <w:div w:id="1122311299">
          <w:marLeft w:val="0"/>
          <w:marRight w:val="0"/>
          <w:marTop w:val="0"/>
          <w:marBottom w:val="0"/>
          <w:divBdr>
            <w:top w:val="none" w:sz="0" w:space="0" w:color="auto"/>
            <w:left w:val="none" w:sz="0" w:space="0" w:color="auto"/>
            <w:bottom w:val="none" w:sz="0" w:space="0" w:color="auto"/>
            <w:right w:val="none" w:sz="0" w:space="0" w:color="auto"/>
          </w:divBdr>
          <w:divsChild>
            <w:div w:id="2138991415">
              <w:marLeft w:val="0"/>
              <w:marRight w:val="0"/>
              <w:marTop w:val="0"/>
              <w:marBottom w:val="0"/>
              <w:divBdr>
                <w:top w:val="none" w:sz="0" w:space="0" w:color="auto"/>
                <w:left w:val="none" w:sz="0" w:space="0" w:color="auto"/>
                <w:bottom w:val="none" w:sz="0" w:space="0" w:color="auto"/>
                <w:right w:val="none" w:sz="0" w:space="0" w:color="auto"/>
              </w:divBdr>
            </w:div>
          </w:divsChild>
        </w:div>
        <w:div w:id="2065448892">
          <w:marLeft w:val="0"/>
          <w:marRight w:val="0"/>
          <w:marTop w:val="0"/>
          <w:marBottom w:val="0"/>
          <w:divBdr>
            <w:top w:val="none" w:sz="0" w:space="0" w:color="auto"/>
            <w:left w:val="none" w:sz="0" w:space="0" w:color="auto"/>
            <w:bottom w:val="none" w:sz="0" w:space="0" w:color="auto"/>
            <w:right w:val="none" w:sz="0" w:space="0" w:color="auto"/>
          </w:divBdr>
          <w:divsChild>
            <w:div w:id="747314278">
              <w:marLeft w:val="0"/>
              <w:marRight w:val="0"/>
              <w:marTop w:val="0"/>
              <w:marBottom w:val="0"/>
              <w:divBdr>
                <w:top w:val="none" w:sz="0" w:space="0" w:color="auto"/>
                <w:left w:val="none" w:sz="0" w:space="0" w:color="auto"/>
                <w:bottom w:val="none" w:sz="0" w:space="0" w:color="auto"/>
                <w:right w:val="none" w:sz="0" w:space="0" w:color="auto"/>
              </w:divBdr>
            </w:div>
          </w:divsChild>
        </w:div>
        <w:div w:id="2016489796">
          <w:marLeft w:val="0"/>
          <w:marRight w:val="0"/>
          <w:marTop w:val="0"/>
          <w:marBottom w:val="0"/>
          <w:divBdr>
            <w:top w:val="none" w:sz="0" w:space="0" w:color="auto"/>
            <w:left w:val="none" w:sz="0" w:space="0" w:color="auto"/>
            <w:bottom w:val="none" w:sz="0" w:space="0" w:color="auto"/>
            <w:right w:val="none" w:sz="0" w:space="0" w:color="auto"/>
          </w:divBdr>
          <w:divsChild>
            <w:div w:id="1853177830">
              <w:marLeft w:val="0"/>
              <w:marRight w:val="0"/>
              <w:marTop w:val="0"/>
              <w:marBottom w:val="0"/>
              <w:divBdr>
                <w:top w:val="none" w:sz="0" w:space="0" w:color="auto"/>
                <w:left w:val="none" w:sz="0" w:space="0" w:color="auto"/>
                <w:bottom w:val="none" w:sz="0" w:space="0" w:color="auto"/>
                <w:right w:val="none" w:sz="0" w:space="0" w:color="auto"/>
              </w:divBdr>
            </w:div>
          </w:divsChild>
        </w:div>
        <w:div w:id="908728095">
          <w:marLeft w:val="0"/>
          <w:marRight w:val="0"/>
          <w:marTop w:val="0"/>
          <w:marBottom w:val="0"/>
          <w:divBdr>
            <w:top w:val="none" w:sz="0" w:space="0" w:color="auto"/>
            <w:left w:val="none" w:sz="0" w:space="0" w:color="auto"/>
            <w:bottom w:val="none" w:sz="0" w:space="0" w:color="auto"/>
            <w:right w:val="none" w:sz="0" w:space="0" w:color="auto"/>
          </w:divBdr>
          <w:divsChild>
            <w:div w:id="326711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649045">
      <w:bodyDiv w:val="1"/>
      <w:marLeft w:val="0"/>
      <w:marRight w:val="0"/>
      <w:marTop w:val="0"/>
      <w:marBottom w:val="0"/>
      <w:divBdr>
        <w:top w:val="none" w:sz="0" w:space="0" w:color="auto"/>
        <w:left w:val="none" w:sz="0" w:space="0" w:color="auto"/>
        <w:bottom w:val="none" w:sz="0" w:space="0" w:color="auto"/>
        <w:right w:val="none" w:sz="0" w:space="0" w:color="auto"/>
      </w:divBdr>
      <w:divsChild>
        <w:div w:id="1776437629">
          <w:marLeft w:val="0"/>
          <w:marRight w:val="0"/>
          <w:marTop w:val="0"/>
          <w:marBottom w:val="0"/>
          <w:divBdr>
            <w:top w:val="none" w:sz="0" w:space="0" w:color="auto"/>
            <w:left w:val="none" w:sz="0" w:space="0" w:color="auto"/>
            <w:bottom w:val="none" w:sz="0" w:space="0" w:color="auto"/>
            <w:right w:val="none" w:sz="0" w:space="0" w:color="auto"/>
          </w:divBdr>
          <w:divsChild>
            <w:div w:id="462576152">
              <w:marLeft w:val="0"/>
              <w:marRight w:val="0"/>
              <w:marTop w:val="0"/>
              <w:marBottom w:val="0"/>
              <w:divBdr>
                <w:top w:val="none" w:sz="0" w:space="0" w:color="auto"/>
                <w:left w:val="none" w:sz="0" w:space="0" w:color="auto"/>
                <w:bottom w:val="none" w:sz="0" w:space="0" w:color="auto"/>
                <w:right w:val="none" w:sz="0" w:space="0" w:color="auto"/>
              </w:divBdr>
            </w:div>
          </w:divsChild>
        </w:div>
        <w:div w:id="1994605877">
          <w:marLeft w:val="0"/>
          <w:marRight w:val="0"/>
          <w:marTop w:val="0"/>
          <w:marBottom w:val="0"/>
          <w:divBdr>
            <w:top w:val="none" w:sz="0" w:space="0" w:color="auto"/>
            <w:left w:val="none" w:sz="0" w:space="0" w:color="auto"/>
            <w:bottom w:val="none" w:sz="0" w:space="0" w:color="auto"/>
            <w:right w:val="none" w:sz="0" w:space="0" w:color="auto"/>
          </w:divBdr>
          <w:divsChild>
            <w:div w:id="1169953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5005708">
      <w:bodyDiv w:val="1"/>
      <w:marLeft w:val="0"/>
      <w:marRight w:val="0"/>
      <w:marTop w:val="0"/>
      <w:marBottom w:val="0"/>
      <w:divBdr>
        <w:top w:val="none" w:sz="0" w:space="0" w:color="auto"/>
        <w:left w:val="none" w:sz="0" w:space="0" w:color="auto"/>
        <w:bottom w:val="none" w:sz="0" w:space="0" w:color="auto"/>
        <w:right w:val="none" w:sz="0" w:space="0" w:color="auto"/>
      </w:divBdr>
    </w:div>
    <w:div w:id="478694341">
      <w:bodyDiv w:val="1"/>
      <w:marLeft w:val="0"/>
      <w:marRight w:val="0"/>
      <w:marTop w:val="0"/>
      <w:marBottom w:val="0"/>
      <w:divBdr>
        <w:top w:val="none" w:sz="0" w:space="0" w:color="auto"/>
        <w:left w:val="none" w:sz="0" w:space="0" w:color="auto"/>
        <w:bottom w:val="none" w:sz="0" w:space="0" w:color="auto"/>
        <w:right w:val="none" w:sz="0" w:space="0" w:color="auto"/>
      </w:divBdr>
      <w:divsChild>
        <w:div w:id="386925566">
          <w:marLeft w:val="0"/>
          <w:marRight w:val="0"/>
          <w:marTop w:val="0"/>
          <w:marBottom w:val="0"/>
          <w:divBdr>
            <w:top w:val="none" w:sz="0" w:space="0" w:color="auto"/>
            <w:left w:val="none" w:sz="0" w:space="0" w:color="auto"/>
            <w:bottom w:val="none" w:sz="0" w:space="0" w:color="auto"/>
            <w:right w:val="none" w:sz="0" w:space="0" w:color="auto"/>
          </w:divBdr>
          <w:divsChild>
            <w:div w:id="987981558">
              <w:marLeft w:val="0"/>
              <w:marRight w:val="0"/>
              <w:marTop w:val="0"/>
              <w:marBottom w:val="0"/>
              <w:divBdr>
                <w:top w:val="none" w:sz="0" w:space="0" w:color="auto"/>
                <w:left w:val="none" w:sz="0" w:space="0" w:color="auto"/>
                <w:bottom w:val="none" w:sz="0" w:space="0" w:color="auto"/>
                <w:right w:val="none" w:sz="0" w:space="0" w:color="auto"/>
              </w:divBdr>
            </w:div>
          </w:divsChild>
        </w:div>
        <w:div w:id="1107502464">
          <w:marLeft w:val="0"/>
          <w:marRight w:val="0"/>
          <w:marTop w:val="0"/>
          <w:marBottom w:val="0"/>
          <w:divBdr>
            <w:top w:val="none" w:sz="0" w:space="0" w:color="auto"/>
            <w:left w:val="none" w:sz="0" w:space="0" w:color="auto"/>
            <w:bottom w:val="none" w:sz="0" w:space="0" w:color="auto"/>
            <w:right w:val="none" w:sz="0" w:space="0" w:color="auto"/>
          </w:divBdr>
          <w:divsChild>
            <w:div w:id="590894631">
              <w:marLeft w:val="0"/>
              <w:marRight w:val="0"/>
              <w:marTop w:val="0"/>
              <w:marBottom w:val="0"/>
              <w:divBdr>
                <w:top w:val="none" w:sz="0" w:space="0" w:color="auto"/>
                <w:left w:val="none" w:sz="0" w:space="0" w:color="auto"/>
                <w:bottom w:val="none" w:sz="0" w:space="0" w:color="auto"/>
                <w:right w:val="none" w:sz="0" w:space="0" w:color="auto"/>
              </w:divBdr>
            </w:div>
          </w:divsChild>
        </w:div>
        <w:div w:id="7878388">
          <w:marLeft w:val="0"/>
          <w:marRight w:val="0"/>
          <w:marTop w:val="0"/>
          <w:marBottom w:val="0"/>
          <w:divBdr>
            <w:top w:val="none" w:sz="0" w:space="0" w:color="auto"/>
            <w:left w:val="none" w:sz="0" w:space="0" w:color="auto"/>
            <w:bottom w:val="none" w:sz="0" w:space="0" w:color="auto"/>
            <w:right w:val="none" w:sz="0" w:space="0" w:color="auto"/>
          </w:divBdr>
          <w:divsChild>
            <w:div w:id="658073374">
              <w:marLeft w:val="0"/>
              <w:marRight w:val="0"/>
              <w:marTop w:val="0"/>
              <w:marBottom w:val="0"/>
              <w:divBdr>
                <w:top w:val="none" w:sz="0" w:space="0" w:color="auto"/>
                <w:left w:val="none" w:sz="0" w:space="0" w:color="auto"/>
                <w:bottom w:val="none" w:sz="0" w:space="0" w:color="auto"/>
                <w:right w:val="none" w:sz="0" w:space="0" w:color="auto"/>
              </w:divBdr>
            </w:div>
          </w:divsChild>
        </w:div>
        <w:div w:id="2128353022">
          <w:marLeft w:val="0"/>
          <w:marRight w:val="0"/>
          <w:marTop w:val="0"/>
          <w:marBottom w:val="0"/>
          <w:divBdr>
            <w:top w:val="none" w:sz="0" w:space="0" w:color="auto"/>
            <w:left w:val="none" w:sz="0" w:space="0" w:color="auto"/>
            <w:bottom w:val="none" w:sz="0" w:space="0" w:color="auto"/>
            <w:right w:val="none" w:sz="0" w:space="0" w:color="auto"/>
          </w:divBdr>
          <w:divsChild>
            <w:div w:id="1756778822">
              <w:marLeft w:val="0"/>
              <w:marRight w:val="0"/>
              <w:marTop w:val="0"/>
              <w:marBottom w:val="0"/>
              <w:divBdr>
                <w:top w:val="none" w:sz="0" w:space="0" w:color="auto"/>
                <w:left w:val="none" w:sz="0" w:space="0" w:color="auto"/>
                <w:bottom w:val="none" w:sz="0" w:space="0" w:color="auto"/>
                <w:right w:val="none" w:sz="0" w:space="0" w:color="auto"/>
              </w:divBdr>
            </w:div>
          </w:divsChild>
        </w:div>
        <w:div w:id="1152872103">
          <w:marLeft w:val="0"/>
          <w:marRight w:val="0"/>
          <w:marTop w:val="0"/>
          <w:marBottom w:val="0"/>
          <w:divBdr>
            <w:top w:val="none" w:sz="0" w:space="0" w:color="auto"/>
            <w:left w:val="none" w:sz="0" w:space="0" w:color="auto"/>
            <w:bottom w:val="none" w:sz="0" w:space="0" w:color="auto"/>
            <w:right w:val="none" w:sz="0" w:space="0" w:color="auto"/>
          </w:divBdr>
          <w:divsChild>
            <w:div w:id="64809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582849">
      <w:bodyDiv w:val="1"/>
      <w:marLeft w:val="0"/>
      <w:marRight w:val="0"/>
      <w:marTop w:val="0"/>
      <w:marBottom w:val="0"/>
      <w:divBdr>
        <w:top w:val="none" w:sz="0" w:space="0" w:color="auto"/>
        <w:left w:val="none" w:sz="0" w:space="0" w:color="auto"/>
        <w:bottom w:val="none" w:sz="0" w:space="0" w:color="auto"/>
        <w:right w:val="none" w:sz="0" w:space="0" w:color="auto"/>
      </w:divBdr>
    </w:div>
    <w:div w:id="599917023">
      <w:bodyDiv w:val="1"/>
      <w:marLeft w:val="0"/>
      <w:marRight w:val="0"/>
      <w:marTop w:val="0"/>
      <w:marBottom w:val="0"/>
      <w:divBdr>
        <w:top w:val="none" w:sz="0" w:space="0" w:color="auto"/>
        <w:left w:val="none" w:sz="0" w:space="0" w:color="auto"/>
        <w:bottom w:val="none" w:sz="0" w:space="0" w:color="auto"/>
        <w:right w:val="none" w:sz="0" w:space="0" w:color="auto"/>
      </w:divBdr>
    </w:div>
    <w:div w:id="709645971">
      <w:bodyDiv w:val="1"/>
      <w:marLeft w:val="0"/>
      <w:marRight w:val="0"/>
      <w:marTop w:val="0"/>
      <w:marBottom w:val="0"/>
      <w:divBdr>
        <w:top w:val="none" w:sz="0" w:space="0" w:color="auto"/>
        <w:left w:val="none" w:sz="0" w:space="0" w:color="auto"/>
        <w:bottom w:val="none" w:sz="0" w:space="0" w:color="auto"/>
        <w:right w:val="none" w:sz="0" w:space="0" w:color="auto"/>
      </w:divBdr>
    </w:div>
    <w:div w:id="766270505">
      <w:bodyDiv w:val="1"/>
      <w:marLeft w:val="0"/>
      <w:marRight w:val="0"/>
      <w:marTop w:val="0"/>
      <w:marBottom w:val="0"/>
      <w:divBdr>
        <w:top w:val="none" w:sz="0" w:space="0" w:color="auto"/>
        <w:left w:val="none" w:sz="0" w:space="0" w:color="auto"/>
        <w:bottom w:val="none" w:sz="0" w:space="0" w:color="auto"/>
        <w:right w:val="none" w:sz="0" w:space="0" w:color="auto"/>
      </w:divBdr>
    </w:div>
    <w:div w:id="792166225">
      <w:bodyDiv w:val="1"/>
      <w:marLeft w:val="0"/>
      <w:marRight w:val="0"/>
      <w:marTop w:val="0"/>
      <w:marBottom w:val="0"/>
      <w:divBdr>
        <w:top w:val="none" w:sz="0" w:space="0" w:color="auto"/>
        <w:left w:val="none" w:sz="0" w:space="0" w:color="auto"/>
        <w:bottom w:val="none" w:sz="0" w:space="0" w:color="auto"/>
        <w:right w:val="none" w:sz="0" w:space="0" w:color="auto"/>
      </w:divBdr>
    </w:div>
    <w:div w:id="885802464">
      <w:bodyDiv w:val="1"/>
      <w:marLeft w:val="0"/>
      <w:marRight w:val="0"/>
      <w:marTop w:val="0"/>
      <w:marBottom w:val="0"/>
      <w:divBdr>
        <w:top w:val="none" w:sz="0" w:space="0" w:color="auto"/>
        <w:left w:val="none" w:sz="0" w:space="0" w:color="auto"/>
        <w:bottom w:val="none" w:sz="0" w:space="0" w:color="auto"/>
        <w:right w:val="none" w:sz="0" w:space="0" w:color="auto"/>
      </w:divBdr>
    </w:div>
    <w:div w:id="896235749">
      <w:bodyDiv w:val="1"/>
      <w:marLeft w:val="0"/>
      <w:marRight w:val="0"/>
      <w:marTop w:val="0"/>
      <w:marBottom w:val="0"/>
      <w:divBdr>
        <w:top w:val="none" w:sz="0" w:space="0" w:color="auto"/>
        <w:left w:val="none" w:sz="0" w:space="0" w:color="auto"/>
        <w:bottom w:val="none" w:sz="0" w:space="0" w:color="auto"/>
        <w:right w:val="none" w:sz="0" w:space="0" w:color="auto"/>
      </w:divBdr>
    </w:div>
    <w:div w:id="904804505">
      <w:bodyDiv w:val="1"/>
      <w:marLeft w:val="0"/>
      <w:marRight w:val="0"/>
      <w:marTop w:val="0"/>
      <w:marBottom w:val="0"/>
      <w:divBdr>
        <w:top w:val="none" w:sz="0" w:space="0" w:color="auto"/>
        <w:left w:val="none" w:sz="0" w:space="0" w:color="auto"/>
        <w:bottom w:val="none" w:sz="0" w:space="0" w:color="auto"/>
        <w:right w:val="none" w:sz="0" w:space="0" w:color="auto"/>
      </w:divBdr>
      <w:divsChild>
        <w:div w:id="1149400701">
          <w:marLeft w:val="0"/>
          <w:marRight w:val="0"/>
          <w:marTop w:val="0"/>
          <w:marBottom w:val="0"/>
          <w:divBdr>
            <w:top w:val="none" w:sz="0" w:space="0" w:color="auto"/>
            <w:left w:val="none" w:sz="0" w:space="0" w:color="auto"/>
            <w:bottom w:val="none" w:sz="0" w:space="0" w:color="auto"/>
            <w:right w:val="none" w:sz="0" w:space="0" w:color="auto"/>
          </w:divBdr>
          <w:divsChild>
            <w:div w:id="1648586031">
              <w:marLeft w:val="0"/>
              <w:marRight w:val="0"/>
              <w:marTop w:val="0"/>
              <w:marBottom w:val="0"/>
              <w:divBdr>
                <w:top w:val="none" w:sz="0" w:space="0" w:color="auto"/>
                <w:left w:val="none" w:sz="0" w:space="0" w:color="auto"/>
                <w:bottom w:val="none" w:sz="0" w:space="0" w:color="auto"/>
                <w:right w:val="none" w:sz="0" w:space="0" w:color="auto"/>
              </w:divBdr>
            </w:div>
          </w:divsChild>
        </w:div>
        <w:div w:id="124740469">
          <w:marLeft w:val="0"/>
          <w:marRight w:val="0"/>
          <w:marTop w:val="0"/>
          <w:marBottom w:val="0"/>
          <w:divBdr>
            <w:top w:val="none" w:sz="0" w:space="0" w:color="auto"/>
            <w:left w:val="none" w:sz="0" w:space="0" w:color="auto"/>
            <w:bottom w:val="none" w:sz="0" w:space="0" w:color="auto"/>
            <w:right w:val="none" w:sz="0" w:space="0" w:color="auto"/>
          </w:divBdr>
          <w:divsChild>
            <w:div w:id="757141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099100">
      <w:bodyDiv w:val="1"/>
      <w:marLeft w:val="0"/>
      <w:marRight w:val="0"/>
      <w:marTop w:val="0"/>
      <w:marBottom w:val="0"/>
      <w:divBdr>
        <w:top w:val="none" w:sz="0" w:space="0" w:color="auto"/>
        <w:left w:val="none" w:sz="0" w:space="0" w:color="auto"/>
        <w:bottom w:val="none" w:sz="0" w:space="0" w:color="auto"/>
        <w:right w:val="none" w:sz="0" w:space="0" w:color="auto"/>
      </w:divBdr>
      <w:divsChild>
        <w:div w:id="1481772515">
          <w:marLeft w:val="0"/>
          <w:marRight w:val="0"/>
          <w:marTop w:val="0"/>
          <w:marBottom w:val="0"/>
          <w:divBdr>
            <w:top w:val="none" w:sz="0" w:space="0" w:color="auto"/>
            <w:left w:val="none" w:sz="0" w:space="0" w:color="auto"/>
            <w:bottom w:val="none" w:sz="0" w:space="0" w:color="auto"/>
            <w:right w:val="none" w:sz="0" w:space="0" w:color="auto"/>
          </w:divBdr>
        </w:div>
      </w:divsChild>
    </w:div>
    <w:div w:id="1101991126">
      <w:bodyDiv w:val="1"/>
      <w:marLeft w:val="0"/>
      <w:marRight w:val="0"/>
      <w:marTop w:val="0"/>
      <w:marBottom w:val="0"/>
      <w:divBdr>
        <w:top w:val="none" w:sz="0" w:space="0" w:color="auto"/>
        <w:left w:val="none" w:sz="0" w:space="0" w:color="auto"/>
        <w:bottom w:val="none" w:sz="0" w:space="0" w:color="auto"/>
        <w:right w:val="none" w:sz="0" w:space="0" w:color="auto"/>
      </w:divBdr>
    </w:div>
    <w:div w:id="1258447325">
      <w:bodyDiv w:val="1"/>
      <w:marLeft w:val="0"/>
      <w:marRight w:val="0"/>
      <w:marTop w:val="0"/>
      <w:marBottom w:val="0"/>
      <w:divBdr>
        <w:top w:val="none" w:sz="0" w:space="0" w:color="auto"/>
        <w:left w:val="none" w:sz="0" w:space="0" w:color="auto"/>
        <w:bottom w:val="none" w:sz="0" w:space="0" w:color="auto"/>
        <w:right w:val="none" w:sz="0" w:space="0" w:color="auto"/>
      </w:divBdr>
    </w:div>
    <w:div w:id="1270313325">
      <w:bodyDiv w:val="1"/>
      <w:marLeft w:val="0"/>
      <w:marRight w:val="0"/>
      <w:marTop w:val="0"/>
      <w:marBottom w:val="0"/>
      <w:divBdr>
        <w:top w:val="none" w:sz="0" w:space="0" w:color="auto"/>
        <w:left w:val="none" w:sz="0" w:space="0" w:color="auto"/>
        <w:bottom w:val="none" w:sz="0" w:space="0" w:color="auto"/>
        <w:right w:val="none" w:sz="0" w:space="0" w:color="auto"/>
      </w:divBdr>
    </w:div>
    <w:div w:id="1387417367">
      <w:bodyDiv w:val="1"/>
      <w:marLeft w:val="0"/>
      <w:marRight w:val="0"/>
      <w:marTop w:val="0"/>
      <w:marBottom w:val="0"/>
      <w:divBdr>
        <w:top w:val="none" w:sz="0" w:space="0" w:color="auto"/>
        <w:left w:val="none" w:sz="0" w:space="0" w:color="auto"/>
        <w:bottom w:val="none" w:sz="0" w:space="0" w:color="auto"/>
        <w:right w:val="none" w:sz="0" w:space="0" w:color="auto"/>
      </w:divBdr>
    </w:div>
    <w:div w:id="1460100646">
      <w:bodyDiv w:val="1"/>
      <w:marLeft w:val="0"/>
      <w:marRight w:val="0"/>
      <w:marTop w:val="0"/>
      <w:marBottom w:val="0"/>
      <w:divBdr>
        <w:top w:val="none" w:sz="0" w:space="0" w:color="auto"/>
        <w:left w:val="none" w:sz="0" w:space="0" w:color="auto"/>
        <w:bottom w:val="none" w:sz="0" w:space="0" w:color="auto"/>
        <w:right w:val="none" w:sz="0" w:space="0" w:color="auto"/>
      </w:divBdr>
      <w:divsChild>
        <w:div w:id="480929157">
          <w:marLeft w:val="0"/>
          <w:marRight w:val="0"/>
          <w:marTop w:val="0"/>
          <w:marBottom w:val="0"/>
          <w:divBdr>
            <w:top w:val="none" w:sz="0" w:space="0" w:color="auto"/>
            <w:left w:val="none" w:sz="0" w:space="0" w:color="auto"/>
            <w:bottom w:val="none" w:sz="0" w:space="0" w:color="auto"/>
            <w:right w:val="none" w:sz="0" w:space="0" w:color="auto"/>
          </w:divBdr>
          <w:divsChild>
            <w:div w:id="2000310048">
              <w:marLeft w:val="0"/>
              <w:marRight w:val="0"/>
              <w:marTop w:val="0"/>
              <w:marBottom w:val="0"/>
              <w:divBdr>
                <w:top w:val="none" w:sz="0" w:space="0" w:color="auto"/>
                <w:left w:val="none" w:sz="0" w:space="0" w:color="auto"/>
                <w:bottom w:val="none" w:sz="0" w:space="0" w:color="auto"/>
                <w:right w:val="none" w:sz="0" w:space="0" w:color="auto"/>
              </w:divBdr>
            </w:div>
          </w:divsChild>
        </w:div>
        <w:div w:id="1125000420">
          <w:marLeft w:val="0"/>
          <w:marRight w:val="0"/>
          <w:marTop w:val="0"/>
          <w:marBottom w:val="0"/>
          <w:divBdr>
            <w:top w:val="none" w:sz="0" w:space="0" w:color="auto"/>
            <w:left w:val="none" w:sz="0" w:space="0" w:color="auto"/>
            <w:bottom w:val="none" w:sz="0" w:space="0" w:color="auto"/>
            <w:right w:val="none" w:sz="0" w:space="0" w:color="auto"/>
          </w:divBdr>
          <w:divsChild>
            <w:div w:id="901018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281398">
      <w:bodyDiv w:val="1"/>
      <w:marLeft w:val="0"/>
      <w:marRight w:val="0"/>
      <w:marTop w:val="0"/>
      <w:marBottom w:val="0"/>
      <w:divBdr>
        <w:top w:val="none" w:sz="0" w:space="0" w:color="auto"/>
        <w:left w:val="none" w:sz="0" w:space="0" w:color="auto"/>
        <w:bottom w:val="none" w:sz="0" w:space="0" w:color="auto"/>
        <w:right w:val="none" w:sz="0" w:space="0" w:color="auto"/>
      </w:divBdr>
    </w:div>
    <w:div w:id="1514999743">
      <w:bodyDiv w:val="1"/>
      <w:marLeft w:val="0"/>
      <w:marRight w:val="0"/>
      <w:marTop w:val="0"/>
      <w:marBottom w:val="0"/>
      <w:divBdr>
        <w:top w:val="none" w:sz="0" w:space="0" w:color="auto"/>
        <w:left w:val="none" w:sz="0" w:space="0" w:color="auto"/>
        <w:bottom w:val="none" w:sz="0" w:space="0" w:color="auto"/>
        <w:right w:val="none" w:sz="0" w:space="0" w:color="auto"/>
      </w:divBdr>
    </w:div>
    <w:div w:id="1553879987">
      <w:bodyDiv w:val="1"/>
      <w:marLeft w:val="0"/>
      <w:marRight w:val="0"/>
      <w:marTop w:val="0"/>
      <w:marBottom w:val="0"/>
      <w:divBdr>
        <w:top w:val="none" w:sz="0" w:space="0" w:color="auto"/>
        <w:left w:val="none" w:sz="0" w:space="0" w:color="auto"/>
        <w:bottom w:val="none" w:sz="0" w:space="0" w:color="auto"/>
        <w:right w:val="none" w:sz="0" w:space="0" w:color="auto"/>
      </w:divBdr>
    </w:div>
    <w:div w:id="1596009647">
      <w:bodyDiv w:val="1"/>
      <w:marLeft w:val="0"/>
      <w:marRight w:val="0"/>
      <w:marTop w:val="0"/>
      <w:marBottom w:val="0"/>
      <w:divBdr>
        <w:top w:val="none" w:sz="0" w:space="0" w:color="auto"/>
        <w:left w:val="none" w:sz="0" w:space="0" w:color="auto"/>
        <w:bottom w:val="none" w:sz="0" w:space="0" w:color="auto"/>
        <w:right w:val="none" w:sz="0" w:space="0" w:color="auto"/>
      </w:divBdr>
    </w:div>
    <w:div w:id="1614244074">
      <w:bodyDiv w:val="1"/>
      <w:marLeft w:val="0"/>
      <w:marRight w:val="0"/>
      <w:marTop w:val="0"/>
      <w:marBottom w:val="0"/>
      <w:divBdr>
        <w:top w:val="none" w:sz="0" w:space="0" w:color="auto"/>
        <w:left w:val="none" w:sz="0" w:space="0" w:color="auto"/>
        <w:bottom w:val="none" w:sz="0" w:space="0" w:color="auto"/>
        <w:right w:val="none" w:sz="0" w:space="0" w:color="auto"/>
      </w:divBdr>
    </w:div>
    <w:div w:id="1677685132">
      <w:bodyDiv w:val="1"/>
      <w:marLeft w:val="0"/>
      <w:marRight w:val="0"/>
      <w:marTop w:val="0"/>
      <w:marBottom w:val="0"/>
      <w:divBdr>
        <w:top w:val="none" w:sz="0" w:space="0" w:color="auto"/>
        <w:left w:val="none" w:sz="0" w:space="0" w:color="auto"/>
        <w:bottom w:val="none" w:sz="0" w:space="0" w:color="auto"/>
        <w:right w:val="none" w:sz="0" w:space="0" w:color="auto"/>
      </w:divBdr>
    </w:div>
    <w:div w:id="1719360174">
      <w:bodyDiv w:val="1"/>
      <w:marLeft w:val="0"/>
      <w:marRight w:val="0"/>
      <w:marTop w:val="0"/>
      <w:marBottom w:val="0"/>
      <w:divBdr>
        <w:top w:val="none" w:sz="0" w:space="0" w:color="auto"/>
        <w:left w:val="none" w:sz="0" w:space="0" w:color="auto"/>
        <w:bottom w:val="none" w:sz="0" w:space="0" w:color="auto"/>
        <w:right w:val="none" w:sz="0" w:space="0" w:color="auto"/>
      </w:divBdr>
    </w:div>
    <w:div w:id="1924101667">
      <w:bodyDiv w:val="1"/>
      <w:marLeft w:val="0"/>
      <w:marRight w:val="0"/>
      <w:marTop w:val="0"/>
      <w:marBottom w:val="0"/>
      <w:divBdr>
        <w:top w:val="none" w:sz="0" w:space="0" w:color="auto"/>
        <w:left w:val="none" w:sz="0" w:space="0" w:color="auto"/>
        <w:bottom w:val="none" w:sz="0" w:space="0" w:color="auto"/>
        <w:right w:val="none" w:sz="0" w:space="0" w:color="auto"/>
      </w:divBdr>
    </w:div>
    <w:div w:id="1959871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8BFCD-6410-4F50-A119-0ADE1E0161C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7994</Words>
  <Characters>45570</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Keyur Mukeshbhai Bodar (2435243)</cp:lastModifiedBy>
  <cp:revision>2</cp:revision>
  <dcterms:created xsi:type="dcterms:W3CDTF">2025-12-22T08:07:00Z</dcterms:created>
  <dcterms:modified xsi:type="dcterms:W3CDTF">2025-12-22T08:07:00Z</dcterms:modified>
</cp:coreProperties>
</file>