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120" w:line="264" w:lineRule="auto"/>
        <w:ind w:left="0" w:right="0" w:firstLine="0"/>
        <w:jc w:val="center"/>
        <w:outlineLvl w:val="9"/>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anchor distT="152400" distB="152400" distL="152400" distR="152400" simplePos="0" relativeHeight="251659264" behindDoc="0" locked="0" layoutInCell="1" allowOverlap="1">
            <wp:simplePos x="0" y="0"/>
            <wp:positionH relativeFrom="margin">
              <wp:posOffset>5592214</wp:posOffset>
            </wp:positionH>
            <wp:positionV relativeFrom="page">
              <wp:posOffset>225251</wp:posOffset>
            </wp:positionV>
            <wp:extent cx="1042983" cy="989497"/>
            <wp:effectExtent l="0" t="0" r="0" b="0"/>
            <wp:wrapThrough wrapText="bothSides" distL="152400" distR="152400">
              <wp:wrapPolygon edited="1">
                <wp:start x="0" y="0"/>
                <wp:lineTo x="21600" y="0"/>
                <wp:lineTo x="21600" y="21600"/>
                <wp:lineTo x="0" y="21600"/>
                <wp:lineTo x="0" y="0"/>
              </wp:wrapPolygon>
            </wp:wrapThrough>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042983" cy="989497"/>
                    </a:xfrm>
                    <a:prstGeom prst="rect">
                      <a:avLst/>
                    </a:prstGeom>
                    <a:ln w="12700" cap="flat">
                      <a:noFill/>
                      <a:miter lim="400000"/>
                    </a:ln>
                    <a:effectLst/>
                  </pic:spPr>
                </pic:pic>
              </a:graphicData>
            </a:graphic>
          </wp:anchor>
        </w:drawing>
      </w:r>
    </w:p>
    <w:p>
      <w:pPr>
        <w:keepNext w:val="0"/>
        <w:keepLines w:val="0"/>
        <w:pageBreakBefore w:val="0"/>
        <w:widowControl w:val="1"/>
        <w:shd w:val="clear" w:color="auto" w:fill="auto"/>
        <w:suppressAutoHyphens w:val="0"/>
        <w:bidi w:val="0"/>
        <w:spacing w:before="0" w:after="120" w:line="264" w:lineRule="auto"/>
        <w:ind w:left="0" w:right="0" w:firstLine="0"/>
        <w:jc w:val="center"/>
        <w:outlineLvl w:val="9"/>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center"/>
        <w:outlineLvl w:val="9"/>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Briefing Paper </w:t>
      </w:r>
    </w:p>
    <w:p>
      <w:pPr>
        <w:keepNext w:val="0"/>
        <w:keepLines w:val="0"/>
        <w:pageBreakBefore w:val="0"/>
        <w:widowControl w:val="1"/>
        <w:shd w:val="clear" w:color="auto" w:fill="auto"/>
        <w:suppressAutoHyphens w:val="0"/>
        <w:bidi w:val="0"/>
        <w:spacing w:before="0" w:after="120" w:line="264"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14:textOutline w14:w="12700" w14:cap="flat">
            <w14:noFill/>
            <w14:miter w14:lim="400000"/>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w="12700" w14:cap="flat">
            <w14:noFill/>
            <w14:miter w14:lim="400000"/>
          </w14:textOutline>
          <w14:textFill>
            <w14:solidFill>
              <w14:srgbClr w14:val="000000"/>
            </w14:solidFill>
          </w14:textFill>
        </w:rPr>
        <w:t>Introduction</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This briefing paper is designed for Healthcare on Hand</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s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management team</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Its purpose is to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provide insightful explanations on</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performance management and rewarding employees. </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AC 4.1 </w:t>
      </w:r>
    </w:p>
    <w:p>
      <w:pPr>
        <w:pStyle w:val="Body"/>
        <w:rPr>
          <w:outline w:val="0"/>
          <w:color w:val="242424"/>
          <w14:textFill>
            <w14:solidFill>
              <w14:srgbClr w14:val="242424"/>
            </w14:solidFill>
          </w14:textFill>
        </w:rPr>
      </w:pPr>
      <w:r>
        <w:rPr>
          <w:outline w:val="0"/>
          <w:color w:val="242424"/>
          <w:rtl w:val="0"/>
          <w:lang w:val="en-US"/>
          <w14:textFill>
            <w14:solidFill>
              <w14:srgbClr w14:val="242424"/>
            </w14:solidFill>
          </w14:textFill>
        </w:rPr>
        <w:t xml:space="preserve">The purpose of performance management is to help organisations reach their objectives, and this is done by closely </w:t>
      </w:r>
      <w:r>
        <w:rPr>
          <w:outline w:val="0"/>
          <w:color w:val="242424"/>
          <w:rtl w:val="1"/>
          <w:lang w:val="ar-SA" w:bidi="ar-SA"/>
          <w14:textFill>
            <w14:solidFill>
              <w14:srgbClr w14:val="242424"/>
            </w14:solidFill>
          </w14:textFill>
        </w:rPr>
        <w:t>“</w:t>
      </w:r>
      <w:r>
        <w:rPr>
          <w:outline w:val="0"/>
          <w:color w:val="242424"/>
          <w:rtl w:val="0"/>
          <w:lang w:val="en-US"/>
          <w14:textFill>
            <w14:solidFill>
              <w14:srgbClr w14:val="242424"/>
            </w14:solidFill>
          </w14:textFill>
        </w:rPr>
        <w:t>monitoring employees</w:t>
      </w:r>
      <w:r>
        <w:rPr>
          <w:outline w:val="0"/>
          <w:color w:val="242424"/>
          <w:rtl w:val="1"/>
          <w14:textFill>
            <w14:solidFill>
              <w14:srgbClr w14:val="242424"/>
            </w14:solidFill>
          </w14:textFill>
        </w:rPr>
        <w:t xml:space="preserve">’ </w:t>
      </w:r>
      <w:r>
        <w:rPr>
          <w:outline w:val="0"/>
          <w:color w:val="242424"/>
          <w:rtl w:val="0"/>
          <w:lang w:val="en-US"/>
          <w14:textFill>
            <w14:solidFill>
              <w14:srgbClr w14:val="242424"/>
            </w14:solidFill>
          </w14:textFill>
        </w:rPr>
        <w:t>performance, their departments and the organisation as a whole</w:t>
      </w:r>
      <w:r>
        <w:rPr>
          <w:outline w:val="0"/>
          <w:color w:val="242424"/>
          <w:rtl w:val="0"/>
          <w14:textFill>
            <w14:solidFill>
              <w14:srgbClr w14:val="242424"/>
            </w14:solidFill>
          </w14:textFill>
        </w:rPr>
        <w:t>”</w:t>
      </w:r>
      <w:r>
        <w:rPr>
          <w:outline w:val="0"/>
          <w:color w:val="242424"/>
          <w:rtl w:val="0"/>
          <w:lang w:val="en-US"/>
          <w14:textFill>
            <w14:solidFill>
              <w14:srgbClr w14:val="242424"/>
            </w14:solidFill>
          </w14:textFill>
        </w:rPr>
        <w:t xml:space="preserve"> </w:t>
      </w:r>
      <w:r>
        <w:rPr>
          <w:i w:val="1"/>
          <w:iCs w:val="1"/>
          <w:outline w:val="0"/>
          <w:color w:val="242424"/>
          <w:rtl w:val="0"/>
          <w14:textFill>
            <w14:solidFill>
              <w14:srgbClr w14:val="242424"/>
            </w14:solidFill>
          </w14:textFill>
        </w:rPr>
        <w:t>(CIM,2020)</w:t>
      </w:r>
      <w:r>
        <w:rPr>
          <w:i w:val="1"/>
          <w:iCs w:val="1"/>
          <w:outline w:val="0"/>
          <w:color w:val="242424"/>
          <w:rtl w:val="0"/>
          <w:lang w:val="en-US"/>
          <w14:textFill>
            <w14:solidFill>
              <w14:srgbClr w14:val="242424"/>
            </w14:solidFill>
          </w14:textFill>
        </w:rPr>
        <w:t>.</w:t>
      </w:r>
      <w:r>
        <w:rPr>
          <w:outline w:val="0"/>
          <w:color w:val="242424"/>
          <w:rtl w:val="0"/>
          <w14:textFill>
            <w14:solidFill>
              <w14:srgbClr w14:val="242424"/>
            </w14:solidFill>
          </w14:textFill>
        </w:rPr>
        <w:t xml:space="preserve"> </w:t>
      </w:r>
    </w:p>
    <w:p>
      <w:pPr>
        <w:pStyle w:val="Body"/>
        <w:rPr>
          <w:outline w:val="0"/>
          <w:color w:val="242424"/>
          <w14:textFill>
            <w14:solidFill>
              <w14:srgbClr w14:val="242424"/>
            </w14:solidFill>
          </w14:textFill>
        </w:rPr>
      </w:pPr>
    </w:p>
    <w:p>
      <w:pPr>
        <w:pStyle w:val="Body"/>
        <w:rPr>
          <w:outline w:val="0"/>
          <w:color w:val="242424"/>
          <w14:textFill>
            <w14:solidFill>
              <w14:srgbClr w14:val="242424"/>
            </w14:solidFill>
          </w14:textFill>
        </w:rPr>
      </w:pPr>
      <w:r>
        <w:rPr>
          <w:outline w:val="0"/>
          <w:color w:val="242424"/>
          <w:rtl w:val="0"/>
          <w:lang w:val="en-US"/>
          <w14:textFill>
            <w14:solidFill>
              <w14:srgbClr w14:val="242424"/>
            </w14:solidFill>
          </w14:textFill>
        </w:rPr>
        <w:t>Feedback should be delivered to the employee continuously, by having frequent conversations about work performance and development opportunities.</w:t>
      </w:r>
      <w:r>
        <w:rPr>
          <w:outline w:val="0"/>
          <w:color w:val="242424"/>
          <w:rtl w:val="0"/>
          <w14:textFill>
            <w14:solidFill>
              <w14:srgbClr w14:val="242424"/>
            </w14:solidFill>
          </w14:textFill>
        </w:rPr>
        <w:t> </w:t>
      </w:r>
    </w:p>
    <w:p>
      <w:pPr>
        <w:pStyle w:val="Body"/>
        <w:rPr>
          <w:outline w:val="0"/>
          <w:color w:val="242424"/>
          <w14:textFill>
            <w14:solidFill>
              <w14:srgbClr w14:val="242424"/>
            </w14:solidFill>
          </w14:textFill>
        </w:rPr>
      </w:pPr>
      <w:r>
        <w:rPr>
          <w:outline w:val="0"/>
          <w:color w:val="242424"/>
          <w:rtl w:val="0"/>
          <w:lang w:val="en-US"/>
          <w14:textFill>
            <w14:solidFill>
              <w14:srgbClr w14:val="242424"/>
            </w14:solidFill>
          </w14:textFill>
        </w:rPr>
        <w:t>Monitoring performance management closely allows HRM teams to evaluate if there are any changes that can be done to prevent certain issues from arising in the business</w:t>
      </w:r>
      <w:r>
        <w:rPr>
          <w:outline w:val="0"/>
          <w:color w:val="242424"/>
          <w:rtl w:val="0"/>
          <w:lang w:val="en-US"/>
          <w14:textFill>
            <w14:solidFill>
              <w14:srgbClr w14:val="242424"/>
            </w14:solidFill>
          </w14:textFill>
        </w:rPr>
        <w:t xml:space="preserve"> </w:t>
      </w:r>
      <w:r>
        <w:rPr>
          <w:outline w:val="0"/>
          <w:color w:val="242424"/>
          <w:rtl w:val="0"/>
          <w14:textFill>
            <w14:solidFill>
              <w14:srgbClr w14:val="242424"/>
            </w14:solidFill>
          </w14:textFill>
        </w:rPr>
        <w:t>(</w:t>
      </w:r>
      <w:r>
        <w:rPr>
          <w:outline w:val="0"/>
          <w:color w:val="242424"/>
          <w:rtl w:val="0"/>
          <w:lang w:val="en-US"/>
          <w14:textFill>
            <w14:solidFill>
              <w14:srgbClr w14:val="242424"/>
            </w14:solidFill>
          </w14:textFill>
        </w:rPr>
        <w:t>Carpi et al.</w:t>
      </w:r>
      <w:r>
        <w:rPr>
          <w:outline w:val="0"/>
          <w:color w:val="242424"/>
          <w:rtl w:val="0"/>
          <w14:textFill>
            <w14:solidFill>
              <w14:srgbClr w14:val="242424"/>
            </w14:solidFill>
          </w14:textFill>
        </w:rPr>
        <w:t>,2017).</w:t>
      </w:r>
      <w:r>
        <w:rPr>
          <w:outline w:val="0"/>
          <w:color w:val="242424"/>
          <w:rtl w:val="0"/>
          <w14:textFill>
            <w14:solidFill>
              <w14:srgbClr w14:val="242424"/>
            </w14:solidFill>
          </w14:textFill>
        </w:rPr>
        <w:t> </w:t>
      </w:r>
    </w:p>
    <w:p>
      <w:pPr>
        <w:pStyle w:val="Body"/>
        <w:rPr>
          <w:outline w:val="0"/>
          <w:color w:val="242424"/>
          <w14:textFill>
            <w14:solidFill>
              <w14:srgbClr w14:val="242424"/>
            </w14:solidFill>
          </w14:textFill>
        </w:rPr>
      </w:pPr>
    </w:p>
    <w:p>
      <w:pPr>
        <w:pStyle w:val="Body"/>
        <w:rPr>
          <w:outline w:val="0"/>
          <w:color w:val="242424"/>
          <w14:textFill>
            <w14:solidFill>
              <w14:srgbClr w14:val="242424"/>
            </w14:solidFill>
          </w14:textFill>
        </w:rPr>
      </w:pPr>
      <w:r>
        <w:rPr>
          <w:outline w:val="0"/>
          <w:color w:val="242424"/>
          <w:rtl w:val="0"/>
          <w:lang w:val="en-US"/>
          <w14:textFill>
            <w14:solidFill>
              <w14:srgbClr w14:val="242424"/>
            </w14:solidFill>
          </w14:textFill>
        </w:rPr>
        <w:t>Continuous engagement with employees throughout the performance year should allow the business to better recognise, support and fuel high standards of performance, and enhance the overall career experience.</w:t>
      </w:r>
    </w:p>
    <w:p>
      <w:pPr>
        <w:pStyle w:val="Body"/>
        <w:rPr>
          <w:i w:val="1"/>
          <w:iCs w:val="1"/>
          <w:outline w:val="0"/>
          <w:color w:val="242424"/>
          <w14:textFill>
            <w14:solidFill>
              <w14:srgbClr w14:val="242424"/>
            </w14:solidFill>
          </w14:textFill>
        </w:rPr>
      </w:pPr>
      <w:r>
        <w:rPr>
          <w:outline w:val="0"/>
          <w:color w:val="242424"/>
          <w:rtl w:val="0"/>
          <w:lang w:val="en-US"/>
          <w14:textFill>
            <w14:solidFill>
              <w14:srgbClr w14:val="242424"/>
            </w14:solidFill>
          </w14:textFill>
        </w:rPr>
        <w:t>For employees, the purpose of performance management is to develop their understanding of what they personally bring to the organisation and how their performance and learning can be improved to reach strategic goals</w:t>
      </w:r>
      <w:r>
        <w:rPr>
          <w:outline w:val="0"/>
          <w:color w:val="242424"/>
          <w:rtl w:val="0"/>
          <w:lang w:val="en-US"/>
          <w14:textFill>
            <w14:solidFill>
              <w14:srgbClr w14:val="242424"/>
            </w14:solidFill>
          </w14:textFill>
        </w:rPr>
        <w:t xml:space="preserve"> </w:t>
      </w:r>
      <w:r>
        <w:rPr>
          <w:i w:val="1"/>
          <w:iCs w:val="1"/>
          <w:outline w:val="0"/>
          <w:color w:val="242424"/>
          <w:rtl w:val="0"/>
          <w:lang w:val="fr-FR"/>
          <w14:textFill>
            <w14:solidFill>
              <w14:srgbClr w14:val="242424"/>
            </w14:solidFill>
          </w14:textFill>
        </w:rPr>
        <w:t>(Waite et al.,2021,p.160)</w:t>
      </w:r>
      <w:r>
        <w:rPr>
          <w:i w:val="1"/>
          <w:iCs w:val="1"/>
          <w:outline w:val="0"/>
          <w:color w:val="242424"/>
          <w:rtl w:val="0"/>
          <w:lang w:val="en-US"/>
          <w14:textFill>
            <w14:solidFill>
              <w14:srgbClr w14:val="242424"/>
            </w14:solidFill>
          </w14:textFill>
        </w:rPr>
        <w:t>.</w:t>
      </w:r>
    </w:p>
    <w:p>
      <w:pPr>
        <w:pStyle w:val="Body"/>
        <w:rPr>
          <w:outline w:val="0"/>
          <w:color w:val="242424"/>
          <w14:textFill>
            <w14:solidFill>
              <w14:srgbClr w14:val="242424"/>
            </w14:solidFill>
          </w14:textFill>
        </w:rPr>
      </w:pPr>
    </w:p>
    <w:p>
      <w:pPr>
        <w:pStyle w:val="Body"/>
        <w:rPr>
          <w:outline w:val="0"/>
          <w:color w:val="242424"/>
          <w14:textFill>
            <w14:solidFill>
              <w14:srgbClr w14:val="242424"/>
            </w14:solidFill>
          </w14:textFill>
        </w:rPr>
      </w:pPr>
      <w:r>
        <w:rPr>
          <w:outline w:val="0"/>
          <w:color w:val="242424"/>
          <w:rtl w:val="0"/>
          <w:lang w:val="en-US"/>
          <w14:textFill>
            <w14:solidFill>
              <w14:srgbClr w14:val="242424"/>
            </w14:solidFill>
          </w14:textFill>
        </w:rPr>
        <w:t xml:space="preserve">The first component to a performance management system is planning. During this stage, the organisation sets SMART (specific, measurable, attainable, realistic, timebound) goals and clear objectives for each of its employees to aim to accomplish within a time-frame. </w:t>
      </w:r>
      <w:r>
        <w:rPr>
          <w:i w:val="1"/>
          <w:iCs w:val="1"/>
          <w:outline w:val="0"/>
          <w:color w:val="242424"/>
          <w:rtl w:val="0"/>
          <w14:textFill>
            <w14:solidFill>
              <w14:srgbClr w14:val="242424"/>
            </w14:solidFill>
          </w14:textFill>
        </w:rPr>
        <w:t>(</w:t>
      </w:r>
      <w:r>
        <w:rPr>
          <w:i w:val="1"/>
          <w:iCs w:val="1"/>
          <w:outline w:val="0"/>
          <w:color w:val="242424"/>
          <w:rtl w:val="0"/>
          <w:lang w:val="en-US"/>
          <w14:textFill>
            <w14:solidFill>
              <w14:srgbClr w14:val="242424"/>
            </w14:solidFill>
          </w14:textFill>
        </w:rPr>
        <w:t>Ranjan,R.</w:t>
      </w:r>
      <w:r>
        <w:rPr>
          <w:i w:val="1"/>
          <w:iCs w:val="1"/>
          <w:outline w:val="0"/>
          <w:color w:val="242424"/>
          <w:rtl w:val="0"/>
          <w14:textFill>
            <w14:solidFill>
              <w14:srgbClr w14:val="242424"/>
            </w14:solidFill>
          </w14:textFill>
        </w:rPr>
        <w:t>, 2021)</w:t>
      </w:r>
    </w:p>
    <w:p>
      <w:pPr>
        <w:pStyle w:val="Body"/>
        <w:rPr>
          <w:i w:val="1"/>
          <w:iCs w:val="1"/>
          <w:outline w:val="0"/>
          <w:color w:val="242424"/>
          <w14:textFill>
            <w14:solidFill>
              <w14:srgbClr w14:val="242424"/>
            </w14:solidFill>
          </w14:textFill>
        </w:rPr>
      </w:pPr>
      <w:r>
        <w:rPr>
          <w:outline w:val="0"/>
          <w:color w:val="242424"/>
          <w:rtl w:val="0"/>
          <w:lang w:val="en-US"/>
          <w14:textFill>
            <w14:solidFill>
              <w14:srgbClr w14:val="242424"/>
            </w14:solidFill>
          </w14:textFill>
        </w:rPr>
        <w:t>SMART goals that have been set in the planning stage are then monitored to ensure that the organisation is on track to achieve them. This can be done by sharing information regularly with the team and analysing if there are key areas to improve on, or if there are clear issues that need solutions</w:t>
      </w:r>
      <w:r>
        <w:rPr>
          <w:outline w:val="0"/>
          <w:color w:val="242424"/>
          <w:rtl w:val="0"/>
          <w:lang w:val="en-US"/>
          <w14:textFill>
            <w14:solidFill>
              <w14:srgbClr w14:val="242424"/>
            </w14:solidFill>
          </w14:textFill>
        </w:rPr>
        <w:t xml:space="preserve"> </w:t>
      </w:r>
      <w:r>
        <w:rPr>
          <w:i w:val="1"/>
          <w:iCs w:val="1"/>
          <w:outline w:val="0"/>
          <w:color w:val="242424"/>
          <w:rtl w:val="0"/>
          <w:lang w:val="en-US"/>
          <w14:textFill>
            <w14:solidFill>
              <w14:srgbClr w14:val="242424"/>
            </w14:solidFill>
          </w14:textFill>
        </w:rPr>
        <w:t>(JPMorgan Chase &amp; Co)</w:t>
      </w:r>
      <w:r>
        <w:rPr>
          <w:i w:val="1"/>
          <w:iCs w:val="1"/>
          <w:outline w:val="0"/>
          <w:color w:val="242424"/>
          <w:rtl w:val="0"/>
          <w:lang w:val="en-US"/>
          <w14:textFill>
            <w14:solidFill>
              <w14:srgbClr w14:val="242424"/>
            </w14:solidFill>
          </w14:textFill>
        </w:rPr>
        <w:t>.</w:t>
      </w:r>
    </w:p>
    <w:p>
      <w:pPr>
        <w:pStyle w:val="Body"/>
        <w:rPr>
          <w:outline w:val="0"/>
          <w:color w:val="242424"/>
          <w14:textFill>
            <w14:solidFill>
              <w14:srgbClr w14:val="242424"/>
            </w14:solidFill>
          </w14:textFill>
        </w:rPr>
      </w:pPr>
    </w:p>
    <w:p>
      <w:pPr>
        <w:pStyle w:val="Body"/>
        <w:rPr>
          <w:outline w:val="0"/>
          <w:color w:val="242424"/>
          <w14:textFill>
            <w14:solidFill>
              <w14:srgbClr w14:val="242424"/>
            </w14:solidFill>
          </w14:textFill>
        </w:rPr>
      </w:pPr>
      <w:r>
        <w:rPr>
          <w:outline w:val="0"/>
          <w:color w:val="242424"/>
          <w:rtl w:val="0"/>
          <w:lang w:val="en-US"/>
          <w14:textFill>
            <w14:solidFill>
              <w14:srgbClr w14:val="242424"/>
            </w14:solidFill>
          </w14:textFill>
        </w:rPr>
        <w:t>Rewarding employees for their efforts is an essential component of performance management as it helps to retain talent, and will increase their motivation to continue meeting the organisation</w:t>
      </w:r>
      <w:r>
        <w:rPr>
          <w:outline w:val="0"/>
          <w:color w:val="242424"/>
          <w:rtl w:val="1"/>
          <w14:textFill>
            <w14:solidFill>
              <w14:srgbClr w14:val="242424"/>
            </w14:solidFill>
          </w14:textFill>
        </w:rPr>
        <w:t>’</w:t>
      </w:r>
      <w:r>
        <w:rPr>
          <w:outline w:val="0"/>
          <w:color w:val="242424"/>
          <w:rtl w:val="0"/>
          <w:lang w:val="en-US"/>
          <w14:textFill>
            <w14:solidFill>
              <w14:srgbClr w14:val="242424"/>
            </w14:solidFill>
          </w14:textFill>
        </w:rPr>
        <w:t>s goals in future. Rewards can be monetary, for example a bonus to their pay, or they can be non-monetary such as receiving written feedback</w:t>
      </w:r>
      <w:r>
        <w:rPr>
          <w:outline w:val="0"/>
          <w:color w:val="242424"/>
          <w:rtl w:val="0"/>
          <w:lang w:val="en-US"/>
          <w14:textFill>
            <w14:solidFill>
              <w14:srgbClr w14:val="242424"/>
            </w14:solidFill>
          </w14:textFill>
        </w:rPr>
        <w:t xml:space="preserve"> </w:t>
      </w:r>
      <w:r>
        <w:rPr>
          <w:i w:val="1"/>
          <w:iCs w:val="1"/>
          <w:outline w:val="0"/>
          <w:color w:val="242424"/>
          <w:rtl w:val="0"/>
          <w14:textFill>
            <w14:solidFill>
              <w14:srgbClr w14:val="242424"/>
            </w14:solidFill>
          </w14:textFill>
        </w:rPr>
        <w:t>(Valamis, 2023</w:t>
      </w:r>
      <w:r>
        <w:rPr>
          <w:i w:val="1"/>
          <w:iCs w:val="1"/>
          <w:outline w:val="0"/>
          <w:color w:val="242424"/>
          <w:rtl w:val="0"/>
          <w:lang w:val="en-US"/>
          <w14:textFill>
            <w14:solidFill>
              <w14:srgbClr w14:val="242424"/>
            </w14:solidFill>
          </w14:textFill>
        </w:rPr>
        <w:t>).</w:t>
      </w:r>
    </w:p>
    <w:p>
      <w:pPr>
        <w:pStyle w:val="Body"/>
        <w:bidi w:val="0"/>
      </w:pPr>
    </w:p>
    <w:p>
      <w:pPr>
        <w:pStyle w:val="Body"/>
        <w:bidi w:val="0"/>
      </w:pPr>
    </w:p>
    <w:p>
      <w:pPr>
        <w:pStyle w:val="Body"/>
        <w:bidi w:val="0"/>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AC 4.2 </w:t>
      </w:r>
    </w:p>
    <w:p>
      <w:pPr>
        <w:pStyle w:val="Body"/>
        <w:bidi w:val="0"/>
      </w:pPr>
      <w:r>
        <w:rPr>
          <w:rtl w:val="0"/>
        </w:rPr>
        <w:t>There are a number of factors to consider when managing performance:</w:t>
      </w:r>
    </w:p>
    <w:p>
      <w:pPr>
        <w:pStyle w:val="Body"/>
        <w:bidi w:val="0"/>
        <w:rPr>
          <w:shd w:val="clear" w:color="auto" w:fill="ffffff"/>
        </w:rPr>
      </w:pPr>
    </w:p>
    <w:p>
      <w:pPr>
        <w:pStyle w:val="Body"/>
        <w:numPr>
          <w:ilvl w:val="0"/>
          <w:numId w:val="2"/>
        </w:numPr>
        <w:bidi w:val="0"/>
      </w:pPr>
      <w:r>
        <w:rPr>
          <w:rtl w:val="0"/>
        </w:rPr>
        <w:t>The individuals' goals &amp; objectives</w:t>
      </w:r>
    </w:p>
    <w:p>
      <w:pPr>
        <w:pStyle w:val="Body"/>
        <w:numPr>
          <w:ilvl w:val="0"/>
          <w:numId w:val="2"/>
        </w:numPr>
        <w:bidi w:val="0"/>
      </w:pPr>
      <w:r>
        <w:rPr>
          <w:rtl w:val="0"/>
        </w:rPr>
        <w:t>The individuals' ability to perform their role to the required standard, and the feedback received from their responsible tasks</w:t>
      </w:r>
    </w:p>
    <w:p>
      <w:pPr>
        <w:pStyle w:val="Body"/>
        <w:numPr>
          <w:ilvl w:val="0"/>
          <w:numId w:val="2"/>
        </w:numPr>
        <w:bidi w:val="0"/>
      </w:pPr>
      <w:r>
        <w:rPr>
          <w:rtl w:val="0"/>
        </w:rPr>
        <w:t>The individuals' personal circumstance (i.e. wellbeing, flexible working, dependents)</w:t>
      </w:r>
    </w:p>
    <w:p>
      <w:pPr>
        <w:pStyle w:val="Body"/>
        <w:numPr>
          <w:ilvl w:val="0"/>
          <w:numId w:val="2"/>
        </w:numPr>
        <w:bidi w:val="0"/>
      </w:pPr>
      <w:r>
        <w:rPr>
          <w:rtl w:val="0"/>
        </w:rPr>
        <w:t>The individuals' access to support, learning channels and coaching / mentorship</w:t>
      </w:r>
    </w:p>
    <w:p>
      <w:pPr>
        <w:pStyle w:val="Body"/>
        <w:bidi w:val="0"/>
        <w:rPr>
          <w:shd w:val="clear" w:color="auto" w:fill="ffffff"/>
        </w:rPr>
      </w:pPr>
    </w:p>
    <w:p>
      <w:pPr>
        <w:pStyle w:val="Body"/>
        <w:bidi w:val="0"/>
      </w:pPr>
      <w:r>
        <w:rPr>
          <w:rtl w:val="0"/>
        </w:rPr>
        <w:t>When managing performance, it is crucial that management ensure that company goals are clearly understood by each member of the team, and that they are required to meet these targets through their own individual job roles</w:t>
      </w:r>
      <w:r>
        <w:rPr>
          <w:rtl w:val="0"/>
        </w:rPr>
        <w:t xml:space="preserve"> </w:t>
      </w:r>
      <w:r>
        <w:rPr>
          <w:rtl w:val="0"/>
        </w:rPr>
        <w:t>(</w:t>
      </w:r>
      <w:r>
        <w:rPr>
          <w:i w:val="1"/>
          <w:iCs w:val="1"/>
          <w:rtl w:val="0"/>
          <w:lang w:val="fr-FR"/>
        </w:rPr>
        <w:t xml:space="preserve">Waite et al.,2021,p.164). </w:t>
      </w:r>
    </w:p>
    <w:p>
      <w:pPr>
        <w:pStyle w:val="Body"/>
        <w:bidi w:val="0"/>
      </w:pPr>
      <w:r>
        <w:rPr>
          <w:rtl w:val="0"/>
        </w:rPr>
        <w:t>Goals and objectives should be SMART, and relative to the job role and career aspirations of the individual.</w:t>
      </w:r>
    </w:p>
    <w:p>
      <w:pPr>
        <w:pStyle w:val="Body"/>
        <w:bidi w:val="0"/>
      </w:pPr>
    </w:p>
    <w:p>
      <w:pPr>
        <w:pStyle w:val="Body"/>
        <w:bidi w:val="0"/>
      </w:pPr>
      <w:r>
        <w:rPr>
          <w:rtl w:val="0"/>
        </w:rPr>
        <w:t>As a manager, giving consistent feedback aids employees</w:t>
      </w:r>
      <w:r>
        <w:rPr>
          <w:rtl w:val="1"/>
        </w:rPr>
        <w:t xml:space="preserve">’ </w:t>
      </w:r>
      <w:r>
        <w:rPr>
          <w:rtl w:val="0"/>
        </w:rPr>
        <w:t>performance and provides them with the necessary resources and support that they may need, for their personal growth and development</w:t>
      </w:r>
      <w:r>
        <w:rPr>
          <w:rtl w:val="0"/>
        </w:rPr>
        <w:t xml:space="preserve"> </w:t>
      </w:r>
      <w:r>
        <w:rPr>
          <w:i w:val="1"/>
          <w:iCs w:val="1"/>
          <w:rtl w:val="0"/>
        </w:rPr>
        <w:t>(Adobe, 2019).</w:t>
      </w:r>
      <w:r>
        <w:rPr>
          <w:rtl w:val="0"/>
        </w:rPr>
        <w:t xml:space="preserve"> Training the performance managers on providing feedback is also beneficial, particularly when delivering constructive or developmental feedback. This is to ensure matters are handled respectfully and correctly, and that a recovery action plan is agreed upon where there are cases of low performance.</w:t>
      </w:r>
    </w:p>
    <w:p>
      <w:pPr>
        <w:pStyle w:val="Body"/>
        <w:bidi w:val="0"/>
        <w:rPr>
          <w:shd w:val="clear" w:color="auto" w:fill="ffffff"/>
        </w:rPr>
      </w:pPr>
    </w:p>
    <w:p>
      <w:pPr>
        <w:pStyle w:val="Body"/>
        <w:bidi w:val="0"/>
        <w:rPr>
          <w:outline w:val="0"/>
          <w:color w:val="000000"/>
          <w14:textFill>
            <w14:solidFill>
              <w14:srgbClr w14:val="000000"/>
            </w14:solidFill>
          </w14:textFill>
        </w:rPr>
      </w:pPr>
      <w:r>
        <w:rPr>
          <w:rtl w:val="0"/>
        </w:rPr>
        <w:t>Management should ensure that each member of their team has access to support for advice or escalations, and access to learning channels where they have the opportunity to up</w:t>
      </w:r>
      <w:r>
        <w:rPr>
          <w:rtl w:val="0"/>
        </w:rPr>
        <w:t>-</w:t>
      </w:r>
      <w:r>
        <w:rPr>
          <w:rtl w:val="0"/>
        </w:rPr>
        <w:t>skill within their job role to ensure performance KPIs are met. An additional measure that management can provide is coaching or mentoring, which can allow employees to view their careers holistically and develop accordingly.</w:t>
      </w:r>
    </w:p>
    <w:p>
      <w:pPr>
        <w:pStyle w:val="Default"/>
        <w:rPr>
          <w:rFonts w:ascii="Arial" w:cs="Arial" w:hAnsi="Arial" w:eastAsia="Arial"/>
          <w:outline w:val="0"/>
          <w:color w:val="51a6f8"/>
          <w:sz w:val="22"/>
          <w:szCs w:val="22"/>
          <w:shd w:val="clear" w:color="auto" w:fill="ffffff"/>
          <w14:textFill>
            <w14:solidFill>
              <w14:srgbClr w14:val="51A7F9"/>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AC 4.3 </w:t>
      </w:r>
    </w:p>
    <w:p>
      <w:pPr>
        <w:pStyle w:val="Body"/>
        <w:bidi w:val="0"/>
      </w:pPr>
    </w:p>
    <w:p>
      <w:pPr>
        <w:pStyle w:val="Body"/>
        <w:bidi w:val="0"/>
        <w:rPr>
          <w:outline w:val="0"/>
          <w:color w:val="000000"/>
          <w14:textFill>
            <w14:solidFill>
              <w14:srgbClr w14:val="000000"/>
            </w14:solidFill>
          </w14:textFill>
        </w:rPr>
      </w:pPr>
      <w:r>
        <w:rPr>
          <w:outline w:val="0"/>
          <w:color w:val="242424"/>
          <w:rtl w:val="0"/>
          <w:lang w:val="en-US"/>
          <w14:textFill>
            <w14:solidFill>
              <w14:srgbClr w14:val="242424"/>
            </w14:solidFill>
          </w14:textFill>
        </w:rPr>
        <w:t>Self-assessments are a constructive method of assessing performance in the workplace, as employees are required to evaluate their own performance and determine where there is room for improvement.</w:t>
      </w:r>
      <w:r>
        <w:rPr>
          <w:outline w:val="0"/>
          <w:color w:val="242424"/>
          <w:rtl w:val="0"/>
          <w14:textFill>
            <w14:solidFill>
              <w14:srgbClr w14:val="242424"/>
            </w14:solidFill>
          </w14:textFill>
        </w:rPr>
        <w:t> </w:t>
      </w:r>
      <w:r>
        <w:rPr>
          <w:rtl w:val="0"/>
        </w:rPr>
        <w:t>Asking the individuals to complete a self-assessment on their performance throughout the year can aid performance managers in identifying strengths, development points, and quickly address any areas of concern.</w:t>
      </w:r>
    </w:p>
    <w:p>
      <w:pPr>
        <w:pStyle w:val="Body"/>
        <w:bidi w:val="0"/>
        <w:rPr>
          <w:shd w:val="clear" w:color="auto" w:fill="ffffff"/>
        </w:rPr>
      </w:pPr>
    </w:p>
    <w:p>
      <w:pPr>
        <w:pStyle w:val="Body"/>
        <w:bidi w:val="0"/>
        <w:rPr>
          <w:outline w:val="0"/>
          <w:color w:val="000000"/>
          <w14:textFill>
            <w14:solidFill>
              <w14:srgbClr w14:val="000000"/>
            </w14:solidFill>
          </w14:textFill>
        </w:rPr>
      </w:pPr>
      <w:r>
        <w:rPr>
          <w:rtl w:val="0"/>
        </w:rPr>
        <w:t>360-degree feedback is a common method used to review employee performance and evaluate areas in which to improve. Feedback is gathered from the employee</w:t>
      </w:r>
      <w:r>
        <w:rPr>
          <w:rtl w:val="1"/>
        </w:rPr>
        <w:t>’</w:t>
      </w:r>
      <w:r>
        <w:rPr>
          <w:rtl w:val="0"/>
        </w:rPr>
        <w:t>s co-workers, managers and leaders of the organisation in order to determine their strengths, weaknesses and general competency in the role</w:t>
      </w:r>
      <w:r>
        <w:rPr>
          <w:rtl w:val="0"/>
        </w:rPr>
        <w:t xml:space="preserve"> </w:t>
      </w:r>
      <w:r>
        <w:rPr>
          <w:i w:val="1"/>
          <w:iCs w:val="1"/>
          <w:rtl w:val="0"/>
          <w:lang w:val="en-US"/>
        </w:rPr>
        <w:t>(van Vulpen,E., date unknown</w:t>
      </w:r>
      <w:r>
        <w:rPr>
          <w:i w:val="1"/>
          <w:iCs w:val="1"/>
          <w:rtl w:val="0"/>
        </w:rPr>
        <w:t>)</w:t>
      </w:r>
      <w:r>
        <w:rPr>
          <w:i w:val="1"/>
          <w:iCs w:val="1"/>
          <w:rtl w:val="0"/>
          <w:lang w:val="en-US"/>
        </w:rPr>
        <w:t>.</w:t>
      </w:r>
    </w:p>
    <w:p>
      <w:pPr>
        <w:pStyle w:val="Body"/>
        <w:bidi w:val="0"/>
        <w:rPr>
          <w:shd w:val="clear" w:color="auto" w:fill="ffffff"/>
        </w:rPr>
      </w:pPr>
    </w:p>
    <w:p>
      <w:pPr>
        <w:pStyle w:val="Body"/>
        <w:bidi w:val="0"/>
      </w:pPr>
      <w:r>
        <w:rPr>
          <w:rtl w:val="0"/>
        </w:rPr>
        <w:t xml:space="preserve">Formal performance reviews or panels should be held at consistent intervals (i.e. yearly, or quarterly) to discuss the growth and development of employees in the business. The performance reviews can be used to drive reward decisions, i.e salary </w:t>
      </w:r>
      <w:r>
        <w:rPr>
          <w:rtl w:val="0"/>
        </w:rPr>
        <w:t>increases</w:t>
      </w:r>
      <w:r>
        <w:rPr>
          <w:rtl w:val="0"/>
        </w:rPr>
        <w:t>, bonuses etc, and to inform resourcing decisions within the business by identifying any skill gaps. Additionally, performance reviews or panels can help to identify the highest and lowest performers against the benchmark, allow managers to identify key themes and trends that emerge relating to performance, and finally, put measures in place for those employees in need of support.</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AC 5.1 </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In order to retain and hire staff, organisations must present their employees with an attractive rewards system, comprising of financial and non-financial rewards. </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Non-financial rewards, such as career development opportunities, are valuable incentives for employees. Offering training, education, and growth prospects not only benefit the individual's personal and professional development but also enhance the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organisation's</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talent pool and knowledge base. Employees who see opportunities for advancement and skill-building are more likely to stay committed to their roles and contribute to the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organisation's</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success</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(Chron, 2020).</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Another non-financial reward that is critical to the growth of an organisation, is recognising the efforts of employees. 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egular praise, constructive feedback, and recognition awards can boost employee morale and create a positive work culture. When employees feel appreciated for their efforts, they are more likely to be engaged and perform at their best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(CIPD, 2023). </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Financial rewards, such as bonuses, can be effective in motivating employees to achieve their targets and collaborate with their colleagues. Offering performance-based bonuses provides employees with tangible incentives for their hard work and dedication.</w:t>
      </w:r>
    </w:p>
    <w:p>
      <w:pPr>
        <w:pStyle w:val="Body"/>
        <w:bidi w:val="0"/>
      </w:pPr>
      <w:r>
        <w:rPr>
          <w:rtl w:val="0"/>
        </w:rPr>
        <w:t>Benefits packages are crucial in attracting and retaining talent. Providing healthcare, mental health and wellbeing care, and pension/holiday leave</w:t>
      </w:r>
      <w:r>
        <w:rPr>
          <w:rtl w:val="0"/>
        </w:rPr>
        <w:t xml:space="preserve">, </w:t>
      </w:r>
      <w:r>
        <w:rPr>
          <w:rtl w:val="0"/>
        </w:rPr>
        <w:t xml:space="preserve">demonstrate an </w:t>
      </w:r>
      <w:r>
        <w:rPr>
          <w:rtl w:val="0"/>
        </w:rPr>
        <w:t>organisation's</w:t>
      </w:r>
      <w:r>
        <w:rPr>
          <w:rtl w:val="0"/>
        </w:rPr>
        <w:t xml:space="preserve"> commitment to the overall well-being of its employees. Offering desirable benefits can set an </w:t>
      </w:r>
      <w:r>
        <w:rPr>
          <w:rtl w:val="0"/>
        </w:rPr>
        <w:t>organisation</w:t>
      </w:r>
      <w:r>
        <w:rPr>
          <w:rtl w:val="0"/>
        </w:rPr>
        <w:t xml:space="preserve"> apart from its competitors and make it more appealing to prospective and current employees.</w:t>
      </w:r>
      <w:r>
        <w:rPr>
          <w:rtl w:val="0"/>
        </w:rPr>
        <w:t xml:space="preserve"> </w:t>
      </w:r>
      <w:r>
        <w:rPr>
          <w:rtl w:val="0"/>
        </w:rPr>
        <w:t xml:space="preserve">Allowing individuals to choose benefits that suit their specific needs and preferences can increase job satisfaction and create a sense of value and autonomy within the </w:t>
      </w:r>
      <w:r>
        <w:rPr>
          <w:rtl w:val="0"/>
        </w:rPr>
        <w:t xml:space="preserve">organisation </w:t>
      </w:r>
      <w:r>
        <w:rPr>
          <w:i w:val="1"/>
          <w:iCs w:val="1"/>
          <w:rtl w:val="0"/>
          <w:lang w:val="en-US"/>
        </w:rPr>
        <w:t xml:space="preserve">(Deloitte, date unknown). </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AC 5.2 </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pStyle w:val="Body"/>
        <w:bidi w:val="0"/>
      </w:pPr>
      <w:r>
        <w:rPr>
          <w:rtl w:val="0"/>
        </w:rPr>
        <w:t xml:space="preserve">Rewarding employees for their hard work and dedication can indeed motivate them to perform better and contribute to the growth of the </w:t>
      </w:r>
      <w:r>
        <w:rPr>
          <w:rtl w:val="0"/>
        </w:rPr>
        <w:t>organisation</w:t>
      </w:r>
      <w:r>
        <w:rPr>
          <w:rtl w:val="0"/>
        </w:rPr>
        <w:t xml:space="preserve">. </w:t>
      </w:r>
      <w:r>
        <w:rPr>
          <w:rtl w:val="0"/>
        </w:rPr>
        <w:t>Recognising</w:t>
      </w:r>
      <w:r>
        <w:rPr>
          <w:rtl w:val="0"/>
        </w:rPr>
        <w:t xml:space="preserve"> and </w:t>
      </w:r>
      <w:r>
        <w:rPr>
          <w:rtl w:val="0"/>
        </w:rPr>
        <w:t>incentivising</w:t>
      </w:r>
      <w:r>
        <w:rPr>
          <w:rtl w:val="0"/>
        </w:rPr>
        <w:t xml:space="preserve"> exceptional contributions can create a positive and productive work culture, fostering higher levels of commitment and job satisfaction</w:t>
      </w:r>
      <w:r>
        <w:rPr>
          <w:rtl w:val="0"/>
        </w:rPr>
        <w:t xml:space="preserve"> </w:t>
      </w:r>
      <w:r>
        <w:rPr>
          <w:i w:val="1"/>
          <w:iCs w:val="1"/>
          <w:rtl w:val="0"/>
          <w:lang w:val="en-US"/>
        </w:rPr>
        <w:t>(Jansen,T., 2022).</w:t>
      </w:r>
    </w:p>
    <w:p>
      <w:pPr>
        <w:pStyle w:val="Body"/>
        <w:bidi w:val="0"/>
        <w:rPr>
          <w:shd w:val="clear" w:color="auto" w:fill="ffffff"/>
        </w:rPr>
      </w:pPr>
    </w:p>
    <w:p>
      <w:pPr>
        <w:pStyle w:val="Body"/>
        <w:bidi w:val="0"/>
      </w:pPr>
      <w:r>
        <w:rPr>
          <w:rtl w:val="0"/>
        </w:rPr>
        <w:t xml:space="preserve">Herzberg's two-factor theory, is an influential framework for understanding employee motivation. According to this theory, there are </w:t>
      </w:r>
      <w:r>
        <w:rPr>
          <w:rtl w:val="0"/>
        </w:rPr>
        <w:t>‘</w:t>
      </w:r>
      <w:r>
        <w:rPr>
          <w:rtl w:val="0"/>
          <w:lang w:val="da-DK"/>
        </w:rPr>
        <w:t>hygiene factors</w:t>
      </w:r>
      <w:r>
        <w:rPr>
          <w:rtl w:val="0"/>
        </w:rPr>
        <w:t>'</w:t>
      </w:r>
      <w:r>
        <w:rPr>
          <w:rtl w:val="0"/>
        </w:rPr>
        <w:t xml:space="preserve"> and </w:t>
      </w:r>
      <w:r>
        <w:rPr>
          <w:rtl w:val="0"/>
        </w:rPr>
        <w:t>‘</w:t>
      </w:r>
      <w:r>
        <w:rPr>
          <w:rtl w:val="0"/>
        </w:rPr>
        <w:t>motivational factors</w:t>
      </w:r>
      <w:r>
        <w:rPr>
          <w:rtl w:val="0"/>
        </w:rPr>
        <w:t>’</w:t>
      </w:r>
      <w:r>
        <w:rPr>
          <w:rtl w:val="0"/>
        </w:rPr>
        <w:t xml:space="preserve">. </w:t>
      </w:r>
    </w:p>
    <w:p>
      <w:pPr>
        <w:pStyle w:val="Body"/>
        <w:bidi w:val="0"/>
      </w:pPr>
      <w:r>
        <w:rPr>
          <w:rtl w:val="0"/>
        </w:rPr>
        <w:t>Hygiene factors refer to the context or environment in which employees work, and if these factors are not managed efficiently, they can lead to dissatisfaction. Examples include salaries, work policies, colleague relationships, and the overall working conditions</w:t>
      </w:r>
      <w:r>
        <w:rPr>
          <w:rtl w:val="0"/>
        </w:rPr>
        <w:t xml:space="preserve"> </w:t>
      </w:r>
      <w:r>
        <w:rPr>
          <w:i w:val="1"/>
          <w:iCs w:val="1"/>
          <w:rtl w:val="0"/>
          <w:lang w:val="en-US"/>
        </w:rPr>
        <w:t>(CIPD,2021).</w:t>
      </w:r>
    </w:p>
    <w:p>
      <w:pPr>
        <w:pStyle w:val="Body"/>
        <w:bidi w:val="0"/>
        <w:rPr>
          <w:shd w:val="clear" w:color="auto" w:fill="ffffff"/>
        </w:rPr>
      </w:pPr>
    </w:p>
    <w:p>
      <w:pPr>
        <w:pStyle w:val="Body"/>
        <w:bidi w:val="0"/>
      </w:pPr>
      <w:r>
        <w:rPr>
          <w:rtl w:val="0"/>
        </w:rPr>
        <w:t>On the other hand, motivational factors, as noted by Herzberg, are those that contribute to employee satisfaction and motivation. These factors include recognition for exceptional contributions, level of responsibility, and opportunities for personal and professional growth. When these factors are present, they can positively impact employee motivation and performance</w:t>
      </w:r>
      <w:r>
        <w:rPr>
          <w:rtl w:val="0"/>
        </w:rPr>
        <w:t xml:space="preserve"> </w:t>
      </w:r>
      <w:r>
        <w:rPr>
          <w:i w:val="1"/>
          <w:iCs w:val="1"/>
          <w:rtl w:val="0"/>
          <w:lang w:val="en-US"/>
        </w:rPr>
        <w:t>(British Library, date unknown).</w:t>
      </w:r>
    </w:p>
    <w:p>
      <w:pPr>
        <w:pStyle w:val="Body"/>
        <w:bidi w:val="0"/>
        <w:rPr>
          <w:shd w:val="clear" w:color="auto" w:fill="ffffff"/>
        </w:rPr>
      </w:pPr>
    </w:p>
    <w:p>
      <w:pPr>
        <w:pStyle w:val="Body"/>
        <w:bidi w:val="0"/>
      </w:pPr>
      <w:r>
        <w:rPr>
          <w:rtl w:val="0"/>
        </w:rPr>
        <w:t xml:space="preserve">To create a high-performance culture, </w:t>
      </w:r>
      <w:r>
        <w:rPr>
          <w:rtl w:val="0"/>
        </w:rPr>
        <w:t>organisations</w:t>
      </w:r>
      <w:r>
        <w:rPr>
          <w:rtl w:val="0"/>
        </w:rPr>
        <w:t xml:space="preserve"> must address both hygiene factors and motivational factors. Adequate salaries, fair work policies, and a supportive operating environment are necessary to prevent dissatisfaction. At the same time, offering opportunities for recognition, growth, and increased responsibility can fuel employee satisfaction and commitment</w:t>
      </w:r>
      <w:r>
        <w:rPr>
          <w:rtl w:val="0"/>
        </w:rPr>
        <w:t xml:space="preserve"> </w:t>
      </w:r>
      <w:r>
        <w:rPr>
          <w:i w:val="1"/>
          <w:iCs w:val="1"/>
          <w:rtl w:val="0"/>
          <w:lang w:val="en-US"/>
        </w:rPr>
        <w:t>(British Library, date unknown).</w:t>
      </w:r>
    </w:p>
    <w:p>
      <w:pPr>
        <w:pStyle w:val="Body"/>
        <w:bidi w:val="0"/>
        <w:rPr>
          <w:shd w:val="clear" w:color="auto" w:fill="ffffff"/>
        </w:rPr>
      </w:pPr>
    </w:p>
    <w:p>
      <w:pPr>
        <w:pStyle w:val="Body"/>
        <w:bidi w:val="0"/>
      </w:pPr>
      <w:r>
        <w:rPr>
          <w:rtl w:val="0"/>
          <w:lang w:val="it-IT"/>
        </w:rPr>
        <w:t xml:space="preserve">In conclusion, </w:t>
      </w:r>
      <w:r>
        <w:rPr>
          <w:rtl w:val="0"/>
        </w:rPr>
        <w:t>recognising</w:t>
      </w:r>
      <w:r>
        <w:rPr>
          <w:rtl w:val="0"/>
        </w:rPr>
        <w:t xml:space="preserve"> and rewarding employees for their excellent performance can be a powerful tool to motivate them, increase their job satisfaction, and cultivate a high-performance culture within the </w:t>
      </w:r>
      <w:r>
        <w:rPr>
          <w:rtl w:val="0"/>
        </w:rPr>
        <w:t>organisation</w:t>
      </w:r>
      <w:r>
        <w:rPr>
          <w:rtl w:val="0"/>
        </w:rPr>
        <w:t xml:space="preserve">. By balancing both hygiene and motivational factors, employers can create an environment where employees feel valued and are more inclined to dedicate themselves to the </w:t>
      </w:r>
      <w:r>
        <w:rPr>
          <w:rtl w:val="0"/>
        </w:rPr>
        <w:t>organisation's</w:t>
      </w:r>
      <w:r>
        <w:rPr>
          <w:rtl w:val="0"/>
          <w:lang w:val="it-IT"/>
        </w:rPr>
        <w:t xml:space="preserve"> success.</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ed220b"/>
          <w:spacing w:val="0"/>
          <w:kern w:val="0"/>
          <w:position w:val="0"/>
          <w:sz w:val="22"/>
          <w:szCs w:val="22"/>
          <w:u w:val="none" w:color="000000"/>
          <w:shd w:val="nil" w:color="auto" w:fill="auto"/>
          <w:vertAlign w:val="baseline"/>
          <w:rtl w:val="0"/>
          <w:lang w:val="en-US"/>
          <w14:textOutline>
            <w14:noFill/>
          </w14:textOutline>
          <w14:textFill>
            <w14:solidFill>
              <w14:srgbClr w14:val="EE220C"/>
            </w14:solidFill>
          </w14:textFill>
        </w:rPr>
      </w:pPr>
    </w:p>
    <w:p>
      <w:pPr>
        <w:keepNext w:val="0"/>
        <w:keepLines w:val="0"/>
        <w:pageBreakBefore w:val="0"/>
        <w:widowControl w:val="1"/>
        <w:shd w:val="clear" w:color="auto" w:fill="auto"/>
        <w:suppressAutoHyphens w:val="0"/>
        <w:bidi w:val="0"/>
        <w:spacing w:before="0" w:after="120" w:line="264" w:lineRule="auto"/>
        <w:ind w:left="502"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AC 5.3</w:t>
      </w:r>
    </w:p>
    <w:p>
      <w:pPr>
        <w:pStyle w:val="Body"/>
        <w:bidi w:val="0"/>
        <w:rPr>
          <w:i w:val="1"/>
          <w:iCs w:val="1"/>
        </w:rPr>
      </w:pPr>
      <w:r>
        <w:rPr>
          <w:rtl w:val="0"/>
          <w:lang w:val="en-US"/>
        </w:rPr>
        <w:t>W</w:t>
      </w:r>
      <w:r>
        <w:rPr>
          <w:rtl w:val="0"/>
          <w:lang w:val="en-US"/>
        </w:rPr>
        <w:t xml:space="preserve">hen employers pay their staff fairly, it fosters a positive work environment and demonstrates that the </w:t>
      </w:r>
      <w:r>
        <w:rPr>
          <w:rtl w:val="0"/>
          <w:lang w:val="en-US"/>
        </w:rPr>
        <w:t>organisation</w:t>
      </w:r>
      <w:r>
        <w:rPr>
          <w:rtl w:val="0"/>
          <w:lang w:val="en-US"/>
        </w:rPr>
        <w:t xml:space="preserve"> values its employees' contributions. This can lead to increased productivity, lower turnover rates, and improved workforce morale, as supported by th</w:t>
      </w:r>
      <w:r>
        <w:rPr>
          <w:rtl w:val="0"/>
          <w:lang w:val="en-US"/>
        </w:rPr>
        <w:t>is</w:t>
      </w:r>
      <w:r>
        <w:rPr>
          <w:rtl w:val="0"/>
          <w:lang w:val="nl-NL"/>
        </w:rPr>
        <w:t xml:space="preserve"> survey conducted by Indeed</w:t>
      </w:r>
      <w:r>
        <w:rPr>
          <w:rtl w:val="0"/>
          <w:lang w:val="en-US"/>
        </w:rPr>
        <w:t xml:space="preserve">, where </w:t>
      </w:r>
      <w:r>
        <w:rPr>
          <w:rtl w:val="0"/>
        </w:rPr>
        <w:t>“</w:t>
      </w:r>
      <w:r>
        <w:rPr>
          <w:rtl w:val="0"/>
        </w:rPr>
        <w:t>81% of workers are more productive and engaged when they perceive themselves as paid fairly</w:t>
      </w:r>
      <w:r>
        <w:rPr>
          <w:rtl w:val="0"/>
        </w:rPr>
        <w:t>”</w:t>
      </w:r>
      <w:r>
        <w:rPr>
          <w:i w:val="1"/>
          <w:iCs w:val="1"/>
          <w:rtl w:val="0"/>
          <w:lang w:val="en-US"/>
        </w:rPr>
        <w:t xml:space="preserve">(Brunetti,J.,2022). </w:t>
      </w:r>
    </w:p>
    <w:p>
      <w:pPr>
        <w:pStyle w:val="Body"/>
        <w:bidi w:val="0"/>
        <w:rPr>
          <w:i w:val="1"/>
          <w:iCs w:val="1"/>
        </w:rPr>
      </w:pPr>
    </w:p>
    <w:p>
      <w:pPr>
        <w:pStyle w:val="Body"/>
        <w:bidi w:val="0"/>
      </w:pPr>
      <w:r>
        <w:rPr>
          <w:rtl w:val="0"/>
          <w:lang w:val="en-US"/>
        </w:rPr>
        <w:t xml:space="preserve">Fair pay also plays a significant role in attracting top talent to the </w:t>
      </w:r>
      <w:r>
        <w:rPr>
          <w:rtl w:val="0"/>
          <w:lang w:val="en-US"/>
        </w:rPr>
        <w:t>organisation</w:t>
      </w:r>
      <w:r>
        <w:rPr>
          <w:rtl w:val="0"/>
          <w:lang w:val="en-US"/>
        </w:rPr>
        <w:t>. Highly skilled individuals are more likely to be drawn to companies that acknowledge and reward their valuable work appropriately.</w:t>
      </w:r>
    </w:p>
    <w:p>
      <w:pPr>
        <w:pStyle w:val="Body"/>
        <w:bidi w:val="0"/>
      </w:pPr>
    </w:p>
    <w:p>
      <w:pPr>
        <w:pStyle w:val="Body"/>
        <w:bidi w:val="0"/>
      </w:pPr>
      <w:r>
        <w:rPr>
          <w:rtl w:val="0"/>
          <w:lang w:val="en-US"/>
        </w:rPr>
        <w:t>A</w:t>
      </w:r>
      <w:r>
        <w:rPr>
          <w:rtl w:val="0"/>
          <w:lang w:val="en-US"/>
        </w:rPr>
        <w:t>dhering to equal pay laws, such as the Equality Act 2010 and the Equal Pay Act 1970 in the UK, is not only a legal requirement but also an ethical one</w:t>
      </w:r>
      <w:r>
        <w:rPr>
          <w:rtl w:val="0"/>
          <w:lang w:val="en-US"/>
        </w:rPr>
        <w:t xml:space="preserve"> </w:t>
      </w:r>
      <w:r>
        <w:rPr>
          <w:i w:val="1"/>
          <w:iCs w:val="1"/>
          <w:rtl w:val="0"/>
          <w:lang w:val="en-US"/>
        </w:rPr>
        <w:t>(Acas).</w:t>
      </w:r>
      <w:r>
        <w:rPr>
          <w:rtl w:val="0"/>
          <w:lang w:val="en-US"/>
        </w:rPr>
        <w:t xml:space="preserve"> </w:t>
      </w:r>
    </w:p>
    <w:p>
      <w:pPr>
        <w:pStyle w:val="Body"/>
        <w:bidi w:val="0"/>
      </w:pPr>
      <w:r>
        <w:rPr>
          <w:rtl w:val="0"/>
          <w:lang w:val="en-US"/>
        </w:rPr>
        <w:t xml:space="preserve">These laws ensure that employees are protected from gender-based pay discrimination and entitled to equal pay </w:t>
      </w:r>
      <w:r>
        <w:rPr>
          <w:rtl w:val="0"/>
          <w:lang w:val="en-US"/>
        </w:rPr>
        <w:t xml:space="preserve">(includes holiday, pension, sick and benefits pay) </w:t>
      </w:r>
      <w:r>
        <w:rPr>
          <w:rtl w:val="0"/>
          <w:lang w:val="en-US"/>
        </w:rPr>
        <w:t>for equal work</w:t>
      </w:r>
      <w:r>
        <w:rPr>
          <w:rtl w:val="0"/>
          <w:lang w:val="en-US"/>
        </w:rPr>
        <w:t xml:space="preserve"> </w:t>
      </w:r>
      <w:r>
        <w:rPr>
          <w:i w:val="1"/>
          <w:iCs w:val="1"/>
          <w:rtl w:val="0"/>
          <w:lang w:val="en-US"/>
        </w:rPr>
        <w:t>(CIPD,2022).</w:t>
      </w:r>
      <w:r>
        <w:rPr>
          <w:rtl w:val="0"/>
          <w:lang w:val="en-US"/>
        </w:rPr>
        <w:t xml:space="preserve"> </w:t>
      </w:r>
      <w:r>
        <w:rPr>
          <w:rtl w:val="0"/>
          <w:lang w:val="en-US"/>
        </w:rPr>
        <w:t>Failure to comply with these laws may lead to legal consequences, and employees who experience pay disparities could claim loss of earnings for up to six years.</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p>
    <w:p>
      <w:pPr>
        <w:pStyle w:val="Body"/>
        <w:bidi w:val="0"/>
      </w:pPr>
      <w:r>
        <w:rPr>
          <w:rtl w:val="0"/>
          <w:lang w:val="en-US"/>
        </w:rPr>
        <w:t xml:space="preserve">By providing fair pay, </w:t>
      </w:r>
      <w:r>
        <w:rPr>
          <w:rtl w:val="0"/>
          <w:lang w:val="en-US"/>
        </w:rPr>
        <w:t>organisations</w:t>
      </w:r>
      <w:r>
        <w:rPr>
          <w:rtl w:val="0"/>
          <w:lang w:val="en-US"/>
        </w:rPr>
        <w:t xml:space="preserve"> can create a more equitable and inclusive work environment, fostering loyalty, engagement, and higher levels of job satisfaction among their employees. This, in turn, can lead to improved </w:t>
      </w:r>
      <w:r>
        <w:rPr>
          <w:rtl w:val="0"/>
          <w:lang w:val="en-US"/>
        </w:rPr>
        <w:t>organisational</w:t>
      </w:r>
      <w:r>
        <w:rPr>
          <w:rtl w:val="0"/>
          <w:lang w:val="en-US"/>
        </w:rPr>
        <w:t xml:space="preserve"> performance and sustained success in the long run.</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Conclusion</w:t>
      </w:r>
    </w:p>
    <w:p>
      <w:pPr>
        <w:pStyle w:val="Body"/>
        <w:bidi w:val="0"/>
      </w:pPr>
      <w:r>
        <w:rPr>
          <w:rtl w:val="0"/>
          <w:lang w:val="en-US"/>
        </w:rPr>
        <w:t xml:space="preserve">In conclusion, a well-executed performance management process, led by Human Resources Management, creates a positive employee experience and fosters a successful and engaged workforce. </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Total word count : 1,519</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pStyle w:val="Body"/>
        <w:rPr>
          <w:b w:val="1"/>
          <w:bCs w:val="1"/>
          <w:u w:val="single"/>
        </w:rPr>
      </w:pPr>
      <w:r>
        <w:rPr>
          <w:b w:val="1"/>
          <w:bCs w:val="1"/>
          <w:u w:val="single"/>
          <w:rtl w:val="0"/>
          <w:lang w:val="en-US"/>
        </w:rPr>
        <w:t xml:space="preserve">Reference List </w:t>
      </w:r>
    </w:p>
    <w:p>
      <w:pPr>
        <w:pStyle w:val="Body"/>
        <w:rPr>
          <w:b w:val="1"/>
          <w:bCs w:val="1"/>
          <w:u w:val="single"/>
        </w:rPr>
      </w:pPr>
    </w:p>
    <w:p>
      <w:pPr>
        <w:pStyle w:val="Body"/>
        <w:numPr>
          <w:ilvl w:val="0"/>
          <w:numId w:val="3"/>
        </w:numPr>
        <w:bidi w:val="0"/>
      </w:pPr>
      <w:r>
        <w:rPr>
          <w:rtl w:val="0"/>
          <w:lang w:val="en-US"/>
        </w:rPr>
        <w:t>Acas. (Date Unknown). Equal pay and the law. [Online]. Acas. Available at: https://www.acas.org.uk/equal-pay/equal-paylaw#:~:text=By%20law%2C%20employers%20must%20not,or%20another%20%27protected [Accessed 5th July 2023].</w:t>
      </w:r>
    </w:p>
    <w:p>
      <w:pPr>
        <w:pStyle w:val="Body"/>
        <w:bidi w:val="0"/>
      </w:pPr>
    </w:p>
    <w:p>
      <w:pPr>
        <w:pStyle w:val="Body"/>
        <w:numPr>
          <w:ilvl w:val="0"/>
          <w:numId w:val="3"/>
        </w:numPr>
        <w:bidi w:val="0"/>
      </w:pPr>
      <w:r>
        <w:rPr>
          <w:rtl w:val="0"/>
          <w:lang w:val="en-US"/>
        </w:rPr>
        <w:t>Adobe Communications Team. (2019). 10 factors to modern performance management. [Online]. Adobe. Available at: https://business.adobe.com/blog/basics/10-factors-to-modern-performance-management [Accessed 5th July 2023].</w:t>
      </w:r>
    </w:p>
    <w:p>
      <w:pPr>
        <w:pStyle w:val="Body"/>
        <w:bidi w:val="0"/>
      </w:pPr>
    </w:p>
    <w:p>
      <w:pPr>
        <w:pStyle w:val="Body"/>
        <w:numPr>
          <w:ilvl w:val="0"/>
          <w:numId w:val="3"/>
        </w:numPr>
        <w:bidi w:val="0"/>
      </w:pPr>
      <w:r>
        <w:rPr>
          <w:rtl w:val="0"/>
          <w:lang w:val="en-US"/>
        </w:rPr>
        <w:t>British Library. (Date Unknown). Frederick Herzberg. [Online]. British Library. Available at: https://www.bl.uk/people/frederick-herzberg [Accessed 5th July 2023].</w:t>
      </w:r>
    </w:p>
    <w:p>
      <w:pPr>
        <w:pStyle w:val="Body"/>
        <w:bidi w:val="0"/>
      </w:pPr>
    </w:p>
    <w:p>
      <w:pPr>
        <w:pStyle w:val="Body"/>
        <w:numPr>
          <w:ilvl w:val="0"/>
          <w:numId w:val="3"/>
        </w:numPr>
        <w:bidi w:val="0"/>
      </w:pPr>
      <w:r>
        <w:rPr>
          <w:rtl w:val="0"/>
          <w:lang w:val="en-US"/>
        </w:rPr>
        <w:t>Carpi et al. (2017). Performance management: Why keeping score is so important, and so hard. [Online]. McKinsey &amp; Co. Available at: https://www.mckinsey.com/capabilities/operations/our-insights/performance-management-why-keeping-score-is-so-important-a [Accessed 5th July 2023].</w:t>
      </w:r>
    </w:p>
    <w:p>
      <w:pPr>
        <w:pStyle w:val="Body"/>
        <w:bidi w:val="0"/>
      </w:pPr>
    </w:p>
    <w:p>
      <w:pPr>
        <w:pStyle w:val="Body"/>
        <w:numPr>
          <w:ilvl w:val="0"/>
          <w:numId w:val="3"/>
        </w:numPr>
        <w:bidi w:val="0"/>
      </w:pPr>
      <w:r>
        <w:rPr>
          <w:rtl w:val="0"/>
          <w:lang w:val="en-US"/>
        </w:rPr>
        <w:t>CIPD. (2021). WORK MOTIVATION: An evidence review. [Online]. CIPD. Available at: https://www.cipd.org/globalassets/media/knowledge/knowledge-hub/evidence-reviews/work-motivation-scientific-summary_tcm1 [Accessed 5th July 2023].</w:t>
      </w:r>
    </w:p>
    <w:p>
      <w:pPr>
        <w:pStyle w:val="Body"/>
        <w:bidi w:val="0"/>
      </w:pPr>
    </w:p>
    <w:p>
      <w:pPr>
        <w:pStyle w:val="Body"/>
        <w:numPr>
          <w:ilvl w:val="0"/>
          <w:numId w:val="3"/>
        </w:numPr>
        <w:bidi w:val="0"/>
      </w:pPr>
      <w:r>
        <w:rPr>
          <w:rtl w:val="0"/>
          <w:lang w:val="en-US"/>
        </w:rPr>
        <w:t>CIPD. (2022). Equal pay: UK employment law. [Online]. CIPD. Available at: https://www.cipd.org/uk/knowledge/employment-law/equal-pay/ [Accessed 5th July 2023].</w:t>
      </w:r>
    </w:p>
    <w:p>
      <w:pPr>
        <w:pStyle w:val="Body"/>
        <w:bidi w:val="0"/>
      </w:pPr>
    </w:p>
    <w:p>
      <w:pPr>
        <w:pStyle w:val="Body"/>
        <w:numPr>
          <w:ilvl w:val="0"/>
          <w:numId w:val="3"/>
        </w:numPr>
        <w:bidi w:val="0"/>
      </w:pPr>
      <w:r>
        <w:rPr>
          <w:rtl w:val="0"/>
          <w:lang w:val="en-US"/>
        </w:rPr>
        <w:t>CIPD. (2023). Reward: an introduction. [Online]. CIPD. Available at: https://www.cipd.org/uk/knowledge/factsheets/reward-factsheet/ [Accessed 5th July 2023].</w:t>
      </w:r>
    </w:p>
    <w:p>
      <w:pPr>
        <w:pStyle w:val="Body"/>
        <w:bidi w:val="0"/>
      </w:pPr>
    </w:p>
    <w:p>
      <w:pPr>
        <w:pStyle w:val="Body"/>
        <w:numPr>
          <w:ilvl w:val="0"/>
          <w:numId w:val="3"/>
        </w:numPr>
        <w:bidi w:val="0"/>
      </w:pPr>
      <w:r>
        <w:rPr>
          <w:rtl w:val="0"/>
          <w:lang w:val="en-US"/>
        </w:rPr>
        <w:t>Chron. (2020). What Are the Components of a Comprehensive Total Rewards &amp; Motivation System?. [Online]. Chron. Available at: https://smallbusiness.chron.com/components-comprehensive-total-rewards-motivation-system-36942.html [Accessed 5th July 2023].</w:t>
      </w:r>
    </w:p>
    <w:p>
      <w:pPr>
        <w:pStyle w:val="Body"/>
        <w:bidi w:val="0"/>
      </w:pPr>
    </w:p>
    <w:p>
      <w:pPr>
        <w:pStyle w:val="Body"/>
        <w:numPr>
          <w:ilvl w:val="0"/>
          <w:numId w:val="3"/>
        </w:numPr>
        <w:bidi w:val="0"/>
      </w:pPr>
      <w:r>
        <w:rPr>
          <w:rtl w:val="0"/>
          <w:lang w:val="en-US"/>
        </w:rPr>
        <w:t>Deloitte. (Date Unknown). Recognising your success. [Online]. Deloitte. Available at: https://www2.deloitte.com/uk/en/pages/careers/articles/careers-rewards-and-benefits.html [Accessed 5th July 2023].</w:t>
      </w:r>
    </w:p>
    <w:p>
      <w:pPr>
        <w:pStyle w:val="Body"/>
        <w:bidi w:val="0"/>
      </w:pPr>
    </w:p>
    <w:p>
      <w:pPr>
        <w:pStyle w:val="Body"/>
        <w:numPr>
          <w:ilvl w:val="0"/>
          <w:numId w:val="3"/>
        </w:numPr>
        <w:bidi w:val="0"/>
      </w:pPr>
      <w:r>
        <w:rPr>
          <w:rtl w:val="0"/>
          <w:lang w:val="en-US"/>
        </w:rPr>
        <w:t>Erik van Vulpen. (Date Unknown). 360 Degree Feedback: A Comprehensive Guide. [Online]. AI HR. Available at: https://www.aihr.com/blog/360-degree-feedback/ [Accessed 5th July 2023].</w:t>
      </w:r>
    </w:p>
    <w:p>
      <w:pPr>
        <w:pStyle w:val="Body"/>
        <w:bidi w:val="0"/>
      </w:pPr>
    </w:p>
    <w:p>
      <w:pPr>
        <w:pStyle w:val="Body"/>
        <w:numPr>
          <w:ilvl w:val="0"/>
          <w:numId w:val="3"/>
        </w:numPr>
        <w:bidi w:val="0"/>
      </w:pPr>
      <w:r>
        <w:rPr>
          <w:rtl w:val="0"/>
          <w:lang w:val="en-US"/>
        </w:rPr>
        <w:t>Joanna Kim-Brunetti. (2022). What It Takes to Be a Fair-Pay Workplace. [Online]. Harvard Business Review. Available at: https://hbr.org/2022/12/what-it-takes-to-be-a-fair-pay-workplace [Accessed 5th July 2023].</w:t>
      </w:r>
    </w:p>
    <w:p>
      <w:pPr>
        <w:pStyle w:val="Body"/>
        <w:bidi w:val="0"/>
      </w:pPr>
    </w:p>
    <w:p>
      <w:pPr>
        <w:pStyle w:val="Body"/>
        <w:numPr>
          <w:ilvl w:val="0"/>
          <w:numId w:val="3"/>
        </w:numPr>
        <w:bidi w:val="0"/>
      </w:pPr>
      <w:r>
        <w:rPr>
          <w:rtl w:val="0"/>
          <w:lang w:val="en-US"/>
        </w:rPr>
        <w:t>J P Morgan Chase &amp; Co. (Date unknown). Operational Excellence. [Online]. J P Morgan Chase &amp; Co.. Available at: https://www.jpmorganchase.com/about/our-business/operational-excellence [Accessed 19 July 2023].</w:t>
      </w:r>
    </w:p>
    <w:p>
      <w:pPr>
        <w:pStyle w:val="Body"/>
        <w:bidi w:val="0"/>
      </w:pPr>
    </w:p>
    <w:p>
      <w:pPr>
        <w:pStyle w:val="Body"/>
        <w:numPr>
          <w:ilvl w:val="0"/>
          <w:numId w:val="3"/>
        </w:numPr>
        <w:bidi w:val="0"/>
      </w:pPr>
      <w:r>
        <w:rPr>
          <w:rtl w:val="0"/>
          <w:lang w:val="en-US"/>
        </w:rPr>
        <w:t>Rajiv Ranjan. (2021). Performance Management: Six Best Practices In The New Normal. [Online]. Forbes. Available at: https://www.forbes.com/sites/forbesbusinesscouncil/2021/02/12/performance-management-six-best-practices-in-the-new-norma [Accessed 5th July 2023].</w:t>
      </w:r>
    </w:p>
    <w:p>
      <w:pPr>
        <w:pStyle w:val="Body"/>
        <w:bidi w:val="0"/>
      </w:pPr>
    </w:p>
    <w:p>
      <w:pPr>
        <w:pStyle w:val="Body"/>
        <w:numPr>
          <w:ilvl w:val="0"/>
          <w:numId w:val="3"/>
        </w:numPr>
        <w:bidi w:val="0"/>
      </w:pPr>
      <w:r>
        <w:rPr>
          <w:rtl w:val="0"/>
          <w:lang w:val="en-US"/>
        </w:rPr>
        <w:t>Tanya Jansen. (2022). The Importance Of Aligning Rewards To Performance Achievements In The New Normal. [Online]. Forbes. Available at: https://www.forbes.com/sites/forbeshumanresourcescouncil/2022/11/29/the-importance-of-aligning-rewards-to-performance-ac [Accessed 5th July 2023].</w:t>
      </w:r>
    </w:p>
    <w:p>
      <w:pPr>
        <w:pStyle w:val="Body"/>
        <w:bidi w:val="0"/>
      </w:pPr>
    </w:p>
    <w:p>
      <w:pPr>
        <w:pStyle w:val="Body"/>
        <w:numPr>
          <w:ilvl w:val="0"/>
          <w:numId w:val="3"/>
        </w:numPr>
        <w:bidi w:val="0"/>
      </w:pPr>
      <w:r>
        <w:rPr>
          <w:rtl w:val="0"/>
          <w:lang w:val="en-US"/>
        </w:rPr>
        <w:t>The Chartered Management Institute. (2020). Performance management. [Online]. CMI. Available at: https://www.managers.org.uk/knowledge-and-insights/resource/performance-management/ [Accessed 5th July 2023].</w:t>
      </w:r>
    </w:p>
    <w:p>
      <w:pPr>
        <w:pStyle w:val="Body"/>
        <w:bidi w:val="0"/>
      </w:pPr>
    </w:p>
    <w:p>
      <w:pPr>
        <w:pStyle w:val="Body"/>
        <w:numPr>
          <w:ilvl w:val="0"/>
          <w:numId w:val="3"/>
        </w:numPr>
        <w:bidi w:val="0"/>
      </w:pPr>
      <w:r>
        <w:rPr>
          <w:rtl w:val="0"/>
          <w:lang w:val="en-US"/>
        </w:rPr>
        <w:t>Valamis. (2023). Performance Management Cycle. [Online]. Valamis. Available at: https://www.valamis.com/hub/performance-management-cycle [Accessed 5th July 2023].</w:t>
      </w:r>
    </w:p>
    <w:p>
      <w:pPr>
        <w:pStyle w:val="Body"/>
        <w:bidi w:val="0"/>
      </w:pPr>
    </w:p>
    <w:p>
      <w:pPr>
        <w:pStyle w:val="Body"/>
        <w:numPr>
          <w:ilvl w:val="0"/>
          <w:numId w:val="3"/>
        </w:numPr>
        <w:bidi w:val="0"/>
      </w:pPr>
      <w:r>
        <w:rPr>
          <w:rtl w:val="0"/>
          <w:lang w:val="en-US"/>
        </w:rPr>
        <w:t>Waite et al. (2021). People Practice. A Complete Guide.. London: Kogan Page. pp.160-164.</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564" w:hanging="344"/>
      </w:pPr>
      <w:rPr>
        <w:rFonts w:ascii="Arial" w:cs="Arial" w:hAnsi="Arial" w:eastAsia="Arial"/>
        <w:b w:val="0"/>
        <w:bCs w:val="0"/>
        <w:i w:val="0"/>
        <w:iCs w:val="0"/>
        <w:caps w:val="0"/>
        <w:smallCaps w:val="0"/>
        <w:strike w:val="0"/>
        <w:dstrike w:val="0"/>
        <w:outline w:val="0"/>
        <w:emboss w:val="0"/>
        <w:imprint w:val="0"/>
        <w:color w:val="242424"/>
        <w:spacing w:val="0"/>
        <w:w w:val="100"/>
        <w:kern w:val="0"/>
        <w:position w:val="0"/>
        <w:highlight w:val="none"/>
        <w:vertAlign w:val="baseline"/>
      </w:rPr>
    </w:lvl>
    <w:lvl w:ilvl="1">
      <w:start w:val="1"/>
      <w:numFmt w:val="decimal"/>
      <w:suff w:val="tab"/>
      <w:lvlText w:val="%2."/>
      <w:lvlJc w:val="left"/>
      <w:pPr>
        <w:ind w:left="784" w:hanging="344"/>
      </w:pPr>
      <w:rPr>
        <w:rFonts w:ascii="Arial" w:cs="Arial" w:hAnsi="Arial" w:eastAsia="Arial"/>
        <w:b w:val="0"/>
        <w:bCs w:val="0"/>
        <w:i w:val="0"/>
        <w:iCs w:val="0"/>
        <w:caps w:val="0"/>
        <w:smallCaps w:val="0"/>
        <w:strike w:val="0"/>
        <w:dstrike w:val="0"/>
        <w:outline w:val="0"/>
        <w:emboss w:val="0"/>
        <w:imprint w:val="0"/>
        <w:color w:val="242424"/>
        <w:spacing w:val="0"/>
        <w:w w:val="100"/>
        <w:kern w:val="0"/>
        <w:position w:val="0"/>
        <w:highlight w:val="none"/>
        <w:vertAlign w:val="baseline"/>
      </w:rPr>
    </w:lvl>
    <w:lvl w:ilvl="2">
      <w:start w:val="1"/>
      <w:numFmt w:val="decimal"/>
      <w:suff w:val="tab"/>
      <w:lvlText w:val="%3."/>
      <w:lvlJc w:val="left"/>
      <w:pPr>
        <w:ind w:left="1004" w:hanging="344"/>
      </w:pPr>
      <w:rPr>
        <w:rFonts w:ascii="Arial" w:cs="Arial" w:hAnsi="Arial" w:eastAsia="Arial"/>
        <w:b w:val="0"/>
        <w:bCs w:val="0"/>
        <w:i w:val="0"/>
        <w:iCs w:val="0"/>
        <w:caps w:val="0"/>
        <w:smallCaps w:val="0"/>
        <w:strike w:val="0"/>
        <w:dstrike w:val="0"/>
        <w:outline w:val="0"/>
        <w:emboss w:val="0"/>
        <w:imprint w:val="0"/>
        <w:color w:val="242424"/>
        <w:spacing w:val="0"/>
        <w:w w:val="100"/>
        <w:kern w:val="0"/>
        <w:position w:val="0"/>
        <w:highlight w:val="none"/>
        <w:vertAlign w:val="baseline"/>
      </w:rPr>
    </w:lvl>
    <w:lvl w:ilvl="3">
      <w:start w:val="1"/>
      <w:numFmt w:val="decimal"/>
      <w:suff w:val="tab"/>
      <w:lvlText w:val="%4."/>
      <w:lvlJc w:val="left"/>
      <w:pPr>
        <w:ind w:left="1224" w:hanging="344"/>
      </w:pPr>
      <w:rPr>
        <w:rFonts w:ascii="Arial" w:cs="Arial" w:hAnsi="Arial" w:eastAsia="Arial"/>
        <w:b w:val="0"/>
        <w:bCs w:val="0"/>
        <w:i w:val="0"/>
        <w:iCs w:val="0"/>
        <w:caps w:val="0"/>
        <w:smallCaps w:val="0"/>
        <w:strike w:val="0"/>
        <w:dstrike w:val="0"/>
        <w:outline w:val="0"/>
        <w:emboss w:val="0"/>
        <w:imprint w:val="0"/>
        <w:color w:val="242424"/>
        <w:spacing w:val="0"/>
        <w:w w:val="100"/>
        <w:kern w:val="0"/>
        <w:position w:val="0"/>
        <w:highlight w:val="none"/>
        <w:vertAlign w:val="baseline"/>
      </w:rPr>
    </w:lvl>
    <w:lvl w:ilvl="4">
      <w:start w:val="1"/>
      <w:numFmt w:val="decimal"/>
      <w:suff w:val="tab"/>
      <w:lvlText w:val="%5."/>
      <w:lvlJc w:val="left"/>
      <w:pPr>
        <w:ind w:left="1444" w:hanging="344"/>
      </w:pPr>
      <w:rPr>
        <w:rFonts w:ascii="Arial" w:cs="Arial" w:hAnsi="Arial" w:eastAsia="Arial"/>
        <w:b w:val="0"/>
        <w:bCs w:val="0"/>
        <w:i w:val="0"/>
        <w:iCs w:val="0"/>
        <w:caps w:val="0"/>
        <w:smallCaps w:val="0"/>
        <w:strike w:val="0"/>
        <w:dstrike w:val="0"/>
        <w:outline w:val="0"/>
        <w:emboss w:val="0"/>
        <w:imprint w:val="0"/>
        <w:color w:val="242424"/>
        <w:spacing w:val="0"/>
        <w:w w:val="100"/>
        <w:kern w:val="0"/>
        <w:position w:val="0"/>
        <w:highlight w:val="none"/>
        <w:vertAlign w:val="baseline"/>
      </w:rPr>
    </w:lvl>
    <w:lvl w:ilvl="5">
      <w:start w:val="1"/>
      <w:numFmt w:val="decimal"/>
      <w:suff w:val="tab"/>
      <w:lvlText w:val="%6."/>
      <w:lvlJc w:val="left"/>
      <w:pPr>
        <w:ind w:left="1664" w:hanging="344"/>
      </w:pPr>
      <w:rPr>
        <w:rFonts w:ascii="Arial" w:cs="Arial" w:hAnsi="Arial" w:eastAsia="Arial"/>
        <w:b w:val="0"/>
        <w:bCs w:val="0"/>
        <w:i w:val="0"/>
        <w:iCs w:val="0"/>
        <w:caps w:val="0"/>
        <w:smallCaps w:val="0"/>
        <w:strike w:val="0"/>
        <w:dstrike w:val="0"/>
        <w:outline w:val="0"/>
        <w:emboss w:val="0"/>
        <w:imprint w:val="0"/>
        <w:color w:val="242424"/>
        <w:spacing w:val="0"/>
        <w:w w:val="100"/>
        <w:kern w:val="0"/>
        <w:position w:val="0"/>
        <w:highlight w:val="none"/>
        <w:vertAlign w:val="baseline"/>
      </w:rPr>
    </w:lvl>
    <w:lvl w:ilvl="6">
      <w:start w:val="1"/>
      <w:numFmt w:val="decimal"/>
      <w:suff w:val="tab"/>
      <w:lvlText w:val="%7."/>
      <w:lvlJc w:val="left"/>
      <w:pPr>
        <w:ind w:left="1884" w:hanging="344"/>
      </w:pPr>
      <w:rPr>
        <w:rFonts w:ascii="Arial" w:cs="Arial" w:hAnsi="Arial" w:eastAsia="Arial"/>
        <w:b w:val="0"/>
        <w:bCs w:val="0"/>
        <w:i w:val="0"/>
        <w:iCs w:val="0"/>
        <w:caps w:val="0"/>
        <w:smallCaps w:val="0"/>
        <w:strike w:val="0"/>
        <w:dstrike w:val="0"/>
        <w:outline w:val="0"/>
        <w:emboss w:val="0"/>
        <w:imprint w:val="0"/>
        <w:color w:val="242424"/>
        <w:spacing w:val="0"/>
        <w:w w:val="100"/>
        <w:kern w:val="0"/>
        <w:position w:val="0"/>
        <w:highlight w:val="none"/>
        <w:vertAlign w:val="baseline"/>
      </w:rPr>
    </w:lvl>
    <w:lvl w:ilvl="7">
      <w:start w:val="1"/>
      <w:numFmt w:val="decimal"/>
      <w:suff w:val="tab"/>
      <w:lvlText w:val="%8."/>
      <w:lvlJc w:val="left"/>
      <w:pPr>
        <w:ind w:left="2104" w:hanging="344"/>
      </w:pPr>
      <w:rPr>
        <w:rFonts w:ascii="Arial" w:cs="Arial" w:hAnsi="Arial" w:eastAsia="Arial"/>
        <w:b w:val="0"/>
        <w:bCs w:val="0"/>
        <w:i w:val="0"/>
        <w:iCs w:val="0"/>
        <w:caps w:val="0"/>
        <w:smallCaps w:val="0"/>
        <w:strike w:val="0"/>
        <w:dstrike w:val="0"/>
        <w:outline w:val="0"/>
        <w:emboss w:val="0"/>
        <w:imprint w:val="0"/>
        <w:color w:val="242424"/>
        <w:spacing w:val="0"/>
        <w:w w:val="100"/>
        <w:kern w:val="0"/>
        <w:position w:val="0"/>
        <w:highlight w:val="none"/>
        <w:vertAlign w:val="baseline"/>
      </w:rPr>
    </w:lvl>
    <w:lvl w:ilvl="8">
      <w:start w:val="1"/>
      <w:numFmt w:val="decimal"/>
      <w:suff w:val="tab"/>
      <w:lvlText w:val="%9."/>
      <w:lvlJc w:val="left"/>
      <w:pPr>
        <w:ind w:left="2324" w:hanging="344"/>
      </w:pPr>
      <w:rPr>
        <w:rFonts w:ascii="Arial" w:cs="Arial" w:hAnsi="Arial" w:eastAsia="Arial"/>
        <w:b w:val="0"/>
        <w:bCs w:val="0"/>
        <w:i w:val="0"/>
        <w:iCs w:val="0"/>
        <w:caps w:val="0"/>
        <w:smallCaps w:val="0"/>
        <w:strike w:val="0"/>
        <w:dstrike w:val="0"/>
        <w:outline w:val="0"/>
        <w:emboss w:val="0"/>
        <w:imprint w:val="0"/>
        <w:color w:val="242424"/>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numbering" w:styleId="Numbered">
    <w:name w:val="Numbered"/>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Georgia" w:cs="Georgia" w:hAnsi="Georgia" w:eastAsia="Georgia"/>
      <w:b w:val="0"/>
      <w:bCs w:val="0"/>
      <w:i w:val="0"/>
      <w:iCs w:val="0"/>
      <w:caps w:val="0"/>
      <w:smallCaps w:val="0"/>
      <w:strike w:val="0"/>
      <w:dstrike w:val="0"/>
      <w:outline w:val="0"/>
      <w:color w:val="333333"/>
      <w:spacing w:val="0"/>
      <w:kern w:val="0"/>
      <w:position w:val="0"/>
      <w:sz w:val="36"/>
      <w:szCs w:val="36"/>
      <w:u w:val="none"/>
      <w:shd w:val="clear" w:color="auto" w:fill="fcfcfc"/>
      <w:vertAlign w:val="baseline"/>
      <w14:textOutline>
        <w14:noFill/>
      </w14:textOutline>
      <w14:textFill>
        <w14:solidFill>
          <w14:srgbClr w14:val="333333"/>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