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35E892" w14:textId="77777777" w:rsidR="00503907" w:rsidRPr="001414E4" w:rsidRDefault="00503907" w:rsidP="0054175C">
      <w:pPr>
        <w:spacing w:line="360" w:lineRule="auto"/>
        <w:jc w:val="both"/>
        <w:rPr>
          <w:rFonts w:ascii="Times New Roman" w:hAnsi="Times New Roman" w:cs="Times New Roman"/>
          <w:sz w:val="24"/>
          <w:szCs w:val="24"/>
        </w:rPr>
      </w:pPr>
      <w:r w:rsidRPr="001414E4">
        <w:rPr>
          <w:rFonts w:ascii="Times New Roman" w:hAnsi="Times New Roman" w:cs="Times New Roman"/>
          <w:sz w:val="24"/>
          <w:szCs w:val="24"/>
        </w:rPr>
        <w:t>Name:  Athoul Chowdhury</w:t>
      </w:r>
    </w:p>
    <w:p w14:paraId="3F280F17" w14:textId="77777777" w:rsidR="00503907" w:rsidRPr="001414E4" w:rsidRDefault="00503907" w:rsidP="0054175C">
      <w:pPr>
        <w:spacing w:line="360" w:lineRule="auto"/>
        <w:jc w:val="both"/>
        <w:rPr>
          <w:rFonts w:ascii="Times New Roman" w:hAnsi="Times New Roman" w:cs="Times New Roman"/>
          <w:sz w:val="24"/>
          <w:szCs w:val="24"/>
        </w:rPr>
      </w:pPr>
      <w:r w:rsidRPr="001414E4">
        <w:rPr>
          <w:rFonts w:ascii="Times New Roman" w:hAnsi="Times New Roman" w:cs="Times New Roman"/>
          <w:sz w:val="24"/>
          <w:szCs w:val="24"/>
        </w:rPr>
        <w:t>Student ID:2508845</w:t>
      </w:r>
    </w:p>
    <w:p w14:paraId="7ED7CE54" w14:textId="77777777" w:rsidR="00503907" w:rsidRPr="001414E4" w:rsidRDefault="00503907" w:rsidP="0054175C">
      <w:pPr>
        <w:spacing w:line="360" w:lineRule="auto"/>
        <w:jc w:val="both"/>
        <w:rPr>
          <w:rFonts w:ascii="Times New Roman" w:hAnsi="Times New Roman" w:cs="Times New Roman"/>
          <w:sz w:val="24"/>
          <w:szCs w:val="24"/>
        </w:rPr>
      </w:pPr>
      <w:r w:rsidRPr="001414E4">
        <w:rPr>
          <w:rFonts w:ascii="Times New Roman" w:hAnsi="Times New Roman" w:cs="Times New Roman"/>
          <w:sz w:val="24"/>
          <w:szCs w:val="24"/>
        </w:rPr>
        <w:t>LLB Law – Level 4 / Foundation Year</w:t>
      </w:r>
    </w:p>
    <w:p w14:paraId="381358B6" w14:textId="0D46EBFA" w:rsidR="00503907" w:rsidRPr="001414E4" w:rsidRDefault="00503907" w:rsidP="0054175C">
      <w:pPr>
        <w:spacing w:line="360" w:lineRule="auto"/>
        <w:jc w:val="both"/>
        <w:rPr>
          <w:rFonts w:ascii="Times New Roman" w:hAnsi="Times New Roman" w:cs="Times New Roman"/>
          <w:sz w:val="24"/>
          <w:szCs w:val="24"/>
        </w:rPr>
      </w:pPr>
      <w:r w:rsidRPr="001414E4">
        <w:rPr>
          <w:rFonts w:ascii="Times New Roman" w:hAnsi="Times New Roman" w:cs="Times New Roman"/>
          <w:sz w:val="24"/>
          <w:szCs w:val="24"/>
        </w:rPr>
        <w:t xml:space="preserve">Assignment Title: </w:t>
      </w:r>
      <w:proofErr w:type="gramStart"/>
      <w:r w:rsidR="00F40DDD" w:rsidRPr="001414E4">
        <w:rPr>
          <w:rFonts w:ascii="Times New Roman" w:hAnsi="Times New Roman" w:cs="Times New Roman"/>
          <w:sz w:val="24"/>
          <w:szCs w:val="24"/>
        </w:rPr>
        <w:t>essay  tort</w:t>
      </w:r>
      <w:proofErr w:type="gramEnd"/>
      <w:r w:rsidRPr="001414E4">
        <w:rPr>
          <w:rFonts w:ascii="Times New Roman" w:hAnsi="Times New Roman" w:cs="Times New Roman"/>
          <w:sz w:val="24"/>
          <w:szCs w:val="24"/>
        </w:rPr>
        <w:t xml:space="preserve"> Law</w:t>
      </w:r>
    </w:p>
    <w:p w14:paraId="593F230B" w14:textId="309D96E6" w:rsidR="00503907" w:rsidRPr="001414E4" w:rsidRDefault="00503907" w:rsidP="0054175C">
      <w:pPr>
        <w:spacing w:line="360" w:lineRule="auto"/>
        <w:jc w:val="both"/>
        <w:rPr>
          <w:rFonts w:ascii="Times New Roman" w:hAnsi="Times New Roman" w:cs="Times New Roman"/>
          <w:sz w:val="24"/>
          <w:szCs w:val="24"/>
        </w:rPr>
      </w:pPr>
      <w:r w:rsidRPr="001414E4">
        <w:rPr>
          <w:rFonts w:ascii="Times New Roman" w:hAnsi="Times New Roman" w:cs="Times New Roman"/>
          <w:sz w:val="24"/>
          <w:szCs w:val="24"/>
        </w:rPr>
        <w:t xml:space="preserve">Module: </w:t>
      </w:r>
      <w:r w:rsidR="00A7766B" w:rsidRPr="001414E4">
        <w:rPr>
          <w:rFonts w:ascii="Times New Roman" w:hAnsi="Times New Roman" w:cs="Times New Roman"/>
          <w:sz w:val="24"/>
          <w:szCs w:val="24"/>
        </w:rPr>
        <w:t>Tort</w:t>
      </w:r>
      <w:r w:rsidRPr="001414E4">
        <w:rPr>
          <w:rFonts w:ascii="Times New Roman" w:hAnsi="Times New Roman" w:cs="Times New Roman"/>
          <w:sz w:val="24"/>
          <w:szCs w:val="24"/>
        </w:rPr>
        <w:t xml:space="preserve"> Law (BMLC400</w:t>
      </w:r>
      <w:r w:rsidR="004D6097" w:rsidRPr="001414E4">
        <w:rPr>
          <w:rFonts w:ascii="Times New Roman" w:hAnsi="Times New Roman" w:cs="Times New Roman"/>
          <w:sz w:val="24"/>
          <w:szCs w:val="24"/>
        </w:rPr>
        <w:t>9</w:t>
      </w:r>
      <w:r w:rsidRPr="001414E4">
        <w:rPr>
          <w:rFonts w:ascii="Times New Roman" w:hAnsi="Times New Roman" w:cs="Times New Roman"/>
          <w:sz w:val="24"/>
          <w:szCs w:val="24"/>
        </w:rPr>
        <w:t>)</w:t>
      </w:r>
    </w:p>
    <w:p w14:paraId="3D88ED4A" w14:textId="31F0ACF6" w:rsidR="00F56682" w:rsidRPr="001414E4" w:rsidRDefault="00F56682" w:rsidP="0054175C">
      <w:pPr>
        <w:spacing w:line="360" w:lineRule="auto"/>
        <w:jc w:val="both"/>
        <w:rPr>
          <w:rFonts w:ascii="Times New Roman" w:hAnsi="Times New Roman" w:cs="Times New Roman"/>
          <w:b/>
          <w:bCs/>
          <w:sz w:val="24"/>
          <w:szCs w:val="24"/>
        </w:rPr>
      </w:pPr>
    </w:p>
    <w:p w14:paraId="646C9231" w14:textId="77777777" w:rsidR="0061499D" w:rsidRPr="001414E4" w:rsidRDefault="0061499D" w:rsidP="0054175C">
      <w:pPr>
        <w:spacing w:line="360" w:lineRule="auto"/>
        <w:jc w:val="both"/>
        <w:rPr>
          <w:rFonts w:ascii="Times New Roman" w:hAnsi="Times New Roman" w:cs="Times New Roman"/>
          <w:b/>
          <w:bCs/>
          <w:sz w:val="24"/>
          <w:szCs w:val="24"/>
        </w:rPr>
      </w:pPr>
    </w:p>
    <w:p w14:paraId="600351A9" w14:textId="77777777" w:rsidR="0061499D" w:rsidRPr="001414E4" w:rsidRDefault="0061499D" w:rsidP="0054175C">
      <w:pPr>
        <w:spacing w:line="360" w:lineRule="auto"/>
        <w:jc w:val="both"/>
        <w:rPr>
          <w:rFonts w:ascii="Times New Roman" w:hAnsi="Times New Roman" w:cs="Times New Roman"/>
          <w:b/>
          <w:bCs/>
          <w:sz w:val="24"/>
          <w:szCs w:val="24"/>
        </w:rPr>
      </w:pPr>
    </w:p>
    <w:p w14:paraId="6BDDC9DB" w14:textId="77777777" w:rsidR="0061499D" w:rsidRPr="001414E4" w:rsidRDefault="0061499D" w:rsidP="0054175C">
      <w:pPr>
        <w:spacing w:line="360" w:lineRule="auto"/>
        <w:jc w:val="both"/>
        <w:rPr>
          <w:rFonts w:ascii="Times New Roman" w:hAnsi="Times New Roman" w:cs="Times New Roman"/>
          <w:b/>
          <w:bCs/>
          <w:sz w:val="24"/>
          <w:szCs w:val="24"/>
        </w:rPr>
      </w:pPr>
    </w:p>
    <w:p w14:paraId="2C31D60A" w14:textId="77777777" w:rsidR="0061499D" w:rsidRPr="001414E4" w:rsidRDefault="0061499D" w:rsidP="0054175C">
      <w:pPr>
        <w:spacing w:line="360" w:lineRule="auto"/>
        <w:jc w:val="both"/>
        <w:rPr>
          <w:rFonts w:ascii="Times New Roman" w:hAnsi="Times New Roman" w:cs="Times New Roman"/>
          <w:b/>
          <w:bCs/>
          <w:sz w:val="24"/>
          <w:szCs w:val="24"/>
        </w:rPr>
      </w:pPr>
    </w:p>
    <w:p w14:paraId="34E19A36" w14:textId="77777777" w:rsidR="0061499D" w:rsidRPr="001414E4" w:rsidRDefault="0061499D" w:rsidP="0054175C">
      <w:pPr>
        <w:spacing w:line="360" w:lineRule="auto"/>
        <w:jc w:val="both"/>
        <w:rPr>
          <w:rFonts w:ascii="Times New Roman" w:hAnsi="Times New Roman" w:cs="Times New Roman"/>
          <w:b/>
          <w:bCs/>
          <w:sz w:val="24"/>
          <w:szCs w:val="24"/>
        </w:rPr>
      </w:pPr>
    </w:p>
    <w:p w14:paraId="086AA4A3" w14:textId="77777777" w:rsidR="0061499D" w:rsidRPr="001414E4" w:rsidRDefault="0061499D" w:rsidP="0054175C">
      <w:pPr>
        <w:spacing w:line="360" w:lineRule="auto"/>
        <w:jc w:val="both"/>
        <w:rPr>
          <w:rFonts w:ascii="Times New Roman" w:hAnsi="Times New Roman" w:cs="Times New Roman"/>
          <w:b/>
          <w:bCs/>
          <w:sz w:val="24"/>
          <w:szCs w:val="24"/>
        </w:rPr>
      </w:pPr>
    </w:p>
    <w:p w14:paraId="2AB7788E" w14:textId="77777777" w:rsidR="0061499D" w:rsidRPr="001414E4" w:rsidRDefault="0061499D" w:rsidP="0054175C">
      <w:pPr>
        <w:spacing w:line="360" w:lineRule="auto"/>
        <w:jc w:val="both"/>
        <w:rPr>
          <w:rFonts w:ascii="Times New Roman" w:hAnsi="Times New Roman" w:cs="Times New Roman"/>
          <w:b/>
          <w:bCs/>
          <w:sz w:val="24"/>
          <w:szCs w:val="24"/>
        </w:rPr>
      </w:pPr>
    </w:p>
    <w:p w14:paraId="0B81AE1F" w14:textId="77777777" w:rsidR="0061499D" w:rsidRPr="001414E4" w:rsidRDefault="0061499D" w:rsidP="0054175C">
      <w:pPr>
        <w:spacing w:line="360" w:lineRule="auto"/>
        <w:jc w:val="both"/>
        <w:rPr>
          <w:rFonts w:ascii="Times New Roman" w:hAnsi="Times New Roman" w:cs="Times New Roman"/>
          <w:b/>
          <w:bCs/>
          <w:sz w:val="24"/>
          <w:szCs w:val="24"/>
        </w:rPr>
      </w:pPr>
    </w:p>
    <w:p w14:paraId="1AB9C6C0" w14:textId="77777777" w:rsidR="0061499D" w:rsidRPr="001414E4" w:rsidRDefault="0061499D" w:rsidP="0054175C">
      <w:pPr>
        <w:spacing w:line="360" w:lineRule="auto"/>
        <w:jc w:val="both"/>
        <w:rPr>
          <w:rFonts w:ascii="Times New Roman" w:hAnsi="Times New Roman" w:cs="Times New Roman"/>
          <w:b/>
          <w:bCs/>
          <w:sz w:val="24"/>
          <w:szCs w:val="24"/>
        </w:rPr>
      </w:pPr>
    </w:p>
    <w:p w14:paraId="7FE199D3" w14:textId="77777777" w:rsidR="0061499D" w:rsidRPr="001414E4" w:rsidRDefault="0061499D" w:rsidP="0054175C">
      <w:pPr>
        <w:spacing w:line="360" w:lineRule="auto"/>
        <w:jc w:val="both"/>
        <w:rPr>
          <w:rFonts w:ascii="Times New Roman" w:hAnsi="Times New Roman" w:cs="Times New Roman"/>
          <w:b/>
          <w:bCs/>
          <w:sz w:val="24"/>
          <w:szCs w:val="24"/>
        </w:rPr>
      </w:pPr>
    </w:p>
    <w:p w14:paraId="33BCCF09" w14:textId="77777777" w:rsidR="0061499D" w:rsidRPr="001414E4" w:rsidRDefault="0061499D" w:rsidP="0054175C">
      <w:pPr>
        <w:spacing w:line="360" w:lineRule="auto"/>
        <w:jc w:val="both"/>
        <w:rPr>
          <w:rFonts w:ascii="Times New Roman" w:hAnsi="Times New Roman" w:cs="Times New Roman"/>
          <w:b/>
          <w:bCs/>
          <w:sz w:val="24"/>
          <w:szCs w:val="24"/>
        </w:rPr>
      </w:pPr>
    </w:p>
    <w:p w14:paraId="7E02C72E" w14:textId="77777777" w:rsidR="0061499D" w:rsidRPr="001414E4" w:rsidRDefault="0061499D" w:rsidP="0054175C">
      <w:pPr>
        <w:spacing w:line="360" w:lineRule="auto"/>
        <w:jc w:val="both"/>
        <w:rPr>
          <w:rFonts w:ascii="Times New Roman" w:hAnsi="Times New Roman" w:cs="Times New Roman"/>
          <w:b/>
          <w:bCs/>
          <w:sz w:val="24"/>
          <w:szCs w:val="24"/>
        </w:rPr>
      </w:pPr>
    </w:p>
    <w:p w14:paraId="59B748A3" w14:textId="77777777" w:rsidR="0061499D" w:rsidRPr="001414E4" w:rsidRDefault="0061499D" w:rsidP="0054175C">
      <w:pPr>
        <w:spacing w:line="360" w:lineRule="auto"/>
        <w:jc w:val="both"/>
        <w:rPr>
          <w:rFonts w:ascii="Times New Roman" w:hAnsi="Times New Roman" w:cs="Times New Roman"/>
          <w:b/>
          <w:bCs/>
          <w:sz w:val="24"/>
          <w:szCs w:val="24"/>
        </w:rPr>
      </w:pPr>
    </w:p>
    <w:p w14:paraId="785BA774" w14:textId="77777777" w:rsidR="0061499D" w:rsidRPr="001414E4" w:rsidRDefault="0061499D" w:rsidP="0054175C">
      <w:pPr>
        <w:spacing w:line="360" w:lineRule="auto"/>
        <w:jc w:val="both"/>
        <w:rPr>
          <w:rFonts w:ascii="Times New Roman" w:hAnsi="Times New Roman" w:cs="Times New Roman"/>
          <w:b/>
          <w:bCs/>
          <w:sz w:val="24"/>
          <w:szCs w:val="24"/>
        </w:rPr>
      </w:pPr>
    </w:p>
    <w:p w14:paraId="3B32D7D1" w14:textId="77777777" w:rsidR="0061499D" w:rsidRPr="001414E4" w:rsidRDefault="0061499D" w:rsidP="0054175C">
      <w:pPr>
        <w:spacing w:line="360" w:lineRule="auto"/>
        <w:jc w:val="both"/>
        <w:rPr>
          <w:rFonts w:ascii="Times New Roman" w:hAnsi="Times New Roman" w:cs="Times New Roman"/>
          <w:b/>
          <w:bCs/>
          <w:sz w:val="24"/>
          <w:szCs w:val="24"/>
        </w:rPr>
      </w:pPr>
    </w:p>
    <w:p w14:paraId="749126A2" w14:textId="77777777" w:rsidR="0061499D" w:rsidRPr="001414E4" w:rsidRDefault="0061499D" w:rsidP="0054175C">
      <w:pPr>
        <w:spacing w:line="360" w:lineRule="auto"/>
        <w:jc w:val="both"/>
        <w:rPr>
          <w:rFonts w:ascii="Times New Roman" w:hAnsi="Times New Roman" w:cs="Times New Roman"/>
          <w:b/>
          <w:bCs/>
          <w:sz w:val="24"/>
          <w:szCs w:val="24"/>
        </w:rPr>
      </w:pPr>
    </w:p>
    <w:p w14:paraId="05E6F157" w14:textId="77777777" w:rsidR="0061499D" w:rsidRPr="001414E4" w:rsidRDefault="0061499D" w:rsidP="0054175C">
      <w:pPr>
        <w:spacing w:line="360" w:lineRule="auto"/>
        <w:jc w:val="both"/>
        <w:rPr>
          <w:rFonts w:ascii="Times New Roman" w:hAnsi="Times New Roman" w:cs="Times New Roman"/>
          <w:b/>
          <w:bCs/>
          <w:sz w:val="24"/>
          <w:szCs w:val="24"/>
        </w:rPr>
      </w:pPr>
    </w:p>
    <w:p w14:paraId="20A2AF09" w14:textId="77777777" w:rsidR="001621FF" w:rsidRDefault="001621FF" w:rsidP="0054175C">
      <w:pPr>
        <w:spacing w:line="360" w:lineRule="auto"/>
        <w:jc w:val="both"/>
        <w:rPr>
          <w:rFonts w:ascii="Times New Roman" w:hAnsi="Times New Roman" w:cs="Times New Roman"/>
          <w:b/>
          <w:bCs/>
          <w:sz w:val="24"/>
          <w:szCs w:val="24"/>
        </w:rPr>
      </w:pPr>
    </w:p>
    <w:p w14:paraId="484D82AC" w14:textId="2110E80B" w:rsidR="0026755D" w:rsidRPr="001414E4" w:rsidRDefault="0026755D" w:rsidP="0054175C">
      <w:pPr>
        <w:spacing w:line="360" w:lineRule="auto"/>
        <w:jc w:val="both"/>
        <w:rPr>
          <w:rFonts w:ascii="Times New Roman" w:hAnsi="Times New Roman" w:cs="Times New Roman"/>
          <w:b/>
          <w:bCs/>
          <w:sz w:val="24"/>
          <w:szCs w:val="24"/>
        </w:rPr>
      </w:pPr>
      <w:r w:rsidRPr="001414E4">
        <w:rPr>
          <w:rFonts w:ascii="Times New Roman" w:hAnsi="Times New Roman" w:cs="Times New Roman"/>
          <w:b/>
          <w:bCs/>
          <w:sz w:val="24"/>
          <w:szCs w:val="24"/>
        </w:rPr>
        <w:lastRenderedPageBreak/>
        <w:t xml:space="preserve">Bannister Primary </w:t>
      </w:r>
      <w:proofErr w:type="gramStart"/>
      <w:r w:rsidRPr="001414E4">
        <w:rPr>
          <w:rFonts w:ascii="Times New Roman" w:hAnsi="Times New Roman" w:cs="Times New Roman"/>
          <w:b/>
          <w:bCs/>
          <w:sz w:val="24"/>
          <w:szCs w:val="24"/>
        </w:rPr>
        <w:t>School  Negligence</w:t>
      </w:r>
      <w:proofErr w:type="gramEnd"/>
      <w:r w:rsidRPr="001414E4">
        <w:rPr>
          <w:rFonts w:ascii="Times New Roman" w:hAnsi="Times New Roman" w:cs="Times New Roman"/>
          <w:b/>
          <w:bCs/>
          <w:sz w:val="24"/>
          <w:szCs w:val="24"/>
        </w:rPr>
        <w:t xml:space="preserve"> Liability</w:t>
      </w:r>
    </w:p>
    <w:p w14:paraId="28F2409C" w14:textId="77777777" w:rsidR="009507F0" w:rsidRPr="001414E4" w:rsidRDefault="0026755D" w:rsidP="0054175C">
      <w:pPr>
        <w:spacing w:line="360" w:lineRule="auto"/>
        <w:jc w:val="both"/>
        <w:rPr>
          <w:rFonts w:ascii="Times New Roman" w:hAnsi="Times New Roman" w:cs="Times New Roman"/>
          <w:sz w:val="24"/>
          <w:szCs w:val="24"/>
        </w:rPr>
      </w:pPr>
      <w:r w:rsidRPr="001414E4">
        <w:rPr>
          <w:rFonts w:ascii="Times New Roman" w:hAnsi="Times New Roman" w:cs="Times New Roman"/>
          <w:sz w:val="24"/>
          <w:szCs w:val="24"/>
        </w:rPr>
        <w:t xml:space="preserve">This essay explains where Bannister Primary School can be liable under tort law for negligence for the injuries suffered by Elijah when he fell into the pond and for the earlier incident involving Bondi, who was burned by hot gravy. As explained by John William Salmond, a tort is a “civil wrong for which the remedy is a common law action for unliquidated damages, and which is not exclusively </w:t>
      </w:r>
      <w:r w:rsidR="00535E8E" w:rsidRPr="001414E4">
        <w:rPr>
          <w:rFonts w:ascii="Times New Roman" w:hAnsi="Times New Roman" w:cs="Times New Roman"/>
          <w:sz w:val="24"/>
          <w:szCs w:val="24"/>
        </w:rPr>
        <w:t>the</w:t>
      </w:r>
      <w:r w:rsidR="0034721A" w:rsidRPr="001414E4">
        <w:rPr>
          <w:rFonts w:ascii="Times New Roman" w:hAnsi="Times New Roman" w:cs="Times New Roman"/>
          <w:sz w:val="24"/>
          <w:szCs w:val="24"/>
        </w:rPr>
        <w:t xml:space="preserve"> breach of trust or other merely equitable obligation.” </w:t>
      </w:r>
      <w:r w:rsidR="00DC79C5" w:rsidRPr="001414E4">
        <w:rPr>
          <w:rFonts w:ascii="Times New Roman" w:hAnsi="Times New Roman" w:cs="Times New Roman"/>
          <w:sz w:val="24"/>
          <w:szCs w:val="24"/>
        </w:rPr>
        <w:t xml:space="preserve"> To establish negligence, the claimant </w:t>
      </w:r>
      <w:proofErr w:type="gramStart"/>
      <w:r w:rsidR="00DC79C5" w:rsidRPr="001414E4">
        <w:rPr>
          <w:rFonts w:ascii="Times New Roman" w:hAnsi="Times New Roman" w:cs="Times New Roman"/>
          <w:sz w:val="24"/>
          <w:szCs w:val="24"/>
        </w:rPr>
        <w:t>has to</w:t>
      </w:r>
      <w:proofErr w:type="gramEnd"/>
      <w:r w:rsidR="00DC79C5" w:rsidRPr="001414E4">
        <w:rPr>
          <w:rFonts w:ascii="Times New Roman" w:hAnsi="Times New Roman" w:cs="Times New Roman"/>
          <w:sz w:val="24"/>
          <w:szCs w:val="24"/>
        </w:rPr>
        <w:t xml:space="preserve"> prove that the defendant owed a duty of care, that it has been breached, and that the breach caused foreseeable harm. Key cases like Caparo v Dickman [1990] 2 AC </w:t>
      </w:r>
      <w:proofErr w:type="gramStart"/>
      <w:r w:rsidR="00DC79C5" w:rsidRPr="001414E4">
        <w:rPr>
          <w:rFonts w:ascii="Times New Roman" w:hAnsi="Times New Roman" w:cs="Times New Roman"/>
          <w:sz w:val="24"/>
          <w:szCs w:val="24"/>
        </w:rPr>
        <w:t xml:space="preserve">605 </w:t>
      </w:r>
      <w:r w:rsidR="00B917B0" w:rsidRPr="001414E4">
        <w:rPr>
          <w:rFonts w:ascii="Times New Roman" w:hAnsi="Times New Roman" w:cs="Times New Roman"/>
          <w:sz w:val="24"/>
          <w:szCs w:val="24"/>
        </w:rPr>
        <w:t>,</w:t>
      </w:r>
      <w:proofErr w:type="gramEnd"/>
      <w:r w:rsidR="00DC79C5" w:rsidRPr="001414E4">
        <w:rPr>
          <w:rFonts w:ascii="Times New Roman" w:hAnsi="Times New Roman" w:cs="Times New Roman"/>
          <w:sz w:val="24"/>
          <w:szCs w:val="24"/>
        </w:rPr>
        <w:t xml:space="preserve"> identify the principles of breach in three stages: causation, remoteness, and possible defences.</w:t>
      </w:r>
    </w:p>
    <w:p w14:paraId="7D22CE3A" w14:textId="191FC184" w:rsidR="00173813" w:rsidRPr="001414E4" w:rsidRDefault="00173813" w:rsidP="0054175C">
      <w:pPr>
        <w:spacing w:line="360" w:lineRule="auto"/>
        <w:jc w:val="both"/>
        <w:rPr>
          <w:rFonts w:ascii="Times New Roman" w:hAnsi="Times New Roman" w:cs="Times New Roman"/>
          <w:sz w:val="24"/>
          <w:szCs w:val="24"/>
        </w:rPr>
      </w:pPr>
      <w:r w:rsidRPr="001414E4">
        <w:rPr>
          <w:rFonts w:ascii="Times New Roman" w:hAnsi="Times New Roman" w:cs="Times New Roman"/>
          <w:b/>
          <w:bCs/>
          <w:sz w:val="24"/>
          <w:szCs w:val="24"/>
        </w:rPr>
        <w:t>Duty of Care</w:t>
      </w:r>
    </w:p>
    <w:p w14:paraId="3698A856" w14:textId="169846B9" w:rsidR="00173813" w:rsidRPr="001414E4" w:rsidRDefault="00173813" w:rsidP="0054175C">
      <w:pPr>
        <w:spacing w:line="360" w:lineRule="auto"/>
        <w:jc w:val="both"/>
        <w:rPr>
          <w:rFonts w:ascii="Times New Roman" w:hAnsi="Times New Roman" w:cs="Times New Roman"/>
          <w:sz w:val="24"/>
          <w:szCs w:val="24"/>
        </w:rPr>
      </w:pPr>
      <w:r w:rsidRPr="001414E4">
        <w:rPr>
          <w:rFonts w:ascii="Times New Roman" w:hAnsi="Times New Roman" w:cs="Times New Roman"/>
          <w:sz w:val="24"/>
          <w:szCs w:val="24"/>
        </w:rPr>
        <w:t>A duty of care arises when harm to another person is reasonably foreseeable, there is proximity between the parties, and it is fair and reasonable to impose liability Caparo Industries plc v Dickman [1990</w:t>
      </w:r>
      <w:proofErr w:type="gramStart"/>
      <w:r w:rsidRPr="001414E4">
        <w:rPr>
          <w:rFonts w:ascii="Times New Roman" w:hAnsi="Times New Roman" w:cs="Times New Roman"/>
          <w:sz w:val="24"/>
          <w:szCs w:val="24"/>
        </w:rPr>
        <w:t>] .Bannister</w:t>
      </w:r>
      <w:proofErr w:type="gramEnd"/>
      <w:r w:rsidRPr="001414E4">
        <w:rPr>
          <w:rFonts w:ascii="Times New Roman" w:hAnsi="Times New Roman" w:cs="Times New Roman"/>
          <w:sz w:val="24"/>
          <w:szCs w:val="24"/>
        </w:rPr>
        <w:t xml:space="preserve"> Primary School clearly owes a duty of care for pupils and visitors who are lawfully on the premises. It is common that schools should take reasonable steps to </w:t>
      </w:r>
      <w:proofErr w:type="gramStart"/>
      <w:r w:rsidRPr="001414E4">
        <w:rPr>
          <w:rFonts w:ascii="Times New Roman" w:hAnsi="Times New Roman" w:cs="Times New Roman"/>
          <w:sz w:val="24"/>
          <w:szCs w:val="24"/>
        </w:rPr>
        <w:t>ensure the safety of children at all times</w:t>
      </w:r>
      <w:proofErr w:type="gramEnd"/>
      <w:r w:rsidRPr="001414E4">
        <w:rPr>
          <w:rFonts w:ascii="Times New Roman" w:hAnsi="Times New Roman" w:cs="Times New Roman"/>
          <w:sz w:val="24"/>
          <w:szCs w:val="24"/>
        </w:rPr>
        <w:t xml:space="preserve">. A duty of care was established by Donoghue v Stevenson [1932] AC </w:t>
      </w:r>
      <w:proofErr w:type="gramStart"/>
      <w:r w:rsidRPr="001414E4">
        <w:rPr>
          <w:rFonts w:ascii="Times New Roman" w:hAnsi="Times New Roman" w:cs="Times New Roman"/>
          <w:sz w:val="24"/>
          <w:szCs w:val="24"/>
        </w:rPr>
        <w:t>562 ,</w:t>
      </w:r>
      <w:proofErr w:type="gramEnd"/>
      <w:r w:rsidRPr="001414E4">
        <w:rPr>
          <w:rFonts w:ascii="Times New Roman" w:hAnsi="Times New Roman" w:cs="Times New Roman"/>
          <w:sz w:val="24"/>
          <w:szCs w:val="24"/>
        </w:rPr>
        <w:t xml:space="preserve"> which created the “Neighbour Principle” — individuals must take reasonable steps to avoid acts or omissions likely to injure their </w:t>
      </w:r>
      <w:r w:rsidR="00BB2F5B" w:rsidRPr="001414E4">
        <w:rPr>
          <w:rFonts w:ascii="Times New Roman" w:hAnsi="Times New Roman" w:cs="Times New Roman"/>
          <w:sz w:val="24"/>
          <w:szCs w:val="24"/>
        </w:rPr>
        <w:t>neighbours. As</w:t>
      </w:r>
      <w:r w:rsidRPr="001414E4">
        <w:rPr>
          <w:rFonts w:ascii="Times New Roman" w:hAnsi="Times New Roman" w:cs="Times New Roman"/>
          <w:sz w:val="24"/>
          <w:szCs w:val="24"/>
        </w:rPr>
        <w:t xml:space="preserve"> occupier of the premises, the school owes a statutory duty under the Occupiers’ Liability Act 1957 (UK), which requires occupiers to take reasonable care for visitors using the premises for the permitted purpose. Therefore, both Bondi and Elijah fall within the category of persons owed a duty of care by the school.</w:t>
      </w:r>
    </w:p>
    <w:p w14:paraId="1CDFABF3" w14:textId="77777777" w:rsidR="00CF589F" w:rsidRPr="001414E4" w:rsidRDefault="00CF589F" w:rsidP="0054175C">
      <w:pPr>
        <w:spacing w:line="360" w:lineRule="auto"/>
        <w:jc w:val="both"/>
        <w:rPr>
          <w:rFonts w:ascii="Times New Roman" w:hAnsi="Times New Roman" w:cs="Times New Roman"/>
          <w:b/>
          <w:bCs/>
          <w:sz w:val="24"/>
          <w:szCs w:val="24"/>
        </w:rPr>
      </w:pPr>
      <w:r w:rsidRPr="001414E4">
        <w:rPr>
          <w:rFonts w:ascii="Times New Roman" w:hAnsi="Times New Roman" w:cs="Times New Roman"/>
          <w:b/>
          <w:bCs/>
          <w:sz w:val="24"/>
          <w:szCs w:val="24"/>
        </w:rPr>
        <w:t>Breach of Duty</w:t>
      </w:r>
    </w:p>
    <w:p w14:paraId="77015AB3" w14:textId="7E17F50A" w:rsidR="00CF589F" w:rsidRPr="001414E4" w:rsidRDefault="00CF589F" w:rsidP="0054175C">
      <w:pPr>
        <w:spacing w:line="360" w:lineRule="auto"/>
        <w:jc w:val="both"/>
        <w:rPr>
          <w:rFonts w:ascii="Times New Roman" w:hAnsi="Times New Roman" w:cs="Times New Roman"/>
          <w:sz w:val="24"/>
          <w:szCs w:val="24"/>
        </w:rPr>
      </w:pPr>
      <w:r w:rsidRPr="001414E4">
        <w:rPr>
          <w:rFonts w:ascii="Times New Roman" w:hAnsi="Times New Roman" w:cs="Times New Roman"/>
          <w:sz w:val="24"/>
          <w:szCs w:val="24"/>
        </w:rPr>
        <w:t>A breach occurs when the defendant fails to reach the standard of care expected from a reasonable person in the same circumstances (Blyth v Birmingham Waterworks Co [1856] 11 Ex 781</w:t>
      </w:r>
      <w:proofErr w:type="gramStart"/>
      <w:r w:rsidRPr="001414E4">
        <w:rPr>
          <w:rFonts w:ascii="Times New Roman" w:hAnsi="Times New Roman" w:cs="Times New Roman"/>
          <w:sz w:val="24"/>
          <w:szCs w:val="24"/>
        </w:rPr>
        <w:t>).Schools</w:t>
      </w:r>
      <w:proofErr w:type="gramEnd"/>
      <w:r w:rsidRPr="001414E4">
        <w:rPr>
          <w:rFonts w:ascii="Times New Roman" w:hAnsi="Times New Roman" w:cs="Times New Roman"/>
          <w:sz w:val="24"/>
          <w:szCs w:val="24"/>
        </w:rPr>
        <w:t xml:space="preserve"> have higher standards when dealing with children because children are less aware of risk. A headteacher would foresee that leaving a deep, unfenced pond open to children can create risk or injury. As held in Mullin v Richards [1998] 1 All ER </w:t>
      </w:r>
      <w:proofErr w:type="gramStart"/>
      <w:r w:rsidRPr="001414E4">
        <w:rPr>
          <w:rFonts w:ascii="Times New Roman" w:hAnsi="Times New Roman" w:cs="Times New Roman"/>
          <w:sz w:val="24"/>
          <w:szCs w:val="24"/>
        </w:rPr>
        <w:t>920 ,</w:t>
      </w:r>
      <w:proofErr w:type="gramEnd"/>
      <w:r w:rsidRPr="001414E4">
        <w:rPr>
          <w:rFonts w:ascii="Times New Roman" w:hAnsi="Times New Roman" w:cs="Times New Roman"/>
          <w:sz w:val="24"/>
          <w:szCs w:val="24"/>
        </w:rPr>
        <w:t xml:space="preserve"> a child is judged by the standard of a reasonable child, but a school is a professional institution and must be judged by the standard of a reasonable skilled </w:t>
      </w:r>
      <w:r w:rsidR="00D24DA9" w:rsidRPr="001414E4">
        <w:rPr>
          <w:rFonts w:ascii="Times New Roman" w:hAnsi="Times New Roman" w:cs="Times New Roman"/>
          <w:sz w:val="24"/>
          <w:szCs w:val="24"/>
        </w:rPr>
        <w:t>body. Simply</w:t>
      </w:r>
      <w:r w:rsidRPr="001414E4">
        <w:rPr>
          <w:rFonts w:ascii="Times New Roman" w:hAnsi="Times New Roman" w:cs="Times New Roman"/>
          <w:sz w:val="24"/>
          <w:szCs w:val="24"/>
        </w:rPr>
        <w:t xml:space="preserve"> putting up a sign “Keep Away” is not enough to ensure duty is met. Children cannot always understand warnings. Reasonable precautions would include fencing, supervision, or restricted access to the garden during </w:t>
      </w:r>
      <w:r w:rsidR="00D24DA9" w:rsidRPr="001414E4">
        <w:rPr>
          <w:rFonts w:ascii="Times New Roman" w:hAnsi="Times New Roman" w:cs="Times New Roman"/>
          <w:sz w:val="24"/>
          <w:szCs w:val="24"/>
        </w:rPr>
        <w:t xml:space="preserve">visits. </w:t>
      </w:r>
      <w:r w:rsidR="00D24DA9" w:rsidRPr="001414E4">
        <w:rPr>
          <w:rFonts w:ascii="Times New Roman" w:hAnsi="Times New Roman" w:cs="Times New Roman"/>
          <w:sz w:val="24"/>
          <w:szCs w:val="24"/>
        </w:rPr>
        <w:lastRenderedPageBreak/>
        <w:t>Similarly</w:t>
      </w:r>
      <w:r w:rsidRPr="001414E4">
        <w:rPr>
          <w:rFonts w:ascii="Times New Roman" w:hAnsi="Times New Roman" w:cs="Times New Roman"/>
          <w:sz w:val="24"/>
          <w:szCs w:val="24"/>
        </w:rPr>
        <w:t>, the incident with Bondi in the canteen suggests poor supervision and unsafe serving practices. Serving hot food to young pupils by non-professional persons can create foreseeable risk. A reasonable school must ensure proper temperature checks and trained service persons. Failure to provide safety or supervision on the premises is a breach of duty.</w:t>
      </w:r>
    </w:p>
    <w:p w14:paraId="14B586F3" w14:textId="392C61D8" w:rsidR="00447F99" w:rsidRPr="001414E4" w:rsidRDefault="00447F99" w:rsidP="0054175C">
      <w:pPr>
        <w:spacing w:line="360" w:lineRule="auto"/>
        <w:jc w:val="both"/>
        <w:rPr>
          <w:rFonts w:ascii="Times New Roman" w:hAnsi="Times New Roman" w:cs="Times New Roman"/>
          <w:b/>
          <w:bCs/>
          <w:sz w:val="24"/>
          <w:szCs w:val="24"/>
        </w:rPr>
      </w:pPr>
      <w:r w:rsidRPr="001414E4">
        <w:rPr>
          <w:rFonts w:ascii="Times New Roman" w:hAnsi="Times New Roman" w:cs="Times New Roman"/>
          <w:b/>
          <w:bCs/>
          <w:sz w:val="24"/>
          <w:szCs w:val="24"/>
        </w:rPr>
        <w:t>Causation and Remoteness</w:t>
      </w:r>
    </w:p>
    <w:p w14:paraId="17E3005F" w14:textId="57361F00" w:rsidR="00447F99" w:rsidRPr="001414E4" w:rsidRDefault="00447F99" w:rsidP="0054175C">
      <w:pPr>
        <w:spacing w:line="360" w:lineRule="auto"/>
        <w:jc w:val="both"/>
        <w:rPr>
          <w:rFonts w:ascii="Times New Roman" w:hAnsi="Times New Roman" w:cs="Times New Roman"/>
          <w:sz w:val="24"/>
          <w:szCs w:val="24"/>
        </w:rPr>
      </w:pPr>
      <w:r w:rsidRPr="001414E4">
        <w:rPr>
          <w:rFonts w:ascii="Times New Roman" w:hAnsi="Times New Roman" w:cs="Times New Roman"/>
          <w:sz w:val="24"/>
          <w:szCs w:val="24"/>
        </w:rPr>
        <w:t xml:space="preserve">To prove negligence, the claimant needs to provide evidence of duty of care, breach of duty, causation, and remoteness. The claimant must prove factual cause and chain of causation using the “but for” test from Barnett v Chelsea &amp; Kensington Hospital Management Committee [1969] 1 QB 428 and Gregg v Scott [2005] 2 AC </w:t>
      </w:r>
      <w:proofErr w:type="gramStart"/>
      <w:r w:rsidRPr="001414E4">
        <w:rPr>
          <w:rFonts w:ascii="Times New Roman" w:hAnsi="Times New Roman" w:cs="Times New Roman"/>
          <w:sz w:val="24"/>
          <w:szCs w:val="24"/>
        </w:rPr>
        <w:t>176 .But</w:t>
      </w:r>
      <w:proofErr w:type="gramEnd"/>
      <w:r w:rsidRPr="001414E4">
        <w:rPr>
          <w:rFonts w:ascii="Times New Roman" w:hAnsi="Times New Roman" w:cs="Times New Roman"/>
          <w:sz w:val="24"/>
          <w:szCs w:val="24"/>
        </w:rPr>
        <w:t xml:space="preserve"> for the school’s failure to fence or restrict the pond area, Elijah would not have fallen and been injured. Therefore, factual causation is </w:t>
      </w:r>
      <w:r w:rsidR="001A1D6C" w:rsidRPr="001414E4">
        <w:rPr>
          <w:rFonts w:ascii="Times New Roman" w:hAnsi="Times New Roman" w:cs="Times New Roman"/>
          <w:sz w:val="24"/>
          <w:szCs w:val="24"/>
        </w:rPr>
        <w:t>satisfied. Legal</w:t>
      </w:r>
      <w:r w:rsidRPr="001414E4">
        <w:rPr>
          <w:rFonts w:ascii="Times New Roman" w:hAnsi="Times New Roman" w:cs="Times New Roman"/>
          <w:sz w:val="24"/>
          <w:szCs w:val="24"/>
        </w:rPr>
        <w:t xml:space="preserve"> causation requires the damage to be a reasonably foreseeable result of the breach. Under Overseas Tankship (UK) Ltd v Morts Dock Engineering Co Ltd (The Wagon Mound No.1) [1961] AC </w:t>
      </w:r>
      <w:proofErr w:type="gramStart"/>
      <w:r w:rsidRPr="001414E4">
        <w:rPr>
          <w:rFonts w:ascii="Times New Roman" w:hAnsi="Times New Roman" w:cs="Times New Roman"/>
          <w:sz w:val="24"/>
          <w:szCs w:val="24"/>
        </w:rPr>
        <w:t>388 ,</w:t>
      </w:r>
      <w:proofErr w:type="gramEnd"/>
      <w:r w:rsidRPr="001414E4">
        <w:rPr>
          <w:rFonts w:ascii="Times New Roman" w:hAnsi="Times New Roman" w:cs="Times New Roman"/>
          <w:sz w:val="24"/>
          <w:szCs w:val="24"/>
        </w:rPr>
        <w:t xml:space="preserve"> defendants are liable only for foreseeable harm. It is entirely foreseeable that a small child might wander near an unfenced pond and fall in, especially during an open day. The harm was not too remote; it flowed naturally from the school’s negligence.</w:t>
      </w:r>
    </w:p>
    <w:p w14:paraId="718E8C11" w14:textId="77777777" w:rsidR="00D94868" w:rsidRPr="001414E4" w:rsidRDefault="00D94868" w:rsidP="0054175C">
      <w:pPr>
        <w:spacing w:line="360" w:lineRule="auto"/>
        <w:jc w:val="both"/>
        <w:rPr>
          <w:rFonts w:ascii="Times New Roman" w:hAnsi="Times New Roman" w:cs="Times New Roman"/>
          <w:b/>
          <w:bCs/>
          <w:sz w:val="24"/>
          <w:szCs w:val="24"/>
        </w:rPr>
      </w:pPr>
      <w:r w:rsidRPr="001414E4">
        <w:rPr>
          <w:rFonts w:ascii="Times New Roman" w:hAnsi="Times New Roman" w:cs="Times New Roman"/>
          <w:b/>
          <w:bCs/>
          <w:sz w:val="24"/>
          <w:szCs w:val="24"/>
        </w:rPr>
        <w:t>Defences</w:t>
      </w:r>
    </w:p>
    <w:p w14:paraId="142419A5" w14:textId="5D73E1D8" w:rsidR="00D94868" w:rsidRPr="001414E4" w:rsidRDefault="00D94868" w:rsidP="0054175C">
      <w:pPr>
        <w:spacing w:line="360" w:lineRule="auto"/>
        <w:jc w:val="both"/>
        <w:rPr>
          <w:rFonts w:ascii="Times New Roman" w:hAnsi="Times New Roman" w:cs="Times New Roman"/>
          <w:sz w:val="24"/>
          <w:szCs w:val="24"/>
        </w:rPr>
      </w:pPr>
      <w:r w:rsidRPr="001414E4">
        <w:rPr>
          <w:rFonts w:ascii="Times New Roman" w:hAnsi="Times New Roman" w:cs="Times New Roman"/>
          <w:sz w:val="24"/>
          <w:szCs w:val="24"/>
        </w:rPr>
        <w:t>The school may raise defences under the Law Reform (Contributory Negligence) Act 1945 (UK), claiming that Jade, the parent, failed to supervise her son adequately. However, courts are reluctant to place blame on parents visiting a school, especially when the premises should be safe. Jade and Elijah did not voluntarily accept the risk of injury, so volente non fit injuria will not apply. Therefore, the school will not succeed in a full defence.</w:t>
      </w:r>
    </w:p>
    <w:p w14:paraId="47F890F4" w14:textId="77777777" w:rsidR="00D94868" w:rsidRPr="001414E4" w:rsidRDefault="00D94868" w:rsidP="0054175C">
      <w:pPr>
        <w:spacing w:line="360" w:lineRule="auto"/>
        <w:jc w:val="both"/>
        <w:rPr>
          <w:rFonts w:ascii="Times New Roman" w:hAnsi="Times New Roman" w:cs="Times New Roman"/>
          <w:sz w:val="24"/>
          <w:szCs w:val="24"/>
        </w:rPr>
      </w:pPr>
    </w:p>
    <w:p w14:paraId="7D41D9B4" w14:textId="1C2A6F1F" w:rsidR="000A794A" w:rsidRPr="001414E4" w:rsidRDefault="000A794A" w:rsidP="0054175C">
      <w:pPr>
        <w:spacing w:line="360" w:lineRule="auto"/>
        <w:jc w:val="both"/>
        <w:rPr>
          <w:rFonts w:ascii="Times New Roman" w:hAnsi="Times New Roman" w:cs="Times New Roman"/>
          <w:b/>
          <w:bCs/>
          <w:sz w:val="24"/>
          <w:szCs w:val="24"/>
        </w:rPr>
      </w:pPr>
      <w:r w:rsidRPr="001414E4">
        <w:rPr>
          <w:rFonts w:ascii="Times New Roman" w:hAnsi="Times New Roman" w:cs="Times New Roman"/>
          <w:b/>
          <w:bCs/>
          <w:sz w:val="24"/>
          <w:szCs w:val="24"/>
        </w:rPr>
        <w:t>Conclusion</w:t>
      </w:r>
    </w:p>
    <w:p w14:paraId="6635AC6D" w14:textId="77777777" w:rsidR="008255DC" w:rsidRDefault="000A794A" w:rsidP="0054175C">
      <w:pPr>
        <w:spacing w:line="360" w:lineRule="auto"/>
        <w:jc w:val="both"/>
        <w:rPr>
          <w:rFonts w:ascii="Times New Roman" w:hAnsi="Times New Roman" w:cs="Times New Roman"/>
          <w:sz w:val="24"/>
          <w:szCs w:val="24"/>
        </w:rPr>
      </w:pPr>
      <w:r w:rsidRPr="001414E4">
        <w:rPr>
          <w:rFonts w:ascii="Times New Roman" w:hAnsi="Times New Roman" w:cs="Times New Roman"/>
          <w:sz w:val="24"/>
          <w:szCs w:val="24"/>
        </w:rPr>
        <w:t>In conclusion, Bannister Primary School owed a clear duty of care to both pupils and visitors.</w:t>
      </w:r>
      <w:r w:rsidR="00D321AC" w:rsidRPr="001414E4">
        <w:rPr>
          <w:rFonts w:ascii="Times New Roman" w:hAnsi="Times New Roman" w:cs="Times New Roman"/>
          <w:sz w:val="24"/>
          <w:szCs w:val="24"/>
        </w:rPr>
        <w:t xml:space="preserve"> </w:t>
      </w:r>
      <w:r w:rsidRPr="001414E4">
        <w:rPr>
          <w:rFonts w:ascii="Times New Roman" w:hAnsi="Times New Roman" w:cs="Times New Roman"/>
          <w:sz w:val="24"/>
          <w:szCs w:val="24"/>
        </w:rPr>
        <w:t>The absence of a safety barrier around a pond and inadequate supervision during school hours and events amount to a breach of that duty. The harm to Elijah was foreseeable, satisfying causation and remoteness requirements. While minor contributory negligence could be argued, the school is likely to be found liable for negligence. The school governing body would be expected to pay compensatory damages to cover Elijah’s injuries and related losses.</w:t>
      </w:r>
    </w:p>
    <w:p w14:paraId="2CF032DC" w14:textId="1FE66ECF" w:rsidR="00AB255C" w:rsidRPr="001621FF" w:rsidRDefault="00AB255C" w:rsidP="0054175C">
      <w:pPr>
        <w:spacing w:line="360" w:lineRule="auto"/>
        <w:jc w:val="both"/>
        <w:rPr>
          <w:rFonts w:ascii="Times New Roman" w:hAnsi="Times New Roman" w:cs="Times New Roman"/>
          <w:sz w:val="24"/>
          <w:szCs w:val="24"/>
        </w:rPr>
      </w:pPr>
      <w:r w:rsidRPr="001414E4">
        <w:rPr>
          <w:rFonts w:ascii="Times New Roman" w:hAnsi="Times New Roman" w:cs="Times New Roman"/>
          <w:b/>
          <w:bCs/>
          <w:sz w:val="24"/>
          <w:szCs w:val="24"/>
        </w:rPr>
        <w:lastRenderedPageBreak/>
        <w:t xml:space="preserve">Reference List </w:t>
      </w:r>
    </w:p>
    <w:p w14:paraId="15DBEA88" w14:textId="63265B0B" w:rsidR="00AB255C" w:rsidRPr="001414E4" w:rsidRDefault="000701DA" w:rsidP="0054175C">
      <w:pPr>
        <w:spacing w:line="360" w:lineRule="auto"/>
        <w:jc w:val="both"/>
        <w:rPr>
          <w:rFonts w:ascii="Times New Roman" w:hAnsi="Times New Roman" w:cs="Times New Roman"/>
          <w:sz w:val="24"/>
          <w:szCs w:val="24"/>
        </w:rPr>
      </w:pPr>
      <w:r w:rsidRPr="001414E4">
        <w:rPr>
          <w:rFonts w:ascii="Times New Roman" w:hAnsi="Times New Roman" w:cs="Times New Roman"/>
          <w:sz w:val="24"/>
          <w:szCs w:val="24"/>
        </w:rPr>
        <w:t>(</w:t>
      </w:r>
      <w:r w:rsidR="002272EB" w:rsidRPr="001414E4">
        <w:rPr>
          <w:rFonts w:ascii="Times New Roman" w:hAnsi="Times New Roman" w:cs="Times New Roman"/>
          <w:sz w:val="24"/>
          <w:szCs w:val="24"/>
        </w:rPr>
        <w:t>M</w:t>
      </w:r>
      <w:r w:rsidR="00BE4EBB" w:rsidRPr="001414E4">
        <w:rPr>
          <w:rFonts w:ascii="Times New Roman" w:hAnsi="Times New Roman" w:cs="Times New Roman"/>
          <w:sz w:val="24"/>
          <w:szCs w:val="24"/>
        </w:rPr>
        <w:t>os</w:t>
      </w:r>
      <w:r w:rsidR="002272EB" w:rsidRPr="001414E4">
        <w:rPr>
          <w:rFonts w:ascii="Times New Roman" w:hAnsi="Times New Roman" w:cs="Times New Roman"/>
          <w:sz w:val="24"/>
          <w:szCs w:val="24"/>
        </w:rPr>
        <w:t xml:space="preserve">t cases from power point </w:t>
      </w:r>
      <w:proofErr w:type="gramStart"/>
      <w:r w:rsidR="002272EB" w:rsidRPr="001414E4">
        <w:rPr>
          <w:rFonts w:ascii="Times New Roman" w:hAnsi="Times New Roman" w:cs="Times New Roman"/>
          <w:sz w:val="24"/>
          <w:szCs w:val="24"/>
        </w:rPr>
        <w:t>slide  on</w:t>
      </w:r>
      <w:proofErr w:type="gramEnd"/>
      <w:r w:rsidR="002272EB" w:rsidRPr="001414E4">
        <w:rPr>
          <w:rFonts w:ascii="Times New Roman" w:hAnsi="Times New Roman" w:cs="Times New Roman"/>
          <w:sz w:val="24"/>
          <w:szCs w:val="24"/>
        </w:rPr>
        <w:t xml:space="preserve"> </w:t>
      </w:r>
      <w:r w:rsidRPr="001414E4">
        <w:rPr>
          <w:rFonts w:ascii="Times New Roman" w:hAnsi="Times New Roman" w:cs="Times New Roman"/>
          <w:sz w:val="24"/>
          <w:szCs w:val="24"/>
        </w:rPr>
        <w:t>tort law)</w:t>
      </w:r>
    </w:p>
    <w:p w14:paraId="30C11742" w14:textId="77777777" w:rsidR="00AB255C" w:rsidRPr="001414E4" w:rsidRDefault="00AB255C" w:rsidP="0054175C">
      <w:pPr>
        <w:spacing w:line="360" w:lineRule="auto"/>
        <w:jc w:val="both"/>
        <w:rPr>
          <w:rFonts w:ascii="Times New Roman" w:hAnsi="Times New Roman" w:cs="Times New Roman"/>
          <w:sz w:val="24"/>
          <w:szCs w:val="24"/>
        </w:rPr>
      </w:pPr>
      <w:r w:rsidRPr="001414E4">
        <w:rPr>
          <w:rFonts w:ascii="Times New Roman" w:hAnsi="Times New Roman" w:cs="Times New Roman"/>
          <w:sz w:val="24"/>
          <w:szCs w:val="24"/>
        </w:rPr>
        <w:t>Barnett v Chelsea &amp; Kensington Hospital Management Committee [1969] 1 QB 428.</w:t>
      </w:r>
    </w:p>
    <w:p w14:paraId="7AA60D20" w14:textId="77777777" w:rsidR="00AB255C" w:rsidRPr="001414E4" w:rsidRDefault="00AB255C" w:rsidP="0054175C">
      <w:pPr>
        <w:spacing w:line="360" w:lineRule="auto"/>
        <w:jc w:val="both"/>
        <w:rPr>
          <w:rFonts w:ascii="Times New Roman" w:hAnsi="Times New Roman" w:cs="Times New Roman"/>
          <w:sz w:val="24"/>
          <w:szCs w:val="24"/>
        </w:rPr>
      </w:pPr>
      <w:r w:rsidRPr="001414E4">
        <w:rPr>
          <w:rFonts w:ascii="Times New Roman" w:hAnsi="Times New Roman" w:cs="Times New Roman"/>
          <w:sz w:val="24"/>
          <w:szCs w:val="24"/>
        </w:rPr>
        <w:t>Blyth v Birmingham Waterworks Co [1856] 11 Ex 781.</w:t>
      </w:r>
    </w:p>
    <w:p w14:paraId="4F526FC6" w14:textId="1C3C20B8" w:rsidR="00AB255C" w:rsidRPr="001414E4" w:rsidRDefault="00AB255C" w:rsidP="0054175C">
      <w:pPr>
        <w:spacing w:line="360" w:lineRule="auto"/>
        <w:jc w:val="both"/>
        <w:rPr>
          <w:rFonts w:ascii="Times New Roman" w:hAnsi="Times New Roman" w:cs="Times New Roman"/>
          <w:sz w:val="24"/>
          <w:szCs w:val="24"/>
        </w:rPr>
      </w:pPr>
      <w:r w:rsidRPr="001414E4">
        <w:rPr>
          <w:rFonts w:ascii="Times New Roman" w:hAnsi="Times New Roman" w:cs="Times New Roman"/>
          <w:sz w:val="24"/>
          <w:szCs w:val="24"/>
        </w:rPr>
        <w:t xml:space="preserve">Caparo Industries plc v Dickman [1990] 2 AC </w:t>
      </w:r>
      <w:proofErr w:type="gramStart"/>
      <w:r w:rsidRPr="001414E4">
        <w:rPr>
          <w:rFonts w:ascii="Times New Roman" w:hAnsi="Times New Roman" w:cs="Times New Roman"/>
          <w:sz w:val="24"/>
          <w:szCs w:val="24"/>
        </w:rPr>
        <w:t>605 .</w:t>
      </w:r>
      <w:proofErr w:type="gramEnd"/>
    </w:p>
    <w:p w14:paraId="2896CF2E" w14:textId="01E2EC7A" w:rsidR="00AB255C" w:rsidRPr="001414E4" w:rsidRDefault="00AB255C" w:rsidP="0054175C">
      <w:pPr>
        <w:spacing w:line="360" w:lineRule="auto"/>
        <w:jc w:val="both"/>
        <w:rPr>
          <w:rFonts w:ascii="Times New Roman" w:hAnsi="Times New Roman" w:cs="Times New Roman"/>
          <w:sz w:val="24"/>
          <w:szCs w:val="24"/>
        </w:rPr>
      </w:pPr>
      <w:r w:rsidRPr="001414E4">
        <w:rPr>
          <w:rFonts w:ascii="Times New Roman" w:hAnsi="Times New Roman" w:cs="Times New Roman"/>
          <w:sz w:val="24"/>
          <w:szCs w:val="24"/>
        </w:rPr>
        <w:t xml:space="preserve">Donoghue v Stevenson [1932] AC </w:t>
      </w:r>
      <w:proofErr w:type="gramStart"/>
      <w:r w:rsidRPr="001414E4">
        <w:rPr>
          <w:rFonts w:ascii="Times New Roman" w:hAnsi="Times New Roman" w:cs="Times New Roman"/>
          <w:sz w:val="24"/>
          <w:szCs w:val="24"/>
        </w:rPr>
        <w:t>562 .</w:t>
      </w:r>
      <w:proofErr w:type="gramEnd"/>
    </w:p>
    <w:p w14:paraId="3C96DFCB" w14:textId="2D14FCBF" w:rsidR="00AB255C" w:rsidRPr="001414E4" w:rsidRDefault="00AB255C" w:rsidP="0054175C">
      <w:pPr>
        <w:spacing w:line="360" w:lineRule="auto"/>
        <w:jc w:val="both"/>
        <w:rPr>
          <w:rFonts w:ascii="Times New Roman" w:hAnsi="Times New Roman" w:cs="Times New Roman"/>
          <w:sz w:val="24"/>
          <w:szCs w:val="24"/>
        </w:rPr>
      </w:pPr>
      <w:r w:rsidRPr="001414E4">
        <w:rPr>
          <w:rFonts w:ascii="Times New Roman" w:hAnsi="Times New Roman" w:cs="Times New Roman"/>
          <w:sz w:val="24"/>
          <w:szCs w:val="24"/>
        </w:rPr>
        <w:t>Gregg v Scott [2005] 2 AC 176).</w:t>
      </w:r>
    </w:p>
    <w:p w14:paraId="03143E8C" w14:textId="2950D361" w:rsidR="00AB255C" w:rsidRPr="001414E4" w:rsidRDefault="00AB255C" w:rsidP="0054175C">
      <w:pPr>
        <w:spacing w:line="360" w:lineRule="auto"/>
        <w:jc w:val="both"/>
        <w:rPr>
          <w:rFonts w:ascii="Times New Roman" w:hAnsi="Times New Roman" w:cs="Times New Roman"/>
          <w:sz w:val="24"/>
          <w:szCs w:val="24"/>
        </w:rPr>
      </w:pPr>
      <w:r w:rsidRPr="001414E4">
        <w:rPr>
          <w:rFonts w:ascii="Times New Roman" w:hAnsi="Times New Roman" w:cs="Times New Roman"/>
          <w:sz w:val="24"/>
          <w:szCs w:val="24"/>
        </w:rPr>
        <w:t>Mullin v Richards [1998] 1 All ER 920.</w:t>
      </w:r>
    </w:p>
    <w:p w14:paraId="3AB0457F" w14:textId="0BE367DB" w:rsidR="00AB255C" w:rsidRPr="001414E4" w:rsidRDefault="00AB255C" w:rsidP="0054175C">
      <w:pPr>
        <w:spacing w:line="360" w:lineRule="auto"/>
        <w:jc w:val="both"/>
        <w:rPr>
          <w:rFonts w:ascii="Times New Roman" w:hAnsi="Times New Roman" w:cs="Times New Roman"/>
          <w:sz w:val="24"/>
          <w:szCs w:val="24"/>
        </w:rPr>
      </w:pPr>
      <w:r w:rsidRPr="001414E4">
        <w:rPr>
          <w:rFonts w:ascii="Times New Roman" w:hAnsi="Times New Roman" w:cs="Times New Roman"/>
          <w:sz w:val="24"/>
          <w:szCs w:val="24"/>
        </w:rPr>
        <w:t xml:space="preserve">Overseas Tankship (UK) Ltd v Morts Dock Engineering Co Ltd (The Wagon Mound No.1) [1961] AC </w:t>
      </w:r>
      <w:proofErr w:type="gramStart"/>
      <w:r w:rsidRPr="001414E4">
        <w:rPr>
          <w:rFonts w:ascii="Times New Roman" w:hAnsi="Times New Roman" w:cs="Times New Roman"/>
          <w:sz w:val="24"/>
          <w:szCs w:val="24"/>
        </w:rPr>
        <w:t>388 .</w:t>
      </w:r>
      <w:proofErr w:type="gramEnd"/>
    </w:p>
    <w:p w14:paraId="1766DB4E" w14:textId="079222C9" w:rsidR="00AB255C" w:rsidRPr="001414E4" w:rsidRDefault="00AB255C" w:rsidP="0054175C">
      <w:pPr>
        <w:spacing w:line="360" w:lineRule="auto"/>
        <w:jc w:val="both"/>
        <w:rPr>
          <w:rFonts w:ascii="Times New Roman" w:hAnsi="Times New Roman" w:cs="Times New Roman"/>
          <w:sz w:val="24"/>
          <w:szCs w:val="24"/>
        </w:rPr>
      </w:pPr>
      <w:r w:rsidRPr="001414E4">
        <w:rPr>
          <w:rFonts w:ascii="Times New Roman" w:hAnsi="Times New Roman" w:cs="Times New Roman"/>
          <w:sz w:val="24"/>
          <w:szCs w:val="24"/>
        </w:rPr>
        <w:t xml:space="preserve">Occupiers’ Liability Act </w:t>
      </w:r>
      <w:proofErr w:type="gramStart"/>
      <w:r w:rsidRPr="001414E4">
        <w:rPr>
          <w:rFonts w:ascii="Times New Roman" w:hAnsi="Times New Roman" w:cs="Times New Roman"/>
          <w:sz w:val="24"/>
          <w:szCs w:val="24"/>
        </w:rPr>
        <w:t>1957 .</w:t>
      </w:r>
      <w:proofErr w:type="gramEnd"/>
    </w:p>
    <w:p w14:paraId="5FF7F25C" w14:textId="70ADA173" w:rsidR="00AB255C" w:rsidRPr="001414E4" w:rsidRDefault="00AB255C" w:rsidP="0054175C">
      <w:pPr>
        <w:spacing w:line="360" w:lineRule="auto"/>
        <w:jc w:val="both"/>
        <w:rPr>
          <w:rFonts w:ascii="Times New Roman" w:hAnsi="Times New Roman" w:cs="Times New Roman"/>
          <w:sz w:val="24"/>
          <w:szCs w:val="24"/>
        </w:rPr>
      </w:pPr>
      <w:r w:rsidRPr="001414E4">
        <w:rPr>
          <w:rFonts w:ascii="Times New Roman" w:hAnsi="Times New Roman" w:cs="Times New Roman"/>
          <w:sz w:val="24"/>
          <w:szCs w:val="24"/>
        </w:rPr>
        <w:t xml:space="preserve">Law Reform (Contributory Negligence) Act </w:t>
      </w:r>
      <w:proofErr w:type="gramStart"/>
      <w:r w:rsidRPr="001414E4">
        <w:rPr>
          <w:rFonts w:ascii="Times New Roman" w:hAnsi="Times New Roman" w:cs="Times New Roman"/>
          <w:sz w:val="24"/>
          <w:szCs w:val="24"/>
        </w:rPr>
        <w:t>1945 .</w:t>
      </w:r>
      <w:proofErr w:type="gramEnd"/>
    </w:p>
    <w:p w14:paraId="4619A803" w14:textId="77777777" w:rsidR="00AB255C" w:rsidRPr="001414E4" w:rsidRDefault="00AB255C" w:rsidP="0054175C">
      <w:pPr>
        <w:spacing w:line="360" w:lineRule="auto"/>
        <w:jc w:val="both"/>
        <w:rPr>
          <w:rFonts w:ascii="Times New Roman" w:hAnsi="Times New Roman" w:cs="Times New Roman"/>
          <w:sz w:val="24"/>
          <w:szCs w:val="24"/>
        </w:rPr>
      </w:pPr>
      <w:r w:rsidRPr="001414E4">
        <w:rPr>
          <w:rFonts w:ascii="Times New Roman" w:hAnsi="Times New Roman" w:cs="Times New Roman"/>
          <w:sz w:val="24"/>
          <w:szCs w:val="24"/>
        </w:rPr>
        <w:t xml:space="preserve">Salmond, J.W. (1961) The Law of Torts. 11th </w:t>
      </w:r>
      <w:proofErr w:type="spellStart"/>
      <w:r w:rsidRPr="001414E4">
        <w:rPr>
          <w:rFonts w:ascii="Times New Roman" w:hAnsi="Times New Roman" w:cs="Times New Roman"/>
          <w:sz w:val="24"/>
          <w:szCs w:val="24"/>
        </w:rPr>
        <w:t>edn</w:t>
      </w:r>
      <w:proofErr w:type="spellEnd"/>
      <w:r w:rsidRPr="001414E4">
        <w:rPr>
          <w:rFonts w:ascii="Times New Roman" w:hAnsi="Times New Roman" w:cs="Times New Roman"/>
          <w:sz w:val="24"/>
          <w:szCs w:val="24"/>
        </w:rPr>
        <w:t>. London: Sweet &amp; Maxwell.</w:t>
      </w:r>
    </w:p>
    <w:p w14:paraId="3C2BCB81" w14:textId="4DEEA094" w:rsidR="008F5D12" w:rsidRPr="001414E4" w:rsidRDefault="008F5D12" w:rsidP="0054175C">
      <w:pPr>
        <w:spacing w:line="360" w:lineRule="auto"/>
        <w:jc w:val="both"/>
        <w:rPr>
          <w:rFonts w:ascii="Times New Roman" w:hAnsi="Times New Roman" w:cs="Times New Roman"/>
          <w:sz w:val="24"/>
          <w:szCs w:val="24"/>
        </w:rPr>
      </w:pPr>
    </w:p>
    <w:sectPr w:rsidR="008F5D12" w:rsidRPr="001414E4">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73EB91" w14:textId="77777777" w:rsidR="005E759D" w:rsidRDefault="005E759D" w:rsidP="003B6B6F">
      <w:pPr>
        <w:spacing w:after="0" w:line="240" w:lineRule="auto"/>
      </w:pPr>
      <w:r>
        <w:separator/>
      </w:r>
    </w:p>
  </w:endnote>
  <w:endnote w:type="continuationSeparator" w:id="0">
    <w:p w14:paraId="2E59B81B" w14:textId="77777777" w:rsidR="005E759D" w:rsidRDefault="005E759D" w:rsidP="003B6B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534E67" w14:textId="77777777" w:rsidR="003B6B6F" w:rsidRDefault="003B6B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1873FE" w14:textId="77777777" w:rsidR="005E759D" w:rsidRDefault="005E759D" w:rsidP="003B6B6F">
      <w:pPr>
        <w:spacing w:after="0" w:line="240" w:lineRule="auto"/>
      </w:pPr>
      <w:r>
        <w:separator/>
      </w:r>
    </w:p>
  </w:footnote>
  <w:footnote w:type="continuationSeparator" w:id="0">
    <w:p w14:paraId="7DE1942C" w14:textId="77777777" w:rsidR="005E759D" w:rsidRDefault="005E759D" w:rsidP="003B6B6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3CF3B1F"/>
    <w:multiLevelType w:val="hybridMultilevel"/>
    <w:tmpl w:val="15EA34E2"/>
    <w:lvl w:ilvl="0" w:tplc="0E1E02E8">
      <w:start w:val="1"/>
      <w:numFmt w:val="bullet"/>
      <w:lvlText w:val="•"/>
      <w:lvlJc w:val="left"/>
      <w:pPr>
        <w:tabs>
          <w:tab w:val="num" w:pos="720"/>
        </w:tabs>
        <w:ind w:left="720" w:hanging="360"/>
      </w:pPr>
      <w:rPr>
        <w:rFonts w:ascii="Times New Roman" w:hAnsi="Times New Roman" w:hint="default"/>
      </w:rPr>
    </w:lvl>
    <w:lvl w:ilvl="1" w:tplc="C406D4AE" w:tentative="1">
      <w:start w:val="1"/>
      <w:numFmt w:val="bullet"/>
      <w:lvlText w:val="•"/>
      <w:lvlJc w:val="left"/>
      <w:pPr>
        <w:tabs>
          <w:tab w:val="num" w:pos="1440"/>
        </w:tabs>
        <w:ind w:left="1440" w:hanging="360"/>
      </w:pPr>
      <w:rPr>
        <w:rFonts w:ascii="Times New Roman" w:hAnsi="Times New Roman" w:hint="default"/>
      </w:rPr>
    </w:lvl>
    <w:lvl w:ilvl="2" w:tplc="D3E45E40" w:tentative="1">
      <w:start w:val="1"/>
      <w:numFmt w:val="bullet"/>
      <w:lvlText w:val="•"/>
      <w:lvlJc w:val="left"/>
      <w:pPr>
        <w:tabs>
          <w:tab w:val="num" w:pos="2160"/>
        </w:tabs>
        <w:ind w:left="2160" w:hanging="360"/>
      </w:pPr>
      <w:rPr>
        <w:rFonts w:ascii="Times New Roman" w:hAnsi="Times New Roman" w:hint="default"/>
      </w:rPr>
    </w:lvl>
    <w:lvl w:ilvl="3" w:tplc="30C69B96" w:tentative="1">
      <w:start w:val="1"/>
      <w:numFmt w:val="bullet"/>
      <w:lvlText w:val="•"/>
      <w:lvlJc w:val="left"/>
      <w:pPr>
        <w:tabs>
          <w:tab w:val="num" w:pos="2880"/>
        </w:tabs>
        <w:ind w:left="2880" w:hanging="360"/>
      </w:pPr>
      <w:rPr>
        <w:rFonts w:ascii="Times New Roman" w:hAnsi="Times New Roman" w:hint="default"/>
      </w:rPr>
    </w:lvl>
    <w:lvl w:ilvl="4" w:tplc="50C28216" w:tentative="1">
      <w:start w:val="1"/>
      <w:numFmt w:val="bullet"/>
      <w:lvlText w:val="•"/>
      <w:lvlJc w:val="left"/>
      <w:pPr>
        <w:tabs>
          <w:tab w:val="num" w:pos="3600"/>
        </w:tabs>
        <w:ind w:left="3600" w:hanging="360"/>
      </w:pPr>
      <w:rPr>
        <w:rFonts w:ascii="Times New Roman" w:hAnsi="Times New Roman" w:hint="default"/>
      </w:rPr>
    </w:lvl>
    <w:lvl w:ilvl="5" w:tplc="041C04E8" w:tentative="1">
      <w:start w:val="1"/>
      <w:numFmt w:val="bullet"/>
      <w:lvlText w:val="•"/>
      <w:lvlJc w:val="left"/>
      <w:pPr>
        <w:tabs>
          <w:tab w:val="num" w:pos="4320"/>
        </w:tabs>
        <w:ind w:left="4320" w:hanging="360"/>
      </w:pPr>
      <w:rPr>
        <w:rFonts w:ascii="Times New Roman" w:hAnsi="Times New Roman" w:hint="default"/>
      </w:rPr>
    </w:lvl>
    <w:lvl w:ilvl="6" w:tplc="AF827D92" w:tentative="1">
      <w:start w:val="1"/>
      <w:numFmt w:val="bullet"/>
      <w:lvlText w:val="•"/>
      <w:lvlJc w:val="left"/>
      <w:pPr>
        <w:tabs>
          <w:tab w:val="num" w:pos="5040"/>
        </w:tabs>
        <w:ind w:left="5040" w:hanging="360"/>
      </w:pPr>
      <w:rPr>
        <w:rFonts w:ascii="Times New Roman" w:hAnsi="Times New Roman" w:hint="default"/>
      </w:rPr>
    </w:lvl>
    <w:lvl w:ilvl="7" w:tplc="B178BE6C" w:tentative="1">
      <w:start w:val="1"/>
      <w:numFmt w:val="bullet"/>
      <w:lvlText w:val="•"/>
      <w:lvlJc w:val="left"/>
      <w:pPr>
        <w:tabs>
          <w:tab w:val="num" w:pos="5760"/>
        </w:tabs>
        <w:ind w:left="5760" w:hanging="360"/>
      </w:pPr>
      <w:rPr>
        <w:rFonts w:ascii="Times New Roman" w:hAnsi="Times New Roman" w:hint="default"/>
      </w:rPr>
    </w:lvl>
    <w:lvl w:ilvl="8" w:tplc="B7A6F73A" w:tentative="1">
      <w:start w:val="1"/>
      <w:numFmt w:val="bullet"/>
      <w:lvlText w:val="•"/>
      <w:lvlJc w:val="left"/>
      <w:pPr>
        <w:tabs>
          <w:tab w:val="num" w:pos="6480"/>
        </w:tabs>
        <w:ind w:left="6480" w:hanging="360"/>
      </w:pPr>
      <w:rPr>
        <w:rFonts w:ascii="Times New Roman" w:hAnsi="Times New Roman" w:hint="default"/>
      </w:rPr>
    </w:lvl>
  </w:abstractNum>
  <w:num w:numId="1" w16cid:durableId="495771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2D28"/>
    <w:rsid w:val="000003DE"/>
    <w:rsid w:val="00002AF6"/>
    <w:rsid w:val="000701DA"/>
    <w:rsid w:val="00075A93"/>
    <w:rsid w:val="000A794A"/>
    <w:rsid w:val="000F2491"/>
    <w:rsid w:val="00132D28"/>
    <w:rsid w:val="001414E4"/>
    <w:rsid w:val="0014611A"/>
    <w:rsid w:val="001621FF"/>
    <w:rsid w:val="00173813"/>
    <w:rsid w:val="001948C9"/>
    <w:rsid w:val="001A1D6C"/>
    <w:rsid w:val="001A546C"/>
    <w:rsid w:val="001E526A"/>
    <w:rsid w:val="001E5D5F"/>
    <w:rsid w:val="001F00B0"/>
    <w:rsid w:val="001F6FFA"/>
    <w:rsid w:val="002272EB"/>
    <w:rsid w:val="002434C1"/>
    <w:rsid w:val="00251423"/>
    <w:rsid w:val="0026755D"/>
    <w:rsid w:val="002B4D98"/>
    <w:rsid w:val="0034721A"/>
    <w:rsid w:val="003A28CB"/>
    <w:rsid w:val="003B6B6F"/>
    <w:rsid w:val="003E0E28"/>
    <w:rsid w:val="00447F99"/>
    <w:rsid w:val="004531F1"/>
    <w:rsid w:val="00477FF1"/>
    <w:rsid w:val="00495A9F"/>
    <w:rsid w:val="004D6097"/>
    <w:rsid w:val="00503907"/>
    <w:rsid w:val="005209FA"/>
    <w:rsid w:val="00535E8E"/>
    <w:rsid w:val="0054175C"/>
    <w:rsid w:val="005E759D"/>
    <w:rsid w:val="0061499D"/>
    <w:rsid w:val="0065586C"/>
    <w:rsid w:val="00673491"/>
    <w:rsid w:val="0069040E"/>
    <w:rsid w:val="006C4E92"/>
    <w:rsid w:val="00744531"/>
    <w:rsid w:val="0080337A"/>
    <w:rsid w:val="008255DC"/>
    <w:rsid w:val="008853D1"/>
    <w:rsid w:val="008D6D4B"/>
    <w:rsid w:val="008F5D12"/>
    <w:rsid w:val="009507F0"/>
    <w:rsid w:val="009B2ECD"/>
    <w:rsid w:val="009E259C"/>
    <w:rsid w:val="009E2F52"/>
    <w:rsid w:val="00A7766B"/>
    <w:rsid w:val="00AB255C"/>
    <w:rsid w:val="00B917B0"/>
    <w:rsid w:val="00BB2F5B"/>
    <w:rsid w:val="00BE4EBB"/>
    <w:rsid w:val="00C6230F"/>
    <w:rsid w:val="00C920B0"/>
    <w:rsid w:val="00CD1D44"/>
    <w:rsid w:val="00CD21D2"/>
    <w:rsid w:val="00CD2C63"/>
    <w:rsid w:val="00CF589F"/>
    <w:rsid w:val="00D233A7"/>
    <w:rsid w:val="00D24DA9"/>
    <w:rsid w:val="00D321AC"/>
    <w:rsid w:val="00D35803"/>
    <w:rsid w:val="00D5644F"/>
    <w:rsid w:val="00D71F3D"/>
    <w:rsid w:val="00D94868"/>
    <w:rsid w:val="00DA1F4D"/>
    <w:rsid w:val="00DC79C5"/>
    <w:rsid w:val="00DF4B46"/>
    <w:rsid w:val="00E06B54"/>
    <w:rsid w:val="00E671FE"/>
    <w:rsid w:val="00EE3BC8"/>
    <w:rsid w:val="00EE5556"/>
    <w:rsid w:val="00EE6762"/>
    <w:rsid w:val="00EF0621"/>
    <w:rsid w:val="00F01AA4"/>
    <w:rsid w:val="00F40DDD"/>
    <w:rsid w:val="00F54BA4"/>
    <w:rsid w:val="00F55F75"/>
    <w:rsid w:val="00F56682"/>
    <w:rsid w:val="00F70F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D131BE"/>
  <w15:chartTrackingRefBased/>
  <w15:docId w15:val="{321AD46B-72AF-48E8-8033-7F992FBB97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2D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32D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32D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32D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32D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32D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32D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32D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32D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2D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32D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32D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32D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32D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32D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32D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32D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32D28"/>
    <w:rPr>
      <w:rFonts w:eastAsiaTheme="majorEastAsia" w:cstheme="majorBidi"/>
      <w:color w:val="272727" w:themeColor="text1" w:themeTint="D8"/>
    </w:rPr>
  </w:style>
  <w:style w:type="paragraph" w:styleId="Title">
    <w:name w:val="Title"/>
    <w:basedOn w:val="Normal"/>
    <w:next w:val="Normal"/>
    <w:link w:val="TitleChar"/>
    <w:uiPriority w:val="10"/>
    <w:qFormat/>
    <w:rsid w:val="00132D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32D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32D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32D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32D28"/>
    <w:pPr>
      <w:spacing w:before="160"/>
      <w:jc w:val="center"/>
    </w:pPr>
    <w:rPr>
      <w:i/>
      <w:iCs/>
      <w:color w:val="404040" w:themeColor="text1" w:themeTint="BF"/>
    </w:rPr>
  </w:style>
  <w:style w:type="character" w:customStyle="1" w:styleId="QuoteChar">
    <w:name w:val="Quote Char"/>
    <w:basedOn w:val="DefaultParagraphFont"/>
    <w:link w:val="Quote"/>
    <w:uiPriority w:val="29"/>
    <w:rsid w:val="00132D28"/>
    <w:rPr>
      <w:i/>
      <w:iCs/>
      <w:color w:val="404040" w:themeColor="text1" w:themeTint="BF"/>
    </w:rPr>
  </w:style>
  <w:style w:type="paragraph" w:styleId="ListParagraph">
    <w:name w:val="List Paragraph"/>
    <w:basedOn w:val="Normal"/>
    <w:uiPriority w:val="34"/>
    <w:qFormat/>
    <w:rsid w:val="00132D28"/>
    <w:pPr>
      <w:ind w:left="720"/>
      <w:contextualSpacing/>
    </w:pPr>
  </w:style>
  <w:style w:type="character" w:styleId="IntenseEmphasis">
    <w:name w:val="Intense Emphasis"/>
    <w:basedOn w:val="DefaultParagraphFont"/>
    <w:uiPriority w:val="21"/>
    <w:qFormat/>
    <w:rsid w:val="00132D28"/>
    <w:rPr>
      <w:i/>
      <w:iCs/>
      <w:color w:val="0F4761" w:themeColor="accent1" w:themeShade="BF"/>
    </w:rPr>
  </w:style>
  <w:style w:type="paragraph" w:styleId="IntenseQuote">
    <w:name w:val="Intense Quote"/>
    <w:basedOn w:val="Normal"/>
    <w:next w:val="Normal"/>
    <w:link w:val="IntenseQuoteChar"/>
    <w:uiPriority w:val="30"/>
    <w:qFormat/>
    <w:rsid w:val="00132D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32D28"/>
    <w:rPr>
      <w:i/>
      <w:iCs/>
      <w:color w:val="0F4761" w:themeColor="accent1" w:themeShade="BF"/>
    </w:rPr>
  </w:style>
  <w:style w:type="character" w:styleId="IntenseReference">
    <w:name w:val="Intense Reference"/>
    <w:basedOn w:val="DefaultParagraphFont"/>
    <w:uiPriority w:val="32"/>
    <w:qFormat/>
    <w:rsid w:val="00132D28"/>
    <w:rPr>
      <w:b/>
      <w:bCs/>
      <w:smallCaps/>
      <w:color w:val="0F4761" w:themeColor="accent1" w:themeShade="BF"/>
      <w:spacing w:val="5"/>
    </w:rPr>
  </w:style>
  <w:style w:type="paragraph" w:styleId="Header">
    <w:name w:val="header"/>
    <w:basedOn w:val="Normal"/>
    <w:link w:val="HeaderChar"/>
    <w:uiPriority w:val="99"/>
    <w:unhideWhenUsed/>
    <w:rsid w:val="003B6B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6B6F"/>
  </w:style>
  <w:style w:type="paragraph" w:styleId="Footer">
    <w:name w:val="footer"/>
    <w:basedOn w:val="Normal"/>
    <w:link w:val="FooterChar"/>
    <w:uiPriority w:val="99"/>
    <w:unhideWhenUsed/>
    <w:rsid w:val="003B6B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6B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91636C-C171-4C7D-8B5B-FF298BF0C4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4</Pages>
  <Words>852</Words>
  <Characters>4863</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Athoul Chowdhury</dc:creator>
  <cp:keywords/>
  <dc:description/>
  <cp:lastModifiedBy>Athoul Chowdhury</cp:lastModifiedBy>
  <cp:revision>9</cp:revision>
  <dcterms:created xsi:type="dcterms:W3CDTF">2025-11-11T23:23:00Z</dcterms:created>
  <dcterms:modified xsi:type="dcterms:W3CDTF">2025-11-12T00:32:00Z</dcterms:modified>
</cp:coreProperties>
</file>