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F1303" w:rsidRDefault="00BF1303" w:rsidP="00786E1E">
      <w:pPr>
        <w:pStyle w:val="NoSpacing"/>
        <w:spacing w:after="120"/>
        <w:rPr>
          <w:rFonts w:ascii="Perpetua Titling MT" w:hAnsi="Perpetua Titling MT"/>
        </w:rPr>
      </w:pPr>
      <w:r w:rsidRPr="00BF1303">
        <w:rPr>
          <w:rFonts w:ascii="Perpetua Titling MT" w:hAnsi="Perpetua Titling MT"/>
        </w:rPr>
        <w:t xml:space="preserve">Historiography: Questioning </w:t>
      </w:r>
      <w:r w:rsidR="00786E1E">
        <w:rPr>
          <w:rFonts w:ascii="Perpetua Titling MT" w:hAnsi="Perpetua Titling MT"/>
        </w:rPr>
        <w:t>&amp;</w:t>
      </w:r>
      <w:r w:rsidRPr="00BF1303">
        <w:rPr>
          <w:rFonts w:ascii="Perpetua Titling MT" w:hAnsi="Perpetua Titling MT"/>
        </w:rPr>
        <w:t xml:space="preserve"> Writing the Past</w:t>
      </w:r>
    </w:p>
    <w:p w:rsidR="00BF1303" w:rsidRPr="00BF1303" w:rsidRDefault="00BF1303" w:rsidP="00786E1E">
      <w:pPr>
        <w:pStyle w:val="NoSpacing"/>
        <w:spacing w:after="120"/>
        <w:rPr>
          <w:rFonts w:ascii="Perpetua Titling MT" w:hAnsi="Perpetua Titling MT"/>
        </w:rPr>
      </w:pPr>
    </w:p>
    <w:p w:rsidR="00BF1303" w:rsidRPr="00BF1303" w:rsidRDefault="00BF1303" w:rsidP="00786E1E">
      <w:pPr>
        <w:pStyle w:val="NoSpacing"/>
        <w:spacing w:after="120"/>
        <w:rPr>
          <w:rFonts w:ascii="Garamond" w:hAnsi="Garamond"/>
        </w:rPr>
      </w:pPr>
      <w:r w:rsidRPr="00BF1303">
        <w:rPr>
          <w:rFonts w:ascii="Garamond" w:hAnsi="Garamond"/>
        </w:rPr>
        <w:t>1.</w:t>
      </w:r>
      <w:r w:rsidRPr="00BF1303">
        <w:rPr>
          <w:rFonts w:ascii="Garamond" w:hAnsi="Garamond"/>
        </w:rPr>
        <w:tab/>
      </w:r>
      <w:r w:rsidRPr="00BF1303">
        <w:rPr>
          <w:rFonts w:ascii="Garamond" w:hAnsi="Garamond"/>
          <w:b/>
        </w:rPr>
        <w:t>Historiographic metafiction</w:t>
      </w:r>
      <w:r w:rsidRPr="00BF1303">
        <w:rPr>
          <w:rFonts w:ascii="Garamond" w:hAnsi="Garamond"/>
        </w:rPr>
        <w:t xml:space="preserve"> is one kind of postmodern novel which rejects projecting present beliefs and standards onto the past and asserts the specificity and particularity of the individual past event. It also suggests a distinction between ‘events’ and ‘facts’ that is one shared by many historians. Since the documents become signs of events, which the historian transmutes into facts, as in historiographic metafiction, the lesson here is that the past once existed, but that our historical knowledge of it is </w:t>
      </w:r>
      <w:proofErr w:type="spellStart"/>
      <w:r w:rsidRPr="00BF1303">
        <w:rPr>
          <w:rFonts w:ascii="Garamond" w:hAnsi="Garamond"/>
        </w:rPr>
        <w:t>semiotically</w:t>
      </w:r>
      <w:proofErr w:type="spellEnd"/>
      <w:r w:rsidRPr="00BF1303">
        <w:rPr>
          <w:rFonts w:ascii="Garamond" w:hAnsi="Garamond"/>
        </w:rPr>
        <w:t xml:space="preserve"> transmitted. Finally, Historiographic metafiction often points to the fact by using the </w:t>
      </w:r>
      <w:proofErr w:type="spellStart"/>
      <w:r w:rsidRPr="00BF1303">
        <w:rPr>
          <w:rFonts w:ascii="Garamond" w:hAnsi="Garamond"/>
        </w:rPr>
        <w:t>paratextual</w:t>
      </w:r>
      <w:proofErr w:type="spellEnd"/>
      <w:r w:rsidRPr="00BF1303">
        <w:rPr>
          <w:rFonts w:ascii="Garamond" w:hAnsi="Garamond"/>
        </w:rPr>
        <w:t xml:space="preserve"> conventions of historiography to both inscribe and undermine the authority and objectivity of historical sources and explanations. </w:t>
      </w:r>
    </w:p>
    <w:p w:rsidR="00BF1303" w:rsidRPr="00786E1E" w:rsidRDefault="00BF1303" w:rsidP="00786E1E">
      <w:pPr>
        <w:pStyle w:val="NoSpacing"/>
        <w:spacing w:after="120"/>
        <w:ind w:left="720"/>
        <w:rPr>
          <w:rFonts w:ascii="Garamond" w:hAnsi="Garamond"/>
          <w:sz w:val="22"/>
        </w:rPr>
      </w:pPr>
      <w:r w:rsidRPr="00786E1E">
        <w:rPr>
          <w:rFonts w:ascii="Garamond" w:hAnsi="Garamond"/>
          <w:sz w:val="22"/>
        </w:rPr>
        <w:t>- Linda Hutcheon</w:t>
      </w:r>
      <w:proofErr w:type="gramStart"/>
      <w:r w:rsidRPr="00786E1E">
        <w:rPr>
          <w:rFonts w:ascii="Garamond" w:hAnsi="Garamond"/>
          <w:sz w:val="22"/>
        </w:rPr>
        <w:t xml:space="preserve">,  </w:t>
      </w:r>
      <w:r w:rsidRPr="00786E1E">
        <w:rPr>
          <w:rFonts w:ascii="Garamond" w:hAnsi="Garamond"/>
          <w:i/>
          <w:sz w:val="22"/>
        </w:rPr>
        <w:t>A</w:t>
      </w:r>
      <w:proofErr w:type="gramEnd"/>
      <w:r w:rsidRPr="00786E1E">
        <w:rPr>
          <w:rFonts w:ascii="Garamond" w:hAnsi="Garamond"/>
          <w:i/>
          <w:sz w:val="22"/>
        </w:rPr>
        <w:t xml:space="preserve"> Poetics of Postmodernism: History, Theory, Fiction</w:t>
      </w:r>
      <w:r w:rsidRPr="00786E1E">
        <w:rPr>
          <w:rFonts w:ascii="Garamond" w:hAnsi="Garamond"/>
          <w:sz w:val="22"/>
        </w:rPr>
        <w:t xml:space="preserve">. (London: Routledge, 1988), 122-123. </w:t>
      </w:r>
    </w:p>
    <w:p w:rsidR="00BF1303" w:rsidRDefault="00BF1303" w:rsidP="00786E1E">
      <w:pPr>
        <w:pStyle w:val="NoSpacing"/>
        <w:spacing w:after="120"/>
        <w:rPr>
          <w:rFonts w:ascii="Garamond" w:hAnsi="Garamond"/>
        </w:rPr>
      </w:pPr>
    </w:p>
    <w:p w:rsidR="00992780" w:rsidRDefault="00992780" w:rsidP="00786E1E">
      <w:pPr>
        <w:pStyle w:val="NoSpacing"/>
        <w:spacing w:after="120"/>
        <w:rPr>
          <w:rFonts w:ascii="Garamond" w:hAnsi="Garamond"/>
        </w:rPr>
      </w:pPr>
      <w:r>
        <w:rPr>
          <w:rFonts w:ascii="Garamond" w:hAnsi="Garamond"/>
          <w:b/>
        </w:rPr>
        <w:t>2. History as catastrophe</w:t>
      </w:r>
      <w:r w:rsidRPr="00BF1303">
        <w:rPr>
          <w:rFonts w:ascii="Garamond" w:hAnsi="Garamond"/>
        </w:rPr>
        <w:br/>
      </w:r>
    </w:p>
    <w:p w:rsidR="00992780" w:rsidRPr="00BF1303" w:rsidRDefault="00992780" w:rsidP="00786E1E">
      <w:pPr>
        <w:pStyle w:val="NoSpacing"/>
        <w:spacing w:after="120"/>
        <w:ind w:left="360"/>
        <w:rPr>
          <w:rFonts w:ascii="Garamond" w:hAnsi="Garamond"/>
        </w:rPr>
      </w:pPr>
      <w:r w:rsidRPr="00BF1303">
        <w:rPr>
          <w:rFonts w:ascii="Garamond" w:hAnsi="Garamond"/>
        </w:rPr>
        <w:t xml:space="preserve">A Klee painting named ‘Angelus Novus’ shows an angel looking as though he is about to move away from something he is fixedly contemplating. His eyes are staring, his mouth is open, </w:t>
      </w:r>
      <w:proofErr w:type="gramStart"/>
      <w:r w:rsidRPr="00BF1303">
        <w:rPr>
          <w:rFonts w:ascii="Garamond" w:hAnsi="Garamond"/>
        </w:rPr>
        <w:t>his</w:t>
      </w:r>
      <w:proofErr w:type="gramEnd"/>
      <w:r w:rsidRPr="00BF1303">
        <w:rPr>
          <w:rFonts w:ascii="Garamond" w:hAnsi="Garamond"/>
        </w:rPr>
        <w:t xml:space="preserve"> wings are spread. This is how one pictures the angel of history. His face is turned toward the past. Where we perceive a chain of events, he sees one single catastrophe which keeps piling wreckage upon wreckage and hurls it in front of his feet. The angel would like to stay, awaken the dead, and make whole what has been smashed. But a storm is blowing from Paradise; it has got caught in his wings with such violence that the angel can no longer close them. The storm irresistibly propels him into the future to which his back is turned, while the pile of debris before him grows skyward. This storm is what we call progress.</w:t>
      </w:r>
    </w:p>
    <w:p w:rsidR="00992780" w:rsidRPr="00786E1E" w:rsidRDefault="00992780" w:rsidP="00786E1E">
      <w:pPr>
        <w:pStyle w:val="NoSpacing"/>
        <w:spacing w:after="120"/>
        <w:ind w:left="720"/>
        <w:rPr>
          <w:rFonts w:ascii="Garamond" w:hAnsi="Garamond"/>
          <w:sz w:val="22"/>
        </w:rPr>
      </w:pPr>
      <w:r w:rsidRPr="00786E1E">
        <w:rPr>
          <w:rFonts w:ascii="Garamond" w:hAnsi="Garamond"/>
          <w:sz w:val="22"/>
        </w:rPr>
        <w:t>Walter Benjamin ‘Theses on the Philosophy of History’, ix</w:t>
      </w:r>
      <w:r w:rsidR="00786E1E" w:rsidRPr="00786E1E">
        <w:rPr>
          <w:rFonts w:ascii="Garamond" w:hAnsi="Garamond"/>
          <w:sz w:val="22"/>
        </w:rPr>
        <w:t>:</w:t>
      </w:r>
      <w:r w:rsidRPr="00786E1E">
        <w:rPr>
          <w:rFonts w:ascii="Garamond" w:hAnsi="Garamond"/>
          <w:sz w:val="22"/>
        </w:rPr>
        <w:t xml:space="preserve"> 1940 </w:t>
      </w:r>
    </w:p>
    <w:p w:rsidR="00992780" w:rsidRDefault="00BF1303" w:rsidP="00786E1E">
      <w:pPr>
        <w:pStyle w:val="NoSpacing"/>
        <w:spacing w:after="120"/>
        <w:rPr>
          <w:rFonts w:ascii="Garamond" w:hAnsi="Garamond"/>
        </w:rPr>
      </w:pPr>
      <w:r w:rsidRPr="00BF1303">
        <w:rPr>
          <w:rFonts w:ascii="Garamond" w:hAnsi="Garamond"/>
        </w:rPr>
        <w:tab/>
      </w:r>
    </w:p>
    <w:p w:rsidR="00BF1303" w:rsidRPr="00BF1303" w:rsidRDefault="00992780" w:rsidP="00786E1E">
      <w:pPr>
        <w:pStyle w:val="NoSpacing"/>
        <w:spacing w:after="120"/>
        <w:ind w:left="426" w:hanging="426"/>
        <w:rPr>
          <w:rFonts w:ascii="Garamond" w:hAnsi="Garamond"/>
        </w:rPr>
      </w:pPr>
      <w:r w:rsidRPr="00992780">
        <w:rPr>
          <w:rFonts w:ascii="Garamond" w:hAnsi="Garamond"/>
          <w:b/>
        </w:rPr>
        <w:lastRenderedPageBreak/>
        <w:t>3</w:t>
      </w:r>
      <w:r>
        <w:rPr>
          <w:rFonts w:ascii="Garamond" w:hAnsi="Garamond"/>
        </w:rPr>
        <w:t xml:space="preserve">.   </w:t>
      </w:r>
      <w:r w:rsidR="00BF1303" w:rsidRPr="00BF1303">
        <w:rPr>
          <w:rFonts w:ascii="Garamond" w:hAnsi="Garamond"/>
        </w:rPr>
        <w:t xml:space="preserve">Lea </w:t>
      </w:r>
      <w:proofErr w:type="spellStart"/>
      <w:r w:rsidR="00BF1303" w:rsidRPr="00BF1303">
        <w:rPr>
          <w:rFonts w:ascii="Garamond" w:hAnsi="Garamond"/>
        </w:rPr>
        <w:t>Hamaoui's</w:t>
      </w:r>
      <w:proofErr w:type="spellEnd"/>
      <w:r w:rsidR="00BF1303" w:rsidRPr="00BF1303">
        <w:rPr>
          <w:rFonts w:ascii="Garamond" w:hAnsi="Garamond"/>
        </w:rPr>
        <w:t xml:space="preserve"> argument </w:t>
      </w:r>
      <w:r w:rsidR="00BF1303" w:rsidRPr="00BF1303">
        <w:rPr>
          <w:rFonts w:ascii="Garamond" w:hAnsi="Garamond"/>
          <w:b/>
        </w:rPr>
        <w:t>that e</w:t>
      </w:r>
      <w:r>
        <w:rPr>
          <w:rFonts w:ascii="Garamond" w:hAnsi="Garamond"/>
          <w:b/>
        </w:rPr>
        <w:t xml:space="preserve">vents such as the Holocaust are </w:t>
      </w:r>
      <w:r w:rsidR="00BF1303" w:rsidRPr="00BF1303">
        <w:rPr>
          <w:rFonts w:ascii="Garamond" w:hAnsi="Garamond"/>
          <w:b/>
        </w:rPr>
        <w:t>accessible on the informational plane of documentary realism as opposed to the dramatic plane of symbolism</w:t>
      </w:r>
      <w:r w:rsidR="00BF1303" w:rsidRPr="00BF1303">
        <w:rPr>
          <w:rFonts w:ascii="Garamond" w:hAnsi="Garamond"/>
        </w:rPr>
        <w:t xml:space="preserve">: </w:t>
      </w:r>
    </w:p>
    <w:p w:rsidR="00BF1303" w:rsidRPr="00BF1303" w:rsidRDefault="00BF1303" w:rsidP="00786E1E">
      <w:pPr>
        <w:pStyle w:val="NoSpacing"/>
        <w:spacing w:after="120"/>
        <w:ind w:left="720"/>
        <w:rPr>
          <w:rFonts w:ascii="Garamond" w:hAnsi="Garamond"/>
          <w:sz w:val="22"/>
        </w:rPr>
      </w:pPr>
      <w:r w:rsidRPr="00BF1303">
        <w:rPr>
          <w:rFonts w:ascii="Garamond" w:hAnsi="Garamond"/>
          <w:sz w:val="22"/>
        </w:rPr>
        <w:t xml:space="preserve">If symbol is something that stands in place of something else, the historical narrative does not stand in place of our experience, but alongside it. We experience historical narrative much the way we experience a </w:t>
      </w:r>
      <w:proofErr w:type="spellStart"/>
      <w:r w:rsidRPr="00BF1303">
        <w:rPr>
          <w:rFonts w:ascii="Garamond" w:hAnsi="Garamond"/>
          <w:sz w:val="22"/>
        </w:rPr>
        <w:t>neighbor's</w:t>
      </w:r>
      <w:proofErr w:type="spellEnd"/>
      <w:r w:rsidRPr="00BF1303">
        <w:rPr>
          <w:rFonts w:ascii="Garamond" w:hAnsi="Garamond"/>
          <w:sz w:val="22"/>
        </w:rPr>
        <w:t xml:space="preserve"> report of his or her visit to a place we have not ourselves visited. The report is informational--it is "adjacent" to our experience, neither interpretive nor metaphorical nor symbolic. It is "other" than our experience but also part of the same historical matrix within which we experience the flow of our own lives. (121) </w:t>
      </w:r>
    </w:p>
    <w:p w:rsidR="00BF1303" w:rsidRPr="00BF1303" w:rsidRDefault="00BF1303" w:rsidP="00786E1E">
      <w:pPr>
        <w:pStyle w:val="NoSpacing"/>
        <w:spacing w:after="120"/>
        <w:rPr>
          <w:rFonts w:ascii="Garamond" w:hAnsi="Garamond"/>
        </w:rPr>
      </w:pPr>
      <w:proofErr w:type="spellStart"/>
      <w:r w:rsidRPr="00BF1303">
        <w:rPr>
          <w:rFonts w:ascii="Garamond" w:hAnsi="Garamond"/>
        </w:rPr>
        <w:t>Hamaoui's</w:t>
      </w:r>
      <w:proofErr w:type="spellEnd"/>
      <w:r w:rsidRPr="00BF1303">
        <w:rPr>
          <w:rFonts w:ascii="Garamond" w:hAnsi="Garamond"/>
        </w:rPr>
        <w:t xml:space="preserve"> confidence in the transparency of testimonial accounts--like her corollary belief in a solid distinction between the "historical matrix" on the one hand and dramatic devices on the other--contravenes everything that we have learned over the last thirty years about the limits of historical understanding (including the historicity of traditional literary realism) vis-a-vis the inordinate Otherness of past experience. By now those limits are nothing less than a cultural "given," an inescapable fact of our postmodern condition. </w:t>
      </w:r>
    </w:p>
    <w:p w:rsidR="00BF1303" w:rsidRPr="00BF1303" w:rsidRDefault="00BF1303" w:rsidP="00786E1E">
      <w:pPr>
        <w:pStyle w:val="NoSpacing"/>
        <w:spacing w:after="120"/>
        <w:rPr>
          <w:rFonts w:ascii="Garamond" w:hAnsi="Garamond"/>
        </w:rPr>
      </w:pPr>
      <w:r w:rsidRPr="00BF1303">
        <w:rPr>
          <w:rFonts w:ascii="Garamond" w:hAnsi="Garamond"/>
        </w:rPr>
        <w:t xml:space="preserve">Documentary realism cannot remove the shadow of the </w:t>
      </w:r>
      <w:proofErr w:type="gramStart"/>
      <w:r w:rsidRPr="00BF1303">
        <w:rPr>
          <w:rFonts w:ascii="Garamond" w:hAnsi="Garamond"/>
        </w:rPr>
        <w:t>Other</w:t>
      </w:r>
      <w:proofErr w:type="gramEnd"/>
      <w:r w:rsidRPr="00BF1303">
        <w:rPr>
          <w:rFonts w:ascii="Garamond" w:hAnsi="Garamond"/>
        </w:rPr>
        <w:t xml:space="preserve">; but neither can that shadow be swept away by resolute </w:t>
      </w:r>
      <w:proofErr w:type="spellStart"/>
      <w:r w:rsidRPr="00BF1303">
        <w:rPr>
          <w:rFonts w:ascii="Garamond" w:hAnsi="Garamond"/>
        </w:rPr>
        <w:t>irrealism</w:t>
      </w:r>
      <w:proofErr w:type="spellEnd"/>
      <w:r w:rsidRPr="00BF1303">
        <w:rPr>
          <w:rFonts w:ascii="Garamond" w:hAnsi="Garamond"/>
        </w:rPr>
        <w:t xml:space="preserve">. In short, neither traditional realism nor modernist anti-realism can put the Holocaust under a newly </w:t>
      </w:r>
      <w:proofErr w:type="spellStart"/>
      <w:r w:rsidRPr="00BF1303">
        <w:rPr>
          <w:rFonts w:ascii="Garamond" w:hAnsi="Garamond"/>
        </w:rPr>
        <w:t>remodeled</w:t>
      </w:r>
      <w:proofErr w:type="spellEnd"/>
      <w:r w:rsidRPr="00BF1303">
        <w:rPr>
          <w:rFonts w:ascii="Garamond" w:hAnsi="Garamond"/>
        </w:rPr>
        <w:t xml:space="preserve"> "sacred canopy." In treating such an "opaque" topic, historians and novelists face the dual impossibility of comprehending the incomprehensible and communicating the incommunicable. Ordinary perception finds its outer limit, language falters and the usual methods of social analysis and representation prove inane. In the face of ten million absent witnesses and their unimaginable suffering, history and literature are curiously united in their very inadequacy </w:t>
      </w:r>
    </w:p>
    <w:p w:rsidR="005679E2" w:rsidRPr="00786E1E" w:rsidRDefault="00BF1303" w:rsidP="00786E1E">
      <w:pPr>
        <w:pStyle w:val="NoSpacing"/>
        <w:spacing w:after="120"/>
        <w:ind w:left="720"/>
        <w:rPr>
          <w:rFonts w:ascii="Garamond" w:hAnsi="Garamond"/>
          <w:sz w:val="22"/>
        </w:rPr>
      </w:pPr>
      <w:r w:rsidRPr="00786E1E">
        <w:rPr>
          <w:rFonts w:ascii="Garamond" w:hAnsi="Garamond"/>
          <w:sz w:val="22"/>
        </w:rPr>
        <w:t xml:space="preserve">- William H. Thornton, </w:t>
      </w:r>
      <w:proofErr w:type="spellStart"/>
      <w:r w:rsidRPr="00786E1E">
        <w:rPr>
          <w:rFonts w:ascii="Garamond" w:hAnsi="Garamond"/>
          <w:sz w:val="22"/>
        </w:rPr>
        <w:t>Songok</w:t>
      </w:r>
      <w:proofErr w:type="spellEnd"/>
      <w:r w:rsidRPr="00786E1E">
        <w:rPr>
          <w:rFonts w:ascii="Garamond" w:hAnsi="Garamond"/>
          <w:sz w:val="22"/>
        </w:rPr>
        <w:t xml:space="preserve"> Han Thornton, ‘Toward a Cultural </w:t>
      </w:r>
      <w:proofErr w:type="spellStart"/>
      <w:r w:rsidRPr="00786E1E">
        <w:rPr>
          <w:rFonts w:ascii="Garamond" w:hAnsi="Garamond"/>
          <w:sz w:val="22"/>
        </w:rPr>
        <w:t>Prosaics</w:t>
      </w:r>
      <w:proofErr w:type="spellEnd"/>
      <w:r w:rsidRPr="00786E1E">
        <w:rPr>
          <w:rFonts w:ascii="Garamond" w:hAnsi="Garamond"/>
          <w:sz w:val="22"/>
        </w:rPr>
        <w:t xml:space="preserve">: Postmodern Realism in the New Literary Historiography,’ </w:t>
      </w:r>
      <w:proofErr w:type="gramStart"/>
      <w:r w:rsidRPr="00786E1E">
        <w:rPr>
          <w:rFonts w:ascii="Garamond" w:hAnsi="Garamond"/>
          <w:i/>
          <w:sz w:val="22"/>
        </w:rPr>
        <w:t>Mosaic</w:t>
      </w:r>
      <w:r w:rsidRPr="00786E1E">
        <w:rPr>
          <w:rFonts w:ascii="Garamond" w:hAnsi="Garamond"/>
          <w:sz w:val="22"/>
        </w:rPr>
        <w:t xml:space="preserve"> ,</w:t>
      </w:r>
      <w:proofErr w:type="gramEnd"/>
      <w:r w:rsidRPr="00786E1E">
        <w:rPr>
          <w:rFonts w:ascii="Garamond" w:hAnsi="Garamond"/>
          <w:sz w:val="22"/>
        </w:rPr>
        <w:t xml:space="preserve"> Vol. 26, 1993: 119.</w:t>
      </w:r>
    </w:p>
    <w:p w:rsidR="00786E1E" w:rsidRDefault="00786E1E" w:rsidP="00786E1E">
      <w:pPr>
        <w:pStyle w:val="NoSpacing"/>
        <w:spacing w:after="120"/>
        <w:rPr>
          <w:rFonts w:ascii="Perpetua Titling MT" w:hAnsi="Perpetua Titling MT"/>
        </w:rPr>
      </w:pPr>
    </w:p>
    <w:p w:rsidR="00BF1303" w:rsidRPr="00BF1303" w:rsidRDefault="00BF1303" w:rsidP="00786E1E">
      <w:pPr>
        <w:pStyle w:val="NoSpacing"/>
        <w:spacing w:after="120"/>
        <w:rPr>
          <w:rFonts w:ascii="Perpetua Titling MT" w:hAnsi="Perpetua Titling MT"/>
        </w:rPr>
      </w:pPr>
      <w:r w:rsidRPr="00BF1303">
        <w:rPr>
          <w:rFonts w:ascii="Perpetua Titling MT" w:hAnsi="Perpetua Titling MT"/>
        </w:rPr>
        <w:t>History and Gender</w:t>
      </w:r>
    </w:p>
    <w:p w:rsidR="00BF1303" w:rsidRPr="00BF1303" w:rsidRDefault="00BF1303" w:rsidP="00786E1E">
      <w:pPr>
        <w:pStyle w:val="NoSpacing"/>
        <w:spacing w:after="120"/>
        <w:rPr>
          <w:rFonts w:ascii="Garamond" w:hAnsi="Garamond"/>
        </w:rPr>
      </w:pPr>
    </w:p>
    <w:p w:rsidR="00786E1E" w:rsidRDefault="00BF1303" w:rsidP="00786E1E">
      <w:pPr>
        <w:pStyle w:val="NoSpacing"/>
        <w:numPr>
          <w:ilvl w:val="0"/>
          <w:numId w:val="1"/>
        </w:numPr>
        <w:spacing w:after="120"/>
        <w:ind w:left="0" w:firstLine="0"/>
        <w:rPr>
          <w:rFonts w:ascii="Garamond" w:hAnsi="Garamond"/>
        </w:rPr>
      </w:pPr>
      <w:r w:rsidRPr="00BF1303">
        <w:rPr>
          <w:rFonts w:ascii="Garamond" w:hAnsi="Garamond"/>
          <w:b/>
        </w:rPr>
        <w:lastRenderedPageBreak/>
        <w:t xml:space="preserve">Jane Austen’s Catherine </w:t>
      </w:r>
      <w:proofErr w:type="spellStart"/>
      <w:r w:rsidRPr="00BF1303">
        <w:rPr>
          <w:rFonts w:ascii="Garamond" w:hAnsi="Garamond"/>
          <w:b/>
        </w:rPr>
        <w:t>Morland</w:t>
      </w:r>
      <w:proofErr w:type="spellEnd"/>
      <w:r w:rsidRPr="00BF1303">
        <w:rPr>
          <w:rFonts w:ascii="Garamond" w:hAnsi="Garamond"/>
          <w:b/>
        </w:rPr>
        <w:t xml:space="preserve"> on History and Gender</w:t>
      </w:r>
      <w:r w:rsidRPr="00BF1303">
        <w:rPr>
          <w:rFonts w:ascii="Garamond" w:hAnsi="Garamond"/>
        </w:rPr>
        <w:br/>
      </w:r>
      <w:proofErr w:type="gramStart"/>
      <w:r w:rsidRPr="00BF1303">
        <w:rPr>
          <w:rFonts w:ascii="Garamond" w:hAnsi="Garamond"/>
        </w:rPr>
        <w:t>You</w:t>
      </w:r>
      <w:proofErr w:type="gramEnd"/>
      <w:r w:rsidRPr="00BF1303">
        <w:rPr>
          <w:rFonts w:ascii="Garamond" w:hAnsi="Garamond"/>
        </w:rPr>
        <w:t xml:space="preserve"> are fond of that kind of reading?" </w:t>
      </w:r>
    </w:p>
    <w:p w:rsidR="00786E1E" w:rsidRDefault="00BF1303" w:rsidP="00786E1E">
      <w:pPr>
        <w:pStyle w:val="NoSpacing"/>
        <w:spacing w:after="120"/>
        <w:rPr>
          <w:rFonts w:ascii="Garamond" w:hAnsi="Garamond"/>
        </w:rPr>
      </w:pPr>
      <w:r w:rsidRPr="00BF1303">
        <w:rPr>
          <w:rFonts w:ascii="Garamond" w:hAnsi="Garamond"/>
        </w:rPr>
        <w:t>"To say the truth, I do not much like any other." </w:t>
      </w:r>
      <w:r w:rsidRPr="00BF1303">
        <w:rPr>
          <w:rFonts w:ascii="Garamond" w:hAnsi="Garamond"/>
        </w:rPr>
        <w:br/>
        <w:t>"Indeed!" </w:t>
      </w:r>
      <w:r w:rsidRPr="00BF1303">
        <w:rPr>
          <w:rFonts w:ascii="Garamond" w:hAnsi="Garamond"/>
        </w:rPr>
        <w:br/>
        <w:t>"That is, I can read poetry and plays, and things of that sort, and do not dislike travels. But history, real solemn history, I cannot be interested in. Can you?" </w:t>
      </w:r>
      <w:r w:rsidRPr="00BF1303">
        <w:rPr>
          <w:rFonts w:ascii="Garamond" w:hAnsi="Garamond"/>
        </w:rPr>
        <w:br/>
        <w:t>"Yes, I am fond of history." </w:t>
      </w:r>
      <w:r w:rsidRPr="00BF1303">
        <w:rPr>
          <w:rFonts w:ascii="Garamond" w:hAnsi="Garamond"/>
        </w:rPr>
        <w:br/>
        <w:t xml:space="preserve">"I wish I were too. I read it a little as a duty, but it tells me nothing that does not either vex or weary me. The quarrels of popes and kings, with wars or pestilences, in every page; the men all so good for nothing, and hardly any women at all—it is very tiresome: and yet I often think it odd that it should be so dull, for a great deal of it must be invention. The speeches that are put into the heroes' mouths, their thoughts and designs—the chief of all this must be invention, and invention is what delights me in other books."  </w:t>
      </w:r>
      <w:r w:rsidRPr="00786E1E">
        <w:rPr>
          <w:rFonts w:ascii="Garamond" w:hAnsi="Garamond"/>
          <w:sz w:val="22"/>
        </w:rPr>
        <w:t>(</w:t>
      </w:r>
      <w:r w:rsidRPr="00786E1E">
        <w:rPr>
          <w:rFonts w:ascii="Garamond" w:hAnsi="Garamond"/>
          <w:i/>
          <w:sz w:val="22"/>
        </w:rPr>
        <w:t>Northanger Abbey</w:t>
      </w:r>
      <w:r w:rsidRPr="00786E1E">
        <w:rPr>
          <w:rFonts w:ascii="Garamond" w:hAnsi="Garamond"/>
          <w:sz w:val="22"/>
        </w:rPr>
        <w:t>)</w:t>
      </w:r>
    </w:p>
    <w:p w:rsidR="00786E1E" w:rsidRDefault="00786E1E" w:rsidP="00786E1E">
      <w:pPr>
        <w:pStyle w:val="NoSpacing"/>
        <w:spacing w:after="120"/>
        <w:rPr>
          <w:rFonts w:ascii="Garamond" w:hAnsi="Garamond"/>
        </w:rPr>
      </w:pPr>
    </w:p>
    <w:p w:rsidR="00BF1303" w:rsidRPr="00BF1303" w:rsidRDefault="00BF1303" w:rsidP="00786E1E">
      <w:pPr>
        <w:pStyle w:val="NoSpacing"/>
        <w:spacing w:after="120"/>
        <w:rPr>
          <w:rFonts w:ascii="Garamond" w:hAnsi="Garamond"/>
        </w:rPr>
      </w:pPr>
      <w:r w:rsidRPr="00BF1303">
        <w:rPr>
          <w:rFonts w:ascii="Garamond" w:hAnsi="Garamond"/>
        </w:rPr>
        <w:t xml:space="preserve">2. </w:t>
      </w:r>
      <w:r w:rsidRPr="00BF1303">
        <w:rPr>
          <w:rFonts w:ascii="Garamond" w:hAnsi="Garamond"/>
          <w:b/>
        </w:rPr>
        <w:t>Women and the Public Sphere</w:t>
      </w:r>
    </w:p>
    <w:p w:rsidR="00BF1303" w:rsidRDefault="00BF1303" w:rsidP="00786E1E">
      <w:pPr>
        <w:pStyle w:val="NoSpacing"/>
        <w:spacing w:after="120"/>
        <w:rPr>
          <w:rFonts w:ascii="Garamond" w:hAnsi="Garamond"/>
        </w:rPr>
      </w:pPr>
      <w:r w:rsidRPr="00BF1303">
        <w:rPr>
          <w:rFonts w:ascii="Garamond" w:hAnsi="Garamond"/>
        </w:rPr>
        <w:t>In 1938 Virginia Woolf asserted that ‘as a woman, I have no country. …As a woman, my country is the whole world.’ (</w:t>
      </w:r>
      <w:r w:rsidRPr="00BF1303">
        <w:rPr>
          <w:rFonts w:ascii="Garamond" w:hAnsi="Garamond"/>
          <w:i/>
        </w:rPr>
        <w:t>Three Guineas</w:t>
      </w:r>
      <w:r w:rsidRPr="00BF1303">
        <w:rPr>
          <w:rFonts w:ascii="Garamond" w:hAnsi="Garamond"/>
        </w:rPr>
        <w:t>) This is because she, like so many others in the past (</w:t>
      </w:r>
      <w:proofErr w:type="spellStart"/>
      <w:r w:rsidRPr="00BF1303">
        <w:rPr>
          <w:rFonts w:ascii="Garamond" w:hAnsi="Garamond"/>
        </w:rPr>
        <w:t>eg</w:t>
      </w:r>
      <w:proofErr w:type="spellEnd"/>
      <w:r w:rsidRPr="00BF1303">
        <w:rPr>
          <w:rFonts w:ascii="Garamond" w:hAnsi="Garamond"/>
        </w:rPr>
        <w:t xml:space="preserve"> Austen in </w:t>
      </w:r>
      <w:r w:rsidRPr="00BF1303">
        <w:rPr>
          <w:rFonts w:ascii="Garamond" w:hAnsi="Garamond"/>
          <w:i/>
        </w:rPr>
        <w:t>Northanger Abbey</w:t>
      </w:r>
      <w:r w:rsidRPr="00BF1303">
        <w:rPr>
          <w:rFonts w:ascii="Garamond" w:hAnsi="Garamond"/>
        </w:rPr>
        <w:t>) associated history with public world of men: ‘if one is a woman one is often surprised by a sudden splitting off of consciousness, say in walking down Whitehall, when from being the natural inheritor of that civilization, she becomes, on the contrary, outside of it, alien and critical’. (</w:t>
      </w:r>
      <w:r w:rsidRPr="00BF1303">
        <w:rPr>
          <w:rFonts w:ascii="Garamond" w:hAnsi="Garamond"/>
          <w:i/>
        </w:rPr>
        <w:t>Room of One’s Own</w:t>
      </w:r>
      <w:r w:rsidRPr="00BF1303">
        <w:rPr>
          <w:rFonts w:ascii="Garamond" w:hAnsi="Garamond"/>
        </w:rPr>
        <w:t xml:space="preserve"> 1929)</w:t>
      </w:r>
    </w:p>
    <w:p w:rsidR="00786E1E" w:rsidRDefault="00786E1E" w:rsidP="00786E1E">
      <w:pPr>
        <w:pStyle w:val="NoSpacing"/>
        <w:spacing w:after="120"/>
        <w:rPr>
          <w:rFonts w:ascii="Garamond" w:hAnsi="Garamond"/>
        </w:rPr>
      </w:pPr>
    </w:p>
    <w:p w:rsidR="00992780" w:rsidRPr="00992780" w:rsidRDefault="00992780" w:rsidP="00786E1E">
      <w:pPr>
        <w:pStyle w:val="NoSpacing"/>
        <w:spacing w:after="120"/>
        <w:rPr>
          <w:rFonts w:ascii="Perpetua Titling MT" w:hAnsi="Perpetua Titling MT"/>
        </w:rPr>
      </w:pPr>
      <w:r w:rsidRPr="00992780">
        <w:rPr>
          <w:rFonts w:ascii="Perpetua Titling MT" w:hAnsi="Perpetua Titling MT"/>
        </w:rPr>
        <w:t>The Hiding Place as Women’s Historiography</w:t>
      </w:r>
    </w:p>
    <w:p w:rsidR="00992780" w:rsidRPr="00786E1E" w:rsidRDefault="00992780" w:rsidP="00786E1E">
      <w:pPr>
        <w:pStyle w:val="NoSpacing"/>
        <w:spacing w:after="120"/>
        <w:rPr>
          <w:rFonts w:ascii="Garamond" w:hAnsi="Garamond"/>
          <w:b/>
        </w:rPr>
      </w:pPr>
      <w:r w:rsidRPr="00786E1E">
        <w:rPr>
          <w:rFonts w:ascii="Garamond" w:hAnsi="Garamond"/>
          <w:b/>
        </w:rPr>
        <w:t xml:space="preserve">To what extent is this also a historical novel detailing forgotten aspects of a country’s past?  </w:t>
      </w:r>
    </w:p>
    <w:p w:rsidR="00992780" w:rsidRPr="00992780" w:rsidRDefault="00992780" w:rsidP="00786E1E">
      <w:pPr>
        <w:pStyle w:val="NoSpacing"/>
        <w:spacing w:after="120"/>
        <w:rPr>
          <w:rFonts w:ascii="Garamond" w:hAnsi="Garamond"/>
        </w:rPr>
      </w:pPr>
      <w:r w:rsidRPr="00992780">
        <w:rPr>
          <w:rFonts w:ascii="Garamond" w:hAnsi="Garamond"/>
        </w:rPr>
        <w:t xml:space="preserve">The novel details the history of a place as well as of a family just as the family is not an ordinary family but the result of wider histories that brought Frankie and Mary to Cardiff.  What is history? </w:t>
      </w:r>
      <w:proofErr w:type="gramStart"/>
      <w:r w:rsidRPr="00992780">
        <w:rPr>
          <w:rFonts w:ascii="Garamond" w:hAnsi="Garamond"/>
        </w:rPr>
        <w:t>Tracing cause and effect, actions that resonate outside the individual.</w:t>
      </w:r>
      <w:proofErr w:type="gramEnd"/>
      <w:r w:rsidRPr="00992780">
        <w:rPr>
          <w:rFonts w:ascii="Garamond" w:hAnsi="Garamond"/>
        </w:rPr>
        <w:t xml:space="preserve"> Is THIS history? It turns things upside down and there’s a horrified movement thrust forward </w:t>
      </w:r>
      <w:r w:rsidRPr="00992780">
        <w:rPr>
          <w:rFonts w:ascii="Garamond" w:hAnsi="Garamond"/>
        </w:rPr>
        <w:lastRenderedPageBreak/>
        <w:t xml:space="preserve">by the accumulating chaos in front of these figures </w:t>
      </w:r>
      <w:proofErr w:type="gramStart"/>
      <w:r w:rsidRPr="00992780">
        <w:rPr>
          <w:rFonts w:ascii="Garamond" w:hAnsi="Garamond"/>
        </w:rPr>
        <w:t>who</w:t>
      </w:r>
      <w:proofErr w:type="gramEnd"/>
      <w:r w:rsidRPr="00992780">
        <w:rPr>
          <w:rFonts w:ascii="Garamond" w:hAnsi="Garamond"/>
        </w:rPr>
        <w:t xml:space="preserve"> cannot turn round and sort them out</w:t>
      </w:r>
    </w:p>
    <w:p w:rsidR="00992780" w:rsidRPr="00992780" w:rsidRDefault="00992780" w:rsidP="00786E1E">
      <w:pPr>
        <w:pStyle w:val="NoSpacing"/>
        <w:spacing w:after="120"/>
        <w:rPr>
          <w:rFonts w:ascii="Garamond" w:hAnsi="Garamond"/>
        </w:rPr>
      </w:pPr>
      <w:r w:rsidRPr="00786E1E">
        <w:rPr>
          <w:rFonts w:ascii="Garamond" w:hAnsi="Garamond"/>
          <w:b/>
        </w:rPr>
        <w:t>What do you remember – what does anyone remember? (</w:t>
      </w:r>
      <w:r w:rsidRPr="00992780">
        <w:rPr>
          <w:rFonts w:ascii="Garamond" w:hAnsi="Garamond"/>
        </w:rPr>
        <w:t xml:space="preserve">Azzopardi’s second novel is called </w:t>
      </w:r>
      <w:r w:rsidRPr="00786E1E">
        <w:rPr>
          <w:rFonts w:ascii="Garamond" w:hAnsi="Garamond"/>
          <w:i/>
        </w:rPr>
        <w:t>Remember Me</w:t>
      </w:r>
      <w:r w:rsidRPr="00992780">
        <w:rPr>
          <w:rFonts w:ascii="Garamond" w:hAnsi="Garamond"/>
        </w:rPr>
        <w:t>)</w:t>
      </w:r>
    </w:p>
    <w:p w:rsidR="00992780" w:rsidRPr="00992780" w:rsidRDefault="00992780" w:rsidP="00786E1E">
      <w:pPr>
        <w:pStyle w:val="NoSpacing"/>
        <w:spacing w:after="120"/>
        <w:rPr>
          <w:rFonts w:ascii="Garamond" w:hAnsi="Garamond"/>
        </w:rPr>
      </w:pPr>
      <w:r w:rsidRPr="00992780">
        <w:rPr>
          <w:rFonts w:ascii="Garamond" w:hAnsi="Garamond"/>
        </w:rPr>
        <w:t xml:space="preserve">To what extent is the telling of History determined by men? </w:t>
      </w:r>
    </w:p>
    <w:p w:rsidR="00992780" w:rsidRPr="00992780" w:rsidRDefault="00992780" w:rsidP="00786E1E">
      <w:pPr>
        <w:pStyle w:val="NoSpacing"/>
        <w:spacing w:after="120"/>
        <w:rPr>
          <w:rFonts w:ascii="Garamond" w:hAnsi="Garamond"/>
        </w:rPr>
      </w:pPr>
      <w:r w:rsidRPr="00992780">
        <w:rPr>
          <w:rFonts w:ascii="Garamond" w:hAnsi="Garamond"/>
        </w:rPr>
        <w:t xml:space="preserve">Apart from </w:t>
      </w:r>
      <w:proofErr w:type="spellStart"/>
      <w:r w:rsidRPr="00992780">
        <w:rPr>
          <w:rFonts w:ascii="Garamond" w:hAnsi="Garamond"/>
        </w:rPr>
        <w:t>Dol</w:t>
      </w:r>
      <w:proofErr w:type="spellEnd"/>
      <w:r w:rsidRPr="00992780">
        <w:rPr>
          <w:rFonts w:ascii="Garamond" w:hAnsi="Garamond"/>
        </w:rPr>
        <w:t xml:space="preserve"> the remaining daughters do not speak of their past and are still in thrall to it. - Celesta – ‘I don’t do memory lane’ </w:t>
      </w:r>
    </w:p>
    <w:p w:rsidR="00992780" w:rsidRPr="00992780" w:rsidRDefault="00992780" w:rsidP="00786E1E">
      <w:pPr>
        <w:pStyle w:val="NoSpacing"/>
        <w:spacing w:after="120"/>
        <w:rPr>
          <w:rFonts w:ascii="Garamond" w:hAnsi="Garamond"/>
        </w:rPr>
      </w:pPr>
      <w:r w:rsidRPr="00992780">
        <w:rPr>
          <w:rFonts w:ascii="Garamond" w:hAnsi="Garamond"/>
        </w:rPr>
        <w:t xml:space="preserve">Fran is the most dreadfully affected. She is the monstrous creation of the family turned inside out to become the threatening place rather than the place of safety. Her story is what is lost – for when we meet her she doesn’t speak – her story is inscribed on her body. </w:t>
      </w:r>
    </w:p>
    <w:p w:rsidR="00992780" w:rsidRPr="00992780" w:rsidRDefault="00992780" w:rsidP="00786E1E">
      <w:pPr>
        <w:pStyle w:val="NoSpacing"/>
        <w:spacing w:after="120"/>
        <w:rPr>
          <w:rFonts w:ascii="Garamond" w:hAnsi="Garamond"/>
        </w:rPr>
      </w:pPr>
      <w:r w:rsidRPr="00992780">
        <w:rPr>
          <w:rFonts w:ascii="Garamond" w:hAnsi="Garamond"/>
        </w:rPr>
        <w:t xml:space="preserve">Who tells the stories in the present? Celesta’s two sons in the ‘present’ of the 1990s – but they don’t understand them. </w:t>
      </w:r>
    </w:p>
    <w:p w:rsidR="00992780" w:rsidRPr="00992780" w:rsidRDefault="00992780" w:rsidP="00786E1E">
      <w:pPr>
        <w:pStyle w:val="NoSpacing"/>
        <w:spacing w:after="120"/>
        <w:rPr>
          <w:rFonts w:ascii="Garamond" w:hAnsi="Garamond"/>
        </w:rPr>
      </w:pPr>
      <w:r w:rsidRPr="00786E1E">
        <w:rPr>
          <w:rFonts w:ascii="Garamond" w:hAnsi="Garamond"/>
          <w:b/>
        </w:rPr>
        <w:t>Pursuing this issue why does Azzopardi</w:t>
      </w:r>
      <w:r w:rsidRPr="00992780">
        <w:rPr>
          <w:rFonts w:ascii="Garamond" w:hAnsi="Garamond"/>
        </w:rPr>
        <w:t xml:space="preserve"> (b.1969) work with these two periods? (1960s / 1990s)</w:t>
      </w:r>
    </w:p>
    <w:p w:rsidR="00992780" w:rsidRDefault="00992780" w:rsidP="00786E1E">
      <w:pPr>
        <w:pStyle w:val="NoSpacing"/>
        <w:spacing w:after="120"/>
        <w:rPr>
          <w:rFonts w:ascii="Garamond" w:hAnsi="Garamond"/>
        </w:rPr>
      </w:pPr>
      <w:r w:rsidRPr="00992780">
        <w:rPr>
          <w:rFonts w:ascii="Garamond" w:hAnsi="Garamond"/>
        </w:rPr>
        <w:t xml:space="preserve">• 1960s –the forgotten stories /under that of the </w:t>
      </w:r>
      <w:r w:rsidR="00786E1E">
        <w:rPr>
          <w:rFonts w:ascii="Garamond" w:hAnsi="Garamond"/>
        </w:rPr>
        <w:t>‘</w:t>
      </w:r>
      <w:r w:rsidRPr="00992780">
        <w:rPr>
          <w:rFonts w:ascii="Garamond" w:hAnsi="Garamond"/>
        </w:rPr>
        <w:t>Swinging 60s</w:t>
      </w:r>
      <w:r w:rsidR="00786E1E">
        <w:rPr>
          <w:rFonts w:ascii="Garamond" w:hAnsi="Garamond"/>
        </w:rPr>
        <w:t>’</w:t>
      </w:r>
      <w:r w:rsidRPr="00992780">
        <w:rPr>
          <w:rFonts w:ascii="Garamond" w:hAnsi="Garamond"/>
        </w:rPr>
        <w:t xml:space="preserve"> </w:t>
      </w:r>
    </w:p>
    <w:p w:rsidR="00992780" w:rsidRPr="00992780" w:rsidRDefault="00992780" w:rsidP="00786E1E">
      <w:pPr>
        <w:pStyle w:val="NoSpacing"/>
        <w:spacing w:after="120"/>
        <w:rPr>
          <w:rFonts w:ascii="Garamond" w:hAnsi="Garamond"/>
        </w:rPr>
      </w:pPr>
      <w:r w:rsidRPr="00992780">
        <w:rPr>
          <w:rFonts w:ascii="Garamond" w:hAnsi="Garamond"/>
        </w:rPr>
        <w:t>• 1980s – (while she was at university) marked by debates over the nature of history</w:t>
      </w:r>
    </w:p>
    <w:p w:rsidR="00992780" w:rsidRPr="00992780" w:rsidRDefault="00992780" w:rsidP="00786E1E">
      <w:pPr>
        <w:pStyle w:val="NoSpacing"/>
        <w:spacing w:after="120"/>
        <w:rPr>
          <w:rFonts w:ascii="Garamond" w:hAnsi="Garamond"/>
        </w:rPr>
      </w:pPr>
      <w:r w:rsidRPr="00992780">
        <w:rPr>
          <w:rFonts w:ascii="Garamond" w:hAnsi="Garamond"/>
        </w:rPr>
        <w:t xml:space="preserve">-  </w:t>
      </w:r>
      <w:proofErr w:type="gramStart"/>
      <w:r w:rsidR="00786E1E">
        <w:rPr>
          <w:rFonts w:ascii="Garamond" w:hAnsi="Garamond"/>
        </w:rPr>
        <w:t>impact</w:t>
      </w:r>
      <w:proofErr w:type="gramEnd"/>
      <w:r w:rsidR="00786E1E">
        <w:rPr>
          <w:rFonts w:ascii="Garamond" w:hAnsi="Garamond"/>
        </w:rPr>
        <w:t xml:space="preserve"> of</w:t>
      </w:r>
      <w:r w:rsidRPr="00992780">
        <w:rPr>
          <w:rFonts w:ascii="Garamond" w:hAnsi="Garamond"/>
        </w:rPr>
        <w:t xml:space="preserve"> denial of society and espousal of </w:t>
      </w:r>
      <w:r w:rsidR="00786E1E">
        <w:rPr>
          <w:rFonts w:ascii="Garamond" w:hAnsi="Garamond"/>
        </w:rPr>
        <w:t>‘</w:t>
      </w:r>
      <w:r w:rsidRPr="00992780">
        <w:rPr>
          <w:rFonts w:ascii="Garamond" w:hAnsi="Garamond"/>
        </w:rPr>
        <w:t>heritage</w:t>
      </w:r>
      <w:r w:rsidR="00786E1E">
        <w:rPr>
          <w:rFonts w:ascii="Garamond" w:hAnsi="Garamond"/>
        </w:rPr>
        <w:t>’</w:t>
      </w:r>
      <w:r w:rsidRPr="00992780">
        <w:rPr>
          <w:rFonts w:ascii="Garamond" w:hAnsi="Garamond"/>
        </w:rPr>
        <w:t xml:space="preserve"> by the political right</w:t>
      </w:r>
    </w:p>
    <w:p w:rsidR="00992780" w:rsidRPr="00BF1303" w:rsidRDefault="00992780" w:rsidP="00786E1E">
      <w:pPr>
        <w:pStyle w:val="NoSpacing"/>
        <w:spacing w:after="120"/>
        <w:rPr>
          <w:rFonts w:ascii="Garamond" w:hAnsi="Garamond"/>
        </w:rPr>
      </w:pPr>
      <w:r w:rsidRPr="00992780">
        <w:rPr>
          <w:rFonts w:ascii="Garamond" w:hAnsi="Garamond"/>
        </w:rPr>
        <w:t>- Concomitant academic interest in rediscovering the complexity of history (New Historicism and Cultural Materialism, the growing influence of Walter Benjamin) and for novelists, historiography (</w:t>
      </w:r>
      <w:proofErr w:type="spellStart"/>
      <w:r w:rsidRPr="00992780">
        <w:rPr>
          <w:rFonts w:ascii="Garamond" w:hAnsi="Garamond"/>
        </w:rPr>
        <w:t>eg</w:t>
      </w:r>
      <w:proofErr w:type="spellEnd"/>
      <w:r w:rsidRPr="00992780">
        <w:rPr>
          <w:rFonts w:ascii="Garamond" w:hAnsi="Garamond"/>
        </w:rPr>
        <w:t xml:space="preserve"> Graham Swift </w:t>
      </w:r>
      <w:proofErr w:type="spellStart"/>
      <w:r w:rsidRPr="00786E1E">
        <w:rPr>
          <w:rFonts w:ascii="Garamond" w:hAnsi="Garamond"/>
          <w:i/>
        </w:rPr>
        <w:t>Waterland</w:t>
      </w:r>
      <w:proofErr w:type="spellEnd"/>
      <w:r w:rsidRPr="00992780">
        <w:rPr>
          <w:rFonts w:ascii="Garamond" w:hAnsi="Garamond"/>
        </w:rPr>
        <w:t xml:space="preserve"> (1983) Ian McEwan </w:t>
      </w:r>
      <w:r w:rsidRPr="00786E1E">
        <w:rPr>
          <w:rFonts w:ascii="Garamond" w:hAnsi="Garamond"/>
          <w:i/>
        </w:rPr>
        <w:t>The Child in Time</w:t>
      </w:r>
      <w:r w:rsidRPr="00992780">
        <w:rPr>
          <w:rFonts w:ascii="Garamond" w:hAnsi="Garamond"/>
        </w:rPr>
        <w:t xml:space="preserve"> (1987), Julian Barnes </w:t>
      </w:r>
      <w:r w:rsidRPr="00786E1E">
        <w:rPr>
          <w:rFonts w:ascii="Garamond" w:hAnsi="Garamond"/>
          <w:i/>
        </w:rPr>
        <w:t>A History of the World in 10½ Chapters</w:t>
      </w:r>
      <w:r w:rsidRPr="00992780">
        <w:rPr>
          <w:rFonts w:ascii="Garamond" w:hAnsi="Garamond"/>
        </w:rPr>
        <w:t xml:space="preserve"> 1989) Kazuo Ishiguro, </w:t>
      </w:r>
      <w:r w:rsidRPr="00786E1E">
        <w:rPr>
          <w:rFonts w:ascii="Garamond" w:hAnsi="Garamond"/>
          <w:i/>
        </w:rPr>
        <w:t>The Remains of the Day</w:t>
      </w:r>
      <w:r w:rsidRPr="00992780">
        <w:rPr>
          <w:rFonts w:ascii="Garamond" w:hAnsi="Garamond"/>
        </w:rPr>
        <w:t xml:space="preserve"> (1989), Antonia </w:t>
      </w:r>
      <w:proofErr w:type="spellStart"/>
      <w:r w:rsidRPr="00992780">
        <w:rPr>
          <w:rFonts w:ascii="Garamond" w:hAnsi="Garamond"/>
        </w:rPr>
        <w:t>Byatt</w:t>
      </w:r>
      <w:proofErr w:type="spellEnd"/>
      <w:r w:rsidRPr="00992780">
        <w:rPr>
          <w:rFonts w:ascii="Garamond" w:hAnsi="Garamond"/>
        </w:rPr>
        <w:t xml:space="preserve">, </w:t>
      </w:r>
      <w:r w:rsidRPr="00786E1E">
        <w:rPr>
          <w:rFonts w:ascii="Garamond" w:hAnsi="Garamond"/>
          <w:i/>
        </w:rPr>
        <w:t>Possession</w:t>
      </w:r>
      <w:r w:rsidRPr="00992780">
        <w:rPr>
          <w:rFonts w:ascii="Garamond" w:hAnsi="Garamond"/>
        </w:rPr>
        <w:t>, 1990)</w:t>
      </w:r>
      <w:bookmarkStart w:id="0" w:name="_GoBack"/>
      <w:bookmarkEnd w:id="0"/>
    </w:p>
    <w:sectPr w:rsidR="00992780" w:rsidRPr="00BF1303" w:rsidSect="00693855">
      <w:pgSz w:w="8419" w:h="11906" w:orient="landscape" w:code="9"/>
      <w:pgMar w:top="720" w:right="720" w:bottom="720" w:left="720" w:header="709" w:footer="709" w:gutter="0"/>
      <w:cols w:space="197"/>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00000000" w:usb2="00000000" w:usb3="00000000" w:csb0="000001FF" w:csb1="00000000"/>
  </w:font>
  <w:font w:name="Calibri">
    <w:panose1 w:val="020F0502020204030204"/>
    <w:charset w:val="00"/>
    <w:family w:val="swiss"/>
    <w:pitch w:val="variable"/>
    <w:sig w:usb0="E00002FF" w:usb1="4000ACFF" w:usb2="00000001" w:usb3="00000000" w:csb0="0000019F" w:csb1="00000000"/>
  </w:font>
  <w:font w:name="Perpetua Titling MT">
    <w:panose1 w:val="02020502060505020804"/>
    <w:charset w:val="00"/>
    <w:family w:val="roman"/>
    <w:pitch w:val="variable"/>
    <w:sig w:usb0="00000003" w:usb1="00000000" w:usb2="00000000" w:usb3="00000000" w:csb0="00000001"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2126F4"/>
    <w:multiLevelType w:val="hybridMultilevel"/>
    <w:tmpl w:val="4A6A371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attachedTemplate r:id="rId1"/>
  <w:defaultTabStop w:val="720"/>
  <w:drawingGridHorizontalSpacing w:val="120"/>
  <w:displayHorizontalDrawingGridEvery w:val="2"/>
  <w:displayVerticalDrawingGridEvery w:val="2"/>
  <w:characterSpacingControl w:val="doNotCompress"/>
  <w:printTwoOnOn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C7BD8"/>
    <w:rsid w:val="0032476C"/>
    <w:rsid w:val="005679E2"/>
    <w:rsid w:val="005C3625"/>
    <w:rsid w:val="00693855"/>
    <w:rsid w:val="00786E1E"/>
    <w:rsid w:val="00992780"/>
    <w:rsid w:val="00A000FD"/>
    <w:rsid w:val="00BD080B"/>
    <w:rsid w:val="00BF1303"/>
    <w:rsid w:val="00DB3425"/>
    <w:rsid w:val="00E02FD0"/>
    <w:rsid w:val="00FC7B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2476C"/>
    <w:rPr>
      <w:sz w:val="24"/>
    </w:rPr>
  </w:style>
  <w:style w:type="paragraph" w:styleId="Heading2">
    <w:name w:val="heading 2"/>
    <w:basedOn w:val="Normal"/>
    <w:link w:val="Heading2Char"/>
    <w:uiPriority w:val="9"/>
    <w:qFormat/>
    <w:rsid w:val="00BF130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F1303"/>
    <w:rPr>
      <w:rFonts w:ascii="Times New Roman" w:eastAsia="Times New Roman" w:hAnsi="Times New Roman" w:cs="Times New Roman"/>
      <w:b/>
      <w:bCs/>
      <w:sz w:val="36"/>
      <w:szCs w:val="36"/>
      <w:lang w:eastAsia="en-GB"/>
    </w:rPr>
  </w:style>
  <w:style w:type="character" w:customStyle="1" w:styleId="apple-converted-space">
    <w:name w:val="apple-converted-space"/>
    <w:basedOn w:val="DefaultParagraphFont"/>
    <w:rsid w:val="00BF1303"/>
  </w:style>
  <w:style w:type="paragraph" w:styleId="NoSpacing">
    <w:name w:val="No Spacing"/>
    <w:uiPriority w:val="1"/>
    <w:qFormat/>
    <w:rsid w:val="00BF1303"/>
    <w:pPr>
      <w:spacing w:after="0" w:line="240" w:lineRule="auto"/>
    </w:pPr>
    <w:rPr>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2476C"/>
    <w:rPr>
      <w:sz w:val="24"/>
    </w:rPr>
  </w:style>
  <w:style w:type="paragraph" w:styleId="Heading2">
    <w:name w:val="heading 2"/>
    <w:basedOn w:val="Normal"/>
    <w:link w:val="Heading2Char"/>
    <w:uiPriority w:val="9"/>
    <w:qFormat/>
    <w:rsid w:val="00BF130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F1303"/>
    <w:rPr>
      <w:rFonts w:ascii="Times New Roman" w:eastAsia="Times New Roman" w:hAnsi="Times New Roman" w:cs="Times New Roman"/>
      <w:b/>
      <w:bCs/>
      <w:sz w:val="36"/>
      <w:szCs w:val="36"/>
      <w:lang w:eastAsia="en-GB"/>
    </w:rPr>
  </w:style>
  <w:style w:type="character" w:customStyle="1" w:styleId="apple-converted-space">
    <w:name w:val="apple-converted-space"/>
    <w:basedOn w:val="DefaultParagraphFont"/>
    <w:rsid w:val="00BF1303"/>
  </w:style>
  <w:style w:type="paragraph" w:styleId="NoSpacing">
    <w:name w:val="No Spacing"/>
    <w:uiPriority w:val="1"/>
    <w:qFormat/>
    <w:rsid w:val="00BF1303"/>
    <w:pPr>
      <w:spacing w:after="0" w:line="240" w:lineRule="auto"/>
    </w:pPr>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27952343">
      <w:bodyDiv w:val="1"/>
      <w:marLeft w:val="0"/>
      <w:marRight w:val="0"/>
      <w:marTop w:val="0"/>
      <w:marBottom w:val="0"/>
      <w:divBdr>
        <w:top w:val="none" w:sz="0" w:space="0" w:color="auto"/>
        <w:left w:val="none" w:sz="0" w:space="0" w:color="auto"/>
        <w:bottom w:val="none" w:sz="0" w:space="0" w:color="auto"/>
        <w:right w:val="none" w:sz="0" w:space="0" w:color="auto"/>
      </w:divBdr>
      <w:divsChild>
        <w:div w:id="18427703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h095\Desktop\Tes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55D1B6D-2AFB-4724-9BD6-CBF37E96CA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Test</Template>
  <TotalTime>0</TotalTime>
  <Pages>4</Pages>
  <Words>1112</Words>
  <Characters>6345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7443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2</cp:revision>
  <dcterms:created xsi:type="dcterms:W3CDTF">2018-03-16T11:47:00Z</dcterms:created>
  <dcterms:modified xsi:type="dcterms:W3CDTF">2018-03-16T11:47:00Z</dcterms:modified>
</cp:coreProperties>
</file>