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7F48F2" w14:textId="527FBA42" w:rsidR="002B1B1C" w:rsidRPr="002B1B1C" w:rsidRDefault="002B1B1C" w:rsidP="00C62031">
      <w:pPr>
        <w:spacing w:line="360" w:lineRule="auto"/>
        <w:rPr>
          <w:rStyle w:val="authors"/>
          <w:rFonts w:ascii="Arial" w:hAnsi="Arial" w:cs="Arial"/>
          <w:color w:val="333333"/>
          <w:sz w:val="24"/>
          <w:szCs w:val="24"/>
          <w:u w:val="single"/>
        </w:rPr>
      </w:pPr>
      <w:r w:rsidRPr="002B1B1C">
        <w:rPr>
          <w:rStyle w:val="authors"/>
          <w:rFonts w:ascii="Arial" w:hAnsi="Arial" w:cs="Arial"/>
          <w:color w:val="333333"/>
          <w:sz w:val="24"/>
          <w:szCs w:val="24"/>
          <w:u w:val="single"/>
        </w:rPr>
        <w:t>References</w:t>
      </w:r>
    </w:p>
    <w:p w14:paraId="11854547" w14:textId="77777777" w:rsidR="00C62031" w:rsidRDefault="00C62031" w:rsidP="00C62031">
      <w:pPr>
        <w:spacing w:line="360" w:lineRule="auto"/>
        <w:rPr>
          <w:rStyle w:val="authors"/>
          <w:rFonts w:ascii="Arial" w:hAnsi="Arial" w:cs="Arial"/>
          <w:color w:val="333333"/>
          <w:sz w:val="24"/>
          <w:szCs w:val="24"/>
        </w:rPr>
      </w:pPr>
    </w:p>
    <w:p w14:paraId="127DC284" w14:textId="40BF5F5A" w:rsidR="00C62031" w:rsidRDefault="00C62031" w:rsidP="00C62031">
      <w:pPr>
        <w:spacing w:line="360" w:lineRule="auto"/>
        <w:rPr>
          <w:rStyle w:val="doilink"/>
          <w:rFonts w:ascii="Arial" w:hAnsi="Arial" w:cs="Arial"/>
          <w:color w:val="333333"/>
          <w:sz w:val="24"/>
          <w:szCs w:val="24"/>
        </w:rPr>
      </w:pPr>
      <w:r w:rsidRPr="00BD4395">
        <w:rPr>
          <w:rStyle w:val="doilink"/>
          <w:rFonts w:ascii="Arial" w:hAnsi="Arial" w:cs="Arial"/>
          <w:color w:val="333333"/>
          <w:sz w:val="24"/>
          <w:szCs w:val="24"/>
        </w:rPr>
        <w:t xml:space="preserve">Barter, C, et al. (2009) </w:t>
      </w:r>
      <w:r w:rsidRPr="004F354E">
        <w:rPr>
          <w:rStyle w:val="doilink"/>
          <w:rFonts w:ascii="Arial" w:hAnsi="Arial" w:cs="Arial"/>
          <w:i/>
          <w:iCs/>
          <w:color w:val="333333"/>
          <w:sz w:val="24"/>
          <w:szCs w:val="24"/>
        </w:rPr>
        <w:t>Partner exploitation and violence in teenage intimate relationships</w:t>
      </w:r>
      <w:r w:rsidRPr="00BD4395">
        <w:rPr>
          <w:rStyle w:val="doilink"/>
          <w:rFonts w:ascii="Arial" w:hAnsi="Arial" w:cs="Arial"/>
          <w:color w:val="333333"/>
          <w:sz w:val="24"/>
          <w:szCs w:val="24"/>
        </w:rPr>
        <w:t>. University of Bristol</w:t>
      </w:r>
    </w:p>
    <w:p w14:paraId="08B9E022" w14:textId="77777777" w:rsidR="00C62031" w:rsidRPr="00BD4395" w:rsidRDefault="00C62031" w:rsidP="00C62031">
      <w:pPr>
        <w:spacing w:line="360" w:lineRule="auto"/>
        <w:rPr>
          <w:rStyle w:val="doilink"/>
          <w:rFonts w:ascii="Arial" w:hAnsi="Arial" w:cs="Arial"/>
          <w:color w:val="333333"/>
          <w:sz w:val="24"/>
          <w:szCs w:val="24"/>
        </w:rPr>
      </w:pPr>
    </w:p>
    <w:p w14:paraId="7D9C0130" w14:textId="5DD8230F" w:rsidR="00C62031" w:rsidRDefault="00C62031" w:rsidP="00C62031">
      <w:pPr>
        <w:spacing w:line="360" w:lineRule="auto"/>
        <w:rPr>
          <w:rStyle w:val="doilink"/>
          <w:rFonts w:ascii="Arial" w:hAnsi="Arial" w:cs="Arial"/>
          <w:color w:val="333333"/>
          <w:sz w:val="24"/>
          <w:szCs w:val="24"/>
        </w:rPr>
      </w:pPr>
      <w:r w:rsidRPr="00BD4395">
        <w:rPr>
          <w:rStyle w:val="doilink"/>
          <w:rFonts w:ascii="Arial" w:hAnsi="Arial" w:cs="Arial"/>
          <w:color w:val="333333"/>
          <w:sz w:val="24"/>
          <w:szCs w:val="24"/>
        </w:rPr>
        <w:t xml:space="preserve">Barter, C. (2011). </w:t>
      </w:r>
      <w:r w:rsidRPr="004F354E">
        <w:rPr>
          <w:rStyle w:val="doilink"/>
          <w:rFonts w:ascii="Arial" w:hAnsi="Arial" w:cs="Arial"/>
          <w:i/>
          <w:iCs/>
          <w:color w:val="333333"/>
          <w:sz w:val="24"/>
          <w:szCs w:val="24"/>
        </w:rPr>
        <w:t>A thoroughly gender affair: teenage partner violence and exploitation in children behaving badly? Peer violence between children and young people</w:t>
      </w:r>
      <w:r w:rsidRPr="00BD4395">
        <w:rPr>
          <w:rStyle w:val="doilink"/>
          <w:rFonts w:ascii="Arial" w:hAnsi="Arial" w:cs="Arial"/>
          <w:color w:val="333333"/>
          <w:sz w:val="24"/>
          <w:szCs w:val="24"/>
        </w:rPr>
        <w:t>. Chichester. Wiley-Blackwell</w:t>
      </w:r>
    </w:p>
    <w:p w14:paraId="47C5E4D2" w14:textId="77777777" w:rsidR="00C62031" w:rsidRPr="00BD4395" w:rsidRDefault="00C62031" w:rsidP="00C62031">
      <w:pPr>
        <w:spacing w:line="360" w:lineRule="auto"/>
        <w:rPr>
          <w:rStyle w:val="doilink"/>
          <w:rFonts w:ascii="Arial" w:hAnsi="Arial" w:cs="Arial"/>
          <w:color w:val="333333"/>
          <w:sz w:val="24"/>
          <w:szCs w:val="24"/>
        </w:rPr>
      </w:pPr>
    </w:p>
    <w:p w14:paraId="64E69A54" w14:textId="70823DA2" w:rsidR="00C62031" w:rsidRDefault="00C62031" w:rsidP="00C62031">
      <w:pPr>
        <w:spacing w:line="360" w:lineRule="auto"/>
        <w:rPr>
          <w:rFonts w:ascii="Arial" w:hAnsi="Arial" w:cs="Arial"/>
          <w:color w:val="0F2741"/>
          <w:sz w:val="24"/>
          <w:szCs w:val="24"/>
        </w:rPr>
      </w:pPr>
      <w:r>
        <w:rPr>
          <w:rFonts w:ascii="Arial" w:hAnsi="Arial" w:cs="Arial"/>
          <w:color w:val="0F2741"/>
          <w:sz w:val="24"/>
          <w:szCs w:val="24"/>
        </w:rPr>
        <w:t xml:space="preserve">Bromley and Croydon women’s aid (2021) </w:t>
      </w:r>
      <w:r w:rsidRPr="004F354E">
        <w:rPr>
          <w:rFonts w:ascii="Arial" w:hAnsi="Arial" w:cs="Arial"/>
          <w:i/>
          <w:iCs/>
          <w:color w:val="0F2741"/>
          <w:sz w:val="24"/>
          <w:szCs w:val="24"/>
        </w:rPr>
        <w:t xml:space="preserve">young </w:t>
      </w:r>
      <w:proofErr w:type="spellStart"/>
      <w:r w:rsidRPr="004F354E">
        <w:rPr>
          <w:rFonts w:ascii="Arial" w:hAnsi="Arial" w:cs="Arial"/>
          <w:i/>
          <w:iCs/>
          <w:color w:val="0F2741"/>
          <w:sz w:val="24"/>
          <w:szCs w:val="24"/>
        </w:rPr>
        <w:t>peoples</w:t>
      </w:r>
      <w:proofErr w:type="spellEnd"/>
      <w:r w:rsidRPr="004F354E">
        <w:rPr>
          <w:rFonts w:ascii="Arial" w:hAnsi="Arial" w:cs="Arial"/>
          <w:i/>
          <w:iCs/>
          <w:color w:val="0F2741"/>
          <w:sz w:val="24"/>
          <w:szCs w:val="24"/>
        </w:rPr>
        <w:t xml:space="preserve"> services</w:t>
      </w:r>
      <w:r>
        <w:rPr>
          <w:rFonts w:ascii="Arial" w:hAnsi="Arial" w:cs="Arial"/>
          <w:color w:val="0F2741"/>
          <w:sz w:val="24"/>
          <w:szCs w:val="24"/>
        </w:rPr>
        <w:t>. Accessed on 15</w:t>
      </w:r>
      <w:r w:rsidRPr="009C4536">
        <w:rPr>
          <w:rFonts w:ascii="Arial" w:hAnsi="Arial" w:cs="Arial"/>
          <w:color w:val="0F274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F2741"/>
          <w:sz w:val="24"/>
          <w:szCs w:val="24"/>
        </w:rPr>
        <w:t xml:space="preserve"> November 2021.available at: </w:t>
      </w:r>
      <w:r w:rsidRPr="00C62031">
        <w:rPr>
          <w:rFonts w:ascii="Arial" w:hAnsi="Arial" w:cs="Arial"/>
          <w:color w:val="0F2741"/>
          <w:sz w:val="24"/>
          <w:szCs w:val="24"/>
        </w:rPr>
        <w:t>https://www.bcwa.org.uk/young-peoples-services/</w:t>
      </w:r>
    </w:p>
    <w:p w14:paraId="1B7F0F05" w14:textId="77777777" w:rsidR="00C62031" w:rsidRPr="00BD4395" w:rsidRDefault="00C62031" w:rsidP="00C62031">
      <w:pPr>
        <w:spacing w:line="360" w:lineRule="auto"/>
        <w:rPr>
          <w:rFonts w:ascii="Arial" w:hAnsi="Arial" w:cs="Arial"/>
          <w:color w:val="0F2741"/>
          <w:sz w:val="24"/>
          <w:szCs w:val="24"/>
        </w:rPr>
      </w:pPr>
    </w:p>
    <w:p w14:paraId="7DBB6726" w14:textId="4F83657D" w:rsidR="00C62031" w:rsidRDefault="00C62031" w:rsidP="00C62031">
      <w:pPr>
        <w:spacing w:line="360" w:lineRule="auto"/>
        <w:rPr>
          <w:rStyle w:val="doilink"/>
          <w:rFonts w:ascii="Arial" w:hAnsi="Arial" w:cs="Arial"/>
          <w:color w:val="333333"/>
          <w:sz w:val="24"/>
          <w:szCs w:val="24"/>
        </w:rPr>
      </w:pPr>
      <w:r w:rsidRPr="00BD4395">
        <w:rPr>
          <w:rStyle w:val="authors"/>
          <w:rFonts w:ascii="Arial" w:hAnsi="Arial" w:cs="Arial"/>
          <w:color w:val="333333"/>
          <w:sz w:val="24"/>
          <w:szCs w:val="24"/>
        </w:rPr>
        <w:t>Claire L. Fox, Rebecca Hale &amp; David Gadd</w:t>
      </w:r>
      <w:r w:rsidRPr="00BD4395">
        <w:rPr>
          <w:rFonts w:ascii="Arial" w:hAnsi="Arial" w:cs="Arial"/>
          <w:color w:val="333333"/>
          <w:sz w:val="24"/>
          <w:szCs w:val="24"/>
        </w:rPr>
        <w:t xml:space="preserve"> </w:t>
      </w:r>
      <w:r w:rsidRPr="00BD4395">
        <w:rPr>
          <w:rStyle w:val="Date1"/>
          <w:rFonts w:ascii="Arial" w:hAnsi="Arial" w:cs="Arial"/>
          <w:color w:val="333333"/>
          <w:sz w:val="24"/>
          <w:szCs w:val="24"/>
        </w:rPr>
        <w:t>(2014)</w:t>
      </w:r>
      <w:r w:rsidRPr="004F354E">
        <w:rPr>
          <w:rFonts w:ascii="Arial" w:hAnsi="Arial" w:cs="Arial"/>
          <w:i/>
          <w:iCs/>
          <w:color w:val="333333"/>
          <w:sz w:val="24"/>
          <w:szCs w:val="24"/>
        </w:rPr>
        <w:t xml:space="preserve"> </w:t>
      </w:r>
      <w:r w:rsidRPr="004F354E">
        <w:rPr>
          <w:rStyle w:val="arttitle"/>
          <w:rFonts w:ascii="Arial" w:hAnsi="Arial" w:cs="Arial"/>
          <w:i/>
          <w:iCs/>
          <w:color w:val="333333"/>
          <w:sz w:val="24"/>
          <w:szCs w:val="24"/>
        </w:rPr>
        <w:t>Domestic abuse prevention education: listening to the views of young people</w:t>
      </w:r>
      <w:r w:rsidRPr="00BD4395">
        <w:rPr>
          <w:rStyle w:val="arttitle"/>
          <w:rFonts w:ascii="Arial" w:hAnsi="Arial" w:cs="Arial"/>
          <w:color w:val="333333"/>
          <w:sz w:val="24"/>
          <w:szCs w:val="24"/>
        </w:rPr>
        <w:t>,</w:t>
      </w:r>
      <w:r w:rsidRPr="00BD4395">
        <w:rPr>
          <w:rFonts w:ascii="Arial" w:hAnsi="Arial" w:cs="Arial"/>
          <w:color w:val="333333"/>
          <w:sz w:val="24"/>
          <w:szCs w:val="24"/>
        </w:rPr>
        <w:t xml:space="preserve"> </w:t>
      </w:r>
      <w:r w:rsidRPr="00BD4395">
        <w:rPr>
          <w:rStyle w:val="serialtitle"/>
          <w:rFonts w:ascii="Arial" w:hAnsi="Arial" w:cs="Arial"/>
          <w:color w:val="333333"/>
          <w:sz w:val="24"/>
          <w:szCs w:val="24"/>
        </w:rPr>
        <w:t>Sex Education,</w:t>
      </w:r>
      <w:r w:rsidRPr="00BD4395">
        <w:rPr>
          <w:rFonts w:ascii="Arial" w:hAnsi="Arial" w:cs="Arial"/>
          <w:color w:val="333333"/>
          <w:sz w:val="24"/>
          <w:szCs w:val="24"/>
        </w:rPr>
        <w:t xml:space="preserve"> </w:t>
      </w:r>
      <w:r w:rsidRPr="00BD4395">
        <w:rPr>
          <w:rStyle w:val="volumeissue"/>
          <w:rFonts w:ascii="Arial" w:hAnsi="Arial" w:cs="Arial"/>
          <w:color w:val="333333"/>
          <w:sz w:val="24"/>
          <w:szCs w:val="24"/>
        </w:rPr>
        <w:t>14:1,</w:t>
      </w:r>
      <w:r w:rsidRPr="00BD4395">
        <w:rPr>
          <w:rFonts w:ascii="Arial" w:hAnsi="Arial" w:cs="Arial"/>
          <w:color w:val="333333"/>
          <w:sz w:val="24"/>
          <w:szCs w:val="24"/>
        </w:rPr>
        <w:t xml:space="preserve"> </w:t>
      </w:r>
      <w:r w:rsidRPr="00BD4395">
        <w:rPr>
          <w:rStyle w:val="pagerange"/>
          <w:rFonts w:ascii="Arial" w:hAnsi="Arial" w:cs="Arial"/>
          <w:color w:val="333333"/>
          <w:sz w:val="24"/>
          <w:szCs w:val="24"/>
        </w:rPr>
        <w:t>28-41,</w:t>
      </w:r>
      <w:r w:rsidRPr="00BD4395">
        <w:rPr>
          <w:rFonts w:ascii="Arial" w:hAnsi="Arial" w:cs="Arial"/>
          <w:color w:val="333333"/>
          <w:sz w:val="24"/>
          <w:szCs w:val="24"/>
        </w:rPr>
        <w:t xml:space="preserve"> </w:t>
      </w:r>
      <w:r w:rsidRPr="00BD4395">
        <w:rPr>
          <w:rStyle w:val="doilink"/>
          <w:rFonts w:ascii="Arial" w:hAnsi="Arial" w:cs="Arial"/>
          <w:color w:val="333333"/>
          <w:sz w:val="24"/>
          <w:szCs w:val="24"/>
        </w:rPr>
        <w:t xml:space="preserve">DOI: </w:t>
      </w:r>
      <w:hyperlink r:id="rId4" w:history="1">
        <w:r w:rsidRPr="002B1B1C">
          <w:rPr>
            <w:rStyle w:val="Hyperlink"/>
            <w:rFonts w:ascii="Arial" w:hAnsi="Arial" w:cs="Arial"/>
            <w:color w:val="333333"/>
            <w:sz w:val="24"/>
            <w:szCs w:val="24"/>
            <w:u w:val="none"/>
          </w:rPr>
          <w:t>10.1080/14681811.2013.816949</w:t>
        </w:r>
      </w:hyperlink>
    </w:p>
    <w:p w14:paraId="7ED94D24" w14:textId="77777777" w:rsidR="00C62031" w:rsidRPr="00BD4395" w:rsidRDefault="00C62031" w:rsidP="00C62031">
      <w:pPr>
        <w:spacing w:line="360" w:lineRule="auto"/>
        <w:rPr>
          <w:rStyle w:val="doilink"/>
          <w:rFonts w:ascii="Arial" w:hAnsi="Arial" w:cs="Arial"/>
          <w:color w:val="333333"/>
          <w:sz w:val="24"/>
          <w:szCs w:val="24"/>
        </w:rPr>
      </w:pPr>
    </w:p>
    <w:p w14:paraId="19710675" w14:textId="71714B05" w:rsidR="00C62031" w:rsidRDefault="00C62031" w:rsidP="00C62031">
      <w:pPr>
        <w:spacing w:line="360" w:lineRule="auto"/>
        <w:rPr>
          <w:rStyle w:val="doilink"/>
          <w:rFonts w:ascii="Arial" w:hAnsi="Arial" w:cs="Arial"/>
          <w:color w:val="333333"/>
          <w:sz w:val="24"/>
          <w:szCs w:val="24"/>
        </w:rPr>
      </w:pPr>
      <w:r w:rsidRPr="00BD4395">
        <w:rPr>
          <w:rStyle w:val="doilink"/>
          <w:rFonts w:ascii="Arial" w:hAnsi="Arial" w:cs="Arial"/>
          <w:color w:val="333333"/>
          <w:sz w:val="24"/>
          <w:szCs w:val="24"/>
        </w:rPr>
        <w:t>Ellis,</w:t>
      </w:r>
      <w:r>
        <w:rPr>
          <w:rStyle w:val="doilink"/>
          <w:rFonts w:ascii="Arial" w:hAnsi="Arial" w:cs="Arial"/>
          <w:color w:val="333333"/>
          <w:sz w:val="24"/>
          <w:szCs w:val="24"/>
        </w:rPr>
        <w:t xml:space="preserve"> </w:t>
      </w:r>
      <w:r w:rsidRPr="00BD4395">
        <w:rPr>
          <w:rStyle w:val="doilink"/>
          <w:rFonts w:ascii="Arial" w:hAnsi="Arial" w:cs="Arial"/>
          <w:color w:val="333333"/>
          <w:sz w:val="24"/>
          <w:szCs w:val="24"/>
        </w:rPr>
        <w:t xml:space="preserve">J. (2004). </w:t>
      </w:r>
      <w:r w:rsidRPr="004F354E">
        <w:rPr>
          <w:rStyle w:val="doilink"/>
          <w:rFonts w:ascii="Arial" w:hAnsi="Arial" w:cs="Arial"/>
          <w:i/>
          <w:iCs/>
          <w:color w:val="333333"/>
          <w:sz w:val="24"/>
          <w:szCs w:val="24"/>
        </w:rPr>
        <w:t>Preventing violence against women ang girls: A study of educational programs for children and young people</w:t>
      </w:r>
      <w:r w:rsidRPr="00BD4395">
        <w:rPr>
          <w:rStyle w:val="doilink"/>
          <w:rFonts w:ascii="Arial" w:hAnsi="Arial" w:cs="Arial"/>
          <w:color w:val="333333"/>
          <w:sz w:val="24"/>
          <w:szCs w:val="24"/>
        </w:rPr>
        <w:t>. London. Womankind.</w:t>
      </w:r>
    </w:p>
    <w:p w14:paraId="22580338" w14:textId="77777777" w:rsidR="00C62031" w:rsidRPr="00BD4395" w:rsidRDefault="00C62031" w:rsidP="00C62031">
      <w:pPr>
        <w:spacing w:line="360" w:lineRule="auto"/>
        <w:rPr>
          <w:rStyle w:val="doilink"/>
          <w:rFonts w:ascii="Arial" w:hAnsi="Arial" w:cs="Arial"/>
          <w:color w:val="333333"/>
          <w:sz w:val="24"/>
          <w:szCs w:val="24"/>
        </w:rPr>
      </w:pPr>
    </w:p>
    <w:p w14:paraId="20116E7A" w14:textId="25802D53" w:rsidR="00C62031" w:rsidRDefault="00C62031" w:rsidP="00C62031">
      <w:pPr>
        <w:spacing w:line="360" w:lineRule="auto"/>
        <w:rPr>
          <w:rStyle w:val="doilink"/>
          <w:rFonts w:ascii="Arial" w:hAnsi="Arial" w:cs="Arial"/>
          <w:color w:val="333333"/>
          <w:sz w:val="24"/>
          <w:szCs w:val="24"/>
        </w:rPr>
      </w:pPr>
      <w:proofErr w:type="spellStart"/>
      <w:r w:rsidRPr="00BD4395">
        <w:rPr>
          <w:rStyle w:val="doilink"/>
          <w:rFonts w:ascii="Arial" w:hAnsi="Arial" w:cs="Arial"/>
          <w:color w:val="333333"/>
          <w:sz w:val="24"/>
          <w:szCs w:val="24"/>
        </w:rPr>
        <w:t>Hanmer</w:t>
      </w:r>
      <w:proofErr w:type="spellEnd"/>
      <w:r w:rsidRPr="00BD4395">
        <w:rPr>
          <w:rStyle w:val="doilink"/>
          <w:rFonts w:ascii="Arial" w:hAnsi="Arial" w:cs="Arial"/>
          <w:color w:val="333333"/>
          <w:sz w:val="24"/>
          <w:szCs w:val="24"/>
        </w:rPr>
        <w:t xml:space="preserve">. J. and </w:t>
      </w:r>
      <w:proofErr w:type="spellStart"/>
      <w:r w:rsidRPr="00BD4395">
        <w:rPr>
          <w:rStyle w:val="doilink"/>
          <w:rFonts w:ascii="Arial" w:hAnsi="Arial" w:cs="Arial"/>
          <w:color w:val="333333"/>
          <w:sz w:val="24"/>
          <w:szCs w:val="24"/>
        </w:rPr>
        <w:t>Itzin</w:t>
      </w:r>
      <w:proofErr w:type="spellEnd"/>
      <w:r w:rsidRPr="00BD4395">
        <w:rPr>
          <w:rStyle w:val="doilink"/>
          <w:rFonts w:ascii="Arial" w:hAnsi="Arial" w:cs="Arial"/>
          <w:color w:val="333333"/>
          <w:sz w:val="24"/>
          <w:szCs w:val="24"/>
        </w:rPr>
        <w:t xml:space="preserve">, C. (2000). </w:t>
      </w:r>
      <w:r w:rsidRPr="004F354E">
        <w:rPr>
          <w:rStyle w:val="doilink"/>
          <w:rFonts w:ascii="Arial" w:hAnsi="Arial" w:cs="Arial"/>
          <w:i/>
          <w:iCs/>
          <w:color w:val="333333"/>
          <w:sz w:val="24"/>
          <w:szCs w:val="24"/>
        </w:rPr>
        <w:t xml:space="preserve">Introduction: prevention, </w:t>
      </w:r>
      <w:proofErr w:type="gramStart"/>
      <w:r w:rsidRPr="004F354E">
        <w:rPr>
          <w:rStyle w:val="doilink"/>
          <w:rFonts w:ascii="Arial" w:hAnsi="Arial" w:cs="Arial"/>
          <w:i/>
          <w:iCs/>
          <w:color w:val="333333"/>
          <w:sz w:val="24"/>
          <w:szCs w:val="24"/>
        </w:rPr>
        <w:t>provision</w:t>
      </w:r>
      <w:proofErr w:type="gramEnd"/>
      <w:r w:rsidRPr="004F354E">
        <w:rPr>
          <w:rStyle w:val="doilink"/>
          <w:rFonts w:ascii="Arial" w:hAnsi="Arial" w:cs="Arial"/>
          <w:i/>
          <w:iCs/>
          <w:color w:val="333333"/>
          <w:sz w:val="24"/>
          <w:szCs w:val="24"/>
        </w:rPr>
        <w:t xml:space="preserve"> and protection. In home truths about domestic violence: feminist influences on policy and practice</w:t>
      </w:r>
      <w:r w:rsidRPr="00BD4395">
        <w:rPr>
          <w:rStyle w:val="doilink"/>
          <w:rFonts w:ascii="Arial" w:hAnsi="Arial" w:cs="Arial"/>
          <w:color w:val="333333"/>
          <w:sz w:val="24"/>
          <w:szCs w:val="24"/>
        </w:rPr>
        <w:t>. London. Routledge</w:t>
      </w:r>
    </w:p>
    <w:p w14:paraId="4157828C" w14:textId="77777777" w:rsidR="00C62031" w:rsidRPr="00BD4395" w:rsidRDefault="00C62031" w:rsidP="00C62031">
      <w:pPr>
        <w:spacing w:line="360" w:lineRule="auto"/>
        <w:rPr>
          <w:rStyle w:val="doilink"/>
          <w:rFonts w:ascii="Arial" w:hAnsi="Arial" w:cs="Arial"/>
          <w:color w:val="333333"/>
          <w:sz w:val="24"/>
          <w:szCs w:val="24"/>
        </w:rPr>
      </w:pPr>
    </w:p>
    <w:p w14:paraId="57C80C18" w14:textId="368BF638" w:rsidR="00C62031" w:rsidRDefault="00C62031" w:rsidP="00C62031">
      <w:pPr>
        <w:spacing w:line="360" w:lineRule="auto"/>
        <w:rPr>
          <w:rFonts w:ascii="Arial" w:hAnsi="Arial" w:cs="Arial"/>
          <w:sz w:val="24"/>
          <w:szCs w:val="24"/>
        </w:rPr>
      </w:pPr>
      <w:r w:rsidRPr="00BD4395">
        <w:rPr>
          <w:rStyle w:val="doilink"/>
          <w:rFonts w:ascii="Arial" w:hAnsi="Arial" w:cs="Arial"/>
          <w:color w:val="333333"/>
          <w:sz w:val="24"/>
          <w:szCs w:val="24"/>
        </w:rPr>
        <w:t xml:space="preserve">McCarry, M, J. (2007) </w:t>
      </w:r>
      <w:r w:rsidRPr="004F354E">
        <w:rPr>
          <w:rStyle w:val="doilink"/>
          <w:rFonts w:ascii="Arial" w:hAnsi="Arial" w:cs="Arial"/>
          <w:i/>
          <w:iCs/>
          <w:color w:val="333333"/>
          <w:sz w:val="24"/>
          <w:szCs w:val="24"/>
        </w:rPr>
        <w:t>justifications and contradictions: understanding young people view of domestic abuse</w:t>
      </w:r>
      <w:r w:rsidRPr="00BD4395">
        <w:rPr>
          <w:rStyle w:val="doilink"/>
          <w:rFonts w:ascii="Arial" w:hAnsi="Arial" w:cs="Arial"/>
          <w:color w:val="333333"/>
          <w:sz w:val="24"/>
          <w:szCs w:val="24"/>
        </w:rPr>
        <w:t>.</w:t>
      </w:r>
      <w:r>
        <w:rPr>
          <w:rStyle w:val="doilink"/>
          <w:rFonts w:ascii="Arial" w:hAnsi="Arial" w:cs="Arial"/>
          <w:color w:val="333333"/>
          <w:sz w:val="24"/>
          <w:szCs w:val="24"/>
        </w:rPr>
        <w:t xml:space="preserve"> 11:3,</w:t>
      </w:r>
      <w:r w:rsidRPr="00C62031">
        <w:rPr>
          <w:sz w:val="24"/>
          <w:szCs w:val="24"/>
        </w:rPr>
        <w:t xml:space="preserve"> </w:t>
      </w:r>
      <w:r w:rsidRPr="00C62031">
        <w:rPr>
          <w:rFonts w:ascii="Arial" w:hAnsi="Arial" w:cs="Arial"/>
          <w:sz w:val="24"/>
          <w:szCs w:val="24"/>
        </w:rPr>
        <w:t>https://doi.org/10.1177/1097184X06294008</w:t>
      </w:r>
    </w:p>
    <w:p w14:paraId="6361F1A5" w14:textId="77777777" w:rsidR="00C62031" w:rsidRPr="00BD4395" w:rsidRDefault="00C62031" w:rsidP="00C62031">
      <w:pPr>
        <w:spacing w:line="360" w:lineRule="auto"/>
        <w:rPr>
          <w:rStyle w:val="doilink"/>
          <w:rFonts w:ascii="Arial" w:hAnsi="Arial" w:cs="Arial"/>
          <w:color w:val="333333"/>
          <w:sz w:val="24"/>
          <w:szCs w:val="24"/>
        </w:rPr>
      </w:pPr>
    </w:p>
    <w:p w14:paraId="3084E364" w14:textId="48D84765" w:rsidR="00C62031" w:rsidRDefault="00C62031" w:rsidP="00C62031">
      <w:pPr>
        <w:spacing w:line="360" w:lineRule="auto"/>
        <w:rPr>
          <w:rFonts w:ascii="Arial" w:hAnsi="Arial" w:cs="Arial"/>
          <w:color w:val="0F2741"/>
          <w:sz w:val="24"/>
          <w:szCs w:val="24"/>
        </w:rPr>
      </w:pPr>
      <w:r w:rsidRPr="00BD4395">
        <w:rPr>
          <w:rFonts w:ascii="Arial" w:hAnsi="Arial" w:cs="Arial"/>
          <w:color w:val="0F2741"/>
          <w:sz w:val="24"/>
          <w:szCs w:val="24"/>
        </w:rPr>
        <w:t xml:space="preserve">office for national statistics (2015) </w:t>
      </w:r>
      <w:r w:rsidRPr="004F354E">
        <w:rPr>
          <w:rFonts w:ascii="Arial" w:hAnsi="Arial" w:cs="Arial"/>
          <w:i/>
          <w:iCs/>
          <w:color w:val="0F2741"/>
          <w:sz w:val="24"/>
          <w:szCs w:val="24"/>
        </w:rPr>
        <w:t>crime in England and Wales: year ending June 2015. Crime against households and adults, also including data on crime experienced by children, and crimes against businesses and society</w:t>
      </w:r>
      <w:r w:rsidRPr="00BD4395">
        <w:rPr>
          <w:rFonts w:ascii="Arial" w:hAnsi="Arial" w:cs="Arial"/>
          <w:color w:val="0F2741"/>
          <w:sz w:val="24"/>
          <w:szCs w:val="24"/>
        </w:rPr>
        <w:t>. Accessed 15</w:t>
      </w:r>
      <w:r w:rsidRPr="00BD4395">
        <w:rPr>
          <w:rFonts w:ascii="Arial" w:hAnsi="Arial" w:cs="Arial"/>
          <w:color w:val="0F2741"/>
          <w:sz w:val="24"/>
          <w:szCs w:val="24"/>
          <w:vertAlign w:val="superscript"/>
        </w:rPr>
        <w:t>th</w:t>
      </w:r>
      <w:r w:rsidRPr="00BD4395">
        <w:rPr>
          <w:rFonts w:ascii="Arial" w:hAnsi="Arial" w:cs="Arial"/>
          <w:color w:val="0F2741"/>
          <w:sz w:val="24"/>
          <w:szCs w:val="24"/>
        </w:rPr>
        <w:t xml:space="preserve"> November 2021. Available at: </w:t>
      </w:r>
      <w:r w:rsidRPr="00C62031">
        <w:rPr>
          <w:rFonts w:ascii="Arial" w:hAnsi="Arial" w:cs="Arial"/>
          <w:color w:val="0F2741"/>
          <w:sz w:val="24"/>
          <w:szCs w:val="24"/>
        </w:rPr>
        <w:t>https://www.ons.gov.uk/peoplepopulationandcommunity/crimeandjustice/bulletins/crimeinenglandandwales/2015-10-15</w:t>
      </w:r>
    </w:p>
    <w:p w14:paraId="7C0801EC" w14:textId="77777777" w:rsidR="00C62031" w:rsidRPr="00BD4395" w:rsidRDefault="00C62031" w:rsidP="00C62031">
      <w:pPr>
        <w:spacing w:line="360" w:lineRule="auto"/>
        <w:rPr>
          <w:rFonts w:ascii="Arial" w:hAnsi="Arial" w:cs="Arial"/>
          <w:color w:val="0F2741"/>
          <w:sz w:val="24"/>
          <w:szCs w:val="24"/>
        </w:rPr>
      </w:pPr>
    </w:p>
    <w:p w14:paraId="751431AA" w14:textId="17E7E6B2" w:rsidR="00C62031" w:rsidRDefault="00C62031" w:rsidP="00C62031">
      <w:pPr>
        <w:spacing w:line="360" w:lineRule="auto"/>
        <w:rPr>
          <w:rFonts w:ascii="Arial" w:hAnsi="Arial" w:cs="Arial"/>
          <w:color w:val="0F2741"/>
          <w:sz w:val="24"/>
          <w:szCs w:val="24"/>
        </w:rPr>
      </w:pPr>
      <w:r>
        <w:rPr>
          <w:rFonts w:ascii="Arial" w:hAnsi="Arial" w:cs="Arial"/>
          <w:color w:val="0F2741"/>
          <w:sz w:val="24"/>
          <w:szCs w:val="24"/>
        </w:rPr>
        <w:t xml:space="preserve">Safe young lives (2021). </w:t>
      </w:r>
      <w:r w:rsidRPr="004F354E">
        <w:rPr>
          <w:rFonts w:ascii="Arial" w:hAnsi="Arial" w:cs="Arial"/>
          <w:i/>
          <w:iCs/>
          <w:color w:val="0F2741"/>
          <w:sz w:val="24"/>
          <w:szCs w:val="24"/>
        </w:rPr>
        <w:t>Young people and domestic abuse</w:t>
      </w:r>
      <w:r>
        <w:rPr>
          <w:rFonts w:ascii="Arial" w:hAnsi="Arial" w:cs="Arial"/>
          <w:color w:val="0F2741"/>
          <w:sz w:val="24"/>
          <w:szCs w:val="24"/>
        </w:rPr>
        <w:t>. Accessed 17</w:t>
      </w:r>
      <w:r w:rsidRPr="0025172E">
        <w:rPr>
          <w:rFonts w:ascii="Arial" w:hAnsi="Arial" w:cs="Arial"/>
          <w:color w:val="0F274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F2741"/>
          <w:sz w:val="24"/>
          <w:szCs w:val="24"/>
        </w:rPr>
        <w:t xml:space="preserve"> November. Available at: </w:t>
      </w:r>
      <w:r w:rsidRPr="00C62031">
        <w:rPr>
          <w:rFonts w:ascii="Arial" w:hAnsi="Arial" w:cs="Arial"/>
          <w:color w:val="0F2741"/>
          <w:sz w:val="24"/>
          <w:szCs w:val="24"/>
        </w:rPr>
        <w:t>http://safelives.org.uk/sites/default/iles/resources/SafeLives%20Idva%20survey%20report%202016.pdf</w:t>
      </w:r>
    </w:p>
    <w:p w14:paraId="7580C076" w14:textId="77777777" w:rsidR="00C62031" w:rsidRDefault="00C62031" w:rsidP="00C62031">
      <w:pPr>
        <w:spacing w:line="360" w:lineRule="auto"/>
        <w:rPr>
          <w:rFonts w:ascii="Arial" w:hAnsi="Arial" w:cs="Arial"/>
          <w:color w:val="0F2741"/>
          <w:sz w:val="24"/>
          <w:szCs w:val="24"/>
        </w:rPr>
      </w:pPr>
    </w:p>
    <w:p w14:paraId="22C24BC2" w14:textId="668F2461" w:rsidR="00C62031" w:rsidRDefault="00C62031" w:rsidP="00C62031">
      <w:pPr>
        <w:spacing w:line="360" w:lineRule="auto"/>
        <w:rPr>
          <w:rFonts w:ascii="Arial" w:hAnsi="Arial" w:cs="Arial"/>
          <w:color w:val="0F2741"/>
          <w:sz w:val="24"/>
          <w:szCs w:val="24"/>
        </w:rPr>
      </w:pPr>
      <w:r>
        <w:rPr>
          <w:rFonts w:ascii="Arial" w:hAnsi="Arial" w:cs="Arial"/>
          <w:color w:val="0F2741"/>
          <w:sz w:val="24"/>
          <w:szCs w:val="24"/>
        </w:rPr>
        <w:t xml:space="preserve">Statista (2021). </w:t>
      </w:r>
      <w:r w:rsidRPr="004F354E">
        <w:rPr>
          <w:rFonts w:ascii="Arial" w:hAnsi="Arial" w:cs="Arial"/>
          <w:i/>
          <w:iCs/>
          <w:color w:val="0F2741"/>
          <w:sz w:val="24"/>
          <w:szCs w:val="24"/>
        </w:rPr>
        <w:t>Which social media teen and young adult users in United Kingdom (UK) could least do without as of 3rd quarter 2020?</w:t>
      </w:r>
      <w:r w:rsidRPr="00BD439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Accessed 20</w:t>
      </w:r>
      <w:r w:rsidRPr="00912BD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2021.available at: </w:t>
      </w:r>
      <w:r w:rsidRPr="00C62031">
        <w:rPr>
          <w:rFonts w:ascii="Arial" w:hAnsi="Arial" w:cs="Arial"/>
          <w:color w:val="0F2741"/>
          <w:sz w:val="24"/>
          <w:szCs w:val="24"/>
        </w:rPr>
        <w:t>https://www.statista.com/statistics/1059926/social-media-usage-uk-most-important/</w:t>
      </w:r>
    </w:p>
    <w:p w14:paraId="3B7B29D7" w14:textId="77777777" w:rsidR="00C62031" w:rsidRPr="00BD4395" w:rsidRDefault="00C62031" w:rsidP="00C62031">
      <w:pPr>
        <w:spacing w:line="360" w:lineRule="auto"/>
        <w:rPr>
          <w:rFonts w:ascii="Arial" w:hAnsi="Arial" w:cs="Arial"/>
          <w:color w:val="0F2741"/>
          <w:sz w:val="24"/>
          <w:szCs w:val="24"/>
        </w:rPr>
      </w:pPr>
    </w:p>
    <w:p w14:paraId="12E114D7" w14:textId="77777777" w:rsidR="00C62031" w:rsidRPr="00BD4395" w:rsidRDefault="00C62031" w:rsidP="00C62031">
      <w:pPr>
        <w:spacing w:line="360" w:lineRule="auto"/>
        <w:rPr>
          <w:rStyle w:val="doilink"/>
          <w:rFonts w:ascii="Arial" w:hAnsi="Arial" w:cs="Arial"/>
          <w:color w:val="333333"/>
          <w:sz w:val="24"/>
          <w:szCs w:val="24"/>
        </w:rPr>
      </w:pPr>
      <w:r w:rsidRPr="00BD4395">
        <w:rPr>
          <w:rStyle w:val="doilink"/>
          <w:rFonts w:ascii="Arial" w:hAnsi="Arial" w:cs="Arial"/>
          <w:color w:val="333333"/>
          <w:sz w:val="24"/>
          <w:szCs w:val="24"/>
        </w:rPr>
        <w:t xml:space="preserve">Totten, m. (2003) </w:t>
      </w:r>
      <w:r w:rsidRPr="004F354E">
        <w:rPr>
          <w:rStyle w:val="doilink"/>
          <w:rFonts w:ascii="Arial" w:hAnsi="Arial" w:cs="Arial"/>
          <w:i/>
          <w:iCs/>
          <w:color w:val="333333"/>
          <w:sz w:val="24"/>
          <w:szCs w:val="24"/>
        </w:rPr>
        <w:t>Girlfriend abuse as a form of masculinity construction among violent, marginal male youth</w:t>
      </w:r>
      <w:r w:rsidRPr="00BD4395">
        <w:rPr>
          <w:rStyle w:val="doilink"/>
          <w:rFonts w:ascii="Arial" w:hAnsi="Arial" w:cs="Arial"/>
          <w:color w:val="333333"/>
          <w:sz w:val="24"/>
          <w:szCs w:val="24"/>
        </w:rPr>
        <w:t>. Men and masculinities 6:1, 70-92, DOI: 10.1177/1097184X03253138</w:t>
      </w:r>
    </w:p>
    <w:p w14:paraId="36999039" w14:textId="2D3C8613" w:rsidR="00D52C93" w:rsidRDefault="00D52C93">
      <w:pPr>
        <w:rPr>
          <w:rFonts w:ascii="Open Sans" w:hAnsi="Open Sans" w:cs="Open Sans"/>
          <w:b/>
          <w:bCs/>
          <w:color w:val="0F2741"/>
          <w:sz w:val="41"/>
          <w:szCs w:val="41"/>
        </w:rPr>
      </w:pPr>
    </w:p>
    <w:p w14:paraId="05F0494B" w14:textId="77777777" w:rsidR="00D52C93" w:rsidRDefault="00D52C93"/>
    <w:sectPr w:rsidR="00D52C9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225A"/>
    <w:rsid w:val="0025172E"/>
    <w:rsid w:val="0029332A"/>
    <w:rsid w:val="002B1B1C"/>
    <w:rsid w:val="003D225A"/>
    <w:rsid w:val="004F354E"/>
    <w:rsid w:val="005837EF"/>
    <w:rsid w:val="006C74FF"/>
    <w:rsid w:val="00712886"/>
    <w:rsid w:val="00912BD5"/>
    <w:rsid w:val="009B0214"/>
    <w:rsid w:val="009C4536"/>
    <w:rsid w:val="00A721DC"/>
    <w:rsid w:val="00BD4395"/>
    <w:rsid w:val="00C62031"/>
    <w:rsid w:val="00C84FA6"/>
    <w:rsid w:val="00D52C93"/>
    <w:rsid w:val="00EC4DE8"/>
    <w:rsid w:val="00F20C50"/>
    <w:rsid w:val="00F41C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EAEB46"/>
  <w15:chartTrackingRefBased/>
  <w15:docId w15:val="{82436316-2B19-443D-8596-1625772A7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uthors">
    <w:name w:val="authors"/>
    <w:basedOn w:val="DefaultParagraphFont"/>
    <w:rsid w:val="003D225A"/>
  </w:style>
  <w:style w:type="character" w:customStyle="1" w:styleId="Date1">
    <w:name w:val="Date1"/>
    <w:basedOn w:val="DefaultParagraphFont"/>
    <w:rsid w:val="003D225A"/>
  </w:style>
  <w:style w:type="character" w:customStyle="1" w:styleId="arttitle">
    <w:name w:val="art_title"/>
    <w:basedOn w:val="DefaultParagraphFont"/>
    <w:rsid w:val="003D225A"/>
  </w:style>
  <w:style w:type="character" w:customStyle="1" w:styleId="serialtitle">
    <w:name w:val="serial_title"/>
    <w:basedOn w:val="DefaultParagraphFont"/>
    <w:rsid w:val="003D225A"/>
  </w:style>
  <w:style w:type="character" w:customStyle="1" w:styleId="volumeissue">
    <w:name w:val="volume_issue"/>
    <w:basedOn w:val="DefaultParagraphFont"/>
    <w:rsid w:val="003D225A"/>
  </w:style>
  <w:style w:type="character" w:customStyle="1" w:styleId="pagerange">
    <w:name w:val="page_range"/>
    <w:basedOn w:val="DefaultParagraphFont"/>
    <w:rsid w:val="003D225A"/>
  </w:style>
  <w:style w:type="character" w:customStyle="1" w:styleId="doilink">
    <w:name w:val="doi_link"/>
    <w:basedOn w:val="DefaultParagraphFont"/>
    <w:rsid w:val="003D225A"/>
  </w:style>
  <w:style w:type="character" w:styleId="Hyperlink">
    <w:name w:val="Hyperlink"/>
    <w:basedOn w:val="DefaultParagraphFont"/>
    <w:uiPriority w:val="99"/>
    <w:unhideWhenUsed/>
    <w:rsid w:val="003D225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2C9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oi.org/10.1080/14681811.2013.81694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483</TotalTime>
  <Pages>2</Pages>
  <Words>332</Words>
  <Characters>1896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Lianne Jayne Edwards (1806154)</dc:creator>
  <cp:keywords/>
  <dc:description/>
  <cp:lastModifiedBy>Lianne Jayne Edwards (1806154)</cp:lastModifiedBy>
  <cp:revision>2</cp:revision>
  <dcterms:created xsi:type="dcterms:W3CDTF">2021-11-22T13:36:00Z</dcterms:created>
  <dcterms:modified xsi:type="dcterms:W3CDTF">2021-11-22T21:42:00Z</dcterms:modified>
</cp:coreProperties>
</file>