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5BF42" w14:textId="77777777" w:rsidR="007F5E47" w:rsidRDefault="007F5E47" w:rsidP="00645B34">
      <w:pPr>
        <w:spacing w:before="100" w:beforeAutospacing="1" w:after="100" w:afterAutospacing="1" w:line="360" w:lineRule="auto"/>
        <w:jc w:val="both"/>
        <w:rPr>
          <w:color w:val="000000"/>
        </w:rPr>
      </w:pPr>
    </w:p>
    <w:p w14:paraId="76073DF6" w14:textId="77777777" w:rsidR="007F5E47" w:rsidRDefault="007F5E47" w:rsidP="00645B34">
      <w:pPr>
        <w:spacing w:before="100" w:beforeAutospacing="1" w:after="100" w:afterAutospacing="1" w:line="360" w:lineRule="auto"/>
        <w:jc w:val="both"/>
        <w:rPr>
          <w:color w:val="000000"/>
        </w:rPr>
      </w:pPr>
    </w:p>
    <w:p w14:paraId="683932A1" w14:textId="77777777" w:rsidR="007F5E47" w:rsidRDefault="007F5E47" w:rsidP="00645B34">
      <w:pPr>
        <w:spacing w:before="100" w:beforeAutospacing="1" w:after="100" w:afterAutospacing="1" w:line="360" w:lineRule="auto"/>
        <w:jc w:val="both"/>
        <w:rPr>
          <w:color w:val="000000"/>
        </w:rPr>
      </w:pPr>
    </w:p>
    <w:p w14:paraId="572D9A5C" w14:textId="70CBA292" w:rsidR="007F5E47" w:rsidRDefault="007F5E47" w:rsidP="00645B34">
      <w:pPr>
        <w:spacing w:before="100" w:beforeAutospacing="1" w:after="100" w:afterAutospacing="1" w:line="360" w:lineRule="auto"/>
        <w:jc w:val="both"/>
        <w:rPr>
          <w:color w:val="000000"/>
        </w:rPr>
      </w:pPr>
    </w:p>
    <w:p w14:paraId="4FE3ED04" w14:textId="614F5647" w:rsidR="005B3F95" w:rsidRPr="00083C0D" w:rsidRDefault="009B19F7"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Name:</w:t>
      </w:r>
      <w:r w:rsidR="005B3F95" w:rsidRPr="00083C0D">
        <w:rPr>
          <w:rFonts w:ascii="Arial" w:hAnsi="Arial" w:cs="Arial"/>
          <w:color w:val="000000"/>
          <w:sz w:val="32"/>
          <w:szCs w:val="32"/>
        </w:rPr>
        <w:t xml:space="preserve"> </w:t>
      </w:r>
      <w:r w:rsidR="009931D7" w:rsidRPr="00083C0D">
        <w:rPr>
          <w:rFonts w:ascii="Arial" w:hAnsi="Arial" w:cs="Arial"/>
          <w:color w:val="000000"/>
          <w:sz w:val="32"/>
          <w:szCs w:val="32"/>
        </w:rPr>
        <w:t xml:space="preserve"> </w:t>
      </w:r>
      <w:r w:rsidR="00820EB4" w:rsidRPr="00083C0D">
        <w:rPr>
          <w:rFonts w:ascii="Arial" w:hAnsi="Arial" w:cs="Arial"/>
          <w:color w:val="000000"/>
          <w:sz w:val="32"/>
          <w:szCs w:val="32"/>
        </w:rPr>
        <w:t xml:space="preserve">Precious </w:t>
      </w:r>
      <w:r w:rsidR="00952E8B">
        <w:rPr>
          <w:rFonts w:ascii="Arial" w:hAnsi="Arial" w:cs="Arial"/>
          <w:color w:val="000000"/>
          <w:sz w:val="32"/>
          <w:szCs w:val="32"/>
        </w:rPr>
        <w:t>G</w:t>
      </w:r>
      <w:r w:rsidR="00820EB4" w:rsidRPr="00083C0D">
        <w:rPr>
          <w:rFonts w:ascii="Arial" w:hAnsi="Arial" w:cs="Arial"/>
          <w:color w:val="000000"/>
          <w:sz w:val="32"/>
          <w:szCs w:val="32"/>
        </w:rPr>
        <w:t>rant Whittaker</w:t>
      </w:r>
    </w:p>
    <w:p w14:paraId="69149DC5" w14:textId="2BEC902B" w:rsidR="009931D7" w:rsidRPr="00083C0D" w:rsidRDefault="009931D7"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 xml:space="preserve">Student Number </w:t>
      </w:r>
      <w:r w:rsidR="009B19F7" w:rsidRPr="00083C0D">
        <w:rPr>
          <w:rFonts w:ascii="Arial" w:hAnsi="Arial" w:cs="Arial"/>
          <w:color w:val="000000"/>
          <w:sz w:val="32"/>
          <w:szCs w:val="32"/>
        </w:rPr>
        <w:t>:</w:t>
      </w:r>
      <w:r w:rsidR="005B3F95" w:rsidRPr="00083C0D">
        <w:rPr>
          <w:rFonts w:ascii="Arial" w:hAnsi="Arial" w:cs="Arial"/>
          <w:color w:val="000000"/>
          <w:sz w:val="32"/>
          <w:szCs w:val="32"/>
        </w:rPr>
        <w:t>2412252</w:t>
      </w:r>
    </w:p>
    <w:p w14:paraId="0B62DF92" w14:textId="313B1FA1" w:rsidR="005B3F95" w:rsidRPr="00083C0D" w:rsidRDefault="00C64BF8"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M</w:t>
      </w:r>
      <w:r w:rsidR="00E164CC" w:rsidRPr="00083C0D">
        <w:rPr>
          <w:rFonts w:ascii="Arial" w:hAnsi="Arial" w:cs="Arial"/>
          <w:color w:val="000000"/>
          <w:sz w:val="32"/>
          <w:szCs w:val="32"/>
        </w:rPr>
        <w:t>o</w:t>
      </w:r>
      <w:r w:rsidRPr="00083C0D">
        <w:rPr>
          <w:rFonts w:ascii="Arial" w:hAnsi="Arial" w:cs="Arial"/>
          <w:color w:val="000000"/>
          <w:sz w:val="32"/>
          <w:szCs w:val="32"/>
        </w:rPr>
        <w:t xml:space="preserve">dule </w:t>
      </w:r>
      <w:r w:rsidR="009B19F7" w:rsidRPr="00083C0D">
        <w:rPr>
          <w:rFonts w:ascii="Arial" w:hAnsi="Arial" w:cs="Arial"/>
          <w:color w:val="000000"/>
          <w:sz w:val="32"/>
          <w:szCs w:val="32"/>
        </w:rPr>
        <w:t>code: BMHP</w:t>
      </w:r>
      <w:r w:rsidRPr="00083C0D">
        <w:rPr>
          <w:rFonts w:ascii="Arial" w:hAnsi="Arial" w:cs="Arial"/>
          <w:color w:val="000000"/>
          <w:sz w:val="32"/>
          <w:szCs w:val="32"/>
        </w:rPr>
        <w:t>5016</w:t>
      </w:r>
    </w:p>
    <w:p w14:paraId="306F6522" w14:textId="773ECEE9" w:rsidR="004E46BA" w:rsidRPr="00083C0D" w:rsidRDefault="00EB18C2"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Module Title</w:t>
      </w:r>
      <w:r w:rsidR="002D4176" w:rsidRPr="00083C0D">
        <w:rPr>
          <w:rFonts w:ascii="Arial" w:hAnsi="Arial" w:cs="Arial"/>
          <w:color w:val="000000"/>
          <w:sz w:val="32"/>
          <w:szCs w:val="32"/>
        </w:rPr>
        <w:t xml:space="preserve">: BSc </w:t>
      </w:r>
      <w:r w:rsidR="00944A4A" w:rsidRPr="00083C0D">
        <w:rPr>
          <w:rFonts w:ascii="Arial" w:hAnsi="Arial" w:cs="Arial"/>
          <w:color w:val="000000"/>
          <w:sz w:val="32"/>
          <w:szCs w:val="32"/>
        </w:rPr>
        <w:t xml:space="preserve">principles of health and social </w:t>
      </w:r>
      <w:r w:rsidR="0069019B" w:rsidRPr="00083C0D">
        <w:rPr>
          <w:rFonts w:ascii="Arial" w:hAnsi="Arial" w:cs="Arial"/>
          <w:color w:val="000000"/>
          <w:sz w:val="32"/>
          <w:szCs w:val="32"/>
        </w:rPr>
        <w:t>care practi</w:t>
      </w:r>
      <w:r w:rsidR="009B19F7" w:rsidRPr="00083C0D">
        <w:rPr>
          <w:rFonts w:ascii="Arial" w:hAnsi="Arial" w:cs="Arial"/>
          <w:color w:val="000000"/>
          <w:sz w:val="32"/>
          <w:szCs w:val="32"/>
        </w:rPr>
        <w:t>ce</w:t>
      </w:r>
    </w:p>
    <w:p w14:paraId="65CAF2F9" w14:textId="45476BB3" w:rsidR="004277D6" w:rsidRPr="00083C0D" w:rsidRDefault="00E92188"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 xml:space="preserve">Lecturer’s </w:t>
      </w:r>
      <w:r w:rsidR="00574030" w:rsidRPr="00083C0D">
        <w:rPr>
          <w:rFonts w:ascii="Arial" w:hAnsi="Arial" w:cs="Arial"/>
          <w:color w:val="000000"/>
          <w:sz w:val="32"/>
          <w:szCs w:val="32"/>
        </w:rPr>
        <w:t>Name: Tommy</w:t>
      </w:r>
      <w:r w:rsidRPr="00083C0D">
        <w:rPr>
          <w:rFonts w:ascii="Arial" w:hAnsi="Arial" w:cs="Arial"/>
          <w:color w:val="000000"/>
          <w:sz w:val="32"/>
          <w:szCs w:val="32"/>
        </w:rPr>
        <w:t xml:space="preserve"> </w:t>
      </w:r>
      <w:r w:rsidR="00907C9A" w:rsidRPr="00083C0D">
        <w:rPr>
          <w:rFonts w:ascii="Arial" w:hAnsi="Arial" w:cs="Arial"/>
          <w:color w:val="000000"/>
          <w:sz w:val="32"/>
          <w:szCs w:val="32"/>
        </w:rPr>
        <w:t>Adattu-Chacko</w:t>
      </w:r>
    </w:p>
    <w:p w14:paraId="2C301A6A" w14:textId="01BDDC60" w:rsidR="00E9570B" w:rsidRPr="00083C0D" w:rsidRDefault="00E9570B" w:rsidP="00645B34">
      <w:pPr>
        <w:spacing w:before="100" w:beforeAutospacing="1" w:after="100" w:afterAutospacing="1" w:line="360" w:lineRule="auto"/>
        <w:jc w:val="both"/>
        <w:rPr>
          <w:rFonts w:ascii="Arial" w:hAnsi="Arial" w:cs="Arial"/>
          <w:color w:val="000000"/>
          <w:sz w:val="32"/>
          <w:szCs w:val="32"/>
        </w:rPr>
      </w:pPr>
      <w:r w:rsidRPr="00083C0D">
        <w:rPr>
          <w:rFonts w:ascii="Arial" w:hAnsi="Arial" w:cs="Arial"/>
          <w:color w:val="000000"/>
          <w:sz w:val="32"/>
          <w:szCs w:val="32"/>
        </w:rPr>
        <w:t>Assign</w:t>
      </w:r>
      <w:r w:rsidR="003865A1" w:rsidRPr="00083C0D">
        <w:rPr>
          <w:rFonts w:ascii="Arial" w:hAnsi="Arial" w:cs="Arial"/>
          <w:color w:val="000000"/>
          <w:sz w:val="32"/>
          <w:szCs w:val="32"/>
        </w:rPr>
        <w:t xml:space="preserve">ment </w:t>
      </w:r>
      <w:r w:rsidR="009B19F7" w:rsidRPr="00083C0D">
        <w:rPr>
          <w:rFonts w:ascii="Arial" w:hAnsi="Arial" w:cs="Arial"/>
          <w:color w:val="000000"/>
          <w:sz w:val="32"/>
          <w:szCs w:val="32"/>
        </w:rPr>
        <w:t>Title:</w:t>
      </w:r>
      <w:r w:rsidR="003865A1" w:rsidRPr="00083C0D">
        <w:rPr>
          <w:rFonts w:ascii="Arial" w:hAnsi="Arial" w:cs="Arial"/>
          <w:color w:val="000000"/>
          <w:sz w:val="32"/>
          <w:szCs w:val="32"/>
        </w:rPr>
        <w:t xml:space="preserve"> person-</w:t>
      </w:r>
      <w:r w:rsidR="0061530F" w:rsidRPr="00083C0D">
        <w:rPr>
          <w:rFonts w:ascii="Arial" w:hAnsi="Arial" w:cs="Arial"/>
          <w:color w:val="000000"/>
          <w:sz w:val="32"/>
          <w:szCs w:val="32"/>
        </w:rPr>
        <w:t xml:space="preserve">centred care and partnership working </w:t>
      </w:r>
      <w:r w:rsidR="004E46BA" w:rsidRPr="00083C0D">
        <w:rPr>
          <w:rFonts w:ascii="Arial" w:hAnsi="Arial" w:cs="Arial"/>
          <w:color w:val="000000"/>
          <w:sz w:val="32"/>
          <w:szCs w:val="32"/>
        </w:rPr>
        <w:t>report</w:t>
      </w:r>
    </w:p>
    <w:p w14:paraId="08B0C0C9" w14:textId="77777777" w:rsidR="00C64BF8" w:rsidRPr="0034663D" w:rsidRDefault="00C64BF8" w:rsidP="00645B34">
      <w:pPr>
        <w:spacing w:before="100" w:beforeAutospacing="1" w:after="100" w:afterAutospacing="1" w:line="360" w:lineRule="auto"/>
        <w:jc w:val="both"/>
        <w:rPr>
          <w:rFonts w:ascii="Arial" w:hAnsi="Arial" w:cs="Arial"/>
          <w:color w:val="000000"/>
          <w:sz w:val="22"/>
          <w:szCs w:val="22"/>
        </w:rPr>
      </w:pPr>
    </w:p>
    <w:p w14:paraId="5E541C6F"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649BE5C3"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2A25D54A"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6E9E7856"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2BF3B952"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2589DFC2"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55D46CE2"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27A1FF07" w14:textId="77777777" w:rsidR="004B1FB5" w:rsidRPr="0034663D" w:rsidRDefault="004B1FB5" w:rsidP="00645B34">
      <w:pPr>
        <w:spacing w:before="100" w:beforeAutospacing="1" w:after="100" w:afterAutospacing="1" w:line="360" w:lineRule="auto"/>
        <w:jc w:val="both"/>
        <w:rPr>
          <w:rFonts w:ascii="Arial" w:hAnsi="Arial" w:cs="Arial"/>
          <w:color w:val="000000"/>
          <w:sz w:val="22"/>
          <w:szCs w:val="22"/>
        </w:rPr>
      </w:pPr>
    </w:p>
    <w:p w14:paraId="5A94AA47" w14:textId="77777777" w:rsidR="00432008" w:rsidRPr="00516D61" w:rsidRDefault="00432008" w:rsidP="00516D61">
      <w:pPr>
        <w:spacing w:before="100" w:beforeAutospacing="1" w:after="100" w:afterAutospacing="1" w:line="360" w:lineRule="auto"/>
        <w:jc w:val="both"/>
        <w:rPr>
          <w:rFonts w:ascii="Arial" w:hAnsi="Arial" w:cs="Arial"/>
          <w:color w:val="000000"/>
          <w:sz w:val="22"/>
          <w:szCs w:val="22"/>
        </w:rPr>
      </w:pPr>
    </w:p>
    <w:p w14:paraId="2648D216" w14:textId="253A96A5" w:rsidR="00432008" w:rsidRPr="00516D61" w:rsidRDefault="0033734D"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Abstract</w:t>
      </w:r>
    </w:p>
    <w:p w14:paraId="50D6E891" w14:textId="17F1A09F" w:rsidR="00432008" w:rsidRPr="00516D61" w:rsidRDefault="00EC03C8"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This report examines person</w:t>
      </w:r>
      <w:r w:rsidR="00000CEA" w:rsidRPr="00516D61">
        <w:rPr>
          <w:rFonts w:ascii="Arial" w:hAnsi="Arial" w:cs="Arial"/>
          <w:color w:val="000000"/>
          <w:sz w:val="22"/>
          <w:szCs w:val="22"/>
        </w:rPr>
        <w:t>-centred Care (PCC)</w:t>
      </w:r>
      <w:r w:rsidR="00045DB8" w:rsidRPr="00516D61">
        <w:rPr>
          <w:rFonts w:ascii="Arial" w:hAnsi="Arial" w:cs="Arial"/>
          <w:color w:val="000000"/>
          <w:sz w:val="22"/>
          <w:szCs w:val="22"/>
        </w:rPr>
        <w:t xml:space="preserve"> and Partnership working </w:t>
      </w:r>
      <w:r w:rsidR="00E4691F" w:rsidRPr="00516D61">
        <w:rPr>
          <w:rFonts w:ascii="Arial" w:hAnsi="Arial" w:cs="Arial"/>
          <w:color w:val="000000"/>
          <w:sz w:val="22"/>
          <w:szCs w:val="22"/>
        </w:rPr>
        <w:t xml:space="preserve">(PW) within </w:t>
      </w:r>
      <w:r w:rsidR="000716FB" w:rsidRPr="00516D61">
        <w:rPr>
          <w:rFonts w:ascii="Arial" w:hAnsi="Arial" w:cs="Arial"/>
          <w:color w:val="000000"/>
          <w:sz w:val="22"/>
          <w:szCs w:val="22"/>
        </w:rPr>
        <w:t>context</w:t>
      </w:r>
      <w:r w:rsidR="00702795" w:rsidRPr="00516D61">
        <w:rPr>
          <w:rFonts w:ascii="Arial" w:hAnsi="Arial" w:cs="Arial"/>
          <w:color w:val="000000"/>
          <w:sz w:val="22"/>
          <w:szCs w:val="22"/>
        </w:rPr>
        <w:t xml:space="preserve"> </w:t>
      </w:r>
      <w:r w:rsidR="00787E37" w:rsidRPr="00516D61">
        <w:rPr>
          <w:rFonts w:ascii="Arial" w:hAnsi="Arial" w:cs="Arial"/>
          <w:color w:val="000000"/>
          <w:sz w:val="22"/>
          <w:szCs w:val="22"/>
        </w:rPr>
        <w:t>of</w:t>
      </w:r>
      <w:r w:rsidR="00D74C44" w:rsidRPr="00516D61">
        <w:rPr>
          <w:rFonts w:ascii="Arial" w:hAnsi="Arial" w:cs="Arial"/>
          <w:color w:val="000000"/>
          <w:sz w:val="22"/>
          <w:szCs w:val="22"/>
        </w:rPr>
        <w:t xml:space="preserve"> me</w:t>
      </w:r>
      <w:r w:rsidR="00744463" w:rsidRPr="00516D61">
        <w:rPr>
          <w:rFonts w:ascii="Arial" w:hAnsi="Arial" w:cs="Arial"/>
          <w:color w:val="000000"/>
          <w:sz w:val="22"/>
          <w:szCs w:val="22"/>
        </w:rPr>
        <w:t>ntal health setting.</w:t>
      </w:r>
      <w:r w:rsidR="00787E37" w:rsidRPr="00516D61">
        <w:rPr>
          <w:rFonts w:ascii="Arial" w:hAnsi="Arial" w:cs="Arial"/>
          <w:color w:val="000000"/>
          <w:sz w:val="22"/>
          <w:szCs w:val="22"/>
        </w:rPr>
        <w:t xml:space="preserve"> PCC</w:t>
      </w:r>
      <w:r w:rsidR="00665E29" w:rsidRPr="00516D61">
        <w:rPr>
          <w:rFonts w:ascii="Arial" w:hAnsi="Arial" w:cs="Arial"/>
          <w:color w:val="000000"/>
          <w:sz w:val="22"/>
          <w:szCs w:val="22"/>
        </w:rPr>
        <w:t xml:space="preserve"> emphasises placing</w:t>
      </w:r>
      <w:r w:rsidR="0030785A" w:rsidRPr="00516D61">
        <w:rPr>
          <w:rFonts w:ascii="Arial" w:hAnsi="Arial" w:cs="Arial"/>
          <w:color w:val="000000"/>
          <w:sz w:val="22"/>
          <w:szCs w:val="22"/>
        </w:rPr>
        <w:t xml:space="preserve"> the individual at the centre </w:t>
      </w:r>
      <w:r w:rsidR="00A4543C" w:rsidRPr="00516D61">
        <w:rPr>
          <w:rFonts w:ascii="Arial" w:hAnsi="Arial" w:cs="Arial"/>
          <w:color w:val="000000"/>
          <w:sz w:val="22"/>
          <w:szCs w:val="22"/>
        </w:rPr>
        <w:t xml:space="preserve">of </w:t>
      </w:r>
      <w:r w:rsidR="00A87142" w:rsidRPr="00516D61">
        <w:rPr>
          <w:rFonts w:ascii="Arial" w:hAnsi="Arial" w:cs="Arial"/>
          <w:color w:val="000000"/>
          <w:sz w:val="22"/>
          <w:szCs w:val="22"/>
        </w:rPr>
        <w:t xml:space="preserve">care, addressing their specific needs </w:t>
      </w:r>
      <w:r w:rsidR="00072BBE" w:rsidRPr="00516D61">
        <w:rPr>
          <w:rFonts w:ascii="Arial" w:hAnsi="Arial" w:cs="Arial"/>
          <w:color w:val="000000"/>
          <w:sz w:val="22"/>
          <w:szCs w:val="22"/>
        </w:rPr>
        <w:t xml:space="preserve">and </w:t>
      </w:r>
      <w:r w:rsidR="00536109" w:rsidRPr="00516D61">
        <w:rPr>
          <w:rFonts w:ascii="Arial" w:hAnsi="Arial" w:cs="Arial"/>
          <w:color w:val="000000"/>
          <w:sz w:val="22"/>
          <w:szCs w:val="22"/>
        </w:rPr>
        <w:t xml:space="preserve">preferences </w:t>
      </w:r>
      <w:r w:rsidR="004179F3" w:rsidRPr="00516D61">
        <w:rPr>
          <w:rFonts w:ascii="Arial" w:hAnsi="Arial" w:cs="Arial"/>
          <w:color w:val="000000"/>
          <w:sz w:val="22"/>
          <w:szCs w:val="22"/>
        </w:rPr>
        <w:t>(The</w:t>
      </w:r>
      <w:r w:rsidR="00536109" w:rsidRPr="00516D61">
        <w:rPr>
          <w:rFonts w:ascii="Arial" w:hAnsi="Arial" w:cs="Arial"/>
          <w:color w:val="000000"/>
          <w:sz w:val="22"/>
          <w:szCs w:val="22"/>
        </w:rPr>
        <w:t xml:space="preserve"> </w:t>
      </w:r>
      <w:r w:rsidR="000F5670" w:rsidRPr="00516D61">
        <w:rPr>
          <w:rFonts w:ascii="Arial" w:hAnsi="Arial" w:cs="Arial"/>
          <w:color w:val="000000"/>
          <w:sz w:val="22"/>
          <w:szCs w:val="22"/>
        </w:rPr>
        <w:t>Health Foundation, 2016</w:t>
      </w:r>
      <w:r w:rsidR="00DE47AF" w:rsidRPr="00516D61">
        <w:rPr>
          <w:rFonts w:ascii="Arial" w:hAnsi="Arial" w:cs="Arial"/>
          <w:color w:val="000000"/>
          <w:sz w:val="22"/>
          <w:szCs w:val="22"/>
        </w:rPr>
        <w:t>). The report explore</w:t>
      </w:r>
      <w:r w:rsidR="008D1A31" w:rsidRPr="00516D61">
        <w:rPr>
          <w:rFonts w:ascii="Arial" w:hAnsi="Arial" w:cs="Arial"/>
          <w:color w:val="000000"/>
          <w:sz w:val="22"/>
          <w:szCs w:val="22"/>
        </w:rPr>
        <w:t xml:space="preserve">s the benefits of PCC, such as </w:t>
      </w:r>
      <w:r w:rsidR="00105B03" w:rsidRPr="00516D61">
        <w:rPr>
          <w:rFonts w:ascii="Arial" w:hAnsi="Arial" w:cs="Arial"/>
          <w:color w:val="000000"/>
          <w:sz w:val="22"/>
          <w:szCs w:val="22"/>
        </w:rPr>
        <w:t>improved patient satisfaction</w:t>
      </w:r>
      <w:r w:rsidR="00D4121D" w:rsidRPr="00516D61">
        <w:rPr>
          <w:rFonts w:ascii="Arial" w:hAnsi="Arial" w:cs="Arial"/>
          <w:color w:val="000000"/>
          <w:sz w:val="22"/>
          <w:szCs w:val="22"/>
        </w:rPr>
        <w:t xml:space="preserve"> and better health outcomes, while hig</w:t>
      </w:r>
      <w:r w:rsidR="00EB0AE5" w:rsidRPr="00516D61">
        <w:rPr>
          <w:rFonts w:ascii="Arial" w:hAnsi="Arial" w:cs="Arial"/>
          <w:color w:val="000000"/>
          <w:sz w:val="22"/>
          <w:szCs w:val="22"/>
        </w:rPr>
        <w:t>hlighting challenges such as res</w:t>
      </w:r>
      <w:r w:rsidR="00FE3A6E" w:rsidRPr="00516D61">
        <w:rPr>
          <w:rFonts w:ascii="Arial" w:hAnsi="Arial" w:cs="Arial"/>
          <w:color w:val="000000"/>
          <w:sz w:val="22"/>
          <w:szCs w:val="22"/>
        </w:rPr>
        <w:t xml:space="preserve">ource constraints </w:t>
      </w:r>
      <w:r w:rsidR="00A33257" w:rsidRPr="00516D61">
        <w:rPr>
          <w:rFonts w:ascii="Arial" w:hAnsi="Arial" w:cs="Arial"/>
          <w:color w:val="000000"/>
          <w:sz w:val="22"/>
          <w:szCs w:val="22"/>
        </w:rPr>
        <w:t>and resistance to change</w:t>
      </w:r>
      <w:r w:rsidR="00111A1E" w:rsidRPr="00516D61">
        <w:rPr>
          <w:rFonts w:ascii="Arial" w:hAnsi="Arial" w:cs="Arial"/>
          <w:color w:val="000000"/>
          <w:sz w:val="22"/>
          <w:szCs w:val="22"/>
        </w:rPr>
        <w:t xml:space="preserve"> (Epstein &amp; Street</w:t>
      </w:r>
      <w:r w:rsidR="00C830C6" w:rsidRPr="00516D61">
        <w:rPr>
          <w:rFonts w:ascii="Arial" w:hAnsi="Arial" w:cs="Arial"/>
          <w:color w:val="000000"/>
          <w:sz w:val="22"/>
          <w:szCs w:val="22"/>
        </w:rPr>
        <w:t xml:space="preserve">, 2011). </w:t>
      </w:r>
      <w:r w:rsidR="001943D8" w:rsidRPr="00516D61">
        <w:rPr>
          <w:rFonts w:ascii="Arial" w:hAnsi="Arial" w:cs="Arial"/>
          <w:color w:val="000000"/>
          <w:sz w:val="22"/>
          <w:szCs w:val="22"/>
        </w:rPr>
        <w:t>Relevant theories, incl</w:t>
      </w:r>
      <w:r w:rsidR="00CC6112" w:rsidRPr="00516D61">
        <w:rPr>
          <w:rFonts w:ascii="Arial" w:hAnsi="Arial" w:cs="Arial"/>
          <w:color w:val="000000"/>
          <w:sz w:val="22"/>
          <w:szCs w:val="22"/>
        </w:rPr>
        <w:t>uding Carl Rogers</w:t>
      </w:r>
      <w:r w:rsidR="00251618" w:rsidRPr="00516D61">
        <w:rPr>
          <w:rFonts w:ascii="Arial" w:hAnsi="Arial" w:cs="Arial"/>
          <w:color w:val="000000"/>
          <w:sz w:val="22"/>
          <w:szCs w:val="22"/>
        </w:rPr>
        <w:t xml:space="preserve">’ </w:t>
      </w:r>
      <w:r w:rsidR="008806C6" w:rsidRPr="00516D61">
        <w:rPr>
          <w:rFonts w:ascii="Arial" w:hAnsi="Arial" w:cs="Arial"/>
          <w:color w:val="000000"/>
          <w:sz w:val="22"/>
          <w:szCs w:val="22"/>
        </w:rPr>
        <w:t>Person-Centred</w:t>
      </w:r>
      <w:r w:rsidR="005E315E" w:rsidRPr="00516D61">
        <w:rPr>
          <w:rFonts w:ascii="Arial" w:hAnsi="Arial" w:cs="Arial"/>
          <w:color w:val="000000"/>
          <w:sz w:val="22"/>
          <w:szCs w:val="22"/>
        </w:rPr>
        <w:t xml:space="preserve"> </w:t>
      </w:r>
      <w:r w:rsidR="00E1595E" w:rsidRPr="00516D61">
        <w:rPr>
          <w:rFonts w:ascii="Arial" w:hAnsi="Arial" w:cs="Arial"/>
          <w:color w:val="000000"/>
          <w:sz w:val="22"/>
          <w:szCs w:val="22"/>
        </w:rPr>
        <w:t>Approach and Maslow</w:t>
      </w:r>
      <w:r w:rsidR="007B3A89" w:rsidRPr="00516D61">
        <w:rPr>
          <w:rFonts w:ascii="Arial" w:hAnsi="Arial" w:cs="Arial"/>
          <w:color w:val="000000"/>
          <w:sz w:val="22"/>
          <w:szCs w:val="22"/>
        </w:rPr>
        <w:t>’s Hierarchy of needs, are a</w:t>
      </w:r>
      <w:r w:rsidR="00CC5869" w:rsidRPr="00516D61">
        <w:rPr>
          <w:rFonts w:ascii="Arial" w:hAnsi="Arial" w:cs="Arial"/>
          <w:color w:val="000000"/>
          <w:sz w:val="22"/>
          <w:szCs w:val="22"/>
        </w:rPr>
        <w:t>nalysed to understand their a</w:t>
      </w:r>
      <w:r w:rsidR="007E0DFA" w:rsidRPr="00516D61">
        <w:rPr>
          <w:rFonts w:ascii="Arial" w:hAnsi="Arial" w:cs="Arial"/>
          <w:color w:val="000000"/>
          <w:sz w:val="22"/>
          <w:szCs w:val="22"/>
        </w:rPr>
        <w:t xml:space="preserve">pplication within the chosen </w:t>
      </w:r>
      <w:r w:rsidR="008806C6" w:rsidRPr="00516D61">
        <w:rPr>
          <w:rFonts w:ascii="Arial" w:hAnsi="Arial" w:cs="Arial"/>
          <w:color w:val="000000"/>
          <w:sz w:val="22"/>
          <w:szCs w:val="22"/>
        </w:rPr>
        <w:t>setting. Ethical</w:t>
      </w:r>
      <w:r w:rsidR="003768A0" w:rsidRPr="00516D61">
        <w:rPr>
          <w:rFonts w:ascii="Arial" w:hAnsi="Arial" w:cs="Arial"/>
          <w:color w:val="000000"/>
          <w:sz w:val="22"/>
          <w:szCs w:val="22"/>
        </w:rPr>
        <w:t xml:space="preserve"> principles such as auto</w:t>
      </w:r>
      <w:r w:rsidR="008806C6" w:rsidRPr="00516D61">
        <w:rPr>
          <w:rFonts w:ascii="Arial" w:hAnsi="Arial" w:cs="Arial"/>
          <w:color w:val="000000"/>
          <w:sz w:val="22"/>
          <w:szCs w:val="22"/>
        </w:rPr>
        <w:t>nomy, ben</w:t>
      </w:r>
      <w:r w:rsidR="00CB35D1" w:rsidRPr="00516D61">
        <w:rPr>
          <w:rFonts w:ascii="Arial" w:hAnsi="Arial" w:cs="Arial"/>
          <w:color w:val="000000"/>
          <w:sz w:val="22"/>
          <w:szCs w:val="22"/>
        </w:rPr>
        <w:t>eficence, non</w:t>
      </w:r>
      <w:r w:rsidR="00EB2F17" w:rsidRPr="00516D61">
        <w:rPr>
          <w:rFonts w:ascii="Arial" w:hAnsi="Arial" w:cs="Arial"/>
          <w:color w:val="000000"/>
          <w:sz w:val="22"/>
          <w:szCs w:val="22"/>
        </w:rPr>
        <w:t>-maleficence, and justice are also eva</w:t>
      </w:r>
      <w:r w:rsidR="007A3713" w:rsidRPr="00516D61">
        <w:rPr>
          <w:rFonts w:ascii="Arial" w:hAnsi="Arial" w:cs="Arial"/>
          <w:color w:val="000000"/>
          <w:sz w:val="22"/>
          <w:szCs w:val="22"/>
        </w:rPr>
        <w:t xml:space="preserve">luated for their role in </w:t>
      </w:r>
      <w:r w:rsidR="00B8124B" w:rsidRPr="00516D61">
        <w:rPr>
          <w:rFonts w:ascii="Arial" w:hAnsi="Arial" w:cs="Arial"/>
          <w:color w:val="000000"/>
          <w:sz w:val="22"/>
          <w:szCs w:val="22"/>
        </w:rPr>
        <w:t>P</w:t>
      </w:r>
      <w:r w:rsidR="0080542F" w:rsidRPr="00516D61">
        <w:rPr>
          <w:rFonts w:ascii="Arial" w:hAnsi="Arial" w:cs="Arial"/>
          <w:color w:val="000000"/>
          <w:sz w:val="22"/>
          <w:szCs w:val="22"/>
        </w:rPr>
        <w:t>CC and PW (</w:t>
      </w:r>
      <w:r w:rsidR="00FB1EF1" w:rsidRPr="00516D61">
        <w:rPr>
          <w:rFonts w:ascii="Arial" w:hAnsi="Arial" w:cs="Arial"/>
          <w:color w:val="000000"/>
          <w:sz w:val="22"/>
          <w:szCs w:val="22"/>
        </w:rPr>
        <w:t>Bea</w:t>
      </w:r>
      <w:r w:rsidR="005C6AF2" w:rsidRPr="00516D61">
        <w:rPr>
          <w:rFonts w:ascii="Arial" w:hAnsi="Arial" w:cs="Arial"/>
          <w:color w:val="000000"/>
          <w:sz w:val="22"/>
          <w:szCs w:val="22"/>
        </w:rPr>
        <w:t>uchamp &amp; Childress</w:t>
      </w:r>
      <w:r w:rsidR="00E9772F" w:rsidRPr="00516D61">
        <w:rPr>
          <w:rFonts w:ascii="Arial" w:hAnsi="Arial" w:cs="Arial"/>
          <w:color w:val="000000"/>
          <w:sz w:val="22"/>
          <w:szCs w:val="22"/>
        </w:rPr>
        <w:t>, 2013).</w:t>
      </w:r>
      <w:r w:rsidR="00F93E78" w:rsidRPr="00516D61">
        <w:rPr>
          <w:rFonts w:ascii="Arial" w:hAnsi="Arial" w:cs="Arial"/>
          <w:color w:val="000000"/>
          <w:sz w:val="22"/>
          <w:szCs w:val="22"/>
        </w:rPr>
        <w:t xml:space="preserve"> </w:t>
      </w:r>
      <w:r w:rsidR="00690732" w:rsidRPr="00516D61">
        <w:rPr>
          <w:rFonts w:ascii="Arial" w:hAnsi="Arial" w:cs="Arial"/>
          <w:color w:val="000000"/>
          <w:sz w:val="22"/>
          <w:szCs w:val="22"/>
        </w:rPr>
        <w:t xml:space="preserve">Recommendations </w:t>
      </w:r>
      <w:r w:rsidR="00B50325" w:rsidRPr="00516D61">
        <w:rPr>
          <w:rFonts w:ascii="Arial" w:hAnsi="Arial" w:cs="Arial"/>
          <w:color w:val="000000"/>
          <w:sz w:val="22"/>
          <w:szCs w:val="22"/>
        </w:rPr>
        <w:t>include enhancing</w:t>
      </w:r>
      <w:r w:rsidR="001F7134" w:rsidRPr="00516D61">
        <w:rPr>
          <w:rFonts w:ascii="Arial" w:hAnsi="Arial" w:cs="Arial"/>
          <w:color w:val="000000"/>
          <w:sz w:val="22"/>
          <w:szCs w:val="22"/>
        </w:rPr>
        <w:t xml:space="preserve"> staff training, </w:t>
      </w:r>
      <w:r w:rsidR="001020BB" w:rsidRPr="00516D61">
        <w:rPr>
          <w:rFonts w:ascii="Arial" w:hAnsi="Arial" w:cs="Arial"/>
          <w:color w:val="000000"/>
          <w:sz w:val="22"/>
          <w:szCs w:val="22"/>
        </w:rPr>
        <w:t xml:space="preserve">fostering </w:t>
      </w:r>
      <w:r w:rsidR="004F00BB" w:rsidRPr="00516D61">
        <w:rPr>
          <w:rFonts w:ascii="Arial" w:hAnsi="Arial" w:cs="Arial"/>
          <w:color w:val="000000"/>
          <w:sz w:val="22"/>
          <w:szCs w:val="22"/>
        </w:rPr>
        <w:t>collaboration</w:t>
      </w:r>
      <w:r w:rsidR="00A739D7" w:rsidRPr="00516D61">
        <w:rPr>
          <w:rFonts w:ascii="Arial" w:hAnsi="Arial" w:cs="Arial"/>
          <w:color w:val="000000"/>
          <w:sz w:val="22"/>
          <w:szCs w:val="22"/>
        </w:rPr>
        <w:t xml:space="preserve">, and addressing systemic barriers to </w:t>
      </w:r>
      <w:r w:rsidR="00E826E4" w:rsidRPr="00516D61">
        <w:rPr>
          <w:rFonts w:ascii="Arial" w:hAnsi="Arial" w:cs="Arial"/>
          <w:color w:val="000000"/>
          <w:sz w:val="22"/>
          <w:szCs w:val="22"/>
        </w:rPr>
        <w:t>implementing PCC</w:t>
      </w:r>
      <w:r w:rsidR="006105D5" w:rsidRPr="00516D61">
        <w:rPr>
          <w:rFonts w:ascii="Arial" w:hAnsi="Arial" w:cs="Arial"/>
          <w:color w:val="000000"/>
          <w:sz w:val="22"/>
          <w:szCs w:val="22"/>
        </w:rPr>
        <w:t xml:space="preserve"> and PW </w:t>
      </w:r>
      <w:r w:rsidR="003B401A" w:rsidRPr="00516D61">
        <w:rPr>
          <w:rFonts w:ascii="Arial" w:hAnsi="Arial" w:cs="Arial"/>
          <w:color w:val="000000"/>
          <w:sz w:val="22"/>
          <w:szCs w:val="22"/>
        </w:rPr>
        <w:t>in ment</w:t>
      </w:r>
      <w:r w:rsidR="00120EE4" w:rsidRPr="00516D61">
        <w:rPr>
          <w:rFonts w:ascii="Arial" w:hAnsi="Arial" w:cs="Arial"/>
          <w:color w:val="000000"/>
          <w:sz w:val="22"/>
          <w:szCs w:val="22"/>
        </w:rPr>
        <w:t xml:space="preserve">al health will be outlined. </w:t>
      </w:r>
    </w:p>
    <w:p w14:paraId="699E8AD8" w14:textId="77777777" w:rsidR="00820EB4" w:rsidRPr="00516D61" w:rsidRDefault="00820EB4" w:rsidP="00516D61">
      <w:pPr>
        <w:spacing w:before="100" w:beforeAutospacing="1" w:after="100" w:afterAutospacing="1" w:line="360" w:lineRule="auto"/>
        <w:jc w:val="both"/>
        <w:rPr>
          <w:rFonts w:ascii="Arial" w:hAnsi="Arial" w:cs="Arial"/>
          <w:color w:val="000000"/>
          <w:sz w:val="22"/>
          <w:szCs w:val="22"/>
        </w:rPr>
      </w:pPr>
    </w:p>
    <w:p w14:paraId="24DD6FB4"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1BA96568"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4C53EA29"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3D421D1F"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12E2B2C7"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4A94154A"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0ADED34D"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0256313B"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2BE2511D"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37401371" w14:textId="77777777" w:rsidR="00456A6E" w:rsidRPr="00516D61" w:rsidRDefault="00456A6E" w:rsidP="00516D61">
      <w:pPr>
        <w:spacing w:before="100" w:beforeAutospacing="1" w:after="100" w:afterAutospacing="1" w:line="360" w:lineRule="auto"/>
        <w:jc w:val="both"/>
        <w:rPr>
          <w:rFonts w:ascii="Arial" w:hAnsi="Arial" w:cs="Arial"/>
          <w:color w:val="000000"/>
          <w:sz w:val="22"/>
          <w:szCs w:val="22"/>
        </w:rPr>
      </w:pPr>
    </w:p>
    <w:p w14:paraId="74007D2E"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149A2D79" w14:textId="77777777" w:rsidR="00083C0D" w:rsidRPr="00516D61" w:rsidRDefault="00083C0D" w:rsidP="00516D61">
      <w:pPr>
        <w:spacing w:before="100" w:beforeAutospacing="1" w:after="100" w:afterAutospacing="1" w:line="360" w:lineRule="auto"/>
        <w:jc w:val="both"/>
        <w:rPr>
          <w:rFonts w:ascii="Arial" w:hAnsi="Arial" w:cs="Arial"/>
          <w:color w:val="000000"/>
          <w:sz w:val="22"/>
          <w:szCs w:val="22"/>
        </w:rPr>
      </w:pPr>
    </w:p>
    <w:p w14:paraId="19395457" w14:textId="007FB0F2" w:rsidR="00650EB7" w:rsidRPr="00516D61" w:rsidRDefault="0031743E"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lastRenderedPageBreak/>
        <w:t>Introduction</w:t>
      </w:r>
    </w:p>
    <w:p w14:paraId="37F68769" w14:textId="1DC575F7" w:rsidR="00650EB7" w:rsidRPr="00516D61" w:rsidRDefault="00B30EB1"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Focusing on Person centred Care (PCC) and Partnership working (PW) t</w:t>
      </w:r>
      <w:r w:rsidR="0031743E" w:rsidRPr="00516D61">
        <w:rPr>
          <w:rFonts w:ascii="Arial" w:hAnsi="Arial" w:cs="Arial"/>
          <w:color w:val="000000"/>
          <w:sz w:val="22"/>
          <w:szCs w:val="22"/>
        </w:rPr>
        <w:t xml:space="preserve">his report will </w:t>
      </w:r>
      <w:r w:rsidRPr="00516D61">
        <w:rPr>
          <w:rFonts w:ascii="Arial" w:hAnsi="Arial" w:cs="Arial"/>
          <w:color w:val="000000"/>
          <w:sz w:val="22"/>
          <w:szCs w:val="22"/>
        </w:rPr>
        <w:t>look at</w:t>
      </w:r>
      <w:r w:rsidR="0031743E" w:rsidRPr="00516D61">
        <w:rPr>
          <w:rFonts w:ascii="Arial" w:hAnsi="Arial" w:cs="Arial"/>
          <w:color w:val="000000"/>
          <w:sz w:val="22"/>
          <w:szCs w:val="22"/>
        </w:rPr>
        <w:t xml:space="preserve"> mental health services, particularly in the community care settings, addressing challenges and opportunities in providing individuali</w:t>
      </w:r>
      <w:r w:rsidRPr="00516D61">
        <w:rPr>
          <w:rFonts w:ascii="Arial" w:hAnsi="Arial" w:cs="Arial"/>
          <w:color w:val="000000"/>
          <w:sz w:val="22"/>
          <w:szCs w:val="22"/>
        </w:rPr>
        <w:t>s</w:t>
      </w:r>
      <w:r w:rsidR="0031743E" w:rsidRPr="00516D61">
        <w:rPr>
          <w:rFonts w:ascii="Arial" w:hAnsi="Arial" w:cs="Arial"/>
          <w:color w:val="000000"/>
          <w:sz w:val="22"/>
          <w:szCs w:val="22"/>
        </w:rPr>
        <w:t>ed and collaborative care for individuals with mental health conditions.</w:t>
      </w:r>
    </w:p>
    <w:p w14:paraId="179B634E" w14:textId="36F13694" w:rsidR="00510BEC" w:rsidRPr="00516D61" w:rsidRDefault="00B30EB1"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This report critically evaluates the principles, benefits, and limitations of PCC and PW. It explores theories that support PCC and PW and how to apply it in relation to mental health services in the community. The report analyses key ethical principles</w:t>
      </w:r>
      <w:r w:rsidR="00A02050" w:rsidRPr="00516D61">
        <w:rPr>
          <w:rFonts w:ascii="Arial" w:hAnsi="Arial" w:cs="Arial"/>
          <w:color w:val="000000"/>
          <w:sz w:val="22"/>
          <w:szCs w:val="22"/>
        </w:rPr>
        <w:t xml:space="preserve"> in health and social care and relates it PW and PCC using examples to relate to mental health services. The report will </w:t>
      </w:r>
      <w:r w:rsidRPr="00516D61">
        <w:rPr>
          <w:rFonts w:ascii="Arial" w:hAnsi="Arial" w:cs="Arial"/>
          <w:color w:val="000000"/>
          <w:sz w:val="22"/>
          <w:szCs w:val="22"/>
        </w:rPr>
        <w:t>review the role of legislation and policy in shaping these practices</w:t>
      </w:r>
      <w:r w:rsidR="00A02050" w:rsidRPr="00516D61">
        <w:rPr>
          <w:rFonts w:ascii="Arial" w:hAnsi="Arial" w:cs="Arial"/>
          <w:color w:val="000000"/>
          <w:sz w:val="22"/>
          <w:szCs w:val="22"/>
        </w:rPr>
        <w:t xml:space="preserve"> ad ident</w:t>
      </w:r>
      <w:r w:rsidR="00510BEC" w:rsidRPr="00516D61">
        <w:rPr>
          <w:rFonts w:ascii="Arial" w:hAnsi="Arial" w:cs="Arial"/>
          <w:color w:val="000000"/>
          <w:sz w:val="22"/>
          <w:szCs w:val="22"/>
        </w:rPr>
        <w:t>if</w:t>
      </w:r>
      <w:r w:rsidR="00A02050" w:rsidRPr="00516D61">
        <w:rPr>
          <w:rFonts w:ascii="Arial" w:hAnsi="Arial" w:cs="Arial"/>
          <w:color w:val="000000"/>
          <w:sz w:val="22"/>
          <w:szCs w:val="22"/>
        </w:rPr>
        <w:t xml:space="preserve">y </w:t>
      </w:r>
      <w:r w:rsidR="00083C0D" w:rsidRPr="00516D61">
        <w:rPr>
          <w:rFonts w:ascii="Arial" w:hAnsi="Arial" w:cs="Arial"/>
          <w:color w:val="000000"/>
          <w:sz w:val="22"/>
          <w:szCs w:val="22"/>
        </w:rPr>
        <w:t>evidence-based</w:t>
      </w:r>
      <w:r w:rsidR="00A02050" w:rsidRPr="00516D61">
        <w:rPr>
          <w:rFonts w:ascii="Arial" w:hAnsi="Arial" w:cs="Arial"/>
          <w:color w:val="000000"/>
          <w:sz w:val="22"/>
          <w:szCs w:val="22"/>
        </w:rPr>
        <w:t xml:space="preserve"> </w:t>
      </w:r>
      <w:r w:rsidR="00510BEC" w:rsidRPr="00516D61">
        <w:rPr>
          <w:rFonts w:ascii="Arial" w:hAnsi="Arial" w:cs="Arial"/>
          <w:color w:val="000000"/>
          <w:sz w:val="22"/>
          <w:szCs w:val="22"/>
        </w:rPr>
        <w:t xml:space="preserve">recommendations to improve PCC and PW. Finally, the report will summarise the findings. </w:t>
      </w:r>
    </w:p>
    <w:p w14:paraId="3207F5C2" w14:textId="5CDB6253" w:rsidR="00510BEC" w:rsidRPr="00516D61" w:rsidRDefault="00510BEC"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 xml:space="preserve">Person Centered Care </w:t>
      </w:r>
      <w:r w:rsidR="00995E78" w:rsidRPr="00516D61">
        <w:rPr>
          <w:rFonts w:ascii="Arial" w:hAnsi="Arial" w:cs="Arial"/>
          <w:b/>
          <w:bCs/>
          <w:color w:val="000000"/>
          <w:sz w:val="22"/>
          <w:szCs w:val="22"/>
          <w:u w:val="single"/>
        </w:rPr>
        <w:t>(</w:t>
      </w:r>
      <w:r w:rsidRPr="00516D61">
        <w:rPr>
          <w:rFonts w:ascii="Arial" w:hAnsi="Arial" w:cs="Arial"/>
          <w:b/>
          <w:bCs/>
          <w:color w:val="000000"/>
          <w:sz w:val="22"/>
          <w:szCs w:val="22"/>
          <w:u w:val="single"/>
        </w:rPr>
        <w:t>PCC</w:t>
      </w:r>
      <w:r w:rsidR="00995E78" w:rsidRPr="00516D61">
        <w:rPr>
          <w:rFonts w:ascii="Arial" w:hAnsi="Arial" w:cs="Arial"/>
          <w:b/>
          <w:bCs/>
          <w:color w:val="000000"/>
          <w:sz w:val="22"/>
          <w:szCs w:val="22"/>
          <w:u w:val="single"/>
        </w:rPr>
        <w:t>)</w:t>
      </w:r>
    </w:p>
    <w:p w14:paraId="4571F81C" w14:textId="7952B7FE" w:rsidR="007C022C" w:rsidRPr="00516D61" w:rsidRDefault="007C022C"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Health Foundation (2016) define Person</w:t>
      </w:r>
      <w:r w:rsidRPr="00516D61">
        <w:rPr>
          <w:rFonts w:ascii="Arial" w:hAnsi="Arial" w:cs="Arial"/>
          <w:color w:val="000000"/>
          <w:sz w:val="22"/>
          <w:szCs w:val="22"/>
        </w:rPr>
        <w:noBreakHyphen/>
        <w:t>Centred Care (PCC) as an approach that treats each person as an individual, making their own priorities, values, and goals the foundation of their health or social care. Instead of applying the same plan to everyone, it aims to support dignity, independence, and better outcomes by involving people in decisions about their care and giving them real influence over what happens. This way of working ensures support is tailored, well</w:t>
      </w:r>
      <w:r w:rsidRPr="00516D61">
        <w:rPr>
          <w:rFonts w:ascii="Arial" w:hAnsi="Arial" w:cs="Arial"/>
          <w:color w:val="000000"/>
          <w:sz w:val="22"/>
          <w:szCs w:val="22"/>
        </w:rPr>
        <w:noBreakHyphen/>
        <w:t>coordinated, and carried out with people rather than for them, while also recognising the important role of families and wider support networks</w:t>
      </w:r>
      <w:r w:rsidR="00282C2E" w:rsidRPr="00516D61">
        <w:rPr>
          <w:rFonts w:ascii="Arial" w:hAnsi="Arial" w:cs="Arial"/>
          <w:color w:val="000000"/>
          <w:sz w:val="22"/>
          <w:szCs w:val="22"/>
        </w:rPr>
        <w:t>.</w:t>
      </w:r>
    </w:p>
    <w:p w14:paraId="3317ED88" w14:textId="3DFD6037" w:rsidR="00510BEC" w:rsidRPr="00516D61" w:rsidRDefault="00510BEC"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Benefits</w:t>
      </w:r>
    </w:p>
    <w:p w14:paraId="5188B483" w14:textId="1BA402AC" w:rsidR="004C146D" w:rsidRPr="00516D61" w:rsidRDefault="004C146D"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Person</w:t>
      </w:r>
      <w:r w:rsidRPr="00516D61">
        <w:rPr>
          <w:rFonts w:ascii="Arial" w:hAnsi="Arial" w:cs="Arial"/>
          <w:color w:val="000000"/>
          <w:sz w:val="22"/>
          <w:szCs w:val="22"/>
        </w:rPr>
        <w:noBreakHyphen/>
        <w:t xml:space="preserve">centred care (PCC) improves people’s experience by ensuring they feel heard, respected, and involved in decisions, increasing satisfaction and trust (Coulter &amp; Oldham, 2016). Tailoring support to individual needs leads to safer, more effective care, better adherence, and earlier issue detection (Ekman </w:t>
      </w:r>
      <w:r w:rsidRPr="00516D61">
        <w:rPr>
          <w:rFonts w:ascii="Arial" w:hAnsi="Arial" w:cs="Arial"/>
          <w:i/>
          <w:iCs/>
          <w:color w:val="000000"/>
          <w:sz w:val="22"/>
          <w:szCs w:val="22"/>
        </w:rPr>
        <w:t>et a</w:t>
      </w:r>
      <w:r w:rsidRPr="00516D61">
        <w:rPr>
          <w:rFonts w:ascii="Arial" w:hAnsi="Arial" w:cs="Arial"/>
          <w:color w:val="000000"/>
          <w:sz w:val="22"/>
          <w:szCs w:val="22"/>
        </w:rPr>
        <w:t>l., 2011). PCC also strengthens therapeutic relationships through improved communication. By promoting self</w:t>
      </w:r>
      <w:r w:rsidRPr="00516D61">
        <w:rPr>
          <w:rFonts w:ascii="Arial" w:hAnsi="Arial" w:cs="Arial"/>
          <w:color w:val="000000"/>
          <w:sz w:val="22"/>
          <w:szCs w:val="22"/>
        </w:rPr>
        <w:noBreakHyphen/>
        <w:t>management, early intervention, and consistent support, PCC helps reduce avoidable hospital admissions for long</w:t>
      </w:r>
      <w:r w:rsidRPr="00516D61">
        <w:rPr>
          <w:rFonts w:ascii="Arial" w:hAnsi="Arial" w:cs="Arial"/>
          <w:color w:val="000000"/>
          <w:sz w:val="22"/>
          <w:szCs w:val="22"/>
        </w:rPr>
        <w:noBreakHyphen/>
        <w:t>term conditions (Hibbard &amp; Greene, 2013).</w:t>
      </w:r>
    </w:p>
    <w:p w14:paraId="1D745E62" w14:textId="77777777" w:rsidR="00083C0D" w:rsidRPr="00516D61" w:rsidRDefault="00083C0D" w:rsidP="00516D61">
      <w:pPr>
        <w:pStyle w:val="Heading3"/>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Benefits in Community Mental Health</w:t>
      </w:r>
    </w:p>
    <w:p w14:paraId="14559CF0" w14:textId="55315502" w:rsidR="00083C0D" w:rsidRPr="00516D61" w:rsidRDefault="00083C0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 xml:space="preserve">Many benefits of PCC are especially important in mental health care. Feeling listened to, respected, and included in decisions can significantly improve a person’s experience of </w:t>
      </w:r>
      <w:r w:rsidRPr="00516D61">
        <w:rPr>
          <w:rFonts w:ascii="Arial" w:hAnsi="Arial" w:cs="Arial"/>
          <w:color w:val="000000"/>
          <w:sz w:val="22"/>
          <w:szCs w:val="22"/>
        </w:rPr>
        <w:lastRenderedPageBreak/>
        <w:t xml:space="preserve">services and strengthen their sense of safety and stability. </w:t>
      </w:r>
      <w:r w:rsidR="00B62768" w:rsidRPr="00516D61">
        <w:rPr>
          <w:rFonts w:ascii="Arial" w:hAnsi="Arial" w:cs="Arial"/>
          <w:color w:val="000000"/>
          <w:sz w:val="22"/>
          <w:szCs w:val="22"/>
        </w:rPr>
        <w:t xml:space="preserve">This is important for people who experienced trauma and negativity with services. </w:t>
      </w:r>
      <w:r w:rsidRPr="00516D61">
        <w:rPr>
          <w:rFonts w:ascii="Arial" w:hAnsi="Arial" w:cs="Arial"/>
          <w:color w:val="000000"/>
          <w:sz w:val="22"/>
          <w:szCs w:val="22"/>
        </w:rPr>
        <w:t xml:space="preserve">(Coulter &amp; Oldham, 2016). </w:t>
      </w:r>
    </w:p>
    <w:p w14:paraId="337253AB" w14:textId="77777777" w:rsidR="00083C0D" w:rsidRPr="00516D61" w:rsidRDefault="00083C0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 xml:space="preserve">Adapting support to a person’s needs can also lead to better mental health outcomes. For example, collaboratively choosing therapies, coping strategies, or community resources can increase engagement and reduce the likelihood of disaster. Early identification of changes in mood or behaviour through strong relationships can help prevent deterioration and reduce the need for hospital admission (Ekman </w:t>
      </w:r>
      <w:r w:rsidRPr="00516D61">
        <w:rPr>
          <w:rFonts w:ascii="Arial" w:hAnsi="Arial" w:cs="Arial"/>
          <w:i/>
          <w:iCs/>
          <w:color w:val="000000"/>
          <w:sz w:val="22"/>
          <w:szCs w:val="22"/>
        </w:rPr>
        <w:t>et al.,</w:t>
      </w:r>
      <w:r w:rsidRPr="00516D61">
        <w:rPr>
          <w:rFonts w:ascii="Arial" w:hAnsi="Arial" w:cs="Arial"/>
          <w:color w:val="000000"/>
          <w:sz w:val="22"/>
          <w:szCs w:val="22"/>
        </w:rPr>
        <w:t xml:space="preserve"> 2011; Hibbard &amp; Greene, 2013).</w:t>
      </w:r>
    </w:p>
    <w:p w14:paraId="70889404" w14:textId="41EDE910" w:rsidR="00510BEC" w:rsidRPr="00516D61" w:rsidRDefault="00510BEC"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Limitations</w:t>
      </w:r>
    </w:p>
    <w:p w14:paraId="63EAC4B5" w14:textId="637D9835" w:rsidR="00682C24" w:rsidRPr="00516D61" w:rsidRDefault="00682C24"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Person</w:t>
      </w:r>
      <w:r w:rsidRPr="00516D61">
        <w:rPr>
          <w:rFonts w:ascii="Arial" w:hAnsi="Arial" w:cs="Arial"/>
          <w:color w:val="000000"/>
          <w:sz w:val="22"/>
          <w:szCs w:val="22"/>
        </w:rPr>
        <w:noBreakHyphen/>
        <w:t>centred care is limited by time pressure, staff shortages, and burnout, which shift practice toward task</w:t>
      </w:r>
      <w:r w:rsidRPr="00516D61">
        <w:rPr>
          <w:rFonts w:ascii="Arial" w:hAnsi="Arial" w:cs="Arial"/>
          <w:color w:val="000000"/>
          <w:sz w:val="22"/>
          <w:szCs w:val="22"/>
        </w:rPr>
        <w:noBreakHyphen/>
        <w:t xml:space="preserve">based care (West </w:t>
      </w:r>
      <w:r w:rsidRPr="00516D61">
        <w:rPr>
          <w:rFonts w:ascii="Arial" w:hAnsi="Arial" w:cs="Arial"/>
          <w:i/>
          <w:iCs/>
          <w:color w:val="000000"/>
          <w:sz w:val="22"/>
          <w:szCs w:val="22"/>
        </w:rPr>
        <w:t>et al.,</w:t>
      </w:r>
      <w:r w:rsidRPr="00516D61">
        <w:rPr>
          <w:rFonts w:ascii="Arial" w:hAnsi="Arial" w:cs="Arial"/>
          <w:color w:val="000000"/>
          <w:sz w:val="22"/>
          <w:szCs w:val="22"/>
        </w:rPr>
        <w:t xml:space="preserve"> 2017). Inconsistent PCC training and organisational constraints further restrict personalised approaches (Robertson &amp; Williams, 2020). Balancing autonomy with safety also creates tension when preferences conflict with clinical guidance (Entwistle </w:t>
      </w:r>
      <w:r w:rsidR="009714BF" w:rsidRPr="00516D61">
        <w:rPr>
          <w:rFonts w:ascii="Arial" w:hAnsi="Arial" w:cs="Arial"/>
          <w:color w:val="000000"/>
          <w:sz w:val="22"/>
          <w:szCs w:val="22"/>
        </w:rPr>
        <w:t>and</w:t>
      </w:r>
      <w:r w:rsidRPr="00516D61">
        <w:rPr>
          <w:rFonts w:ascii="Arial" w:hAnsi="Arial" w:cs="Arial"/>
          <w:color w:val="000000"/>
          <w:sz w:val="22"/>
          <w:szCs w:val="22"/>
        </w:rPr>
        <w:t xml:space="preserve"> Watt, 2013).</w:t>
      </w:r>
    </w:p>
    <w:p w14:paraId="51DCAD4C" w14:textId="77777777" w:rsidR="00E61914" w:rsidRPr="00516D61" w:rsidRDefault="00E61914" w:rsidP="00516D61">
      <w:pPr>
        <w:pStyle w:val="Heading3"/>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Limitations in Community Mental Health</w:t>
      </w:r>
    </w:p>
    <w:p w14:paraId="19F12570" w14:textId="7AFBBC17" w:rsidR="00E61914" w:rsidRPr="00516D61" w:rsidRDefault="00A91140"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T</w:t>
      </w:r>
      <w:r w:rsidR="00E61914" w:rsidRPr="00516D61">
        <w:rPr>
          <w:rFonts w:ascii="Arial" w:hAnsi="Arial" w:cs="Arial"/>
          <w:color w:val="000000"/>
          <w:sz w:val="22"/>
          <w:szCs w:val="22"/>
        </w:rPr>
        <w:t>he challenges of delivering PCC are visible in community mental health services. Time pressures, high caseloads, and short appointment slots can make it difficult for staff to provide the level of personalised attention that PCC requires. Many community teams face staff shortages and burnout, which can shift the focus toward crisis management and routine tasks rather than meaningful engagement</w:t>
      </w:r>
      <w:r w:rsidR="002F66BF" w:rsidRPr="00516D61">
        <w:rPr>
          <w:rFonts w:ascii="Arial" w:hAnsi="Arial" w:cs="Arial"/>
          <w:color w:val="000000"/>
          <w:sz w:val="22"/>
          <w:szCs w:val="22"/>
        </w:rPr>
        <w:t xml:space="preserve"> (</w:t>
      </w:r>
      <w:r w:rsidR="005F74D4" w:rsidRPr="00516D61">
        <w:rPr>
          <w:rFonts w:ascii="Arial" w:hAnsi="Arial" w:cs="Arial"/>
          <w:color w:val="1B1B1B"/>
          <w:sz w:val="22"/>
          <w:szCs w:val="22"/>
          <w:shd w:val="clear" w:color="auto" w:fill="FFFFFF"/>
        </w:rPr>
        <w:t xml:space="preserve">Britten </w:t>
      </w:r>
      <w:r w:rsidR="002F66BF" w:rsidRPr="00516D61">
        <w:rPr>
          <w:rFonts w:ascii="Arial" w:hAnsi="Arial" w:cs="Arial"/>
          <w:i/>
          <w:iCs/>
          <w:color w:val="1B1B1B"/>
          <w:sz w:val="22"/>
          <w:szCs w:val="22"/>
          <w:shd w:val="clear" w:color="auto" w:fill="FFFFFF"/>
        </w:rPr>
        <w:t>et al.</w:t>
      </w:r>
      <w:r w:rsidR="002F66BF" w:rsidRPr="00516D61">
        <w:rPr>
          <w:rFonts w:ascii="Arial" w:hAnsi="Arial" w:cs="Arial"/>
          <w:color w:val="1B1B1B"/>
          <w:sz w:val="22"/>
          <w:szCs w:val="22"/>
          <w:shd w:val="clear" w:color="auto" w:fill="FFFFFF"/>
        </w:rPr>
        <w:t xml:space="preserve"> 2017).</w:t>
      </w:r>
    </w:p>
    <w:p w14:paraId="43A09C4A" w14:textId="568108FF" w:rsidR="00135641" w:rsidRPr="00516D61" w:rsidRDefault="00B47178"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Relevant</w:t>
      </w:r>
      <w:r w:rsidR="00282C2E" w:rsidRPr="00516D61">
        <w:rPr>
          <w:rFonts w:ascii="Arial" w:hAnsi="Arial" w:cs="Arial"/>
          <w:b/>
          <w:bCs/>
          <w:color w:val="000000"/>
          <w:sz w:val="22"/>
          <w:szCs w:val="22"/>
          <w:u w:val="single"/>
        </w:rPr>
        <w:t xml:space="preserve"> Theories</w:t>
      </w:r>
    </w:p>
    <w:p w14:paraId="29670059" w14:textId="77B30403" w:rsidR="00282C2E" w:rsidRPr="00516D61" w:rsidRDefault="00282C2E" w:rsidP="00516D61">
      <w:pPr>
        <w:pStyle w:val="Heading3"/>
        <w:spacing w:line="360" w:lineRule="auto"/>
        <w:jc w:val="both"/>
        <w:rPr>
          <w:rFonts w:ascii="Arial" w:hAnsi="Arial" w:cs="Arial"/>
          <w:b/>
          <w:bCs/>
          <w:color w:val="000000"/>
          <w:sz w:val="22"/>
          <w:szCs w:val="22"/>
        </w:rPr>
      </w:pPr>
      <w:r w:rsidRPr="00516D61">
        <w:rPr>
          <w:rFonts w:ascii="Arial" w:hAnsi="Arial" w:cs="Arial"/>
          <w:b/>
          <w:bCs/>
          <w:color w:val="000000"/>
          <w:sz w:val="22"/>
          <w:szCs w:val="22"/>
        </w:rPr>
        <w:t>Humanistic theory and Rogers’ Person</w:t>
      </w:r>
      <w:r w:rsidRPr="00516D61">
        <w:rPr>
          <w:rFonts w:ascii="Arial" w:hAnsi="Arial" w:cs="Arial"/>
          <w:b/>
          <w:bCs/>
          <w:color w:val="000000"/>
          <w:sz w:val="22"/>
          <w:szCs w:val="22"/>
        </w:rPr>
        <w:noBreakHyphen/>
        <w:t>Centred Approach</w:t>
      </w:r>
    </w:p>
    <w:p w14:paraId="614B7F8A" w14:textId="4F531D98" w:rsidR="00282C2E" w:rsidRPr="00516D61" w:rsidRDefault="00436DE0"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McLeod</w:t>
      </w:r>
      <w:r w:rsidR="001E425E" w:rsidRPr="00516D61">
        <w:rPr>
          <w:rFonts w:ascii="Arial" w:hAnsi="Arial" w:cs="Arial"/>
          <w:color w:val="000000"/>
          <w:sz w:val="22"/>
          <w:szCs w:val="22"/>
        </w:rPr>
        <w:t xml:space="preserve"> (2024) </w:t>
      </w:r>
      <w:r w:rsidR="00AD46B8" w:rsidRPr="00516D61">
        <w:rPr>
          <w:rFonts w:ascii="Arial" w:hAnsi="Arial" w:cs="Arial"/>
          <w:color w:val="000000"/>
          <w:sz w:val="22"/>
          <w:szCs w:val="22"/>
        </w:rPr>
        <w:t xml:space="preserve">includes </w:t>
      </w:r>
      <w:r w:rsidR="00282C2E" w:rsidRPr="00516D61">
        <w:rPr>
          <w:rFonts w:ascii="Arial" w:hAnsi="Arial" w:cs="Arial"/>
          <w:color w:val="000000"/>
          <w:sz w:val="22"/>
          <w:szCs w:val="22"/>
        </w:rPr>
        <w:t>Carl Rogers’ humanistic theory is one of the main foundations of PCC. He argued that people have an inherent drive towards growth and self</w:t>
      </w:r>
      <w:r w:rsidR="00282C2E" w:rsidRPr="00516D61">
        <w:rPr>
          <w:rFonts w:ascii="Arial" w:hAnsi="Arial" w:cs="Arial"/>
          <w:color w:val="000000"/>
          <w:sz w:val="22"/>
          <w:szCs w:val="22"/>
        </w:rPr>
        <w:noBreakHyphen/>
        <w:t>actualisation, which is supported when they are treated with empathy, genuineness, and unconditional positive regard. His person</w:t>
      </w:r>
      <w:r w:rsidR="00282C2E" w:rsidRPr="00516D61">
        <w:rPr>
          <w:rFonts w:ascii="Arial" w:hAnsi="Arial" w:cs="Arial"/>
          <w:color w:val="000000"/>
          <w:sz w:val="22"/>
          <w:szCs w:val="22"/>
        </w:rPr>
        <w:noBreakHyphen/>
        <w:t>centred (or client</w:t>
      </w:r>
      <w:r w:rsidR="00282C2E" w:rsidRPr="00516D61">
        <w:rPr>
          <w:rFonts w:ascii="Arial" w:hAnsi="Arial" w:cs="Arial"/>
          <w:color w:val="000000"/>
          <w:sz w:val="22"/>
          <w:szCs w:val="22"/>
        </w:rPr>
        <w:noBreakHyphen/>
        <w:t xml:space="preserve">centred) approach emphasises seeing the person as an expert in their own life and creating a therapeutic relationship that enables them to realise their potential. This directly supports PCC principles such as treating people as individuals, respecting their values, and working </w:t>
      </w:r>
      <w:r w:rsidR="00282C2E" w:rsidRPr="00516D61">
        <w:rPr>
          <w:rStyle w:val="Emphasis"/>
          <w:rFonts w:ascii="Arial" w:eastAsiaTheme="majorEastAsia" w:hAnsi="Arial" w:cs="Arial"/>
          <w:color w:val="000000"/>
          <w:sz w:val="22"/>
          <w:szCs w:val="22"/>
        </w:rPr>
        <w:t>with</w:t>
      </w:r>
      <w:r w:rsidR="00282C2E" w:rsidRPr="00516D61">
        <w:rPr>
          <w:rFonts w:ascii="Arial" w:hAnsi="Arial" w:cs="Arial"/>
          <w:color w:val="000000"/>
          <w:sz w:val="22"/>
          <w:szCs w:val="22"/>
        </w:rPr>
        <w:t xml:space="preserve"> them rather than </w:t>
      </w:r>
      <w:r w:rsidR="00282C2E" w:rsidRPr="00516D61">
        <w:rPr>
          <w:rStyle w:val="Emphasis"/>
          <w:rFonts w:ascii="Arial" w:eastAsiaTheme="majorEastAsia" w:hAnsi="Arial" w:cs="Arial"/>
          <w:color w:val="000000"/>
          <w:sz w:val="22"/>
          <w:szCs w:val="22"/>
        </w:rPr>
        <w:t>on</w:t>
      </w:r>
      <w:r w:rsidR="00282C2E" w:rsidRPr="00516D61">
        <w:rPr>
          <w:rFonts w:ascii="Arial" w:hAnsi="Arial" w:cs="Arial"/>
          <w:color w:val="000000"/>
          <w:sz w:val="22"/>
          <w:szCs w:val="22"/>
        </w:rPr>
        <w:t xml:space="preserve"> them. If practitioners assume that people have strengths, capacities, and insight into their own needs, it makes sense to involve them in decisions and tailor care to their goals. In practice, this means prioritising active listening, non</w:t>
      </w:r>
      <w:r w:rsidR="00282C2E" w:rsidRPr="00516D61">
        <w:rPr>
          <w:rFonts w:ascii="Arial" w:hAnsi="Arial" w:cs="Arial"/>
          <w:color w:val="000000"/>
          <w:sz w:val="22"/>
          <w:szCs w:val="22"/>
        </w:rPr>
        <w:noBreakHyphen/>
        <w:t>judgemental attitudes, and shared decision</w:t>
      </w:r>
      <w:r w:rsidR="00282C2E" w:rsidRPr="00516D61">
        <w:rPr>
          <w:rFonts w:ascii="Arial" w:hAnsi="Arial" w:cs="Arial"/>
          <w:color w:val="000000"/>
          <w:sz w:val="22"/>
          <w:szCs w:val="22"/>
        </w:rPr>
        <w:noBreakHyphen/>
        <w:t>making.</w:t>
      </w:r>
    </w:p>
    <w:p w14:paraId="752EE544" w14:textId="77777777" w:rsidR="00BF61B7" w:rsidRPr="00516D61" w:rsidRDefault="00282C2E" w:rsidP="00516D61">
      <w:pPr>
        <w:pStyle w:val="NormalWeb"/>
        <w:spacing w:line="360" w:lineRule="auto"/>
        <w:jc w:val="both"/>
        <w:rPr>
          <w:rFonts w:ascii="Arial" w:hAnsi="Arial" w:cs="Arial"/>
          <w:sz w:val="22"/>
          <w:szCs w:val="22"/>
        </w:rPr>
      </w:pPr>
      <w:r w:rsidRPr="00516D61">
        <w:rPr>
          <w:rFonts w:ascii="Arial" w:hAnsi="Arial" w:cs="Arial"/>
          <w:color w:val="000000"/>
          <w:sz w:val="22"/>
          <w:szCs w:val="22"/>
        </w:rPr>
        <w:lastRenderedPageBreak/>
        <w:t>Rogers’ ideas can be criticised for being idealistic in highly pressured systems, where time, risk, and organisational demands limit how “fully” person</w:t>
      </w:r>
      <w:r w:rsidRPr="00516D61">
        <w:rPr>
          <w:rFonts w:ascii="Arial" w:hAnsi="Arial" w:cs="Arial"/>
          <w:color w:val="000000"/>
          <w:sz w:val="22"/>
          <w:szCs w:val="22"/>
        </w:rPr>
        <w:noBreakHyphen/>
        <w:t>centred staff can be. However, even within constraints, his emphasis on empathy and collaboration offers a clear ethical direction for PCC.</w:t>
      </w:r>
      <w:r w:rsidR="00A9225B" w:rsidRPr="00516D61">
        <w:rPr>
          <w:rFonts w:ascii="Arial" w:hAnsi="Arial" w:cs="Arial"/>
          <w:sz w:val="22"/>
          <w:szCs w:val="22"/>
        </w:rPr>
        <w:t xml:space="preserve"> In mental health services </w:t>
      </w:r>
      <w:r w:rsidR="006D5ECA" w:rsidRPr="00516D61">
        <w:rPr>
          <w:rFonts w:ascii="Arial" w:hAnsi="Arial" w:cs="Arial"/>
          <w:sz w:val="22"/>
          <w:szCs w:val="22"/>
        </w:rPr>
        <w:t xml:space="preserve">care planning incorporates </w:t>
      </w:r>
      <w:r w:rsidR="0098548A" w:rsidRPr="00516D61">
        <w:rPr>
          <w:rFonts w:ascii="Arial" w:hAnsi="Arial" w:cs="Arial"/>
          <w:sz w:val="22"/>
          <w:szCs w:val="22"/>
        </w:rPr>
        <w:t>Roger’s</w:t>
      </w:r>
      <w:r w:rsidR="006D5ECA" w:rsidRPr="00516D61">
        <w:rPr>
          <w:rFonts w:ascii="Arial" w:hAnsi="Arial" w:cs="Arial"/>
          <w:sz w:val="22"/>
          <w:szCs w:val="22"/>
        </w:rPr>
        <w:t xml:space="preserve"> theory where </w:t>
      </w:r>
      <w:r w:rsidR="00A9225B" w:rsidRPr="00516D61">
        <w:rPr>
          <w:rFonts w:ascii="Arial" w:hAnsi="Arial" w:cs="Arial"/>
          <w:sz w:val="22"/>
          <w:szCs w:val="22"/>
        </w:rPr>
        <w:t>practitioners listen to the person’s story, explore their strengths, and co</w:t>
      </w:r>
      <w:r w:rsidR="00A9225B" w:rsidRPr="00516D61">
        <w:rPr>
          <w:rFonts w:ascii="Arial" w:hAnsi="Arial" w:cs="Arial"/>
          <w:sz w:val="22"/>
          <w:szCs w:val="22"/>
        </w:rPr>
        <w:noBreakHyphen/>
        <w:t>create care plans based on what matters to them, rather than just filling in risk and symptom checklists.</w:t>
      </w:r>
      <w:r w:rsidR="009F2A7C" w:rsidRPr="00516D61">
        <w:rPr>
          <w:rFonts w:ascii="Arial" w:hAnsi="Arial" w:cs="Arial"/>
          <w:sz w:val="22"/>
          <w:szCs w:val="22"/>
        </w:rPr>
        <w:t xml:space="preserve"> </w:t>
      </w:r>
      <w:r w:rsidR="009B13AA" w:rsidRPr="00516D61">
        <w:rPr>
          <w:rFonts w:ascii="Arial" w:hAnsi="Arial" w:cs="Arial"/>
          <w:sz w:val="22"/>
          <w:szCs w:val="22"/>
        </w:rPr>
        <w:t>(</w:t>
      </w:r>
      <w:proofErr w:type="spellStart"/>
      <w:r w:rsidR="009B13AA" w:rsidRPr="00516D61">
        <w:rPr>
          <w:rFonts w:ascii="Arial" w:hAnsi="Arial" w:cs="Arial"/>
          <w:sz w:val="22"/>
          <w:szCs w:val="22"/>
        </w:rPr>
        <w:t>Mcleod</w:t>
      </w:r>
      <w:proofErr w:type="spellEnd"/>
      <w:r w:rsidR="009B13AA" w:rsidRPr="00516D61">
        <w:rPr>
          <w:rFonts w:ascii="Arial" w:hAnsi="Arial" w:cs="Arial"/>
          <w:sz w:val="22"/>
          <w:szCs w:val="22"/>
        </w:rPr>
        <w:t>, 2024).</w:t>
      </w:r>
    </w:p>
    <w:p w14:paraId="602A38CC" w14:textId="01D3B27B" w:rsidR="00CF30FC" w:rsidRPr="00516D61" w:rsidRDefault="006D5ECA" w:rsidP="00516D61">
      <w:pPr>
        <w:pStyle w:val="NormalWeb"/>
        <w:spacing w:line="360" w:lineRule="auto"/>
        <w:jc w:val="both"/>
        <w:rPr>
          <w:rFonts w:ascii="Arial" w:hAnsi="Arial" w:cs="Arial"/>
          <w:i/>
          <w:iCs/>
          <w:sz w:val="22"/>
          <w:szCs w:val="22"/>
        </w:rPr>
      </w:pPr>
      <w:r w:rsidRPr="00516D61">
        <w:rPr>
          <w:rFonts w:ascii="Arial" w:hAnsi="Arial" w:cs="Arial"/>
          <w:sz w:val="22"/>
          <w:szCs w:val="22"/>
        </w:rPr>
        <w:t xml:space="preserve"> </w:t>
      </w:r>
      <w:r w:rsidR="0098548A" w:rsidRPr="00516D61">
        <w:rPr>
          <w:rFonts w:ascii="Arial" w:hAnsi="Arial" w:cs="Arial"/>
          <w:sz w:val="22"/>
          <w:szCs w:val="22"/>
        </w:rPr>
        <w:t>Roger’s</w:t>
      </w:r>
      <w:r w:rsidRPr="00516D61">
        <w:rPr>
          <w:rFonts w:ascii="Arial" w:hAnsi="Arial" w:cs="Arial"/>
          <w:sz w:val="22"/>
          <w:szCs w:val="22"/>
        </w:rPr>
        <w:t xml:space="preserve"> theory includes </w:t>
      </w:r>
      <w:r w:rsidR="00A9225B" w:rsidRPr="00516D61">
        <w:rPr>
          <w:rFonts w:ascii="Arial" w:hAnsi="Arial" w:cs="Arial"/>
          <w:sz w:val="22"/>
          <w:szCs w:val="22"/>
        </w:rPr>
        <w:t>empathy and unconditional positive regard is reflected in consistent, compassionate contact, where the person feels known as an individual rather than a diagnosis.</w:t>
      </w:r>
      <w:r w:rsidR="009F2A7C" w:rsidRPr="00516D61">
        <w:rPr>
          <w:rFonts w:ascii="Arial" w:hAnsi="Arial" w:cs="Arial"/>
          <w:sz w:val="22"/>
          <w:szCs w:val="22"/>
        </w:rPr>
        <w:t xml:space="preserve"> </w:t>
      </w:r>
      <w:r w:rsidR="0098548A" w:rsidRPr="00516D61">
        <w:rPr>
          <w:rFonts w:ascii="Arial" w:hAnsi="Arial" w:cs="Arial"/>
          <w:i/>
          <w:iCs/>
          <w:sz w:val="22"/>
          <w:szCs w:val="22"/>
        </w:rPr>
        <w:t>(</w:t>
      </w:r>
      <w:r w:rsidR="00787F33" w:rsidRPr="00516D61">
        <w:rPr>
          <w:rFonts w:ascii="Arial" w:hAnsi="Arial" w:cs="Arial"/>
          <w:i/>
          <w:iCs/>
          <w:color w:val="000000"/>
          <w:sz w:val="22"/>
          <w:szCs w:val="22"/>
        </w:rPr>
        <w:t>Rogers,</w:t>
      </w:r>
      <w:r w:rsidR="0098548A" w:rsidRPr="00516D61">
        <w:rPr>
          <w:rFonts w:ascii="Arial" w:hAnsi="Arial" w:cs="Arial"/>
          <w:i/>
          <w:iCs/>
          <w:color w:val="000000"/>
          <w:sz w:val="22"/>
          <w:szCs w:val="22"/>
        </w:rPr>
        <w:t xml:space="preserve"> </w:t>
      </w:r>
      <w:r w:rsidR="00787F33" w:rsidRPr="00516D61">
        <w:rPr>
          <w:rFonts w:ascii="Arial" w:hAnsi="Arial" w:cs="Arial"/>
          <w:i/>
          <w:iCs/>
          <w:color w:val="000000"/>
          <w:sz w:val="22"/>
          <w:szCs w:val="22"/>
        </w:rPr>
        <w:t>1951)</w:t>
      </w:r>
      <w:r w:rsidR="0098548A" w:rsidRPr="00516D61">
        <w:rPr>
          <w:rFonts w:ascii="Arial" w:hAnsi="Arial" w:cs="Arial"/>
          <w:i/>
          <w:iCs/>
          <w:color w:val="000000"/>
          <w:sz w:val="22"/>
          <w:szCs w:val="22"/>
        </w:rPr>
        <w:t>.</w:t>
      </w:r>
    </w:p>
    <w:p w14:paraId="3C363C6E" w14:textId="5A1B30C1" w:rsidR="005C4726" w:rsidRPr="00516D61" w:rsidRDefault="00B47178"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Ethical Fundamentals</w:t>
      </w:r>
    </w:p>
    <w:p w14:paraId="0E6B11EE" w14:textId="2D66CD7E" w:rsidR="00B47178" w:rsidRPr="00516D61" w:rsidRDefault="00B47178" w:rsidP="00516D61">
      <w:pPr>
        <w:pStyle w:val="Heading2"/>
        <w:spacing w:line="360" w:lineRule="auto"/>
        <w:jc w:val="both"/>
        <w:rPr>
          <w:rFonts w:ascii="Arial" w:hAnsi="Arial" w:cs="Arial"/>
          <w:color w:val="000000"/>
          <w:sz w:val="22"/>
          <w:szCs w:val="22"/>
        </w:rPr>
      </w:pPr>
      <w:r w:rsidRPr="00516D61">
        <w:rPr>
          <w:rStyle w:val="Strong"/>
          <w:rFonts w:ascii="Arial" w:hAnsi="Arial" w:cs="Arial"/>
          <w:color w:val="000000"/>
          <w:sz w:val="22"/>
          <w:szCs w:val="22"/>
        </w:rPr>
        <w:t>Autonomy in PCC and Partnership Working</w:t>
      </w:r>
    </w:p>
    <w:p w14:paraId="7762E14E" w14:textId="049C8DC5"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Autonomy refers to an individual’s right to make informed decisions about their own care. It challenges traditional paternalistic models of healthcare and emphasises self</w:t>
      </w:r>
      <w:r w:rsidRPr="00516D61">
        <w:rPr>
          <w:rFonts w:ascii="Arial" w:hAnsi="Arial" w:cs="Arial"/>
          <w:color w:val="000000"/>
          <w:sz w:val="22"/>
          <w:szCs w:val="22"/>
        </w:rPr>
        <w:noBreakHyphen/>
        <w:t>determination, informed consent, and respect for personal choice</w:t>
      </w:r>
      <w:r w:rsidR="00787F33" w:rsidRPr="00516D61">
        <w:rPr>
          <w:rFonts w:ascii="Arial" w:hAnsi="Arial" w:cs="Arial"/>
          <w:color w:val="000000"/>
          <w:sz w:val="22"/>
          <w:szCs w:val="22"/>
        </w:rPr>
        <w:t xml:space="preserve">. </w:t>
      </w:r>
      <w:r w:rsidRPr="00516D61">
        <w:rPr>
          <w:rFonts w:ascii="Arial" w:hAnsi="Arial" w:cs="Arial"/>
          <w:color w:val="000000"/>
          <w:sz w:val="22"/>
          <w:szCs w:val="22"/>
        </w:rPr>
        <w:t>Autonomy is central to PCC, which prioritises the person’s own values, goals, and preferences when planning and delivering care. Partnership working reinforces autonomy by promoting shared decision</w:t>
      </w:r>
      <w:r w:rsidRPr="00516D61">
        <w:rPr>
          <w:rFonts w:ascii="Arial" w:hAnsi="Arial" w:cs="Arial"/>
          <w:color w:val="000000"/>
          <w:sz w:val="22"/>
          <w:szCs w:val="22"/>
        </w:rPr>
        <w:noBreakHyphen/>
        <w:t>making, open communication, and equal involvement between professionals and service users. This collaborative approach ensures that individuals are active participants rather than passive recipients of care.</w:t>
      </w:r>
      <w:r w:rsidR="00787F33" w:rsidRPr="00516D61">
        <w:rPr>
          <w:rFonts w:ascii="Arial" w:hAnsi="Arial" w:cs="Arial"/>
          <w:color w:val="000000"/>
          <w:sz w:val="22"/>
          <w:szCs w:val="22"/>
        </w:rPr>
        <w:t xml:space="preserve"> (Beauchamp </w:t>
      </w:r>
      <w:r w:rsidR="00215F0B" w:rsidRPr="00516D61">
        <w:rPr>
          <w:rFonts w:ascii="Arial" w:hAnsi="Arial" w:cs="Arial"/>
          <w:color w:val="000000"/>
          <w:sz w:val="22"/>
          <w:szCs w:val="22"/>
        </w:rPr>
        <w:t>and</w:t>
      </w:r>
      <w:r w:rsidR="00787F33" w:rsidRPr="00516D61">
        <w:rPr>
          <w:rFonts w:ascii="Arial" w:hAnsi="Arial" w:cs="Arial"/>
          <w:color w:val="000000"/>
          <w:sz w:val="22"/>
          <w:szCs w:val="22"/>
        </w:rPr>
        <w:t xml:space="preserve"> Childress, 2019).</w:t>
      </w:r>
    </w:p>
    <w:p w14:paraId="276A5856" w14:textId="5D8A1FA0" w:rsidR="00B47178" w:rsidRPr="00516D61" w:rsidRDefault="00B47178" w:rsidP="00516D61">
      <w:pPr>
        <w:pStyle w:val="Heading3"/>
        <w:spacing w:line="360" w:lineRule="auto"/>
        <w:jc w:val="both"/>
        <w:rPr>
          <w:rFonts w:ascii="Arial" w:hAnsi="Arial" w:cs="Arial"/>
          <w:color w:val="000000"/>
          <w:sz w:val="22"/>
          <w:szCs w:val="22"/>
        </w:rPr>
      </w:pPr>
      <w:r w:rsidRPr="00516D61">
        <w:rPr>
          <w:rStyle w:val="Strong"/>
          <w:rFonts w:ascii="Arial" w:hAnsi="Arial" w:cs="Arial"/>
          <w:color w:val="000000"/>
          <w:sz w:val="22"/>
          <w:szCs w:val="22"/>
        </w:rPr>
        <w:t>Application in Community Mental Health</w:t>
      </w:r>
    </w:p>
    <w:p w14:paraId="35CB9D68" w14:textId="62A79649"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Autonomy often presents ethical challenges in mental health settings. For example, a person with bipolar disorder may decline a proposed medication change due to previous adverse effects. From an autonomy perspective, the individual has the right to refuse treatment. However, the clinical team may be concerned that refusal increases the risk of relapse. A balanced approach involves a shared decision</w:t>
      </w:r>
      <w:r w:rsidRPr="00516D61">
        <w:rPr>
          <w:rFonts w:ascii="Arial" w:hAnsi="Arial" w:cs="Arial"/>
          <w:color w:val="000000"/>
          <w:sz w:val="22"/>
          <w:szCs w:val="22"/>
        </w:rPr>
        <w:noBreakHyphen/>
        <w:t>making discussion exploring alternatives such as psychological interventions or lifestyle adjustments. This approach respects autonomy while addressing clinical concerns.</w:t>
      </w:r>
      <w:r w:rsidR="00213594" w:rsidRPr="00516D61">
        <w:rPr>
          <w:rFonts w:ascii="Arial" w:hAnsi="Arial" w:cs="Arial"/>
          <w:color w:val="000000"/>
          <w:sz w:val="22"/>
          <w:szCs w:val="22"/>
        </w:rPr>
        <w:t xml:space="preserve"> (Entwistle &amp; Watt, 2013).</w:t>
      </w:r>
    </w:p>
    <w:p w14:paraId="5F62612B" w14:textId="290A68D0" w:rsidR="00B47178" w:rsidRPr="00516D61" w:rsidRDefault="00B47178" w:rsidP="00516D61">
      <w:pPr>
        <w:pStyle w:val="Heading2"/>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Beneficence in PCC and Partnership Working</w:t>
      </w:r>
    </w:p>
    <w:p w14:paraId="7814BF3D" w14:textId="6ECC67F3"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 xml:space="preserve">Beneficence involves acting in the person’s best interests and promoting their wellbeing. It requires professionals to consider what will genuinely benefit the individual, rather than what </w:t>
      </w:r>
      <w:r w:rsidRPr="00516D61">
        <w:rPr>
          <w:rFonts w:ascii="Arial" w:hAnsi="Arial" w:cs="Arial"/>
          <w:color w:val="000000"/>
          <w:sz w:val="22"/>
          <w:szCs w:val="22"/>
        </w:rPr>
        <w:lastRenderedPageBreak/>
        <w:t>is most convenient for services</w:t>
      </w:r>
      <w:r w:rsidR="00787F33" w:rsidRPr="00516D61">
        <w:rPr>
          <w:rFonts w:ascii="Arial" w:hAnsi="Arial" w:cs="Arial"/>
          <w:color w:val="000000"/>
          <w:sz w:val="22"/>
          <w:szCs w:val="22"/>
        </w:rPr>
        <w:t xml:space="preserve">. </w:t>
      </w:r>
      <w:r w:rsidRPr="00516D61">
        <w:rPr>
          <w:rFonts w:ascii="Arial" w:hAnsi="Arial" w:cs="Arial"/>
          <w:color w:val="000000"/>
          <w:sz w:val="22"/>
          <w:szCs w:val="22"/>
        </w:rPr>
        <w:t>PCC aligns closely with beneficence because it focuses on tailoring care to the person’s needs and supporting outcomes that matter to them. Partnership working ensures that decisions about “best interests” are made collaboratively, incorporating the individual’s perspective rather than relying solely on professional judgement.</w:t>
      </w:r>
      <w:r w:rsidR="00787F33" w:rsidRPr="00516D61">
        <w:rPr>
          <w:rFonts w:ascii="Arial" w:hAnsi="Arial" w:cs="Arial"/>
          <w:color w:val="000000"/>
          <w:sz w:val="22"/>
          <w:szCs w:val="22"/>
        </w:rPr>
        <w:t xml:space="preserve"> (Gillon, 2015).</w:t>
      </w:r>
    </w:p>
    <w:p w14:paraId="4EF96F03" w14:textId="46595088" w:rsidR="00B47178" w:rsidRPr="00516D61" w:rsidRDefault="00B47178" w:rsidP="00516D61">
      <w:pPr>
        <w:pStyle w:val="Heading3"/>
        <w:spacing w:line="360" w:lineRule="auto"/>
        <w:jc w:val="both"/>
        <w:rPr>
          <w:rFonts w:ascii="Arial" w:hAnsi="Arial" w:cs="Arial"/>
          <w:color w:val="000000"/>
          <w:sz w:val="22"/>
          <w:szCs w:val="22"/>
        </w:rPr>
      </w:pPr>
      <w:r w:rsidRPr="00516D61">
        <w:rPr>
          <w:rStyle w:val="Strong"/>
          <w:rFonts w:ascii="Arial" w:hAnsi="Arial" w:cs="Arial"/>
          <w:color w:val="000000"/>
          <w:sz w:val="22"/>
          <w:szCs w:val="22"/>
        </w:rPr>
        <w:t>Application in Community Mental Health</w:t>
      </w:r>
    </w:p>
    <w:p w14:paraId="5224967D" w14:textId="35483183"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In practice, beneficence can conflict with autonomy. For example, a support worker may encourage a person with severe anxiety to attend a peer</w:t>
      </w:r>
      <w:r w:rsidRPr="00516D61">
        <w:rPr>
          <w:rFonts w:ascii="Arial" w:hAnsi="Arial" w:cs="Arial"/>
          <w:color w:val="000000"/>
          <w:sz w:val="22"/>
          <w:szCs w:val="22"/>
        </w:rPr>
        <w:noBreakHyphen/>
        <w:t>support group to reduce isolation. While the intervention may benefit the person, they may feel pressured or unprepared. A graded approach</w:t>
      </w:r>
      <w:r w:rsidR="00807C47" w:rsidRPr="00516D61">
        <w:rPr>
          <w:rFonts w:ascii="Arial" w:hAnsi="Arial" w:cs="Arial"/>
          <w:color w:val="000000"/>
          <w:sz w:val="22"/>
          <w:szCs w:val="22"/>
        </w:rPr>
        <w:t xml:space="preserve"> </w:t>
      </w:r>
      <w:r w:rsidRPr="00516D61">
        <w:rPr>
          <w:rFonts w:ascii="Arial" w:hAnsi="Arial" w:cs="Arial"/>
          <w:color w:val="000000"/>
          <w:sz w:val="22"/>
          <w:szCs w:val="22"/>
        </w:rPr>
        <w:t>such as visiting the venue together first</w:t>
      </w:r>
      <w:r w:rsidR="00787F33" w:rsidRPr="00516D61">
        <w:rPr>
          <w:rFonts w:ascii="Arial" w:hAnsi="Arial" w:cs="Arial"/>
          <w:color w:val="000000"/>
          <w:sz w:val="22"/>
          <w:szCs w:val="22"/>
        </w:rPr>
        <w:t xml:space="preserve"> </w:t>
      </w:r>
      <w:r w:rsidRPr="00516D61">
        <w:rPr>
          <w:rFonts w:ascii="Arial" w:hAnsi="Arial" w:cs="Arial"/>
          <w:color w:val="000000"/>
          <w:sz w:val="22"/>
          <w:szCs w:val="22"/>
        </w:rPr>
        <w:t>can help balance beneficence with respect for the person’s readiness and comfort.</w:t>
      </w:r>
      <w:r w:rsidR="000A4CEA" w:rsidRPr="00516D61">
        <w:rPr>
          <w:rFonts w:ascii="Arial" w:hAnsi="Arial" w:cs="Arial"/>
          <w:color w:val="000000"/>
          <w:sz w:val="22"/>
          <w:szCs w:val="22"/>
        </w:rPr>
        <w:t xml:space="preserve"> (Beauchamp and Childress, 2019).</w:t>
      </w:r>
    </w:p>
    <w:p w14:paraId="60AE0F6D" w14:textId="7FA47710" w:rsidR="00B47178" w:rsidRPr="00516D61" w:rsidRDefault="00B47178" w:rsidP="00516D61">
      <w:pPr>
        <w:pStyle w:val="Heading2"/>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Non</w:t>
      </w:r>
      <w:r w:rsidRPr="00516D61">
        <w:rPr>
          <w:rStyle w:val="Strong"/>
          <w:rFonts w:ascii="Arial" w:hAnsi="Arial" w:cs="Arial"/>
          <w:color w:val="000000"/>
          <w:sz w:val="22"/>
          <w:szCs w:val="22"/>
          <w:u w:val="single"/>
        </w:rPr>
        <w:noBreakHyphen/>
        <w:t>Maleficence in PCC and Partnership Working</w:t>
      </w:r>
    </w:p>
    <w:p w14:paraId="6E29A182" w14:textId="2B8A81D3"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Non</w:t>
      </w:r>
      <w:r w:rsidRPr="00516D61">
        <w:rPr>
          <w:rFonts w:ascii="Arial" w:hAnsi="Arial" w:cs="Arial"/>
          <w:color w:val="000000"/>
          <w:sz w:val="22"/>
          <w:szCs w:val="22"/>
        </w:rPr>
        <w:noBreakHyphen/>
        <w:t>maleficence refers to the obligation to avoid causing harm. In mental health, this includes preventing psychological, emotional, and social harm, not only physical harm</w:t>
      </w:r>
      <w:r w:rsidR="00E271C6" w:rsidRPr="00516D61">
        <w:rPr>
          <w:rFonts w:ascii="Arial" w:hAnsi="Arial" w:cs="Arial"/>
          <w:color w:val="000000"/>
          <w:sz w:val="22"/>
          <w:szCs w:val="22"/>
        </w:rPr>
        <w:t xml:space="preserve">. </w:t>
      </w:r>
      <w:r w:rsidRPr="00516D61">
        <w:rPr>
          <w:rFonts w:ascii="Arial" w:hAnsi="Arial" w:cs="Arial"/>
          <w:color w:val="000000"/>
          <w:sz w:val="22"/>
          <w:szCs w:val="22"/>
        </w:rPr>
        <w:t>PCC supports non</w:t>
      </w:r>
      <w:r w:rsidRPr="00516D61">
        <w:rPr>
          <w:rFonts w:ascii="Arial" w:hAnsi="Arial" w:cs="Arial"/>
          <w:color w:val="000000"/>
          <w:sz w:val="22"/>
          <w:szCs w:val="22"/>
        </w:rPr>
        <w:noBreakHyphen/>
        <w:t>maleficence by ensuring that care is sensitive to the person’s experiences and avoids interventions that may retraumatise or distress them. Partnership working helps ensure that decisions reflect the individual’s own understanding of what feels harmful or unsafe.</w:t>
      </w:r>
      <w:r w:rsidR="00E271C6" w:rsidRPr="00516D61">
        <w:rPr>
          <w:rFonts w:ascii="Arial" w:hAnsi="Arial" w:cs="Arial"/>
          <w:color w:val="000000"/>
          <w:sz w:val="22"/>
          <w:szCs w:val="22"/>
        </w:rPr>
        <w:t xml:space="preserve"> (British Psychological Society, 2018).</w:t>
      </w:r>
    </w:p>
    <w:p w14:paraId="4E25DE21" w14:textId="24451498" w:rsidR="00B47178" w:rsidRPr="00516D61" w:rsidRDefault="00B47178" w:rsidP="00516D61">
      <w:pPr>
        <w:pStyle w:val="Heading3"/>
        <w:spacing w:after="0" w:line="360" w:lineRule="auto"/>
        <w:jc w:val="both"/>
        <w:rPr>
          <w:rFonts w:ascii="Arial" w:hAnsi="Arial" w:cs="Arial"/>
          <w:color w:val="000000"/>
          <w:sz w:val="22"/>
          <w:szCs w:val="22"/>
        </w:rPr>
      </w:pPr>
      <w:r w:rsidRPr="00516D61">
        <w:rPr>
          <w:rStyle w:val="Strong"/>
          <w:rFonts w:ascii="Arial" w:hAnsi="Arial" w:cs="Arial"/>
          <w:color w:val="000000"/>
          <w:sz w:val="22"/>
          <w:szCs w:val="22"/>
        </w:rPr>
        <w:t>Application in Community Mental Health</w:t>
      </w:r>
    </w:p>
    <w:p w14:paraId="1DC77307" w14:textId="50601710" w:rsidR="00B47178" w:rsidRPr="00516D61" w:rsidRDefault="00B47178" w:rsidP="00516D61">
      <w:pPr>
        <w:pStyle w:val="NormalWeb"/>
        <w:spacing w:before="0" w:beforeAutospacing="0" w:line="360" w:lineRule="auto"/>
        <w:jc w:val="both"/>
        <w:rPr>
          <w:rFonts w:ascii="Arial" w:hAnsi="Arial" w:cs="Arial"/>
          <w:color w:val="000000"/>
          <w:sz w:val="22"/>
          <w:szCs w:val="22"/>
        </w:rPr>
      </w:pPr>
      <w:r w:rsidRPr="00516D61">
        <w:rPr>
          <w:rFonts w:ascii="Arial" w:hAnsi="Arial" w:cs="Arial"/>
          <w:color w:val="000000"/>
          <w:sz w:val="22"/>
          <w:szCs w:val="22"/>
        </w:rPr>
        <w:t>A person with PTSD may decline home visits because unexpected contact triggers anxiety. Forcing home visits could cause harm, yet the team still has a duty to monitor risk. A compromise might involve scheduled phone calls or planned meetings</w:t>
      </w:r>
      <w:r w:rsidR="000032E2" w:rsidRPr="00516D61">
        <w:rPr>
          <w:rFonts w:ascii="Arial" w:hAnsi="Arial" w:cs="Arial"/>
          <w:color w:val="000000"/>
          <w:sz w:val="22"/>
          <w:szCs w:val="22"/>
        </w:rPr>
        <w:t xml:space="preserve"> </w:t>
      </w:r>
      <w:r w:rsidRPr="00516D61">
        <w:rPr>
          <w:rFonts w:ascii="Arial" w:hAnsi="Arial" w:cs="Arial"/>
          <w:color w:val="000000"/>
          <w:sz w:val="22"/>
          <w:szCs w:val="22"/>
        </w:rPr>
        <w:t>in a neutral location, reducing distress while maintaining safety. This example illustrates how non</w:t>
      </w:r>
      <w:r w:rsidRPr="00516D61">
        <w:rPr>
          <w:rFonts w:ascii="Arial" w:hAnsi="Arial" w:cs="Arial"/>
          <w:color w:val="000000"/>
          <w:sz w:val="22"/>
          <w:szCs w:val="22"/>
        </w:rPr>
        <w:noBreakHyphen/>
        <w:t>maleficence must be balanced with other ethical responsibilities.</w:t>
      </w:r>
    </w:p>
    <w:p w14:paraId="0794A19F" w14:textId="05D9B9A3" w:rsidR="00B47178" w:rsidRPr="00516D61" w:rsidRDefault="00B47178" w:rsidP="00516D61">
      <w:pPr>
        <w:pStyle w:val="Heading2"/>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Justice in PCC and Partnership Working</w:t>
      </w:r>
    </w:p>
    <w:p w14:paraId="1D81FEAF" w14:textId="2BED5BE3"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Justice concerns fairness, equality, and equitable access to care. It requires that individuals are treated without discrimination and that resources are distributed fairly</w:t>
      </w:r>
      <w:r w:rsidR="00787F33" w:rsidRPr="00516D61">
        <w:rPr>
          <w:rFonts w:ascii="Arial" w:hAnsi="Arial" w:cs="Arial"/>
          <w:color w:val="000000"/>
          <w:sz w:val="22"/>
          <w:szCs w:val="22"/>
        </w:rPr>
        <w:t xml:space="preserve">. </w:t>
      </w:r>
      <w:r w:rsidRPr="00516D61">
        <w:rPr>
          <w:rFonts w:ascii="Arial" w:hAnsi="Arial" w:cs="Arial"/>
          <w:color w:val="000000"/>
          <w:sz w:val="22"/>
          <w:szCs w:val="22"/>
        </w:rPr>
        <w:t>PCC promotes justice by ensuring that all individuals receive personalised care regardless of background, diagnosis, or social circumstances. Partnership working supports justice by involving multiple agencies</w:t>
      </w:r>
      <w:r w:rsidR="00C7166C" w:rsidRPr="00516D61">
        <w:rPr>
          <w:rFonts w:ascii="Arial" w:hAnsi="Arial" w:cs="Arial"/>
          <w:color w:val="000000"/>
          <w:sz w:val="22"/>
          <w:szCs w:val="22"/>
        </w:rPr>
        <w:t xml:space="preserve"> </w:t>
      </w:r>
      <w:r w:rsidRPr="00516D61">
        <w:rPr>
          <w:rFonts w:ascii="Arial" w:hAnsi="Arial" w:cs="Arial"/>
          <w:color w:val="000000"/>
          <w:sz w:val="22"/>
          <w:szCs w:val="22"/>
        </w:rPr>
        <w:t>such as housing, benefits, and community organisations</w:t>
      </w:r>
      <w:r w:rsidR="003C601C" w:rsidRPr="00516D61">
        <w:rPr>
          <w:rFonts w:ascii="Arial" w:hAnsi="Arial" w:cs="Arial"/>
          <w:color w:val="000000"/>
          <w:sz w:val="22"/>
          <w:szCs w:val="22"/>
        </w:rPr>
        <w:t xml:space="preserve"> </w:t>
      </w:r>
      <w:r w:rsidRPr="00516D61">
        <w:rPr>
          <w:rFonts w:ascii="Arial" w:hAnsi="Arial" w:cs="Arial"/>
          <w:color w:val="000000"/>
          <w:sz w:val="22"/>
          <w:szCs w:val="22"/>
        </w:rPr>
        <w:t xml:space="preserve">to address wider </w:t>
      </w:r>
      <w:r w:rsidRPr="00516D61">
        <w:rPr>
          <w:rFonts w:ascii="Arial" w:hAnsi="Arial" w:cs="Arial"/>
          <w:color w:val="000000"/>
          <w:sz w:val="22"/>
          <w:szCs w:val="22"/>
        </w:rPr>
        <w:lastRenderedPageBreak/>
        <w:t>inequalities and ensure equitable access to support.</w:t>
      </w:r>
      <w:r w:rsidR="00787F33" w:rsidRPr="00516D61">
        <w:rPr>
          <w:rFonts w:ascii="Arial" w:hAnsi="Arial" w:cs="Arial"/>
          <w:color w:val="000000"/>
          <w:sz w:val="22"/>
          <w:szCs w:val="22"/>
        </w:rPr>
        <w:t xml:space="preserve"> (Department of Health and Social Care, 2021).</w:t>
      </w:r>
    </w:p>
    <w:p w14:paraId="1F1434C7" w14:textId="1398914B" w:rsidR="00B47178" w:rsidRPr="00516D61" w:rsidRDefault="00B47178" w:rsidP="00516D61">
      <w:pPr>
        <w:pStyle w:val="Heading3"/>
        <w:spacing w:line="360" w:lineRule="auto"/>
        <w:jc w:val="both"/>
        <w:rPr>
          <w:rFonts w:ascii="Arial" w:hAnsi="Arial" w:cs="Arial"/>
          <w:color w:val="000000"/>
          <w:sz w:val="22"/>
          <w:szCs w:val="22"/>
        </w:rPr>
      </w:pPr>
      <w:r w:rsidRPr="00516D61">
        <w:rPr>
          <w:rStyle w:val="Strong"/>
          <w:rFonts w:ascii="Arial" w:hAnsi="Arial" w:cs="Arial"/>
          <w:color w:val="000000"/>
          <w:sz w:val="22"/>
          <w:szCs w:val="22"/>
        </w:rPr>
        <w:t>Application in Community Mental Health</w:t>
      </w:r>
    </w:p>
    <w:p w14:paraId="3759FD2E" w14:textId="72DA2967" w:rsidR="005C5736"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A person from a minority ethnic background may report feeling dismissed by previous services. From a justice perspective, they are entitled to culturally appropriate and equitable care. However, resource limitations may restrict access to specialist services. Using interpreters, culturally informed assessments, and community partnerships can help ensure fair access despite organisational constraints.</w:t>
      </w:r>
      <w:r w:rsidR="001D64D4" w:rsidRPr="00516D61">
        <w:rPr>
          <w:rFonts w:ascii="Arial" w:hAnsi="Arial" w:cs="Arial"/>
          <w:color w:val="000000"/>
          <w:sz w:val="22"/>
          <w:szCs w:val="22"/>
        </w:rPr>
        <w:t xml:space="preserve"> </w:t>
      </w:r>
      <w:r w:rsidR="00AE51BC" w:rsidRPr="00516D61">
        <w:rPr>
          <w:rFonts w:ascii="Arial" w:hAnsi="Arial" w:cs="Arial"/>
          <w:color w:val="000000"/>
          <w:sz w:val="22"/>
          <w:szCs w:val="22"/>
        </w:rPr>
        <w:t>(Braveman and Gruskin, 2003).</w:t>
      </w:r>
    </w:p>
    <w:p w14:paraId="7CB676D4" w14:textId="3C482902" w:rsidR="006359F4" w:rsidRPr="00516D61" w:rsidRDefault="006359F4" w:rsidP="00516D61">
      <w:pPr>
        <w:spacing w:line="360" w:lineRule="auto"/>
        <w:jc w:val="both"/>
        <w:rPr>
          <w:rFonts w:ascii="Arial" w:hAnsi="Arial" w:cs="Arial"/>
          <w:color w:val="000000"/>
          <w:sz w:val="22"/>
          <w:szCs w:val="22"/>
          <w:u w:val="single"/>
        </w:rPr>
      </w:pPr>
      <w:r w:rsidRPr="00516D61">
        <w:rPr>
          <w:rFonts w:ascii="Arial" w:hAnsi="Arial" w:cs="Arial"/>
          <w:b/>
          <w:bCs/>
          <w:color w:val="000000"/>
          <w:kern w:val="36"/>
          <w:sz w:val="22"/>
          <w:szCs w:val="22"/>
          <w:u w:val="single"/>
        </w:rPr>
        <w:t>Evaluation of Partnership Working</w:t>
      </w:r>
    </w:p>
    <w:p w14:paraId="6039319A" w14:textId="4970FFE6" w:rsidR="00B47178" w:rsidRPr="00516D61" w:rsidRDefault="00B47178"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color w:val="000000"/>
          <w:sz w:val="22"/>
          <w:szCs w:val="22"/>
        </w:rPr>
        <w:t>Glasby and Dickinson (2014) refer Partnership Working (PW) to different individuals, professionals, or organisations coming together to share information, skills, and responsibilities so they can achieve goals that would be difficult to reach alone. It is based on mutual respect, open communication, and a shared commitment to improving outcomes. In health and social care, this approach helps ensure that support is coordinated, consistent, and shaped around the needs of the person receiving care.</w:t>
      </w:r>
    </w:p>
    <w:p w14:paraId="72225E93" w14:textId="7A6B32C9" w:rsidR="00B47178" w:rsidRPr="00516D61" w:rsidRDefault="00B47178"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Integrated Care Systems (ICSs) are a major development in partnership working across England. ICSs bring together the NHS, local authorities, and community organisations to plan services collectively for a local population. Their aim is to improve health outcomes, reduce inequalities, and ensure care is better joined</w:t>
      </w:r>
      <w:r w:rsidRPr="00516D61">
        <w:rPr>
          <w:rFonts w:ascii="Arial" w:hAnsi="Arial" w:cs="Arial"/>
          <w:color w:val="000000"/>
          <w:sz w:val="22"/>
          <w:szCs w:val="22"/>
        </w:rPr>
        <w:noBreakHyphen/>
        <w:t>up across different sectors (NHS England, 2022).</w:t>
      </w:r>
    </w:p>
    <w:p w14:paraId="0F6282DE" w14:textId="2CC7E728" w:rsidR="00493E7E" w:rsidRPr="00516D61" w:rsidRDefault="00493E7E" w:rsidP="00516D61">
      <w:pPr>
        <w:pStyle w:val="NormalWeb"/>
        <w:spacing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Benefits of Partnership working</w:t>
      </w:r>
    </w:p>
    <w:p w14:paraId="47E55015" w14:textId="77777777" w:rsidR="00493E7E" w:rsidRPr="00516D61" w:rsidRDefault="00493E7E" w:rsidP="00516D61">
      <w:pPr>
        <w:pStyle w:val="NormalWeb"/>
        <w:spacing w:line="360" w:lineRule="auto"/>
        <w:jc w:val="both"/>
        <w:rPr>
          <w:rFonts w:ascii="Arial" w:hAnsi="Arial" w:cs="Arial"/>
          <w:b/>
          <w:bCs/>
          <w:color w:val="000000"/>
          <w:sz w:val="22"/>
          <w:szCs w:val="22"/>
        </w:rPr>
      </w:pPr>
      <w:r w:rsidRPr="00516D61">
        <w:rPr>
          <w:rFonts w:ascii="Arial" w:hAnsi="Arial" w:cs="Arial"/>
          <w:b/>
          <w:bCs/>
          <w:color w:val="000000"/>
          <w:sz w:val="22"/>
          <w:szCs w:val="22"/>
        </w:rPr>
        <w:t>Enhanced Service Delivery</w:t>
      </w:r>
    </w:p>
    <w:p w14:paraId="09A3EF33" w14:textId="61FD279B" w:rsidR="00A73DEA" w:rsidRPr="00516D61" w:rsidRDefault="00A73DEA"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PW improves service delivery by enabling organisations to combine expertise, share resources, and reduce duplication. In mental health services, collaboration between NHS teams, social care, and voluntary sector organisations helps create more holistic and responsive support. Evidence shows that partnership models can transform mental health systems by offering more relevant and integrated care pathways.</w:t>
      </w:r>
      <w:r w:rsidR="00493E7E" w:rsidRPr="00516D61">
        <w:rPr>
          <w:rFonts w:ascii="Arial" w:hAnsi="Arial" w:cs="Arial"/>
          <w:color w:val="000000"/>
          <w:sz w:val="22"/>
          <w:szCs w:val="22"/>
        </w:rPr>
        <w:t xml:space="preserve"> (Tait and shah, 2018)</w:t>
      </w:r>
    </w:p>
    <w:p w14:paraId="5FA222EE" w14:textId="6AAADA28" w:rsidR="00A73DEA" w:rsidRPr="00516D61" w:rsidRDefault="00A73DEA" w:rsidP="00516D61">
      <w:pPr>
        <w:pStyle w:val="Heading3"/>
        <w:spacing w:line="360" w:lineRule="auto"/>
        <w:jc w:val="both"/>
        <w:rPr>
          <w:rFonts w:ascii="Arial" w:hAnsi="Arial" w:cs="Arial"/>
          <w:color w:val="000000"/>
          <w:sz w:val="22"/>
          <w:szCs w:val="22"/>
        </w:rPr>
      </w:pPr>
      <w:r w:rsidRPr="00516D61">
        <w:rPr>
          <w:rStyle w:val="Strong"/>
          <w:rFonts w:ascii="Arial" w:hAnsi="Arial" w:cs="Arial"/>
          <w:color w:val="000000"/>
          <w:sz w:val="22"/>
          <w:szCs w:val="22"/>
        </w:rPr>
        <w:t>Improved Patient Outcomes</w:t>
      </w:r>
    </w:p>
    <w:p w14:paraId="742422D6" w14:textId="77777777" w:rsidR="00493E7E" w:rsidRPr="00516D61" w:rsidRDefault="00493E7E"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 xml:space="preserve">NHS England (2022) report better outcomes for </w:t>
      </w:r>
      <w:r w:rsidR="00A73DEA" w:rsidRPr="00516D61">
        <w:rPr>
          <w:rFonts w:ascii="Arial" w:hAnsi="Arial" w:cs="Arial"/>
          <w:color w:val="000000"/>
          <w:sz w:val="22"/>
          <w:szCs w:val="22"/>
        </w:rPr>
        <w:t xml:space="preserve">Partnership </w:t>
      </w:r>
      <w:r w:rsidRPr="00516D61">
        <w:rPr>
          <w:rFonts w:ascii="Arial" w:hAnsi="Arial" w:cs="Arial"/>
          <w:color w:val="000000"/>
          <w:sz w:val="22"/>
          <w:szCs w:val="22"/>
        </w:rPr>
        <w:t>W</w:t>
      </w:r>
      <w:r w:rsidR="00A73DEA" w:rsidRPr="00516D61">
        <w:rPr>
          <w:rFonts w:ascii="Arial" w:hAnsi="Arial" w:cs="Arial"/>
          <w:color w:val="000000"/>
          <w:sz w:val="22"/>
          <w:szCs w:val="22"/>
        </w:rPr>
        <w:t>orking</w:t>
      </w:r>
      <w:r w:rsidRPr="00516D61">
        <w:rPr>
          <w:rFonts w:ascii="Arial" w:hAnsi="Arial" w:cs="Arial"/>
          <w:color w:val="000000"/>
          <w:sz w:val="22"/>
          <w:szCs w:val="22"/>
        </w:rPr>
        <w:t xml:space="preserve"> </w:t>
      </w:r>
      <w:r w:rsidR="00A73DEA" w:rsidRPr="00516D61">
        <w:rPr>
          <w:rFonts w:ascii="Arial" w:hAnsi="Arial" w:cs="Arial"/>
          <w:color w:val="000000"/>
          <w:sz w:val="22"/>
          <w:szCs w:val="22"/>
        </w:rPr>
        <w:t xml:space="preserve">including earlier intervention, improved continuity of care, and reduced hospital admissions. Integrated </w:t>
      </w:r>
      <w:r w:rsidR="00A73DEA" w:rsidRPr="00516D61">
        <w:rPr>
          <w:rFonts w:ascii="Arial" w:hAnsi="Arial" w:cs="Arial"/>
          <w:color w:val="000000"/>
          <w:sz w:val="22"/>
          <w:szCs w:val="22"/>
        </w:rPr>
        <w:lastRenderedPageBreak/>
        <w:t xml:space="preserve">approaches allow professionals to identify risks sooner and coordinate timely support. NHS guidance emphasises that working with people and </w:t>
      </w:r>
      <w:r w:rsidR="006A6DC1" w:rsidRPr="00516D61">
        <w:rPr>
          <w:rFonts w:ascii="Arial" w:hAnsi="Arial" w:cs="Arial"/>
          <w:color w:val="000000"/>
          <w:sz w:val="22"/>
          <w:szCs w:val="22"/>
        </w:rPr>
        <w:t>communities’</w:t>
      </w:r>
      <w:r w:rsidR="00A73DEA" w:rsidRPr="00516D61">
        <w:rPr>
          <w:rFonts w:ascii="Arial" w:hAnsi="Arial" w:cs="Arial"/>
          <w:color w:val="000000"/>
          <w:sz w:val="22"/>
          <w:szCs w:val="22"/>
        </w:rPr>
        <w:t xml:space="preserve"> leads to more effective, personalised care and better health outcomes.</w:t>
      </w:r>
      <w:r w:rsidRPr="00516D61">
        <w:rPr>
          <w:rFonts w:ascii="Arial" w:hAnsi="Arial" w:cs="Arial"/>
          <w:color w:val="000000"/>
          <w:sz w:val="22"/>
          <w:szCs w:val="22"/>
        </w:rPr>
        <w:t xml:space="preserve"> </w:t>
      </w:r>
    </w:p>
    <w:p w14:paraId="0DB76D69" w14:textId="6F86E64B" w:rsidR="001C5E83" w:rsidRPr="00516D61" w:rsidRDefault="00A73DEA" w:rsidP="00516D61">
      <w:pPr>
        <w:pStyle w:val="NormalWeb"/>
        <w:spacing w:line="360" w:lineRule="auto"/>
        <w:jc w:val="both"/>
        <w:rPr>
          <w:rStyle w:val="Strong"/>
          <w:rFonts w:ascii="Arial" w:hAnsi="Arial" w:cs="Arial"/>
          <w:b w:val="0"/>
          <w:bCs w:val="0"/>
          <w:color w:val="000000"/>
          <w:sz w:val="22"/>
          <w:szCs w:val="22"/>
        </w:rPr>
      </w:pPr>
      <w:r w:rsidRPr="00516D61">
        <w:rPr>
          <w:rFonts w:ascii="Arial" w:hAnsi="Arial" w:cs="Arial"/>
          <w:color w:val="000000"/>
          <w:sz w:val="22"/>
          <w:szCs w:val="22"/>
        </w:rPr>
        <w:t>In mental health settings, PW supports recovery</w:t>
      </w:r>
      <w:r w:rsidRPr="00516D61">
        <w:rPr>
          <w:rFonts w:ascii="Arial" w:hAnsi="Arial" w:cs="Arial"/>
          <w:color w:val="000000"/>
          <w:sz w:val="22"/>
          <w:szCs w:val="22"/>
        </w:rPr>
        <w:noBreakHyphen/>
        <w:t>oriented practice. For instance, collaboration between psychological therapy services and social care can help individuals manage symptoms while also addressing social stressors, leading to more sustainable improvements in wellbeing.</w:t>
      </w:r>
      <w:r w:rsidR="00493E7E" w:rsidRPr="00516D61">
        <w:rPr>
          <w:rFonts w:ascii="Arial" w:hAnsi="Arial" w:cs="Arial"/>
          <w:color w:val="000000"/>
          <w:sz w:val="22"/>
          <w:szCs w:val="22"/>
        </w:rPr>
        <w:t xml:space="preserve"> </w:t>
      </w:r>
    </w:p>
    <w:p w14:paraId="3C33F1EC" w14:textId="4A921360" w:rsidR="001C5E83" w:rsidRPr="00516D61" w:rsidRDefault="00A73DEA" w:rsidP="00516D61">
      <w:pPr>
        <w:pStyle w:val="Heading2"/>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Challenges of Partnership Working</w:t>
      </w:r>
    </w:p>
    <w:p w14:paraId="6A7CD805" w14:textId="158F797A" w:rsidR="00493E7E" w:rsidRPr="00516D61" w:rsidRDefault="00493E7E" w:rsidP="00516D61">
      <w:pPr>
        <w:pStyle w:val="NormalWeb"/>
        <w:spacing w:line="360" w:lineRule="auto"/>
        <w:jc w:val="both"/>
        <w:rPr>
          <w:rFonts w:ascii="Arial" w:hAnsi="Arial" w:cs="Arial"/>
          <w:b/>
          <w:bCs/>
          <w:color w:val="000000"/>
          <w:sz w:val="22"/>
          <w:szCs w:val="22"/>
        </w:rPr>
      </w:pPr>
      <w:r w:rsidRPr="00516D61">
        <w:rPr>
          <w:rFonts w:ascii="Arial" w:hAnsi="Arial" w:cs="Arial"/>
          <w:b/>
          <w:bCs/>
          <w:color w:val="000000"/>
          <w:sz w:val="22"/>
          <w:szCs w:val="22"/>
        </w:rPr>
        <w:t>Coordination Difficulties</w:t>
      </w:r>
    </w:p>
    <w:p w14:paraId="2A992EF9" w14:textId="1325B498" w:rsidR="00A73DEA" w:rsidRPr="00516D61" w:rsidRDefault="00A73DEA"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Different organisations often have their own structures, priorities, and ways of working. These differences can make coordination difficult, especially when services must align processes or share responsibility for complex cases. Research highlights that partnership working across NHS, social care, and voluntary sectors often encounters structural and cultural barriers that complicate collaboration.</w:t>
      </w:r>
      <w:r w:rsidR="00283917" w:rsidRPr="00516D61">
        <w:rPr>
          <w:rFonts w:ascii="Arial" w:hAnsi="Arial" w:cs="Arial"/>
          <w:color w:val="000000"/>
          <w:sz w:val="22"/>
          <w:szCs w:val="22"/>
        </w:rPr>
        <w:t xml:space="preserve"> </w:t>
      </w:r>
      <w:r w:rsidRPr="00516D61">
        <w:rPr>
          <w:rFonts w:ascii="Arial" w:hAnsi="Arial" w:cs="Arial"/>
          <w:color w:val="000000"/>
          <w:sz w:val="22"/>
          <w:szCs w:val="22"/>
        </w:rPr>
        <w:t>In mental health services, coordination issues may arise when multiple agencies are involved in crisis planning, leading to delays or inconsistent responses.</w:t>
      </w:r>
      <w:r w:rsidR="00283917" w:rsidRPr="00516D61">
        <w:rPr>
          <w:rFonts w:ascii="Arial" w:hAnsi="Arial" w:cs="Arial"/>
          <w:color w:val="000000"/>
          <w:sz w:val="22"/>
          <w:szCs w:val="22"/>
        </w:rPr>
        <w:t xml:space="preserve"> (Ta</w:t>
      </w:r>
      <w:r w:rsidR="00493E7E" w:rsidRPr="00516D61">
        <w:rPr>
          <w:rFonts w:ascii="Arial" w:hAnsi="Arial" w:cs="Arial"/>
          <w:color w:val="000000"/>
          <w:sz w:val="22"/>
          <w:szCs w:val="22"/>
        </w:rPr>
        <w:t>it</w:t>
      </w:r>
      <w:r w:rsidR="00283917" w:rsidRPr="00516D61">
        <w:rPr>
          <w:rFonts w:ascii="Arial" w:hAnsi="Arial" w:cs="Arial"/>
          <w:color w:val="000000"/>
          <w:sz w:val="22"/>
          <w:szCs w:val="22"/>
        </w:rPr>
        <w:t xml:space="preserve"> and Shah, 2018).</w:t>
      </w:r>
    </w:p>
    <w:p w14:paraId="51ABE025" w14:textId="09584061" w:rsidR="00A73DEA" w:rsidRPr="00516D61" w:rsidRDefault="00A73DEA" w:rsidP="00516D61">
      <w:pPr>
        <w:pStyle w:val="Heading3"/>
        <w:spacing w:line="360" w:lineRule="auto"/>
        <w:jc w:val="both"/>
        <w:rPr>
          <w:rFonts w:ascii="Arial" w:hAnsi="Arial" w:cs="Arial"/>
          <w:color w:val="000000"/>
          <w:sz w:val="22"/>
          <w:szCs w:val="22"/>
        </w:rPr>
      </w:pPr>
      <w:r w:rsidRPr="00516D61">
        <w:rPr>
          <w:rStyle w:val="Strong"/>
          <w:rFonts w:ascii="Arial" w:hAnsi="Arial" w:cs="Arial"/>
          <w:color w:val="000000"/>
          <w:sz w:val="22"/>
          <w:szCs w:val="22"/>
        </w:rPr>
        <w:t>Communication Barriers</w:t>
      </w:r>
    </w:p>
    <w:p w14:paraId="49C2D58A" w14:textId="1F3D9C15" w:rsidR="00A73DEA" w:rsidRPr="00516D61" w:rsidRDefault="00A73DEA"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Effective communication is essential for PW, yet it is frequently identified as a challenge. Differences in terminology, information</w:t>
      </w:r>
      <w:r w:rsidRPr="00516D61">
        <w:rPr>
          <w:rFonts w:ascii="Arial" w:hAnsi="Arial" w:cs="Arial"/>
          <w:color w:val="000000"/>
          <w:sz w:val="22"/>
          <w:szCs w:val="22"/>
        </w:rPr>
        <w:noBreakHyphen/>
        <w:t>sharing systems, and confidentiality policies can hinder smooth communication between agencies. Local Government Association guidance notes that mental health partnerships often struggle with communication due to differing organisational cultures and statutory responsibilities.</w:t>
      </w:r>
      <w:r w:rsidR="00283917" w:rsidRPr="00516D61">
        <w:rPr>
          <w:rFonts w:ascii="Arial" w:hAnsi="Arial" w:cs="Arial"/>
          <w:color w:val="000000"/>
          <w:sz w:val="22"/>
          <w:szCs w:val="22"/>
        </w:rPr>
        <w:t xml:space="preserve"> (LGA, 2025). </w:t>
      </w:r>
    </w:p>
    <w:p w14:paraId="5286F0C3" w14:textId="77777777" w:rsidR="00A73DEA" w:rsidRPr="00516D61" w:rsidRDefault="00A73DEA"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For example, a mental health nurse, social worker, and voluntary sector support worker may all hold different information about a service user, but without clear communication channels, important details can be missed.</w:t>
      </w:r>
    </w:p>
    <w:p w14:paraId="610DE58D" w14:textId="112F33A4" w:rsidR="00A73DEA" w:rsidRPr="00516D61" w:rsidRDefault="007002DC" w:rsidP="00516D61">
      <w:pPr>
        <w:pStyle w:val="Heading2"/>
        <w:spacing w:line="360" w:lineRule="auto"/>
        <w:jc w:val="both"/>
        <w:rPr>
          <w:rFonts w:ascii="Arial" w:hAnsi="Arial" w:cs="Arial"/>
          <w:color w:val="000000"/>
          <w:sz w:val="22"/>
          <w:szCs w:val="22"/>
          <w:u w:val="single"/>
        </w:rPr>
      </w:pPr>
      <w:r w:rsidRPr="00516D61">
        <w:rPr>
          <w:rStyle w:val="Strong"/>
          <w:rFonts w:ascii="Arial" w:hAnsi="Arial" w:cs="Arial"/>
          <w:color w:val="000000"/>
          <w:sz w:val="22"/>
          <w:szCs w:val="22"/>
          <w:u w:val="single"/>
        </w:rPr>
        <w:t xml:space="preserve">Impact </w:t>
      </w:r>
      <w:r w:rsidR="00A73DEA" w:rsidRPr="00516D61">
        <w:rPr>
          <w:rStyle w:val="Strong"/>
          <w:rFonts w:ascii="Arial" w:hAnsi="Arial" w:cs="Arial"/>
          <w:color w:val="000000"/>
          <w:sz w:val="22"/>
          <w:szCs w:val="22"/>
          <w:u w:val="single"/>
        </w:rPr>
        <w:t>of Partnership Working on Health and Social Care Services</w:t>
      </w:r>
    </w:p>
    <w:p w14:paraId="40494668" w14:textId="77777777" w:rsidR="00A13F3D" w:rsidRPr="00516D61" w:rsidRDefault="00A13F3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 xml:space="preserve">Partnership working (PW) improves coordination in health and social care by supporting shared planning, reducing fragmentation, and enabling services to respond effectively to local needs. Integrated approaches strengthen outcomes by allowing NHS and voluntary organisations to address mental health needs collectively, helping reduce inequalities and </w:t>
      </w:r>
      <w:r w:rsidRPr="00516D61">
        <w:rPr>
          <w:rFonts w:ascii="Arial" w:hAnsi="Arial" w:cs="Arial"/>
          <w:color w:val="000000"/>
          <w:sz w:val="22"/>
          <w:szCs w:val="22"/>
        </w:rPr>
        <w:lastRenderedPageBreak/>
        <w:t>preventing people from falling through service gaps. PW also enhances staff experience through shared learning, though coordination demands can increase pressure (GOV.UK, 2023; Department of Health and Social Care, 2021).</w:t>
      </w:r>
    </w:p>
    <w:p w14:paraId="5376C848" w14:textId="77777777" w:rsidR="005E08A2" w:rsidRPr="00516D61" w:rsidRDefault="00910A48" w:rsidP="00516D61">
      <w:pPr>
        <w:pStyle w:val="NormalWeb"/>
        <w:spacing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Partnership Working in Community Mental Health Services</w:t>
      </w:r>
    </w:p>
    <w:p w14:paraId="561ED347" w14:textId="64F9852C" w:rsidR="00A13F3D" w:rsidRPr="00516D61" w:rsidRDefault="00A13F3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In community mental health, PW is essential because individuals often require multi</w:t>
      </w:r>
      <w:r w:rsidRPr="00516D61">
        <w:rPr>
          <w:rFonts w:ascii="Arial" w:hAnsi="Arial" w:cs="Arial"/>
          <w:color w:val="000000"/>
          <w:sz w:val="22"/>
          <w:szCs w:val="22"/>
        </w:rPr>
        <w:noBreakHyphen/>
        <w:t>agency support. Crisis care benefits from collaboration between crisis teams, police, ambulance services, and voluntary crisis cafés. Recovery is strengthened through joint working with voluntary organisations offering peer support and employment schemes. Housing, benefits, and safeguarding also rely on coordinated practice (Taylor, 2022).</w:t>
      </w:r>
    </w:p>
    <w:p w14:paraId="050EBCFC" w14:textId="77777777" w:rsidR="0039572E" w:rsidRPr="00516D61" w:rsidRDefault="0039572E" w:rsidP="00516D61">
      <w:pPr>
        <w:pStyle w:val="NormalWeb"/>
        <w:spacing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Policies, Legislation and Their Influence on Person Centered Care and Partnership Working</w:t>
      </w:r>
    </w:p>
    <w:p w14:paraId="779C4047" w14:textId="1E783826" w:rsidR="00A13F3D" w:rsidRPr="00516D61" w:rsidRDefault="00A13F3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Legislation underpins person</w:t>
      </w:r>
      <w:r w:rsidRPr="00516D61">
        <w:rPr>
          <w:rFonts w:ascii="Arial" w:hAnsi="Arial" w:cs="Arial"/>
          <w:color w:val="000000"/>
          <w:sz w:val="22"/>
          <w:szCs w:val="22"/>
        </w:rPr>
        <w:noBreakHyphen/>
        <w:t>centred care (PCC) and PW. The Mental Capacity Act 2005 promotes shared decision</w:t>
      </w:r>
      <w:r w:rsidRPr="00516D61">
        <w:rPr>
          <w:rFonts w:ascii="Arial" w:hAnsi="Arial" w:cs="Arial"/>
          <w:color w:val="000000"/>
          <w:sz w:val="22"/>
          <w:szCs w:val="22"/>
        </w:rPr>
        <w:noBreakHyphen/>
        <w:t xml:space="preserve">making, while the Health and Care Act 2022 </w:t>
      </w:r>
      <w:r w:rsidR="00982F3A" w:rsidRPr="00516D61">
        <w:rPr>
          <w:rFonts w:ascii="Arial" w:hAnsi="Arial" w:cs="Arial"/>
          <w:color w:val="000000"/>
          <w:sz w:val="22"/>
          <w:szCs w:val="22"/>
        </w:rPr>
        <w:t>formalise</w:t>
      </w:r>
      <w:r w:rsidRPr="00516D61">
        <w:rPr>
          <w:rFonts w:ascii="Arial" w:hAnsi="Arial" w:cs="Arial"/>
          <w:color w:val="000000"/>
          <w:sz w:val="22"/>
          <w:szCs w:val="22"/>
        </w:rPr>
        <w:t xml:space="preserve"> Integrated Care Systems to improve joined</w:t>
      </w:r>
      <w:r w:rsidRPr="00516D61">
        <w:rPr>
          <w:rFonts w:ascii="Arial" w:hAnsi="Arial" w:cs="Arial"/>
          <w:color w:val="000000"/>
          <w:sz w:val="22"/>
          <w:szCs w:val="22"/>
        </w:rPr>
        <w:noBreakHyphen/>
        <w:t>up planning. The Care Act 2014 requires personalised, coordinated support, and the Equality Act 2010 ensures services address inequalities. The Human Rights Act 1998 reinforces dignity, autonomy, and least</w:t>
      </w:r>
      <w:r w:rsidRPr="00516D61">
        <w:rPr>
          <w:rFonts w:ascii="Arial" w:hAnsi="Arial" w:cs="Arial"/>
          <w:color w:val="000000"/>
          <w:sz w:val="22"/>
          <w:szCs w:val="22"/>
        </w:rPr>
        <w:noBreakHyphen/>
        <w:t>restrictive practice.</w:t>
      </w:r>
    </w:p>
    <w:p w14:paraId="1033430E" w14:textId="095448D4" w:rsidR="000A0E55" w:rsidRPr="00516D61" w:rsidRDefault="00F07BD1" w:rsidP="00516D61">
      <w:pPr>
        <w:pStyle w:val="NormalWeb"/>
        <w:spacing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t xml:space="preserve">Recommendations for </w:t>
      </w:r>
      <w:r w:rsidR="00FA4CB4" w:rsidRPr="00516D61">
        <w:rPr>
          <w:rFonts w:ascii="Arial" w:hAnsi="Arial" w:cs="Arial"/>
          <w:b/>
          <w:bCs/>
          <w:color w:val="000000"/>
          <w:sz w:val="22"/>
          <w:szCs w:val="22"/>
          <w:u w:val="single"/>
        </w:rPr>
        <w:t>I</w:t>
      </w:r>
      <w:r w:rsidRPr="00516D61">
        <w:rPr>
          <w:rFonts w:ascii="Arial" w:hAnsi="Arial" w:cs="Arial"/>
          <w:b/>
          <w:bCs/>
          <w:color w:val="000000"/>
          <w:sz w:val="22"/>
          <w:szCs w:val="22"/>
          <w:u w:val="single"/>
        </w:rPr>
        <w:t xml:space="preserve">mproving PCC and Partnership </w:t>
      </w:r>
      <w:r w:rsidR="005A69A9" w:rsidRPr="00516D61">
        <w:rPr>
          <w:rFonts w:ascii="Arial" w:hAnsi="Arial" w:cs="Arial"/>
          <w:b/>
          <w:bCs/>
          <w:color w:val="000000"/>
          <w:sz w:val="22"/>
          <w:szCs w:val="22"/>
          <w:u w:val="single"/>
        </w:rPr>
        <w:t>W</w:t>
      </w:r>
      <w:r w:rsidRPr="00516D61">
        <w:rPr>
          <w:rFonts w:ascii="Arial" w:hAnsi="Arial" w:cs="Arial"/>
          <w:b/>
          <w:bCs/>
          <w:color w:val="000000"/>
          <w:sz w:val="22"/>
          <w:szCs w:val="22"/>
          <w:u w:val="single"/>
        </w:rPr>
        <w:t xml:space="preserve">orking in UK </w:t>
      </w:r>
      <w:r w:rsidR="005A69A9" w:rsidRPr="00516D61">
        <w:rPr>
          <w:rFonts w:ascii="Arial" w:hAnsi="Arial" w:cs="Arial"/>
          <w:b/>
          <w:bCs/>
          <w:color w:val="000000"/>
          <w:sz w:val="22"/>
          <w:szCs w:val="22"/>
          <w:u w:val="single"/>
        </w:rPr>
        <w:t>C</w:t>
      </w:r>
      <w:r w:rsidRPr="00516D61">
        <w:rPr>
          <w:rFonts w:ascii="Arial" w:hAnsi="Arial" w:cs="Arial"/>
          <w:b/>
          <w:bCs/>
          <w:color w:val="000000"/>
          <w:sz w:val="22"/>
          <w:szCs w:val="22"/>
          <w:u w:val="single"/>
        </w:rPr>
        <w:t xml:space="preserve">ommunity </w:t>
      </w:r>
      <w:r w:rsidR="007C5FD8" w:rsidRPr="00516D61">
        <w:rPr>
          <w:rFonts w:ascii="Arial" w:hAnsi="Arial" w:cs="Arial"/>
          <w:b/>
          <w:bCs/>
          <w:color w:val="000000"/>
          <w:sz w:val="22"/>
          <w:szCs w:val="22"/>
          <w:u w:val="single"/>
        </w:rPr>
        <w:t>M</w:t>
      </w:r>
      <w:r w:rsidRPr="00516D61">
        <w:rPr>
          <w:rFonts w:ascii="Arial" w:hAnsi="Arial" w:cs="Arial"/>
          <w:b/>
          <w:bCs/>
          <w:color w:val="000000"/>
          <w:sz w:val="22"/>
          <w:szCs w:val="22"/>
          <w:u w:val="single"/>
        </w:rPr>
        <w:t xml:space="preserve">ental </w:t>
      </w:r>
      <w:r w:rsidR="007C5FD8" w:rsidRPr="00516D61">
        <w:rPr>
          <w:rFonts w:ascii="Arial" w:hAnsi="Arial" w:cs="Arial"/>
          <w:b/>
          <w:bCs/>
          <w:color w:val="000000"/>
          <w:sz w:val="22"/>
          <w:szCs w:val="22"/>
          <w:u w:val="single"/>
        </w:rPr>
        <w:t>H</w:t>
      </w:r>
      <w:r w:rsidRPr="00516D61">
        <w:rPr>
          <w:rFonts w:ascii="Arial" w:hAnsi="Arial" w:cs="Arial"/>
          <w:b/>
          <w:bCs/>
          <w:color w:val="000000"/>
          <w:sz w:val="22"/>
          <w:szCs w:val="22"/>
          <w:u w:val="single"/>
        </w:rPr>
        <w:t xml:space="preserve">ealth </w:t>
      </w:r>
      <w:r w:rsidR="00FA4CB4" w:rsidRPr="00516D61">
        <w:rPr>
          <w:rFonts w:ascii="Arial" w:hAnsi="Arial" w:cs="Arial"/>
          <w:b/>
          <w:bCs/>
          <w:color w:val="000000"/>
          <w:sz w:val="22"/>
          <w:szCs w:val="22"/>
          <w:u w:val="single"/>
        </w:rPr>
        <w:t>S</w:t>
      </w:r>
      <w:r w:rsidRPr="00516D61">
        <w:rPr>
          <w:rFonts w:ascii="Arial" w:hAnsi="Arial" w:cs="Arial"/>
          <w:b/>
          <w:bCs/>
          <w:color w:val="000000"/>
          <w:sz w:val="22"/>
          <w:szCs w:val="22"/>
          <w:u w:val="single"/>
        </w:rPr>
        <w:t>ervices</w:t>
      </w:r>
    </w:p>
    <w:p w14:paraId="405ADCCD" w14:textId="77777777" w:rsidR="00A13F3D" w:rsidRPr="00516D61" w:rsidRDefault="00A13F3D" w:rsidP="00516D61">
      <w:pPr>
        <w:pStyle w:val="NormalWeb"/>
        <w:spacing w:line="360" w:lineRule="auto"/>
        <w:jc w:val="both"/>
        <w:rPr>
          <w:rFonts w:ascii="Arial" w:hAnsi="Arial" w:cs="Arial"/>
          <w:color w:val="000000"/>
          <w:sz w:val="22"/>
          <w:szCs w:val="22"/>
        </w:rPr>
      </w:pPr>
      <w:r w:rsidRPr="00516D61">
        <w:rPr>
          <w:rFonts w:ascii="Arial" w:hAnsi="Arial" w:cs="Arial"/>
          <w:color w:val="000000"/>
          <w:sz w:val="22"/>
          <w:szCs w:val="22"/>
        </w:rPr>
        <w:t>Recommendations include enhancing staff training, increasing time for collaborative care planning, embedding lived</w:t>
      </w:r>
      <w:r w:rsidRPr="00516D61">
        <w:rPr>
          <w:rFonts w:ascii="Arial" w:hAnsi="Arial" w:cs="Arial"/>
          <w:color w:val="000000"/>
          <w:sz w:val="22"/>
          <w:szCs w:val="22"/>
        </w:rPr>
        <w:noBreakHyphen/>
        <w:t>experience involvement, and improving workforce stability (NHS England, 2025; CQC, 2025).</w:t>
      </w:r>
    </w:p>
    <w:p w14:paraId="4618BAC7" w14:textId="044152BE" w:rsidR="003B60E3" w:rsidRPr="00516D61" w:rsidRDefault="003B60E3" w:rsidP="00516D61">
      <w:pPr>
        <w:spacing w:before="100" w:beforeAutospacing="1" w:after="100" w:afterAutospacing="1" w:line="360" w:lineRule="auto"/>
        <w:jc w:val="both"/>
        <w:outlineLvl w:val="2"/>
        <w:rPr>
          <w:rFonts w:ascii="Arial" w:hAnsi="Arial" w:cs="Arial"/>
          <w:b/>
          <w:bCs/>
          <w:color w:val="000000"/>
          <w:sz w:val="22"/>
          <w:szCs w:val="22"/>
          <w:u w:val="single"/>
        </w:rPr>
      </w:pPr>
      <w:r w:rsidRPr="00516D61">
        <w:rPr>
          <w:rFonts w:ascii="Arial" w:hAnsi="Arial" w:cs="Arial"/>
          <w:b/>
          <w:bCs/>
          <w:color w:val="000000"/>
          <w:sz w:val="22"/>
          <w:szCs w:val="22"/>
          <w:u w:val="single"/>
        </w:rPr>
        <w:t>Conclusion</w:t>
      </w:r>
    </w:p>
    <w:p w14:paraId="2D0B6D46" w14:textId="53B50164" w:rsidR="00777DBE" w:rsidRPr="00516D61" w:rsidRDefault="003B60E3"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Overall, the report shows that person</w:t>
      </w:r>
      <w:r w:rsidRPr="00516D61">
        <w:rPr>
          <w:rFonts w:ascii="Arial" w:hAnsi="Arial" w:cs="Arial"/>
          <w:color w:val="000000"/>
          <w:sz w:val="22"/>
          <w:szCs w:val="22"/>
        </w:rPr>
        <w:noBreakHyphen/>
        <w:t xml:space="preserve">centred care and partnership working are essential to delivering meaningful and effective support in community mental health services. Both approaches place the individual at the heart of practice, encouraging professionals and agencies to work together in ways that respect personal preferences, uphold rights, and promote recovery. The theories </w:t>
      </w:r>
      <w:r w:rsidR="0015421B" w:rsidRPr="00516D61">
        <w:rPr>
          <w:rFonts w:ascii="Arial" w:hAnsi="Arial" w:cs="Arial"/>
          <w:color w:val="000000"/>
          <w:sz w:val="22"/>
          <w:szCs w:val="22"/>
        </w:rPr>
        <w:t>explored along</w:t>
      </w:r>
      <w:r w:rsidRPr="00516D61">
        <w:rPr>
          <w:rFonts w:ascii="Arial" w:hAnsi="Arial" w:cs="Arial"/>
          <w:color w:val="000000"/>
          <w:sz w:val="22"/>
          <w:szCs w:val="22"/>
        </w:rPr>
        <w:t xml:space="preserve"> with the ethical principles and legislation that guide practice</w:t>
      </w:r>
      <w:r w:rsidR="00777DBE" w:rsidRPr="00516D61">
        <w:rPr>
          <w:rFonts w:ascii="Arial" w:hAnsi="Arial" w:cs="Arial"/>
          <w:color w:val="000000"/>
          <w:sz w:val="22"/>
          <w:szCs w:val="22"/>
        </w:rPr>
        <w:t xml:space="preserve"> </w:t>
      </w:r>
      <w:r w:rsidRPr="00516D61">
        <w:rPr>
          <w:rFonts w:ascii="Arial" w:hAnsi="Arial" w:cs="Arial"/>
          <w:color w:val="000000"/>
          <w:sz w:val="22"/>
          <w:szCs w:val="22"/>
        </w:rPr>
        <w:t>highlight how important it is for services to listen, collaborate, and adapt to each person’s circumstances.</w:t>
      </w:r>
    </w:p>
    <w:p w14:paraId="04497E4B" w14:textId="77777777" w:rsidR="00366420" w:rsidRPr="00516D61" w:rsidRDefault="00366420" w:rsidP="00516D61">
      <w:pPr>
        <w:spacing w:before="100" w:beforeAutospacing="1" w:after="100" w:afterAutospacing="1" w:line="360" w:lineRule="auto"/>
        <w:jc w:val="both"/>
        <w:rPr>
          <w:rFonts w:ascii="Arial" w:hAnsi="Arial" w:cs="Arial"/>
          <w:color w:val="000000"/>
          <w:sz w:val="22"/>
          <w:szCs w:val="22"/>
        </w:rPr>
      </w:pPr>
    </w:p>
    <w:p w14:paraId="6788994A" w14:textId="7586164F" w:rsidR="000F32B5" w:rsidRPr="00516D61" w:rsidRDefault="003B60E3" w:rsidP="00516D61">
      <w:pPr>
        <w:spacing w:before="100" w:beforeAutospacing="1" w:after="100" w:afterAutospacing="1" w:line="360" w:lineRule="auto"/>
        <w:jc w:val="both"/>
        <w:rPr>
          <w:rFonts w:ascii="Arial" w:hAnsi="Arial" w:cs="Arial"/>
          <w:b/>
          <w:bCs/>
          <w:color w:val="000000"/>
          <w:sz w:val="22"/>
          <w:szCs w:val="22"/>
          <w:u w:val="single"/>
        </w:rPr>
      </w:pPr>
      <w:r w:rsidRPr="00516D61">
        <w:rPr>
          <w:rFonts w:ascii="Arial" w:hAnsi="Arial" w:cs="Arial"/>
          <w:b/>
          <w:bCs/>
          <w:color w:val="000000"/>
          <w:sz w:val="22"/>
          <w:szCs w:val="22"/>
          <w:u w:val="single"/>
        </w:rPr>
        <w:lastRenderedPageBreak/>
        <w:t>R</w:t>
      </w:r>
      <w:r w:rsidR="000F32B5" w:rsidRPr="00516D61">
        <w:rPr>
          <w:rFonts w:ascii="Arial" w:hAnsi="Arial" w:cs="Arial"/>
          <w:b/>
          <w:bCs/>
          <w:color w:val="000000"/>
          <w:sz w:val="22"/>
          <w:szCs w:val="22"/>
          <w:u w:val="single"/>
        </w:rPr>
        <w:t>eferences</w:t>
      </w:r>
    </w:p>
    <w:p w14:paraId="5B68D560" w14:textId="48ECFEF0" w:rsidR="00DC4E21" w:rsidRPr="00516D61" w:rsidRDefault="00DC4E21" w:rsidP="00FA0313">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Beauchamp, T. L.</w:t>
      </w:r>
      <w:r w:rsidR="00B0226D" w:rsidRPr="00516D61">
        <w:rPr>
          <w:rFonts w:ascii="Arial" w:hAnsi="Arial" w:cs="Arial"/>
          <w:color w:val="000000"/>
          <w:sz w:val="22"/>
          <w:szCs w:val="22"/>
        </w:rPr>
        <w:t xml:space="preserve"> and</w:t>
      </w:r>
      <w:r w:rsidRPr="00516D61">
        <w:rPr>
          <w:rFonts w:ascii="Arial" w:hAnsi="Arial" w:cs="Arial"/>
          <w:color w:val="000000"/>
          <w:sz w:val="22"/>
          <w:szCs w:val="22"/>
        </w:rPr>
        <w:t xml:space="preserve"> Childress, J. F. (2013).</w:t>
      </w:r>
      <w:r w:rsidRPr="00516D61">
        <w:rPr>
          <w:rStyle w:val="apple-converted-space"/>
          <w:rFonts w:ascii="Arial" w:eastAsiaTheme="majorEastAsia" w:hAnsi="Arial" w:cs="Arial"/>
          <w:color w:val="000000"/>
          <w:sz w:val="22"/>
          <w:szCs w:val="22"/>
        </w:rPr>
        <w:t> </w:t>
      </w:r>
      <w:r w:rsidRPr="00516D61">
        <w:rPr>
          <w:rStyle w:val="Emphasis"/>
          <w:rFonts w:ascii="Arial" w:eastAsiaTheme="majorEastAsia" w:hAnsi="Arial" w:cs="Arial"/>
          <w:color w:val="000000"/>
          <w:sz w:val="22"/>
          <w:szCs w:val="22"/>
        </w:rPr>
        <w:t>Principles of biomedical ethics</w:t>
      </w:r>
      <w:r w:rsidRPr="00516D61">
        <w:rPr>
          <w:rStyle w:val="apple-converted-space"/>
          <w:rFonts w:ascii="Arial" w:eastAsiaTheme="majorEastAsia" w:hAnsi="Arial" w:cs="Arial"/>
          <w:color w:val="000000"/>
          <w:sz w:val="22"/>
          <w:szCs w:val="22"/>
        </w:rPr>
        <w:t> </w:t>
      </w:r>
      <w:r w:rsidRPr="00516D61">
        <w:rPr>
          <w:rFonts w:ascii="Arial" w:hAnsi="Arial" w:cs="Arial"/>
          <w:color w:val="000000"/>
          <w:sz w:val="22"/>
          <w:szCs w:val="22"/>
        </w:rPr>
        <w:t>(7th ed.). Oxford University Press.</w:t>
      </w:r>
    </w:p>
    <w:p w14:paraId="34ECBAB2" w14:textId="512493CB" w:rsidR="001A20B3" w:rsidRPr="00516D61" w:rsidRDefault="001A20B3" w:rsidP="00FA0313">
      <w:pPr>
        <w:spacing w:before="100" w:beforeAutospacing="1" w:after="100" w:afterAutospacing="1" w:line="360" w:lineRule="auto"/>
        <w:rPr>
          <w:rFonts w:ascii="Arial" w:hAnsi="Arial" w:cs="Arial"/>
          <w:b/>
          <w:bCs/>
          <w:color w:val="1B1B1B"/>
          <w:sz w:val="22"/>
          <w:szCs w:val="22"/>
          <w:shd w:val="clear" w:color="auto" w:fill="FFFFFF"/>
        </w:rPr>
      </w:pPr>
      <w:r w:rsidRPr="00516D61">
        <w:rPr>
          <w:rStyle w:val="Strong"/>
          <w:rFonts w:ascii="Arial" w:hAnsi="Arial" w:cs="Arial"/>
          <w:b w:val="0"/>
          <w:bCs w:val="0"/>
          <w:color w:val="000000"/>
          <w:sz w:val="22"/>
          <w:szCs w:val="22"/>
        </w:rPr>
        <w:t>Braveman, P. &amp; Gruskin, S. (2003) ‘Defining equity in health’,</w:t>
      </w:r>
      <w:r w:rsidRPr="00516D61">
        <w:rPr>
          <w:rStyle w:val="apple-converted-space"/>
          <w:rFonts w:ascii="Arial" w:hAnsi="Arial" w:cs="Arial"/>
          <w:b/>
          <w:bCs/>
          <w:color w:val="000000"/>
          <w:sz w:val="22"/>
          <w:szCs w:val="22"/>
        </w:rPr>
        <w:t> </w:t>
      </w:r>
      <w:r w:rsidRPr="00516D61">
        <w:rPr>
          <w:rStyle w:val="Strong"/>
          <w:rFonts w:ascii="Arial" w:hAnsi="Arial" w:cs="Arial"/>
          <w:b w:val="0"/>
          <w:bCs w:val="0"/>
          <w:i/>
          <w:iCs/>
          <w:color w:val="000000"/>
          <w:sz w:val="22"/>
          <w:szCs w:val="22"/>
        </w:rPr>
        <w:t>Journal of Epidemiology and Community Health</w:t>
      </w:r>
      <w:r w:rsidRPr="00516D61">
        <w:rPr>
          <w:rStyle w:val="Strong"/>
          <w:rFonts w:ascii="Arial" w:hAnsi="Arial" w:cs="Arial"/>
          <w:b w:val="0"/>
          <w:bCs w:val="0"/>
          <w:color w:val="000000"/>
          <w:sz w:val="22"/>
          <w:szCs w:val="22"/>
        </w:rPr>
        <w:t>, 57(4), pp. 254–258</w:t>
      </w:r>
      <w:r w:rsidR="008231FE" w:rsidRPr="00516D61">
        <w:rPr>
          <w:rStyle w:val="Strong"/>
          <w:rFonts w:ascii="Arial" w:hAnsi="Arial" w:cs="Arial"/>
          <w:b w:val="0"/>
          <w:bCs w:val="0"/>
          <w:color w:val="000000"/>
          <w:sz w:val="22"/>
          <w:szCs w:val="22"/>
        </w:rPr>
        <w:t xml:space="preserve">. Available at: </w:t>
      </w:r>
      <w:hyperlink r:id="rId8" w:history="1">
        <w:r w:rsidR="008231FE" w:rsidRPr="00516D61">
          <w:rPr>
            <w:rStyle w:val="Hyperlink"/>
            <w:rFonts w:ascii="Arial" w:hAnsi="Arial" w:cs="Arial"/>
            <w:sz w:val="22"/>
            <w:szCs w:val="22"/>
          </w:rPr>
          <w:t>https://doi.org/10.1136/jech.57.4.254</w:t>
        </w:r>
      </w:hyperlink>
      <w:r w:rsidR="008231FE" w:rsidRPr="00516D61">
        <w:rPr>
          <w:rStyle w:val="Strong"/>
          <w:rFonts w:ascii="Arial" w:hAnsi="Arial" w:cs="Arial"/>
          <w:b w:val="0"/>
          <w:bCs w:val="0"/>
          <w:color w:val="000000"/>
          <w:sz w:val="22"/>
          <w:szCs w:val="22"/>
        </w:rPr>
        <w:t xml:space="preserve"> (Accessed: </w:t>
      </w:r>
      <w:r w:rsidR="00B166A5" w:rsidRPr="00516D61">
        <w:rPr>
          <w:rStyle w:val="Strong"/>
          <w:rFonts w:ascii="Arial" w:hAnsi="Arial" w:cs="Arial"/>
          <w:b w:val="0"/>
          <w:bCs w:val="0"/>
          <w:color w:val="000000"/>
          <w:sz w:val="22"/>
          <w:szCs w:val="22"/>
        </w:rPr>
        <w:t>27 December 2025).</w:t>
      </w:r>
    </w:p>
    <w:p w14:paraId="28BDB2D5" w14:textId="77777777" w:rsidR="00BC790C" w:rsidRPr="00516D61" w:rsidRDefault="00BC790C" w:rsidP="00FA0313">
      <w:pPr>
        <w:spacing w:before="100" w:beforeAutospacing="1" w:after="100" w:afterAutospacing="1" w:line="360" w:lineRule="auto"/>
        <w:rPr>
          <w:rFonts w:ascii="Arial" w:hAnsi="Arial" w:cs="Arial"/>
          <w:color w:val="1B1B1B"/>
          <w:sz w:val="22"/>
          <w:szCs w:val="22"/>
          <w:shd w:val="clear" w:color="auto" w:fill="FFFFFF"/>
        </w:rPr>
      </w:pPr>
      <w:r w:rsidRPr="00516D61">
        <w:rPr>
          <w:rFonts w:ascii="Arial" w:hAnsi="Arial" w:cs="Arial"/>
          <w:color w:val="1B1B1B"/>
          <w:sz w:val="22"/>
          <w:szCs w:val="22"/>
          <w:shd w:val="clear" w:color="auto" w:fill="FFFFFF"/>
        </w:rPr>
        <w:t xml:space="preserve">Britten, N., Moore, L., Lydahl D, </w:t>
      </w:r>
      <w:proofErr w:type="spellStart"/>
      <w:r w:rsidRPr="00516D61">
        <w:rPr>
          <w:rFonts w:ascii="Arial" w:hAnsi="Arial" w:cs="Arial"/>
          <w:color w:val="1B1B1B"/>
          <w:sz w:val="22"/>
          <w:szCs w:val="22"/>
          <w:shd w:val="clear" w:color="auto" w:fill="FFFFFF"/>
        </w:rPr>
        <w:t>Naldemirci</w:t>
      </w:r>
      <w:proofErr w:type="spellEnd"/>
      <w:r w:rsidRPr="00516D61">
        <w:rPr>
          <w:rFonts w:ascii="Arial" w:hAnsi="Arial" w:cs="Arial"/>
          <w:color w:val="1B1B1B"/>
          <w:sz w:val="22"/>
          <w:szCs w:val="22"/>
          <w:shd w:val="clear" w:color="auto" w:fill="FFFFFF"/>
        </w:rPr>
        <w:t xml:space="preserve"> Ö, Elam </w:t>
      </w:r>
      <w:proofErr w:type="spellStart"/>
      <w:proofErr w:type="gramStart"/>
      <w:r w:rsidRPr="00516D61">
        <w:rPr>
          <w:rFonts w:ascii="Arial" w:hAnsi="Arial" w:cs="Arial"/>
          <w:color w:val="1B1B1B"/>
          <w:sz w:val="22"/>
          <w:szCs w:val="22"/>
          <w:shd w:val="clear" w:color="auto" w:fill="FFFFFF"/>
        </w:rPr>
        <w:t>M,and</w:t>
      </w:r>
      <w:proofErr w:type="spellEnd"/>
      <w:proofErr w:type="gramEnd"/>
      <w:r w:rsidRPr="00516D61">
        <w:rPr>
          <w:rFonts w:ascii="Arial" w:hAnsi="Arial" w:cs="Arial"/>
          <w:color w:val="1B1B1B"/>
          <w:sz w:val="22"/>
          <w:szCs w:val="22"/>
          <w:shd w:val="clear" w:color="auto" w:fill="FFFFFF"/>
        </w:rPr>
        <w:t xml:space="preserve"> Wolf A (2017). ‘Barriers and facilitators to the implementation of person-centred care in different healthcare contexts’, </w:t>
      </w:r>
      <w:r w:rsidRPr="00516D61">
        <w:rPr>
          <w:rFonts w:ascii="Arial" w:hAnsi="Arial" w:cs="Arial"/>
          <w:i/>
          <w:iCs/>
          <w:color w:val="1B1B1B"/>
          <w:sz w:val="22"/>
          <w:szCs w:val="22"/>
          <w:shd w:val="clear" w:color="auto" w:fill="FFFFFF"/>
        </w:rPr>
        <w:t xml:space="preserve">Scand Journal Caring Science, </w:t>
      </w:r>
      <w:r w:rsidRPr="00516D61">
        <w:rPr>
          <w:rFonts w:ascii="Arial" w:hAnsi="Arial" w:cs="Arial"/>
          <w:color w:val="1B1B1B"/>
          <w:sz w:val="22"/>
          <w:szCs w:val="22"/>
          <w:shd w:val="clear" w:color="auto" w:fill="FFFFFF"/>
        </w:rPr>
        <w:t xml:space="preserve">31(4), pp.662-673. Available at: </w:t>
      </w:r>
      <w:hyperlink r:id="rId9" w:history="1">
        <w:r w:rsidRPr="00516D61">
          <w:rPr>
            <w:rStyle w:val="Hyperlink"/>
            <w:rFonts w:ascii="Arial" w:hAnsi="Arial" w:cs="Arial"/>
            <w:sz w:val="22"/>
            <w:szCs w:val="22"/>
            <w:shd w:val="clear" w:color="auto" w:fill="FFFFFF"/>
          </w:rPr>
          <w:t>https://doi.org/10.1111/scs.12376</w:t>
        </w:r>
      </w:hyperlink>
      <w:r w:rsidRPr="00516D61">
        <w:rPr>
          <w:rFonts w:ascii="Arial" w:hAnsi="Arial" w:cs="Arial"/>
          <w:color w:val="1B1B1B"/>
          <w:sz w:val="22"/>
          <w:szCs w:val="22"/>
          <w:shd w:val="clear" w:color="auto" w:fill="FFFFFF"/>
        </w:rPr>
        <w:t xml:space="preserve"> (Accessed: 27 December 2025). </w:t>
      </w:r>
    </w:p>
    <w:p w14:paraId="7F55771C" w14:textId="4A272951" w:rsidR="00812DA7" w:rsidRPr="00516D61" w:rsidRDefault="00812DA7" w:rsidP="00FA0313">
      <w:pPr>
        <w:pStyle w:val="c-bibliographic-informationcitation"/>
        <w:spacing w:before="0" w:beforeAutospacing="0" w:after="240" w:afterAutospacing="0"/>
        <w:rPr>
          <w:rFonts w:ascii="Arial" w:hAnsi="Arial" w:cs="Arial"/>
          <w:b/>
          <w:bCs/>
          <w:i/>
          <w:iCs/>
          <w:color w:val="000000"/>
          <w:kern w:val="36"/>
          <w:sz w:val="22"/>
          <w:szCs w:val="22"/>
        </w:rPr>
      </w:pPr>
      <w:r w:rsidRPr="00516D61">
        <w:rPr>
          <w:rFonts w:ascii="Arial" w:hAnsi="Arial" w:cs="Arial"/>
          <w:color w:val="000000"/>
          <w:sz w:val="22"/>
          <w:szCs w:val="22"/>
        </w:rPr>
        <w:t xml:space="preserve">Care Quality Commission (2025). </w:t>
      </w:r>
      <w:r w:rsidRPr="00516D61">
        <w:rPr>
          <w:rFonts w:ascii="Arial" w:hAnsi="Arial" w:cs="Arial"/>
          <w:i/>
          <w:iCs/>
          <w:color w:val="000000"/>
          <w:sz w:val="22"/>
          <w:szCs w:val="22"/>
        </w:rPr>
        <w:t>Monitoring the Mental Health Act in 2023/24</w:t>
      </w:r>
      <w:r w:rsidRPr="00516D61">
        <w:rPr>
          <w:rFonts w:ascii="Arial" w:hAnsi="Arial" w:cs="Arial"/>
          <w:color w:val="000000"/>
          <w:sz w:val="22"/>
          <w:szCs w:val="22"/>
        </w:rPr>
        <w:t xml:space="preserve">. Available at: </w:t>
      </w:r>
      <w:hyperlink r:id="rId10" w:history="1">
        <w:r w:rsidRPr="00516D61">
          <w:rPr>
            <w:rStyle w:val="Hyperlink"/>
            <w:rFonts w:ascii="Arial" w:hAnsi="Arial" w:cs="Arial"/>
            <w:sz w:val="22"/>
            <w:szCs w:val="22"/>
          </w:rPr>
          <w:t>https://www.cqc.org.uk/publications/monitoring-mental-health-act/2023-2024/workforce</w:t>
        </w:r>
      </w:hyperlink>
      <w:r w:rsidRPr="00516D61">
        <w:rPr>
          <w:rFonts w:ascii="Arial" w:hAnsi="Arial" w:cs="Arial"/>
          <w:color w:val="000000"/>
          <w:sz w:val="22"/>
          <w:szCs w:val="22"/>
        </w:rPr>
        <w:t xml:space="preserve"> (Accessed: 27 December 2025).</w:t>
      </w:r>
    </w:p>
    <w:p w14:paraId="44D3C701" w14:textId="77777777" w:rsidR="00D66561" w:rsidRPr="00516D61" w:rsidRDefault="00D66561" w:rsidP="00FA0313">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Coulter, A. and Oldham, J. (2016) ‘Becoming more person</w:t>
      </w:r>
      <w:r w:rsidRPr="00516D61">
        <w:rPr>
          <w:rFonts w:ascii="Arial" w:hAnsi="Arial" w:cs="Arial"/>
          <w:color w:val="000000"/>
          <w:sz w:val="22"/>
          <w:szCs w:val="22"/>
        </w:rPr>
        <w:noBreakHyphen/>
        <w:t>centred’,</w:t>
      </w:r>
      <w:r w:rsidRPr="00516D61">
        <w:rPr>
          <w:rStyle w:val="apple-converted-space"/>
          <w:rFonts w:ascii="Arial" w:hAnsi="Arial" w:cs="Arial"/>
          <w:color w:val="000000"/>
          <w:sz w:val="22"/>
          <w:szCs w:val="22"/>
        </w:rPr>
        <w:t> </w:t>
      </w:r>
      <w:r w:rsidRPr="00516D61">
        <w:rPr>
          <w:rStyle w:val="Emphasis"/>
          <w:rFonts w:ascii="Arial" w:hAnsi="Arial" w:cs="Arial"/>
          <w:color w:val="000000"/>
          <w:sz w:val="22"/>
          <w:szCs w:val="22"/>
        </w:rPr>
        <w:t>BMJ</w:t>
      </w:r>
      <w:r w:rsidRPr="00516D61">
        <w:rPr>
          <w:rFonts w:ascii="Arial" w:hAnsi="Arial" w:cs="Arial"/>
          <w:color w:val="000000"/>
          <w:sz w:val="22"/>
          <w:szCs w:val="22"/>
        </w:rPr>
        <w:t xml:space="preserve">, 354: i4990. Available at: </w:t>
      </w:r>
      <w:hyperlink r:id="rId11" w:history="1">
        <w:r w:rsidRPr="00516D61">
          <w:rPr>
            <w:rStyle w:val="Hyperlink"/>
            <w:rFonts w:ascii="Arial" w:hAnsi="Arial" w:cs="Arial"/>
            <w:sz w:val="22"/>
            <w:szCs w:val="22"/>
          </w:rPr>
          <w:t>https://pubmed.ncbi.nlm.nih.gov/27151403/</w:t>
        </w:r>
      </w:hyperlink>
      <w:r w:rsidRPr="00516D61">
        <w:rPr>
          <w:rFonts w:ascii="Arial" w:hAnsi="Arial" w:cs="Arial"/>
          <w:color w:val="000000"/>
          <w:sz w:val="22"/>
          <w:szCs w:val="22"/>
        </w:rPr>
        <w:t xml:space="preserve">  (Accessed: 11 December 2025).</w:t>
      </w:r>
      <w:r w:rsidRPr="00516D61">
        <w:rPr>
          <w:rStyle w:val="apple-converted-space"/>
          <w:rFonts w:ascii="Arial" w:hAnsi="Arial" w:cs="Arial"/>
          <w:color w:val="000000"/>
          <w:sz w:val="22"/>
          <w:szCs w:val="22"/>
        </w:rPr>
        <w:t> </w:t>
      </w:r>
      <w:r w:rsidRPr="00516D61">
        <w:rPr>
          <w:rFonts w:ascii="Arial" w:hAnsi="Arial" w:cs="Arial"/>
          <w:color w:val="000000"/>
          <w:sz w:val="22"/>
          <w:szCs w:val="22"/>
        </w:rPr>
        <w:t xml:space="preserve"> </w:t>
      </w:r>
    </w:p>
    <w:p w14:paraId="5E748AF3" w14:textId="77777777" w:rsidR="007A0594" w:rsidRPr="00516D61" w:rsidRDefault="007A0594" w:rsidP="00FA0313">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Deci, E.L. and Ryan, R.M. (2000) ‘</w:t>
      </w:r>
      <w:r w:rsidRPr="00516D61">
        <w:rPr>
          <w:rStyle w:val="Emphasis"/>
          <w:rFonts w:ascii="Arial" w:eastAsiaTheme="majorEastAsia" w:hAnsi="Arial" w:cs="Arial"/>
          <w:i w:val="0"/>
          <w:iCs w:val="0"/>
          <w:color w:val="000000"/>
          <w:sz w:val="22"/>
          <w:szCs w:val="22"/>
        </w:rPr>
        <w:t>The “what” and “why” of goal pursuits: Human needs and the self</w:t>
      </w:r>
      <w:r w:rsidRPr="00516D61">
        <w:rPr>
          <w:rStyle w:val="Emphasis"/>
          <w:rFonts w:ascii="Arial" w:eastAsiaTheme="majorEastAsia" w:hAnsi="Arial" w:cs="Arial"/>
          <w:i w:val="0"/>
          <w:iCs w:val="0"/>
          <w:color w:val="000000"/>
          <w:sz w:val="22"/>
          <w:szCs w:val="22"/>
        </w:rPr>
        <w:noBreakHyphen/>
        <w:t>determination of behaviour’,</w:t>
      </w:r>
      <w:r w:rsidRPr="00516D61">
        <w:rPr>
          <w:rStyle w:val="apple-converted-space"/>
          <w:rFonts w:ascii="Arial" w:eastAsiaTheme="majorEastAsia" w:hAnsi="Arial" w:cs="Arial"/>
          <w:color w:val="000000"/>
          <w:sz w:val="22"/>
          <w:szCs w:val="22"/>
        </w:rPr>
        <w:t> </w:t>
      </w:r>
      <w:r w:rsidRPr="00516D61">
        <w:rPr>
          <w:rFonts w:ascii="Arial" w:hAnsi="Arial" w:cs="Arial"/>
          <w:i/>
          <w:iCs/>
          <w:color w:val="000000"/>
          <w:sz w:val="22"/>
          <w:szCs w:val="22"/>
        </w:rPr>
        <w:t>Psychological Inquiry,</w:t>
      </w:r>
      <w:r w:rsidRPr="00516D61">
        <w:rPr>
          <w:rFonts w:ascii="Arial" w:hAnsi="Arial" w:cs="Arial"/>
          <w:color w:val="000000"/>
          <w:sz w:val="22"/>
          <w:szCs w:val="22"/>
        </w:rPr>
        <w:t xml:space="preserve"> 11(4), pp.227–268.</w:t>
      </w:r>
    </w:p>
    <w:p w14:paraId="4C6087EC" w14:textId="77777777" w:rsidR="007B25BB" w:rsidRPr="00516D61" w:rsidRDefault="007B25BB"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Department of Health and Social Care (2021)</w:t>
      </w:r>
      <w:r w:rsidRPr="00516D61">
        <w:rPr>
          <w:rStyle w:val="apple-converted-space"/>
          <w:rFonts w:ascii="Arial" w:hAnsi="Arial" w:cs="Arial"/>
          <w:color w:val="000000"/>
          <w:sz w:val="22"/>
          <w:szCs w:val="22"/>
        </w:rPr>
        <w:t> </w:t>
      </w:r>
      <w:r w:rsidRPr="00516D61">
        <w:rPr>
          <w:rStyle w:val="Emphasis"/>
          <w:rFonts w:ascii="Arial" w:hAnsi="Arial" w:cs="Arial"/>
          <w:color w:val="000000"/>
          <w:sz w:val="22"/>
          <w:szCs w:val="22"/>
        </w:rPr>
        <w:t>The NHS Constitution for England</w:t>
      </w:r>
      <w:r w:rsidRPr="00516D61">
        <w:rPr>
          <w:rFonts w:ascii="Arial" w:hAnsi="Arial" w:cs="Arial"/>
          <w:color w:val="000000"/>
          <w:sz w:val="22"/>
          <w:szCs w:val="22"/>
        </w:rPr>
        <w:t xml:space="preserve">. Available at: </w:t>
      </w:r>
      <w:hyperlink r:id="rId12" w:history="1">
        <w:r w:rsidRPr="00516D61">
          <w:rPr>
            <w:rStyle w:val="Hyperlink"/>
            <w:rFonts w:ascii="Arial" w:hAnsi="Arial" w:cs="Arial"/>
            <w:sz w:val="22"/>
            <w:szCs w:val="22"/>
          </w:rPr>
          <w:t>https://www.gov.uk/government/publications/the-nhs-constitution-for-england</w:t>
        </w:r>
      </w:hyperlink>
      <w:r w:rsidRPr="00516D61">
        <w:rPr>
          <w:rFonts w:ascii="Arial" w:hAnsi="Arial" w:cs="Arial"/>
          <w:color w:val="000000"/>
          <w:sz w:val="22"/>
          <w:szCs w:val="22"/>
        </w:rPr>
        <w:t xml:space="preserve"> (Accessed: 11 December 2025).</w:t>
      </w:r>
      <w:r w:rsidRPr="00516D61">
        <w:rPr>
          <w:rStyle w:val="apple-converted-space"/>
          <w:rFonts w:ascii="Arial" w:hAnsi="Arial" w:cs="Arial"/>
          <w:color w:val="000000"/>
          <w:sz w:val="22"/>
          <w:szCs w:val="22"/>
        </w:rPr>
        <w:t> </w:t>
      </w:r>
      <w:r w:rsidRPr="00516D61">
        <w:rPr>
          <w:rFonts w:ascii="Arial" w:hAnsi="Arial" w:cs="Arial"/>
          <w:color w:val="000000"/>
          <w:sz w:val="22"/>
          <w:szCs w:val="22"/>
        </w:rPr>
        <w:t xml:space="preserve"> </w:t>
      </w:r>
    </w:p>
    <w:p w14:paraId="257E1A3B" w14:textId="043C9A3B" w:rsidR="00A01EDC" w:rsidRPr="00516D61" w:rsidRDefault="00A01EDC" w:rsidP="003C3F58">
      <w:pPr>
        <w:spacing w:before="100" w:beforeAutospacing="1" w:after="100" w:afterAutospacing="1" w:line="360" w:lineRule="auto"/>
        <w:rPr>
          <w:rStyle w:val="fai-referencecontent"/>
          <w:rFonts w:ascii="Arial" w:hAnsi="Arial" w:cs="Arial"/>
          <w:color w:val="000000"/>
          <w:sz w:val="22"/>
          <w:szCs w:val="22"/>
        </w:rPr>
      </w:pPr>
      <w:r w:rsidRPr="00516D61">
        <w:rPr>
          <w:rFonts w:ascii="Arial" w:hAnsi="Arial" w:cs="Arial"/>
          <w:color w:val="000000"/>
          <w:sz w:val="22"/>
          <w:szCs w:val="22"/>
        </w:rPr>
        <w:t>Entwistle, V. A.</w:t>
      </w:r>
      <w:r w:rsidR="00120A9A" w:rsidRPr="00516D61">
        <w:rPr>
          <w:rFonts w:ascii="Arial" w:hAnsi="Arial" w:cs="Arial"/>
          <w:color w:val="000000"/>
          <w:sz w:val="22"/>
          <w:szCs w:val="22"/>
        </w:rPr>
        <w:t xml:space="preserve"> </w:t>
      </w:r>
      <w:r w:rsidR="00BC790C" w:rsidRPr="00516D61">
        <w:rPr>
          <w:rFonts w:ascii="Arial" w:hAnsi="Arial" w:cs="Arial"/>
          <w:color w:val="000000"/>
          <w:sz w:val="22"/>
          <w:szCs w:val="22"/>
        </w:rPr>
        <w:t>and</w:t>
      </w:r>
      <w:r w:rsidRPr="00516D61">
        <w:rPr>
          <w:rFonts w:ascii="Arial" w:hAnsi="Arial" w:cs="Arial"/>
          <w:color w:val="000000"/>
          <w:sz w:val="22"/>
          <w:szCs w:val="22"/>
        </w:rPr>
        <w:t xml:space="preserve"> Watt, I. S. (2013).</w:t>
      </w:r>
      <w:r w:rsidRPr="00516D61">
        <w:rPr>
          <w:rStyle w:val="apple-converted-space"/>
          <w:rFonts w:ascii="Arial" w:eastAsiaTheme="majorEastAsia" w:hAnsi="Arial" w:cs="Arial"/>
          <w:color w:val="000000"/>
          <w:sz w:val="22"/>
          <w:szCs w:val="22"/>
        </w:rPr>
        <w:t> </w:t>
      </w:r>
      <w:r w:rsidR="009E5E03" w:rsidRPr="00516D61">
        <w:rPr>
          <w:rStyle w:val="apple-converted-space"/>
          <w:rFonts w:ascii="Arial" w:eastAsiaTheme="majorEastAsia" w:hAnsi="Arial" w:cs="Arial"/>
          <w:color w:val="000000"/>
          <w:sz w:val="22"/>
          <w:szCs w:val="22"/>
        </w:rPr>
        <w:t>‘</w:t>
      </w:r>
      <w:r w:rsidRPr="00516D61">
        <w:rPr>
          <w:rStyle w:val="Emphasis"/>
          <w:rFonts w:ascii="Arial" w:eastAsiaTheme="majorEastAsia" w:hAnsi="Arial" w:cs="Arial"/>
          <w:i w:val="0"/>
          <w:iCs w:val="0"/>
          <w:color w:val="000000"/>
          <w:sz w:val="22"/>
          <w:szCs w:val="22"/>
        </w:rPr>
        <w:t>Treating patients as persons: A capabilities approach to support delivery of person-centred care</w:t>
      </w:r>
      <w:r w:rsidR="009E5E03" w:rsidRPr="00516D61">
        <w:rPr>
          <w:rStyle w:val="Emphasis"/>
          <w:rFonts w:ascii="Arial" w:eastAsiaTheme="majorEastAsia" w:hAnsi="Arial" w:cs="Arial"/>
          <w:i w:val="0"/>
          <w:iCs w:val="0"/>
          <w:color w:val="000000"/>
          <w:sz w:val="22"/>
          <w:szCs w:val="22"/>
        </w:rPr>
        <w:t>’,</w:t>
      </w:r>
      <w:r w:rsidRPr="00516D61">
        <w:rPr>
          <w:rStyle w:val="apple-converted-space"/>
          <w:rFonts w:ascii="Arial" w:eastAsiaTheme="majorEastAsia" w:hAnsi="Arial" w:cs="Arial"/>
          <w:color w:val="000000"/>
          <w:sz w:val="22"/>
          <w:szCs w:val="22"/>
        </w:rPr>
        <w:t> </w:t>
      </w:r>
      <w:r w:rsidRPr="00516D61">
        <w:rPr>
          <w:rStyle w:val="Emphasis"/>
          <w:rFonts w:ascii="Arial" w:eastAsiaTheme="majorEastAsia" w:hAnsi="Arial" w:cs="Arial"/>
          <w:color w:val="000000"/>
          <w:sz w:val="22"/>
          <w:szCs w:val="22"/>
        </w:rPr>
        <w:t>The American Journal of Bioethics, 13</w:t>
      </w:r>
      <w:r w:rsidRPr="00516D61">
        <w:rPr>
          <w:rFonts w:ascii="Arial" w:hAnsi="Arial" w:cs="Arial"/>
          <w:color w:val="000000"/>
          <w:sz w:val="22"/>
          <w:szCs w:val="22"/>
        </w:rPr>
        <w:t xml:space="preserve">(8), </w:t>
      </w:r>
      <w:r w:rsidR="009E5E03" w:rsidRPr="00516D61">
        <w:rPr>
          <w:rFonts w:ascii="Arial" w:hAnsi="Arial" w:cs="Arial"/>
          <w:color w:val="000000"/>
          <w:sz w:val="22"/>
          <w:szCs w:val="22"/>
        </w:rPr>
        <w:t>pp.</w:t>
      </w:r>
      <w:r w:rsidRPr="00516D61">
        <w:rPr>
          <w:rFonts w:ascii="Arial" w:hAnsi="Arial" w:cs="Arial"/>
          <w:color w:val="000000"/>
          <w:sz w:val="22"/>
          <w:szCs w:val="22"/>
        </w:rPr>
        <w:t>29–39</w:t>
      </w:r>
      <w:r w:rsidR="009E5E03" w:rsidRPr="00516D61">
        <w:rPr>
          <w:rFonts w:ascii="Arial" w:hAnsi="Arial" w:cs="Arial"/>
          <w:color w:val="000000"/>
          <w:sz w:val="22"/>
          <w:szCs w:val="22"/>
        </w:rPr>
        <w:t xml:space="preserve">. </w:t>
      </w:r>
      <w:r w:rsidR="00120A9A" w:rsidRPr="00516D61">
        <w:rPr>
          <w:rFonts w:ascii="Arial" w:hAnsi="Arial" w:cs="Arial"/>
          <w:color w:val="000000"/>
          <w:sz w:val="22"/>
          <w:szCs w:val="22"/>
        </w:rPr>
        <w:t>Available</w:t>
      </w:r>
      <w:r w:rsidR="003C3F58">
        <w:rPr>
          <w:rFonts w:ascii="Arial" w:hAnsi="Arial" w:cs="Arial"/>
          <w:color w:val="000000"/>
          <w:sz w:val="22"/>
          <w:szCs w:val="22"/>
        </w:rPr>
        <w:t xml:space="preserve"> </w:t>
      </w:r>
      <w:r w:rsidR="009E5E03" w:rsidRPr="00516D61">
        <w:rPr>
          <w:rFonts w:ascii="Arial" w:hAnsi="Arial" w:cs="Arial"/>
          <w:color w:val="000000"/>
          <w:sz w:val="22"/>
          <w:szCs w:val="22"/>
        </w:rPr>
        <w:t>at:</w:t>
      </w:r>
      <w:r w:rsidR="002E3344">
        <w:rPr>
          <w:rFonts w:ascii="Arial" w:hAnsi="Arial" w:cs="Arial"/>
          <w:color w:val="000000"/>
          <w:sz w:val="22"/>
          <w:szCs w:val="22"/>
        </w:rPr>
        <w:t xml:space="preserve"> </w:t>
      </w:r>
      <w:hyperlink r:id="rId13" w:history="1">
        <w:r w:rsidR="002E3344" w:rsidRPr="00C02560">
          <w:rPr>
            <w:rStyle w:val="Hyperlink"/>
            <w:rFonts w:ascii="Arial" w:hAnsi="Arial" w:cs="Arial"/>
            <w:sz w:val="22"/>
            <w:szCs w:val="22"/>
          </w:rPr>
          <w:t>https://pmc.ncbi.nlm.nih.gov/articles/PMC3746461/?utm_source=chatgpt.com</w:t>
        </w:r>
      </w:hyperlink>
      <w:r w:rsidR="00120A9A" w:rsidRPr="00516D61">
        <w:rPr>
          <w:rFonts w:ascii="Arial" w:hAnsi="Arial" w:cs="Arial"/>
          <w:color w:val="000000"/>
          <w:sz w:val="22"/>
          <w:szCs w:val="22"/>
        </w:rPr>
        <w:t xml:space="preserve"> (Accessed: 27 December 2025).</w:t>
      </w:r>
    </w:p>
    <w:p w14:paraId="6CD8B99F" w14:textId="4AFE8467" w:rsidR="00267F8D" w:rsidRPr="00516D61" w:rsidRDefault="00267F8D" w:rsidP="00516D61">
      <w:pPr>
        <w:spacing w:before="100" w:beforeAutospacing="1" w:after="100" w:afterAutospacing="1" w:line="360" w:lineRule="auto"/>
        <w:jc w:val="both"/>
        <w:rPr>
          <w:rFonts w:ascii="Arial" w:hAnsi="Arial" w:cs="Arial"/>
          <w:sz w:val="22"/>
          <w:szCs w:val="22"/>
        </w:rPr>
      </w:pPr>
      <w:r w:rsidRPr="00516D61">
        <w:rPr>
          <w:rFonts w:ascii="Arial" w:hAnsi="Arial" w:cs="Arial"/>
          <w:color w:val="000000"/>
          <w:sz w:val="22"/>
          <w:szCs w:val="22"/>
        </w:rPr>
        <w:t>Gillon, R. (2015).</w:t>
      </w:r>
      <w:r w:rsidRPr="00516D61">
        <w:rPr>
          <w:rStyle w:val="apple-converted-space"/>
          <w:rFonts w:ascii="Arial" w:eastAsiaTheme="majorEastAsia" w:hAnsi="Arial" w:cs="Arial"/>
          <w:color w:val="000000"/>
          <w:sz w:val="22"/>
          <w:szCs w:val="22"/>
        </w:rPr>
        <w:t> </w:t>
      </w:r>
      <w:r w:rsidRPr="00516D61">
        <w:rPr>
          <w:rStyle w:val="Emphasis"/>
          <w:rFonts w:ascii="Arial" w:eastAsiaTheme="majorEastAsia" w:hAnsi="Arial" w:cs="Arial"/>
          <w:color w:val="000000"/>
          <w:sz w:val="22"/>
          <w:szCs w:val="22"/>
        </w:rPr>
        <w:t>Defending the four principles approach as a good basis for good medical practice and therefore for good medical ethics</w:t>
      </w:r>
      <w:r w:rsidRPr="00516D61">
        <w:rPr>
          <w:rFonts w:ascii="Arial" w:hAnsi="Arial" w:cs="Arial"/>
          <w:color w:val="000000"/>
          <w:sz w:val="22"/>
          <w:szCs w:val="22"/>
        </w:rPr>
        <w:t>.</w:t>
      </w:r>
      <w:r w:rsidRPr="00516D61">
        <w:rPr>
          <w:rStyle w:val="apple-converted-space"/>
          <w:rFonts w:ascii="Arial" w:eastAsiaTheme="majorEastAsia" w:hAnsi="Arial" w:cs="Arial"/>
          <w:color w:val="000000"/>
          <w:sz w:val="22"/>
          <w:szCs w:val="22"/>
        </w:rPr>
        <w:t> </w:t>
      </w:r>
      <w:r w:rsidRPr="00516D61">
        <w:rPr>
          <w:rStyle w:val="Strong"/>
          <w:rFonts w:ascii="Arial" w:eastAsiaTheme="majorEastAsia" w:hAnsi="Arial" w:cs="Arial"/>
          <w:b w:val="0"/>
          <w:bCs w:val="0"/>
          <w:i/>
          <w:iCs/>
          <w:color w:val="000000"/>
          <w:sz w:val="22"/>
          <w:szCs w:val="22"/>
        </w:rPr>
        <w:t>Journal of Medical Ethics, 41</w:t>
      </w:r>
      <w:r w:rsidRPr="00516D61">
        <w:rPr>
          <w:rFonts w:ascii="Arial" w:hAnsi="Arial" w:cs="Arial"/>
          <w:color w:val="000000"/>
          <w:sz w:val="22"/>
          <w:szCs w:val="22"/>
        </w:rPr>
        <w:t>(1), pp.111–116.</w:t>
      </w:r>
      <w:r w:rsidRPr="00516D61">
        <w:rPr>
          <w:rStyle w:val="apple-converted-space"/>
          <w:rFonts w:ascii="Arial" w:eastAsiaTheme="majorEastAsia" w:hAnsi="Arial" w:cs="Arial"/>
          <w:color w:val="000000"/>
          <w:sz w:val="22"/>
          <w:szCs w:val="22"/>
        </w:rPr>
        <w:t> </w:t>
      </w:r>
      <w:hyperlink r:id="rId14" w:history="1">
        <w:r w:rsidRPr="00516D61">
          <w:rPr>
            <w:rStyle w:val="Hyperlink"/>
            <w:rFonts w:ascii="Arial" w:hAnsi="Arial" w:cs="Arial"/>
            <w:sz w:val="22"/>
            <w:szCs w:val="22"/>
          </w:rPr>
          <w:t>https://doi.org/10.1136/medethics-2014-102282</w:t>
        </w:r>
      </w:hyperlink>
      <w:r w:rsidRPr="00516D61">
        <w:rPr>
          <w:rFonts w:ascii="Arial" w:hAnsi="Arial" w:cs="Arial"/>
          <w:sz w:val="22"/>
          <w:szCs w:val="22"/>
        </w:rPr>
        <w:t xml:space="preserve"> (Accessed: 27 December 2025).</w:t>
      </w:r>
    </w:p>
    <w:p w14:paraId="11684FF8" w14:textId="055018EC" w:rsidR="00195031" w:rsidRPr="00516D61" w:rsidRDefault="00195031" w:rsidP="00516D61">
      <w:pPr>
        <w:spacing w:before="100" w:beforeAutospacing="1" w:after="100" w:afterAutospacing="1" w:line="360" w:lineRule="auto"/>
        <w:jc w:val="both"/>
        <w:rPr>
          <w:rFonts w:ascii="Arial" w:hAnsi="Arial" w:cs="Arial"/>
          <w:color w:val="000000"/>
          <w:sz w:val="22"/>
          <w:szCs w:val="22"/>
        </w:rPr>
      </w:pPr>
      <w:r w:rsidRPr="00516D61">
        <w:rPr>
          <w:rFonts w:ascii="Arial" w:hAnsi="Arial" w:cs="Arial"/>
          <w:color w:val="000000"/>
          <w:sz w:val="22"/>
          <w:szCs w:val="22"/>
        </w:rPr>
        <w:t xml:space="preserve">Glasby, J. and Dickinson, H. (2014). </w:t>
      </w:r>
      <w:r w:rsidRPr="00516D61">
        <w:rPr>
          <w:rFonts w:ascii="Arial" w:hAnsi="Arial" w:cs="Arial"/>
          <w:i/>
          <w:iCs/>
          <w:color w:val="000000"/>
          <w:sz w:val="22"/>
          <w:szCs w:val="22"/>
        </w:rPr>
        <w:t>Partnership working in health and social care: What is integrated care and how can we deliver it?</w:t>
      </w:r>
      <w:r w:rsidRPr="00516D61">
        <w:rPr>
          <w:rFonts w:ascii="Arial" w:hAnsi="Arial" w:cs="Arial"/>
          <w:color w:val="000000"/>
          <w:sz w:val="22"/>
          <w:szCs w:val="22"/>
        </w:rPr>
        <w:t xml:space="preserve"> Policy Press.</w:t>
      </w:r>
    </w:p>
    <w:p w14:paraId="3C8C7DC9" w14:textId="1C28E0B4" w:rsidR="007B3167" w:rsidRPr="00516D61" w:rsidRDefault="007B3167" w:rsidP="002E3344">
      <w:pPr>
        <w:pStyle w:val="Heading1"/>
        <w:spacing w:before="0" w:after="0"/>
        <w:rPr>
          <w:rFonts w:ascii="Arial" w:eastAsia="Times New Roman" w:hAnsi="Arial" w:cs="Arial"/>
          <w:b/>
          <w:bCs/>
          <w:color w:val="0B0C0C"/>
          <w:kern w:val="36"/>
          <w:sz w:val="22"/>
          <w:szCs w:val="22"/>
          <w:lang w:eastAsia="en-GB"/>
          <w14:ligatures w14:val="none"/>
        </w:rPr>
      </w:pPr>
      <w:r w:rsidRPr="00516D61">
        <w:rPr>
          <w:rFonts w:ascii="Arial" w:hAnsi="Arial" w:cs="Arial"/>
          <w:color w:val="000000"/>
          <w:sz w:val="22"/>
          <w:szCs w:val="22"/>
        </w:rPr>
        <w:lastRenderedPageBreak/>
        <w:t>GOV.UK (2023)</w:t>
      </w:r>
      <w:r w:rsidR="00B04747" w:rsidRPr="00516D61">
        <w:rPr>
          <w:rFonts w:ascii="Arial" w:hAnsi="Arial" w:cs="Arial"/>
          <w:color w:val="000000"/>
          <w:sz w:val="22"/>
          <w:szCs w:val="22"/>
        </w:rPr>
        <w:t xml:space="preserve"> </w:t>
      </w:r>
      <w:r w:rsidR="00B04747" w:rsidRPr="00516D61">
        <w:rPr>
          <w:rFonts w:ascii="Arial" w:eastAsia="Times New Roman" w:hAnsi="Arial" w:cs="Arial"/>
          <w:color w:val="0B0C0C"/>
          <w:kern w:val="36"/>
          <w:sz w:val="22"/>
          <w:szCs w:val="22"/>
          <w:lang w:eastAsia="en-GB"/>
          <w14:ligatures w14:val="none"/>
        </w:rPr>
        <w:t>NHS Constitution for England</w:t>
      </w:r>
      <w:r w:rsidR="00B33CDF" w:rsidRPr="00516D61">
        <w:rPr>
          <w:rFonts w:ascii="Arial" w:eastAsia="Times New Roman" w:hAnsi="Arial" w:cs="Arial"/>
          <w:color w:val="0B0C0C"/>
          <w:kern w:val="36"/>
          <w:sz w:val="22"/>
          <w:szCs w:val="22"/>
          <w:lang w:eastAsia="en-GB"/>
          <w14:ligatures w14:val="none"/>
        </w:rPr>
        <w:t>. Available at:</w:t>
      </w:r>
      <w:r w:rsidRPr="00516D61">
        <w:rPr>
          <w:rFonts w:ascii="Arial" w:eastAsia="Times New Roman" w:hAnsi="Arial" w:cs="Arial"/>
          <w:color w:val="000000"/>
          <w:kern w:val="0"/>
          <w:sz w:val="22"/>
          <w:szCs w:val="22"/>
          <w:lang w:eastAsia="en-GB"/>
          <w14:ligatures w14:val="none"/>
        </w:rPr>
        <w:t> </w:t>
      </w:r>
      <w:hyperlink r:id="rId15" w:tgtFrame="_new" w:history="1">
        <w:r w:rsidRPr="00516D61">
          <w:rPr>
            <w:rFonts w:ascii="Arial" w:eastAsia="Times New Roman" w:hAnsi="Arial" w:cs="Arial"/>
            <w:color w:val="0000FF"/>
            <w:kern w:val="0"/>
            <w:sz w:val="22"/>
            <w:szCs w:val="22"/>
            <w:u w:val="single"/>
            <w:lang w:eastAsia="en-GB"/>
            <w14:ligatures w14:val="none"/>
          </w:rPr>
          <w:t>https://www.gov.uk/government/publications/the-nhs-constitution-for-england</w:t>
        </w:r>
      </w:hyperlink>
      <w:r w:rsidR="00B33CDF" w:rsidRPr="00516D61">
        <w:rPr>
          <w:rFonts w:ascii="Arial" w:hAnsi="Arial" w:cs="Arial"/>
          <w:sz w:val="22"/>
          <w:szCs w:val="22"/>
        </w:rPr>
        <w:t xml:space="preserve"> (Accessed: 27 December 2025).</w:t>
      </w:r>
    </w:p>
    <w:p w14:paraId="203DEAA8" w14:textId="02AAC74E" w:rsidR="002917CE" w:rsidRPr="00516D61" w:rsidRDefault="002917CE"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G</w:t>
      </w:r>
      <w:r w:rsidR="007B3167" w:rsidRPr="00516D61">
        <w:rPr>
          <w:rFonts w:ascii="Arial" w:hAnsi="Arial" w:cs="Arial"/>
          <w:color w:val="000000"/>
          <w:sz w:val="22"/>
          <w:szCs w:val="22"/>
        </w:rPr>
        <w:t>OV</w:t>
      </w:r>
      <w:r w:rsidRPr="00516D61">
        <w:rPr>
          <w:rFonts w:ascii="Arial" w:hAnsi="Arial" w:cs="Arial"/>
          <w:color w:val="000000"/>
          <w:sz w:val="22"/>
          <w:szCs w:val="22"/>
        </w:rPr>
        <w:t xml:space="preserve">.UK (2025). </w:t>
      </w:r>
      <w:r w:rsidRPr="00516D61">
        <w:rPr>
          <w:rFonts w:ascii="Arial" w:hAnsi="Arial" w:cs="Arial"/>
          <w:i/>
          <w:iCs/>
          <w:color w:val="000000"/>
          <w:sz w:val="22"/>
          <w:szCs w:val="22"/>
        </w:rPr>
        <w:t>Health and Care Act 2022</w:t>
      </w:r>
      <w:r w:rsidRPr="00516D61">
        <w:rPr>
          <w:rFonts w:ascii="Arial" w:hAnsi="Arial" w:cs="Arial"/>
          <w:color w:val="000000"/>
          <w:sz w:val="22"/>
          <w:szCs w:val="22"/>
        </w:rPr>
        <w:t xml:space="preserve">. Available at: </w:t>
      </w:r>
      <w:hyperlink r:id="rId16" w:history="1">
        <w:r w:rsidRPr="00516D61">
          <w:rPr>
            <w:rStyle w:val="Hyperlink"/>
            <w:rFonts w:ascii="Arial" w:hAnsi="Arial" w:cs="Arial"/>
            <w:sz w:val="22"/>
            <w:szCs w:val="22"/>
          </w:rPr>
          <w:t>https://www.gov.uk/government/collections/health-and-care-act-2022</w:t>
        </w:r>
      </w:hyperlink>
      <w:r w:rsidRPr="00516D61">
        <w:rPr>
          <w:rFonts w:ascii="Arial" w:hAnsi="Arial" w:cs="Arial"/>
          <w:color w:val="000000"/>
          <w:sz w:val="22"/>
          <w:szCs w:val="22"/>
        </w:rPr>
        <w:t xml:space="preserve"> (Accessed: 27 December 2025).</w:t>
      </w:r>
    </w:p>
    <w:p w14:paraId="0B863D32" w14:textId="77777777" w:rsidR="00D66561" w:rsidRPr="00516D61" w:rsidRDefault="00D66561"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Health Foundation (2016)</w:t>
      </w:r>
      <w:r w:rsidRPr="00516D61">
        <w:rPr>
          <w:rStyle w:val="apple-converted-space"/>
          <w:rFonts w:ascii="Arial" w:hAnsi="Arial" w:cs="Arial"/>
          <w:color w:val="000000"/>
          <w:sz w:val="22"/>
          <w:szCs w:val="22"/>
        </w:rPr>
        <w:t> </w:t>
      </w:r>
      <w:r w:rsidRPr="00516D61">
        <w:rPr>
          <w:rStyle w:val="Emphasis"/>
          <w:rFonts w:ascii="Arial" w:hAnsi="Arial" w:cs="Arial"/>
          <w:color w:val="000000"/>
          <w:sz w:val="22"/>
          <w:szCs w:val="22"/>
        </w:rPr>
        <w:t>Person</w:t>
      </w:r>
      <w:r w:rsidRPr="00516D61">
        <w:rPr>
          <w:rStyle w:val="Emphasis"/>
          <w:rFonts w:ascii="Arial" w:hAnsi="Arial" w:cs="Arial"/>
          <w:color w:val="000000"/>
          <w:sz w:val="22"/>
          <w:szCs w:val="22"/>
        </w:rPr>
        <w:noBreakHyphen/>
        <w:t>centred care: Quick guide</w:t>
      </w:r>
      <w:r w:rsidRPr="00516D61">
        <w:rPr>
          <w:rFonts w:ascii="Arial" w:hAnsi="Arial" w:cs="Arial"/>
          <w:color w:val="000000"/>
          <w:sz w:val="22"/>
          <w:szCs w:val="22"/>
        </w:rPr>
        <w:t xml:space="preserve">. Available at: </w:t>
      </w:r>
      <w:hyperlink r:id="rId17" w:history="1">
        <w:r w:rsidRPr="00516D61">
          <w:rPr>
            <w:rStyle w:val="Hyperlink"/>
            <w:rFonts w:ascii="Arial" w:hAnsi="Arial" w:cs="Arial"/>
            <w:sz w:val="22"/>
            <w:szCs w:val="22"/>
          </w:rPr>
          <w:t>https://www.health.org.uk/publications/quick-guides/person-centred-care</w:t>
        </w:r>
      </w:hyperlink>
      <w:r w:rsidRPr="00516D61">
        <w:rPr>
          <w:rFonts w:ascii="Arial" w:hAnsi="Arial" w:cs="Arial"/>
          <w:color w:val="000000"/>
          <w:sz w:val="22"/>
          <w:szCs w:val="22"/>
        </w:rPr>
        <w:t xml:space="preserve">  (Accessed: 11 December 2025).</w:t>
      </w:r>
      <w:r w:rsidRPr="00516D61">
        <w:rPr>
          <w:rStyle w:val="apple-converted-space"/>
          <w:rFonts w:ascii="Arial" w:hAnsi="Arial" w:cs="Arial"/>
          <w:color w:val="000000"/>
          <w:sz w:val="22"/>
          <w:szCs w:val="22"/>
        </w:rPr>
        <w:t> </w:t>
      </w:r>
      <w:r w:rsidRPr="00516D61">
        <w:rPr>
          <w:rFonts w:ascii="Arial" w:hAnsi="Arial" w:cs="Arial"/>
          <w:color w:val="000000"/>
          <w:sz w:val="22"/>
          <w:szCs w:val="22"/>
        </w:rPr>
        <w:t xml:space="preserve"> </w:t>
      </w:r>
    </w:p>
    <w:p w14:paraId="1FD152BC" w14:textId="77777777" w:rsidR="003A73CC" w:rsidRPr="00516D61" w:rsidRDefault="003A73CC" w:rsidP="002E3344">
      <w:pPr>
        <w:spacing w:before="100" w:beforeAutospacing="1" w:after="100" w:afterAutospacing="1" w:line="360" w:lineRule="auto"/>
        <w:rPr>
          <w:rFonts w:ascii="Arial" w:hAnsi="Arial" w:cs="Arial"/>
          <w:color w:val="000000"/>
          <w:sz w:val="22"/>
          <w:szCs w:val="22"/>
        </w:rPr>
      </w:pPr>
      <w:r w:rsidRPr="00516D61">
        <w:rPr>
          <w:rFonts w:ascii="Arial" w:hAnsi="Arial" w:cs="Arial"/>
          <w:sz w:val="22"/>
          <w:szCs w:val="22"/>
        </w:rPr>
        <w:t xml:space="preserve">Legislation.GOV (2025). </w:t>
      </w:r>
      <w:r w:rsidRPr="00516D61">
        <w:rPr>
          <w:rFonts w:ascii="Arial" w:hAnsi="Arial" w:cs="Arial"/>
          <w:i/>
          <w:iCs/>
          <w:color w:val="000000"/>
          <w:sz w:val="22"/>
          <w:szCs w:val="22"/>
        </w:rPr>
        <w:t>Care Act 2014</w:t>
      </w:r>
      <w:r w:rsidRPr="00516D61">
        <w:rPr>
          <w:rFonts w:ascii="Arial" w:hAnsi="Arial" w:cs="Arial"/>
          <w:color w:val="000000"/>
          <w:sz w:val="22"/>
          <w:szCs w:val="22"/>
        </w:rPr>
        <w:t>. Available at: </w:t>
      </w:r>
      <w:hyperlink r:id="rId18" w:tgtFrame="_new" w:history="1">
        <w:r w:rsidRPr="00516D61">
          <w:rPr>
            <w:rFonts w:ascii="Arial" w:hAnsi="Arial" w:cs="Arial"/>
            <w:color w:val="0000FF"/>
            <w:sz w:val="22"/>
            <w:szCs w:val="22"/>
            <w:u w:val="single"/>
          </w:rPr>
          <w:t>https://www.legislation.gov.uk/ukpga/2014/23/contents</w:t>
        </w:r>
      </w:hyperlink>
      <w:r w:rsidRPr="00516D61">
        <w:rPr>
          <w:rFonts w:ascii="Arial" w:hAnsi="Arial" w:cs="Arial"/>
          <w:sz w:val="22"/>
          <w:szCs w:val="22"/>
        </w:rPr>
        <w:t xml:space="preserve"> (Accessed: 21 </w:t>
      </w:r>
      <w:proofErr w:type="gramStart"/>
      <w:r w:rsidRPr="00516D61">
        <w:rPr>
          <w:rFonts w:ascii="Arial" w:hAnsi="Arial" w:cs="Arial"/>
          <w:sz w:val="22"/>
          <w:szCs w:val="22"/>
        </w:rPr>
        <w:t>December,</w:t>
      </w:r>
      <w:proofErr w:type="gramEnd"/>
      <w:r w:rsidRPr="00516D61">
        <w:rPr>
          <w:rFonts w:ascii="Arial" w:hAnsi="Arial" w:cs="Arial"/>
          <w:sz w:val="22"/>
          <w:szCs w:val="22"/>
        </w:rPr>
        <w:t xml:space="preserve"> 2025). </w:t>
      </w:r>
    </w:p>
    <w:p w14:paraId="3C5FB3E3" w14:textId="77777777" w:rsidR="003A73CC" w:rsidRPr="00516D61" w:rsidRDefault="003A73CC" w:rsidP="002E3344">
      <w:pPr>
        <w:spacing w:before="100" w:beforeAutospacing="1" w:after="100" w:afterAutospacing="1" w:line="360" w:lineRule="auto"/>
        <w:rPr>
          <w:rFonts w:ascii="Arial" w:hAnsi="Arial" w:cs="Arial"/>
          <w:color w:val="000000"/>
          <w:sz w:val="22"/>
          <w:szCs w:val="22"/>
        </w:rPr>
      </w:pPr>
      <w:r w:rsidRPr="00516D61">
        <w:rPr>
          <w:rFonts w:ascii="Arial" w:hAnsi="Arial" w:cs="Arial"/>
          <w:sz w:val="22"/>
          <w:szCs w:val="22"/>
        </w:rPr>
        <w:t xml:space="preserve">Legislation.GOV (2025). </w:t>
      </w:r>
      <w:r w:rsidRPr="00516D61">
        <w:rPr>
          <w:rFonts w:ascii="Arial" w:hAnsi="Arial" w:cs="Arial"/>
          <w:i/>
          <w:iCs/>
          <w:color w:val="000000"/>
          <w:sz w:val="22"/>
          <w:szCs w:val="22"/>
        </w:rPr>
        <w:t>Equality Act 2010</w:t>
      </w:r>
      <w:r w:rsidRPr="00516D61">
        <w:rPr>
          <w:rFonts w:ascii="Arial" w:hAnsi="Arial" w:cs="Arial"/>
          <w:color w:val="000000"/>
          <w:sz w:val="22"/>
          <w:szCs w:val="22"/>
        </w:rPr>
        <w:t>. Available at: </w:t>
      </w:r>
      <w:hyperlink r:id="rId19" w:tgtFrame="_new" w:history="1">
        <w:r w:rsidRPr="00516D61">
          <w:rPr>
            <w:rFonts w:ascii="Arial" w:hAnsi="Arial" w:cs="Arial"/>
            <w:color w:val="0000FF"/>
            <w:sz w:val="22"/>
            <w:szCs w:val="22"/>
            <w:u w:val="single"/>
          </w:rPr>
          <w:t>https://www.legislation.gov.uk/ukpga/2010/15/contents</w:t>
        </w:r>
      </w:hyperlink>
      <w:r w:rsidRPr="00516D61">
        <w:rPr>
          <w:rFonts w:ascii="Arial" w:hAnsi="Arial" w:cs="Arial"/>
          <w:sz w:val="22"/>
          <w:szCs w:val="22"/>
        </w:rPr>
        <w:t xml:space="preserve"> (Accessed: 21 </w:t>
      </w:r>
      <w:proofErr w:type="gramStart"/>
      <w:r w:rsidRPr="00516D61">
        <w:rPr>
          <w:rFonts w:ascii="Arial" w:hAnsi="Arial" w:cs="Arial"/>
          <w:sz w:val="22"/>
          <w:szCs w:val="22"/>
        </w:rPr>
        <w:t>December,</w:t>
      </w:r>
      <w:proofErr w:type="gramEnd"/>
      <w:r w:rsidRPr="00516D61">
        <w:rPr>
          <w:rFonts w:ascii="Arial" w:hAnsi="Arial" w:cs="Arial"/>
          <w:sz w:val="22"/>
          <w:szCs w:val="22"/>
        </w:rPr>
        <w:t xml:space="preserve"> 2025).</w:t>
      </w:r>
    </w:p>
    <w:p w14:paraId="399695D2" w14:textId="2C4C8329" w:rsidR="00D8239B" w:rsidRPr="00516D61" w:rsidRDefault="0014754E" w:rsidP="002E3344">
      <w:pPr>
        <w:spacing w:before="100" w:beforeAutospacing="1" w:after="100" w:afterAutospacing="1" w:line="360" w:lineRule="auto"/>
        <w:rPr>
          <w:rFonts w:ascii="Arial" w:hAnsi="Arial" w:cs="Arial"/>
          <w:sz w:val="22"/>
          <w:szCs w:val="22"/>
        </w:rPr>
      </w:pPr>
      <w:r w:rsidRPr="00516D61">
        <w:rPr>
          <w:rFonts w:ascii="Arial" w:hAnsi="Arial" w:cs="Arial"/>
          <w:sz w:val="22"/>
          <w:szCs w:val="22"/>
        </w:rPr>
        <w:t>Legislation.GOV</w:t>
      </w:r>
      <w:r w:rsidR="00186113" w:rsidRPr="00516D61">
        <w:rPr>
          <w:rFonts w:ascii="Arial" w:hAnsi="Arial" w:cs="Arial"/>
          <w:sz w:val="22"/>
          <w:szCs w:val="22"/>
        </w:rPr>
        <w:t xml:space="preserve"> (2005). </w:t>
      </w:r>
      <w:r w:rsidR="00B123F5" w:rsidRPr="00516D61">
        <w:rPr>
          <w:rFonts w:ascii="Arial" w:hAnsi="Arial" w:cs="Arial"/>
          <w:i/>
          <w:iCs/>
          <w:color w:val="000000"/>
          <w:sz w:val="22"/>
          <w:szCs w:val="22"/>
        </w:rPr>
        <w:t>Mental Capacity Act 2005</w:t>
      </w:r>
      <w:r w:rsidR="00186113" w:rsidRPr="00516D61">
        <w:rPr>
          <w:rFonts w:ascii="Arial" w:hAnsi="Arial" w:cs="Arial"/>
          <w:color w:val="000000"/>
          <w:sz w:val="22"/>
          <w:szCs w:val="22"/>
        </w:rPr>
        <w:t xml:space="preserve"> Available at:</w:t>
      </w:r>
      <w:r w:rsidR="00B123F5" w:rsidRPr="00516D61">
        <w:rPr>
          <w:rFonts w:ascii="Arial" w:hAnsi="Arial" w:cs="Arial"/>
          <w:color w:val="000000"/>
          <w:sz w:val="22"/>
          <w:szCs w:val="22"/>
        </w:rPr>
        <w:t> </w:t>
      </w:r>
      <w:hyperlink r:id="rId20" w:tgtFrame="_new" w:history="1">
        <w:r w:rsidR="00B123F5" w:rsidRPr="00516D61">
          <w:rPr>
            <w:rFonts w:ascii="Arial" w:hAnsi="Arial" w:cs="Arial"/>
            <w:color w:val="0000FF"/>
            <w:sz w:val="22"/>
            <w:szCs w:val="22"/>
            <w:u w:val="single"/>
          </w:rPr>
          <w:t>https://www.legislation.gov.uk/ukpga/2005/9/contents</w:t>
        </w:r>
      </w:hyperlink>
      <w:r w:rsidR="00186113" w:rsidRPr="00516D61">
        <w:rPr>
          <w:rFonts w:ascii="Arial" w:hAnsi="Arial" w:cs="Arial"/>
          <w:sz w:val="22"/>
          <w:szCs w:val="22"/>
        </w:rPr>
        <w:t xml:space="preserve"> (Accessed: 27 December 2025</w:t>
      </w:r>
      <w:r w:rsidR="007B208D" w:rsidRPr="00516D61">
        <w:rPr>
          <w:rFonts w:ascii="Arial" w:hAnsi="Arial" w:cs="Arial"/>
          <w:sz w:val="22"/>
          <w:szCs w:val="22"/>
        </w:rPr>
        <w:t>).</w:t>
      </w:r>
    </w:p>
    <w:p w14:paraId="2CD83226" w14:textId="77777777" w:rsidR="00071FFE" w:rsidRPr="00516D61" w:rsidRDefault="00071FFE" w:rsidP="002E3344">
      <w:pPr>
        <w:spacing w:before="100" w:beforeAutospacing="1" w:after="100" w:afterAutospacing="1" w:line="360" w:lineRule="auto"/>
        <w:rPr>
          <w:rFonts w:ascii="Arial" w:hAnsi="Arial" w:cs="Arial"/>
          <w:sz w:val="22"/>
          <w:szCs w:val="22"/>
        </w:rPr>
      </w:pPr>
      <w:r w:rsidRPr="00516D61">
        <w:rPr>
          <w:rFonts w:ascii="Arial" w:hAnsi="Arial" w:cs="Arial"/>
          <w:sz w:val="22"/>
          <w:szCs w:val="22"/>
        </w:rPr>
        <w:t xml:space="preserve">LGA (2025). </w:t>
      </w:r>
      <w:r w:rsidRPr="00516D61">
        <w:rPr>
          <w:rFonts w:ascii="Arial" w:hAnsi="Arial" w:cs="Arial"/>
          <w:i/>
          <w:iCs/>
          <w:sz w:val="22"/>
          <w:szCs w:val="22"/>
        </w:rPr>
        <w:t xml:space="preserve">Partnership Working </w:t>
      </w:r>
      <w:r w:rsidRPr="00516D61">
        <w:rPr>
          <w:rFonts w:ascii="Arial" w:hAnsi="Arial" w:cs="Arial"/>
          <w:sz w:val="22"/>
          <w:szCs w:val="22"/>
        </w:rPr>
        <w:t xml:space="preserve">Available at:  </w:t>
      </w:r>
      <w:hyperlink r:id="rId21" w:history="1">
        <w:r w:rsidRPr="00516D61">
          <w:rPr>
            <w:rStyle w:val="Hyperlink"/>
            <w:rFonts w:ascii="Arial" w:hAnsi="Arial" w:cs="Arial"/>
            <w:sz w:val="22"/>
            <w:szCs w:val="22"/>
          </w:rPr>
          <w:t>https://www.local.gov.uk/publications/top-tips-and-key-actions-successful-collaborative-partnership-working-across-mental</w:t>
        </w:r>
      </w:hyperlink>
      <w:r w:rsidRPr="00516D61">
        <w:rPr>
          <w:rFonts w:ascii="Arial" w:hAnsi="Arial" w:cs="Arial"/>
          <w:sz w:val="22"/>
          <w:szCs w:val="22"/>
        </w:rPr>
        <w:t xml:space="preserve"> (Accessed: 27 December 2025). </w:t>
      </w:r>
    </w:p>
    <w:p w14:paraId="60FE7945" w14:textId="4FD92A90" w:rsidR="00D8239B" w:rsidRPr="00516D61" w:rsidRDefault="00D8239B"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 xml:space="preserve">National Institute for Health and Care Excellence (2017). </w:t>
      </w:r>
      <w:r w:rsidRPr="00516D61">
        <w:rPr>
          <w:rFonts w:ascii="Arial" w:hAnsi="Arial" w:cs="Arial"/>
          <w:i/>
          <w:iCs/>
          <w:color w:val="000000"/>
          <w:sz w:val="22"/>
          <w:szCs w:val="22"/>
        </w:rPr>
        <w:t>Tailored Resources</w:t>
      </w:r>
      <w:r w:rsidR="00080D81" w:rsidRPr="00516D61">
        <w:rPr>
          <w:rFonts w:ascii="Arial" w:hAnsi="Arial" w:cs="Arial"/>
          <w:i/>
          <w:iCs/>
          <w:color w:val="000000"/>
          <w:sz w:val="22"/>
          <w:szCs w:val="22"/>
        </w:rPr>
        <w:t>.</w:t>
      </w:r>
      <w:r w:rsidRPr="00516D61">
        <w:rPr>
          <w:rFonts w:ascii="Arial" w:hAnsi="Arial" w:cs="Arial"/>
          <w:color w:val="000000"/>
          <w:sz w:val="22"/>
          <w:szCs w:val="22"/>
        </w:rPr>
        <w:t xml:space="preserve"> Available at: </w:t>
      </w:r>
      <w:hyperlink r:id="rId22" w:history="1">
        <w:r w:rsidRPr="00516D61">
          <w:rPr>
            <w:rStyle w:val="Hyperlink"/>
            <w:rFonts w:ascii="Arial" w:hAnsi="Arial" w:cs="Arial"/>
            <w:sz w:val="22"/>
            <w:szCs w:val="22"/>
          </w:rPr>
          <w:t>https://www.nice.org.uk/guidance/ng53/resources/working-with-adults-to-ensure-personcentred-care-and-support-for-admission-to-and-discharge-from-inpatient-mental-health-settings-pdf-5740302628069</w:t>
        </w:r>
      </w:hyperlink>
      <w:r w:rsidRPr="00516D61">
        <w:rPr>
          <w:rFonts w:ascii="Arial" w:hAnsi="Arial" w:cs="Arial"/>
          <w:color w:val="000000"/>
          <w:sz w:val="22"/>
          <w:szCs w:val="22"/>
        </w:rPr>
        <w:t xml:space="preserve"> (Accessed: 27 December 2025). </w:t>
      </w:r>
    </w:p>
    <w:p w14:paraId="34CEC31E" w14:textId="2FD777F0" w:rsidR="009C6A27" w:rsidRPr="00516D61" w:rsidRDefault="009C6A27"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NHS England (2019)</w:t>
      </w:r>
      <w:r w:rsidR="00080D81" w:rsidRPr="00516D61">
        <w:rPr>
          <w:rFonts w:ascii="Arial" w:hAnsi="Arial" w:cs="Arial"/>
          <w:color w:val="000000"/>
          <w:sz w:val="22"/>
          <w:szCs w:val="22"/>
        </w:rPr>
        <w:t>.</w:t>
      </w:r>
      <w:r w:rsidRPr="00516D61">
        <w:rPr>
          <w:rFonts w:ascii="Arial" w:hAnsi="Arial" w:cs="Arial"/>
          <w:color w:val="000000"/>
          <w:sz w:val="22"/>
          <w:szCs w:val="22"/>
        </w:rPr>
        <w:t> </w:t>
      </w:r>
      <w:r w:rsidRPr="00516D61">
        <w:rPr>
          <w:rFonts w:ascii="Arial" w:hAnsi="Arial" w:cs="Arial"/>
          <w:i/>
          <w:iCs/>
          <w:color w:val="000000"/>
          <w:sz w:val="22"/>
          <w:szCs w:val="22"/>
        </w:rPr>
        <w:t>The NHS Long Term Plan</w:t>
      </w:r>
      <w:r w:rsidRPr="00516D61">
        <w:rPr>
          <w:rFonts w:ascii="Arial" w:hAnsi="Arial" w:cs="Arial"/>
          <w:color w:val="000000"/>
          <w:sz w:val="22"/>
          <w:szCs w:val="22"/>
        </w:rPr>
        <w:t>. Available at: </w:t>
      </w:r>
      <w:hyperlink r:id="rId23" w:tgtFrame="_new" w:history="1">
        <w:r w:rsidRPr="00516D61">
          <w:rPr>
            <w:rFonts w:ascii="Arial" w:hAnsi="Arial" w:cs="Arial"/>
            <w:color w:val="0000FF"/>
            <w:sz w:val="22"/>
            <w:szCs w:val="22"/>
            <w:u w:val="single"/>
          </w:rPr>
          <w:t>https://www.longtermplan.nhs.uk/</w:t>
        </w:r>
      </w:hyperlink>
      <w:r w:rsidRPr="00516D61">
        <w:rPr>
          <w:rFonts w:ascii="Arial" w:hAnsi="Arial" w:cs="Arial"/>
          <w:sz w:val="22"/>
          <w:szCs w:val="22"/>
        </w:rPr>
        <w:t xml:space="preserve"> (Accessed: 21 </w:t>
      </w:r>
      <w:r w:rsidR="00080D81" w:rsidRPr="00516D61">
        <w:rPr>
          <w:rFonts w:ascii="Arial" w:hAnsi="Arial" w:cs="Arial"/>
          <w:sz w:val="22"/>
          <w:szCs w:val="22"/>
        </w:rPr>
        <w:t>December</w:t>
      </w:r>
      <w:r w:rsidRPr="00516D61">
        <w:rPr>
          <w:rFonts w:ascii="Arial" w:hAnsi="Arial" w:cs="Arial"/>
          <w:sz w:val="22"/>
          <w:szCs w:val="22"/>
        </w:rPr>
        <w:t xml:space="preserve"> 2025).</w:t>
      </w:r>
    </w:p>
    <w:p w14:paraId="1DC23773" w14:textId="77777777" w:rsidR="009D23E6" w:rsidRPr="00516D61" w:rsidRDefault="00E07A03" w:rsidP="002E3344">
      <w:pPr>
        <w:pStyle w:val="NormalWeb"/>
        <w:spacing w:line="360" w:lineRule="auto"/>
        <w:rPr>
          <w:rFonts w:ascii="Arial" w:hAnsi="Arial" w:cs="Arial"/>
          <w:color w:val="000000"/>
          <w:sz w:val="22"/>
          <w:szCs w:val="22"/>
        </w:rPr>
      </w:pPr>
      <w:r w:rsidRPr="00516D61">
        <w:rPr>
          <w:rFonts w:ascii="Arial" w:hAnsi="Arial" w:cs="Arial"/>
          <w:color w:val="000000"/>
          <w:sz w:val="22"/>
          <w:szCs w:val="22"/>
        </w:rPr>
        <w:t xml:space="preserve">NHS England (2025). </w:t>
      </w:r>
      <w:r w:rsidRPr="00516D61">
        <w:rPr>
          <w:rFonts w:ascii="Arial" w:hAnsi="Arial" w:cs="Arial"/>
          <w:i/>
          <w:iCs/>
          <w:color w:val="202A30"/>
          <w:sz w:val="22"/>
          <w:szCs w:val="22"/>
        </w:rPr>
        <w:t xml:space="preserve">Health inequalities and equality legal duties: A reference document for NHS commissioners and providers. </w:t>
      </w:r>
      <w:r w:rsidRPr="00516D61">
        <w:rPr>
          <w:rFonts w:ascii="Arial" w:hAnsi="Arial" w:cs="Arial"/>
          <w:color w:val="202A30"/>
          <w:sz w:val="22"/>
          <w:szCs w:val="22"/>
        </w:rPr>
        <w:t xml:space="preserve">Available at: </w:t>
      </w:r>
      <w:hyperlink r:id="rId24" w:history="1">
        <w:r w:rsidRPr="00516D61">
          <w:rPr>
            <w:rStyle w:val="Hyperlink"/>
            <w:rFonts w:ascii="Arial" w:hAnsi="Arial" w:cs="Arial"/>
            <w:sz w:val="22"/>
            <w:szCs w:val="22"/>
          </w:rPr>
          <w:t>https://www.england.nhs.uk/long-read/health-inequalities-equality-legal-duties/</w:t>
        </w:r>
      </w:hyperlink>
      <w:r w:rsidR="00090C71" w:rsidRPr="00516D61">
        <w:rPr>
          <w:rFonts w:ascii="Arial" w:hAnsi="Arial" w:cs="Arial"/>
          <w:color w:val="000000"/>
          <w:sz w:val="22"/>
          <w:szCs w:val="22"/>
        </w:rPr>
        <w:t xml:space="preserve"> </w:t>
      </w:r>
      <w:r w:rsidRPr="00516D61">
        <w:rPr>
          <w:rFonts w:ascii="Arial" w:hAnsi="Arial" w:cs="Arial"/>
          <w:color w:val="000000"/>
          <w:sz w:val="22"/>
          <w:szCs w:val="22"/>
        </w:rPr>
        <w:t>(Accessed: 27 December 2025).</w:t>
      </w:r>
      <w:r w:rsidR="009C6A27" w:rsidRPr="00516D61">
        <w:rPr>
          <w:rFonts w:ascii="Arial" w:hAnsi="Arial" w:cs="Arial"/>
          <w:color w:val="000000"/>
          <w:sz w:val="22"/>
          <w:szCs w:val="22"/>
        </w:rPr>
        <w:t xml:space="preserve"> </w:t>
      </w:r>
    </w:p>
    <w:p w14:paraId="2D5326BA" w14:textId="6A4615E1" w:rsidR="009C6A27" w:rsidRPr="00516D61" w:rsidRDefault="009C6A27" w:rsidP="002E3344">
      <w:pPr>
        <w:pStyle w:val="NormalWeb"/>
        <w:spacing w:line="360" w:lineRule="auto"/>
        <w:rPr>
          <w:rFonts w:ascii="Arial" w:hAnsi="Arial" w:cs="Arial"/>
          <w:color w:val="000000"/>
          <w:sz w:val="22"/>
          <w:szCs w:val="22"/>
        </w:rPr>
      </w:pPr>
      <w:r w:rsidRPr="00516D61">
        <w:rPr>
          <w:rFonts w:ascii="Arial" w:hAnsi="Arial" w:cs="Arial"/>
          <w:color w:val="000000"/>
          <w:sz w:val="22"/>
          <w:szCs w:val="22"/>
        </w:rPr>
        <w:t xml:space="preserve">NHS England (2025). </w:t>
      </w:r>
      <w:r w:rsidRPr="00516D61">
        <w:rPr>
          <w:rFonts w:ascii="Arial" w:hAnsi="Arial" w:cs="Arial"/>
          <w:i/>
          <w:iCs/>
          <w:color w:val="000000"/>
          <w:sz w:val="22"/>
          <w:szCs w:val="22"/>
        </w:rPr>
        <w:t xml:space="preserve">Person Centered Care </w:t>
      </w:r>
      <w:r w:rsidRPr="00516D61">
        <w:rPr>
          <w:rFonts w:ascii="Arial" w:hAnsi="Arial" w:cs="Arial"/>
          <w:color w:val="000000"/>
          <w:sz w:val="22"/>
          <w:szCs w:val="22"/>
        </w:rPr>
        <w:t xml:space="preserve">Available at: </w:t>
      </w:r>
      <w:hyperlink r:id="rId25" w:history="1">
        <w:r w:rsidRPr="00516D61">
          <w:rPr>
            <w:rStyle w:val="Hyperlink"/>
            <w:rFonts w:ascii="Arial" w:hAnsi="Arial" w:cs="Arial"/>
            <w:sz w:val="22"/>
            <w:szCs w:val="22"/>
          </w:rPr>
          <w:t>https://www.hee.nhs.uk/our-work/person-centred-care</w:t>
        </w:r>
      </w:hyperlink>
      <w:r w:rsidRPr="00516D61">
        <w:rPr>
          <w:rFonts w:ascii="Arial" w:hAnsi="Arial" w:cs="Arial"/>
          <w:color w:val="000000"/>
          <w:sz w:val="22"/>
          <w:szCs w:val="22"/>
        </w:rPr>
        <w:t xml:space="preserve"> (Accessed: 22 December 2025).</w:t>
      </w:r>
    </w:p>
    <w:p w14:paraId="14C8B114" w14:textId="5EBF87B3" w:rsidR="007A0594" w:rsidRPr="00516D61" w:rsidRDefault="007A0594" w:rsidP="002E3344">
      <w:pPr>
        <w:spacing w:before="100" w:beforeAutospacing="1" w:after="100" w:afterAutospacing="1" w:line="360" w:lineRule="auto"/>
        <w:rPr>
          <w:rFonts w:ascii="Arial" w:hAnsi="Arial" w:cs="Arial"/>
          <w:sz w:val="22"/>
          <w:szCs w:val="22"/>
        </w:rPr>
      </w:pPr>
      <w:proofErr w:type="spellStart"/>
      <w:r w:rsidRPr="00516D61">
        <w:rPr>
          <w:rFonts w:ascii="Arial" w:hAnsi="Arial" w:cs="Arial"/>
          <w:color w:val="000000"/>
          <w:sz w:val="22"/>
          <w:szCs w:val="22"/>
        </w:rPr>
        <w:lastRenderedPageBreak/>
        <w:t>Resnicow</w:t>
      </w:r>
      <w:proofErr w:type="spellEnd"/>
      <w:r w:rsidRPr="00516D61">
        <w:rPr>
          <w:rFonts w:ascii="Arial" w:hAnsi="Arial" w:cs="Arial"/>
          <w:color w:val="000000"/>
          <w:sz w:val="22"/>
          <w:szCs w:val="22"/>
        </w:rPr>
        <w:t>, K., Catley, D., Goggin, K., Hawley, S. and Williams, G.C. (2022).</w:t>
      </w:r>
      <w:r w:rsidRPr="00516D61">
        <w:rPr>
          <w:rStyle w:val="apple-converted-space"/>
          <w:rFonts w:ascii="Arial" w:eastAsiaTheme="majorEastAsia" w:hAnsi="Arial" w:cs="Arial"/>
          <w:color w:val="000000"/>
          <w:sz w:val="22"/>
          <w:szCs w:val="22"/>
        </w:rPr>
        <w:t> ‘</w:t>
      </w:r>
      <w:r w:rsidRPr="00516D61">
        <w:rPr>
          <w:rStyle w:val="Emphasis"/>
          <w:rFonts w:ascii="Arial" w:eastAsiaTheme="majorEastAsia" w:hAnsi="Arial" w:cs="Arial"/>
          <w:i w:val="0"/>
          <w:iCs w:val="0"/>
          <w:color w:val="000000"/>
          <w:sz w:val="22"/>
          <w:szCs w:val="22"/>
        </w:rPr>
        <w:t>Shared decision making in health care: Theoretical perspectives for why it works and for whom</w:t>
      </w:r>
      <w:r w:rsidRPr="00516D61">
        <w:rPr>
          <w:rStyle w:val="Emphasis"/>
          <w:rFonts w:ascii="Arial" w:eastAsiaTheme="majorEastAsia" w:hAnsi="Arial" w:cs="Arial"/>
          <w:color w:val="000000"/>
          <w:sz w:val="22"/>
          <w:szCs w:val="22"/>
        </w:rPr>
        <w:t xml:space="preserve">, </w:t>
      </w:r>
      <w:r w:rsidRPr="00516D61">
        <w:rPr>
          <w:rFonts w:ascii="Arial" w:hAnsi="Arial" w:cs="Arial"/>
          <w:i/>
          <w:iCs/>
          <w:color w:val="000000"/>
          <w:sz w:val="22"/>
          <w:szCs w:val="22"/>
        </w:rPr>
        <w:t>Medical Decision Making,</w:t>
      </w:r>
      <w:r w:rsidRPr="00516D61">
        <w:rPr>
          <w:rFonts w:ascii="Arial" w:hAnsi="Arial" w:cs="Arial"/>
          <w:color w:val="000000"/>
          <w:sz w:val="22"/>
          <w:szCs w:val="22"/>
        </w:rPr>
        <w:t xml:space="preserve"> 42(6), pp.755–764</w:t>
      </w:r>
      <w:r w:rsidR="008C24F1" w:rsidRPr="00516D61">
        <w:rPr>
          <w:rFonts w:ascii="Arial" w:hAnsi="Arial" w:cs="Arial"/>
          <w:color w:val="000000"/>
          <w:sz w:val="22"/>
          <w:szCs w:val="22"/>
        </w:rPr>
        <w:t>.</w:t>
      </w:r>
      <w:r w:rsidRPr="00516D61">
        <w:rPr>
          <w:rFonts w:ascii="Arial" w:hAnsi="Arial" w:cs="Arial"/>
          <w:color w:val="000000"/>
          <w:sz w:val="22"/>
          <w:szCs w:val="22"/>
        </w:rPr>
        <w:t xml:space="preserve"> Available at: </w:t>
      </w:r>
      <w:hyperlink r:id="rId26" w:history="1">
        <w:r w:rsidRPr="00516D61">
          <w:rPr>
            <w:rStyle w:val="Hyperlink"/>
            <w:rFonts w:ascii="Arial" w:hAnsi="Arial" w:cs="Arial"/>
            <w:sz w:val="22"/>
            <w:szCs w:val="22"/>
          </w:rPr>
          <w:t>https://journals.sagepub.com/doi/pdf/10.1177/0272989X211058068</w:t>
        </w:r>
      </w:hyperlink>
      <w:r w:rsidRPr="00516D61">
        <w:rPr>
          <w:rFonts w:ascii="Arial" w:hAnsi="Arial" w:cs="Arial"/>
          <w:color w:val="000000"/>
          <w:sz w:val="22"/>
          <w:szCs w:val="22"/>
        </w:rPr>
        <w:t xml:space="preserve"> (Accessed: 27 December 2025). </w:t>
      </w:r>
    </w:p>
    <w:p w14:paraId="2354B6C6" w14:textId="79202F87" w:rsidR="00756641" w:rsidRPr="00516D61" w:rsidRDefault="00756641" w:rsidP="002E3344">
      <w:pPr>
        <w:spacing w:before="100" w:beforeAutospacing="1" w:after="100" w:afterAutospacing="1" w:line="360" w:lineRule="auto"/>
        <w:rPr>
          <w:rStyle w:val="apple-converted-space"/>
          <w:rFonts w:ascii="Arial" w:eastAsiaTheme="majorEastAsia" w:hAnsi="Arial" w:cs="Arial"/>
          <w:color w:val="000000"/>
          <w:sz w:val="22"/>
          <w:szCs w:val="22"/>
        </w:rPr>
      </w:pPr>
      <w:r w:rsidRPr="00516D61">
        <w:rPr>
          <w:rFonts w:ascii="Arial" w:hAnsi="Arial" w:cs="Arial"/>
          <w:color w:val="000000"/>
          <w:sz w:val="22"/>
          <w:szCs w:val="22"/>
        </w:rPr>
        <w:t>Robertson, R., &amp; Williams, E. (2020).</w:t>
      </w:r>
      <w:r w:rsidRPr="00516D61">
        <w:rPr>
          <w:rStyle w:val="apple-converted-space"/>
          <w:rFonts w:ascii="Arial" w:eastAsiaTheme="majorEastAsia" w:hAnsi="Arial" w:cs="Arial"/>
          <w:color w:val="000000"/>
          <w:sz w:val="22"/>
          <w:szCs w:val="22"/>
        </w:rPr>
        <w:t> </w:t>
      </w:r>
      <w:r w:rsidRPr="00516D61">
        <w:rPr>
          <w:rStyle w:val="Emphasis"/>
          <w:rFonts w:ascii="Arial" w:eastAsiaTheme="majorEastAsia" w:hAnsi="Arial" w:cs="Arial"/>
          <w:color w:val="000000"/>
          <w:sz w:val="22"/>
          <w:szCs w:val="22"/>
        </w:rPr>
        <w:t>What does person</w:t>
      </w:r>
      <w:r w:rsidRPr="00516D61">
        <w:rPr>
          <w:rStyle w:val="Emphasis"/>
          <w:rFonts w:ascii="Arial" w:eastAsiaTheme="majorEastAsia" w:hAnsi="Arial" w:cs="Arial"/>
          <w:color w:val="000000"/>
          <w:sz w:val="22"/>
          <w:szCs w:val="22"/>
        </w:rPr>
        <w:noBreakHyphen/>
        <w:t>centred care mean for health and care staff?</w:t>
      </w:r>
      <w:r w:rsidRPr="00516D61">
        <w:rPr>
          <w:rStyle w:val="apple-converted-space"/>
          <w:rFonts w:ascii="Arial" w:eastAsiaTheme="majorEastAsia" w:hAnsi="Arial" w:cs="Arial"/>
          <w:color w:val="000000"/>
          <w:sz w:val="22"/>
          <w:szCs w:val="22"/>
        </w:rPr>
        <w:t> </w:t>
      </w:r>
      <w:r w:rsidR="002E3344" w:rsidRPr="00516D61">
        <w:rPr>
          <w:rStyle w:val="apple-converted-space"/>
          <w:rFonts w:ascii="Arial" w:eastAsiaTheme="majorEastAsia" w:hAnsi="Arial" w:cs="Arial"/>
          <w:color w:val="000000"/>
          <w:sz w:val="22"/>
          <w:szCs w:val="22"/>
        </w:rPr>
        <w:t>Available</w:t>
      </w:r>
      <w:r w:rsidRPr="00516D61">
        <w:rPr>
          <w:rStyle w:val="apple-converted-space"/>
          <w:rFonts w:ascii="Arial" w:eastAsiaTheme="majorEastAsia" w:hAnsi="Arial" w:cs="Arial"/>
          <w:color w:val="000000"/>
          <w:sz w:val="22"/>
          <w:szCs w:val="22"/>
        </w:rPr>
        <w:t xml:space="preserve"> at: </w:t>
      </w:r>
      <w:hyperlink r:id="rId27" w:history="1">
        <w:r w:rsidRPr="00516D61">
          <w:rPr>
            <w:rStyle w:val="Hyperlink"/>
            <w:rFonts w:ascii="Arial" w:eastAsiaTheme="majorEastAsia" w:hAnsi="Arial" w:cs="Arial"/>
            <w:sz w:val="22"/>
            <w:szCs w:val="22"/>
          </w:rPr>
          <w:t>https://www.health.org.uk/resources-and-toolkits/quick-guides/person-centred-care-made-simple</w:t>
        </w:r>
      </w:hyperlink>
      <w:r w:rsidRPr="00516D61">
        <w:rPr>
          <w:rStyle w:val="apple-converted-space"/>
          <w:rFonts w:ascii="Arial" w:eastAsiaTheme="majorEastAsia" w:hAnsi="Arial" w:cs="Arial"/>
          <w:color w:val="000000"/>
          <w:sz w:val="22"/>
          <w:szCs w:val="22"/>
        </w:rPr>
        <w:t xml:space="preserve"> </w:t>
      </w:r>
      <w:r w:rsidR="00BE0814" w:rsidRPr="00516D61">
        <w:rPr>
          <w:rStyle w:val="apple-converted-space"/>
          <w:rFonts w:ascii="Arial" w:eastAsiaTheme="majorEastAsia" w:hAnsi="Arial" w:cs="Arial"/>
          <w:color w:val="000000"/>
          <w:sz w:val="22"/>
          <w:szCs w:val="22"/>
        </w:rPr>
        <w:t>(Accessed: 27 December 2025).</w:t>
      </w:r>
    </w:p>
    <w:p w14:paraId="69F16216" w14:textId="4D019B9E" w:rsidR="00D66561" w:rsidRPr="00516D61" w:rsidRDefault="00126458"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Rogers, C. (1951) </w:t>
      </w:r>
      <w:r w:rsidRPr="00516D61">
        <w:rPr>
          <w:rFonts w:ascii="Arial" w:hAnsi="Arial" w:cs="Arial"/>
          <w:i/>
          <w:iCs/>
          <w:color w:val="000000"/>
          <w:sz w:val="22"/>
          <w:szCs w:val="22"/>
        </w:rPr>
        <w:t>Client-centred therapy</w:t>
      </w:r>
      <w:r w:rsidRPr="00516D61">
        <w:rPr>
          <w:rFonts w:ascii="Arial" w:hAnsi="Arial" w:cs="Arial"/>
          <w:color w:val="000000"/>
          <w:sz w:val="22"/>
          <w:szCs w:val="22"/>
        </w:rPr>
        <w:t>. Boston: Houghton Mifflin.</w:t>
      </w:r>
    </w:p>
    <w:p w14:paraId="4AD11A03" w14:textId="285D9526" w:rsidR="009D23E6" w:rsidRPr="00516D61" w:rsidRDefault="009D23E6" w:rsidP="002E3344">
      <w:pPr>
        <w:spacing w:before="100" w:beforeAutospacing="1" w:after="100" w:afterAutospacing="1" w:line="360" w:lineRule="auto"/>
        <w:rPr>
          <w:rFonts w:ascii="Arial" w:hAnsi="Arial" w:cs="Arial"/>
          <w:color w:val="000000"/>
          <w:sz w:val="22"/>
          <w:szCs w:val="22"/>
        </w:rPr>
      </w:pPr>
      <w:r w:rsidRPr="00516D61">
        <w:rPr>
          <w:rFonts w:ascii="Arial" w:hAnsi="Arial" w:cs="Arial"/>
          <w:color w:val="000000"/>
          <w:sz w:val="22"/>
          <w:szCs w:val="22"/>
        </w:rPr>
        <w:t>SCIE (2022)</w:t>
      </w:r>
      <w:r w:rsidR="008C24F1" w:rsidRPr="00516D61">
        <w:rPr>
          <w:rFonts w:ascii="Arial" w:hAnsi="Arial" w:cs="Arial"/>
          <w:color w:val="000000"/>
          <w:sz w:val="22"/>
          <w:szCs w:val="22"/>
        </w:rPr>
        <w:t xml:space="preserve">. </w:t>
      </w:r>
      <w:r w:rsidRPr="00516D61">
        <w:rPr>
          <w:rFonts w:ascii="Arial" w:hAnsi="Arial" w:cs="Arial"/>
          <w:i/>
          <w:iCs/>
          <w:color w:val="000000"/>
          <w:sz w:val="22"/>
          <w:szCs w:val="22"/>
        </w:rPr>
        <w:t xml:space="preserve">Guide to </w:t>
      </w:r>
      <w:r w:rsidR="008C24F1" w:rsidRPr="00516D61">
        <w:rPr>
          <w:rFonts w:ascii="Arial" w:hAnsi="Arial" w:cs="Arial"/>
          <w:i/>
          <w:iCs/>
          <w:color w:val="000000"/>
          <w:sz w:val="22"/>
          <w:szCs w:val="22"/>
        </w:rPr>
        <w:t>P</w:t>
      </w:r>
      <w:r w:rsidRPr="00516D61">
        <w:rPr>
          <w:rFonts w:ascii="Arial" w:hAnsi="Arial" w:cs="Arial"/>
          <w:i/>
          <w:iCs/>
          <w:color w:val="000000"/>
          <w:sz w:val="22"/>
          <w:szCs w:val="22"/>
        </w:rPr>
        <w:t xml:space="preserve">artnership </w:t>
      </w:r>
      <w:r w:rsidR="008C24F1" w:rsidRPr="00516D61">
        <w:rPr>
          <w:rFonts w:ascii="Arial" w:hAnsi="Arial" w:cs="Arial"/>
          <w:i/>
          <w:iCs/>
          <w:color w:val="000000"/>
          <w:sz w:val="22"/>
          <w:szCs w:val="22"/>
        </w:rPr>
        <w:t>W</w:t>
      </w:r>
      <w:r w:rsidRPr="00516D61">
        <w:rPr>
          <w:rFonts w:ascii="Arial" w:hAnsi="Arial" w:cs="Arial"/>
          <w:i/>
          <w:iCs/>
          <w:color w:val="000000"/>
          <w:sz w:val="22"/>
          <w:szCs w:val="22"/>
        </w:rPr>
        <w:t>orking</w:t>
      </w:r>
      <w:r w:rsidRPr="00516D61">
        <w:rPr>
          <w:rFonts w:ascii="Arial" w:hAnsi="Arial" w:cs="Arial"/>
          <w:color w:val="000000"/>
          <w:sz w:val="22"/>
          <w:szCs w:val="22"/>
        </w:rPr>
        <w:t>. Available at: </w:t>
      </w:r>
      <w:hyperlink r:id="rId28" w:history="1">
        <w:r w:rsidRPr="00516D61">
          <w:rPr>
            <w:rStyle w:val="Hyperlink"/>
            <w:rFonts w:ascii="Arial" w:hAnsi="Arial" w:cs="Arial"/>
            <w:sz w:val="22"/>
            <w:szCs w:val="22"/>
          </w:rPr>
          <w:t>https://www.scie.org.uk/publications/guides/guide50/</w:t>
        </w:r>
      </w:hyperlink>
      <w:r w:rsidRPr="00516D61">
        <w:rPr>
          <w:rFonts w:ascii="Arial" w:hAnsi="Arial" w:cs="Arial"/>
          <w:color w:val="000000"/>
          <w:sz w:val="22"/>
          <w:szCs w:val="22"/>
        </w:rPr>
        <w:t xml:space="preserve"> </w:t>
      </w:r>
      <w:r w:rsidRPr="00516D61">
        <w:rPr>
          <w:rFonts w:ascii="Arial" w:hAnsi="Arial" w:cs="Arial"/>
          <w:sz w:val="22"/>
          <w:szCs w:val="22"/>
        </w:rPr>
        <w:t xml:space="preserve">(Accessed: 21 </w:t>
      </w:r>
      <w:proofErr w:type="gramStart"/>
      <w:r w:rsidRPr="00516D61">
        <w:rPr>
          <w:rFonts w:ascii="Arial" w:hAnsi="Arial" w:cs="Arial"/>
          <w:sz w:val="22"/>
          <w:szCs w:val="22"/>
        </w:rPr>
        <w:t>December,</w:t>
      </w:r>
      <w:proofErr w:type="gramEnd"/>
      <w:r w:rsidRPr="00516D61">
        <w:rPr>
          <w:rFonts w:ascii="Arial" w:hAnsi="Arial" w:cs="Arial"/>
          <w:sz w:val="22"/>
          <w:szCs w:val="22"/>
        </w:rPr>
        <w:t xml:space="preserve"> 2025).</w:t>
      </w:r>
    </w:p>
    <w:p w14:paraId="72B34D66" w14:textId="77777777" w:rsidR="004748F1" w:rsidRPr="00516D61" w:rsidRDefault="004748F1" w:rsidP="002E3344">
      <w:pPr>
        <w:pStyle w:val="NormalWeb"/>
        <w:spacing w:line="360" w:lineRule="auto"/>
        <w:rPr>
          <w:rFonts w:ascii="Arial" w:hAnsi="Arial" w:cs="Arial"/>
          <w:color w:val="000000"/>
          <w:sz w:val="22"/>
          <w:szCs w:val="22"/>
        </w:rPr>
      </w:pPr>
      <w:r w:rsidRPr="00516D61">
        <w:rPr>
          <w:rFonts w:ascii="Arial" w:hAnsi="Arial" w:cs="Arial"/>
          <w:color w:val="181817"/>
          <w:sz w:val="22"/>
          <w:szCs w:val="22"/>
          <w:shd w:val="clear" w:color="auto" w:fill="FFFFFF"/>
        </w:rPr>
        <w:t>Tait L, Shah S. (2007) ‘Partnership working: a policy with promise for mental healthcare’,</w:t>
      </w:r>
      <w:r w:rsidRPr="00516D61">
        <w:rPr>
          <w:rStyle w:val="apple-converted-space"/>
          <w:rFonts w:ascii="Arial" w:eastAsiaTheme="majorEastAsia" w:hAnsi="Arial" w:cs="Arial"/>
          <w:color w:val="181817"/>
          <w:sz w:val="22"/>
          <w:szCs w:val="22"/>
          <w:shd w:val="clear" w:color="auto" w:fill="FFFFFF"/>
        </w:rPr>
        <w:t> </w:t>
      </w:r>
      <w:r w:rsidRPr="00516D61">
        <w:rPr>
          <w:rFonts w:ascii="Arial" w:hAnsi="Arial" w:cs="Arial"/>
          <w:i/>
          <w:iCs/>
          <w:color w:val="181817"/>
          <w:sz w:val="22"/>
          <w:szCs w:val="22"/>
        </w:rPr>
        <w:t xml:space="preserve">Advances in Psychiatric Treatment, </w:t>
      </w:r>
      <w:r w:rsidRPr="00516D61">
        <w:rPr>
          <w:rFonts w:ascii="Arial" w:hAnsi="Arial" w:cs="Arial"/>
          <w:color w:val="181817"/>
          <w:sz w:val="22"/>
          <w:szCs w:val="22"/>
          <w:shd w:val="clear" w:color="auto" w:fill="FFFFFF"/>
        </w:rPr>
        <w:t xml:space="preserve">13(4), pp.261-271. Available at: </w:t>
      </w:r>
      <w:hyperlink r:id="rId29" w:history="1">
        <w:r w:rsidRPr="00516D61">
          <w:rPr>
            <w:rStyle w:val="Hyperlink"/>
            <w:rFonts w:ascii="Arial" w:hAnsi="Arial" w:cs="Arial"/>
            <w:sz w:val="22"/>
            <w:szCs w:val="22"/>
            <w:shd w:val="clear" w:color="auto" w:fill="FFFFFF"/>
          </w:rPr>
          <w:t>doi:10.1192/apt.bp.106.003178</w:t>
        </w:r>
      </w:hyperlink>
      <w:r w:rsidRPr="00516D61">
        <w:rPr>
          <w:rFonts w:ascii="Arial" w:hAnsi="Arial" w:cs="Arial"/>
          <w:color w:val="181817"/>
          <w:sz w:val="22"/>
          <w:szCs w:val="22"/>
          <w:shd w:val="clear" w:color="auto" w:fill="FFFFFF"/>
        </w:rPr>
        <w:t xml:space="preserve"> (Accessed 27 December 2025).</w:t>
      </w:r>
      <w:r w:rsidRPr="00516D61">
        <w:rPr>
          <w:rFonts w:ascii="Arial" w:hAnsi="Arial" w:cs="Arial"/>
          <w:color w:val="000000"/>
          <w:sz w:val="22"/>
          <w:szCs w:val="22"/>
        </w:rPr>
        <w:t xml:space="preserve"> </w:t>
      </w:r>
    </w:p>
    <w:p w14:paraId="00C38186" w14:textId="334BC758" w:rsidR="00B47178" w:rsidRPr="00D929A3" w:rsidRDefault="002C28DE" w:rsidP="002E3344">
      <w:pPr>
        <w:spacing w:before="100" w:beforeAutospacing="1" w:after="100" w:afterAutospacing="1" w:line="360" w:lineRule="auto"/>
        <w:rPr>
          <w:rFonts w:ascii="Arial" w:hAnsi="Arial" w:cs="Arial"/>
          <w:sz w:val="22"/>
          <w:szCs w:val="22"/>
        </w:rPr>
      </w:pPr>
      <w:r w:rsidRPr="00516D61">
        <w:rPr>
          <w:rFonts w:ascii="Arial" w:hAnsi="Arial" w:cs="Arial"/>
          <w:sz w:val="22"/>
          <w:szCs w:val="22"/>
        </w:rPr>
        <w:t>Taylor (20</w:t>
      </w:r>
      <w:r w:rsidR="00B33C9E" w:rsidRPr="00516D61">
        <w:rPr>
          <w:rFonts w:ascii="Arial" w:hAnsi="Arial" w:cs="Arial"/>
          <w:sz w:val="22"/>
          <w:szCs w:val="22"/>
        </w:rPr>
        <w:t>2</w:t>
      </w:r>
      <w:r w:rsidRPr="00516D61">
        <w:rPr>
          <w:rFonts w:ascii="Arial" w:hAnsi="Arial" w:cs="Arial"/>
          <w:sz w:val="22"/>
          <w:szCs w:val="22"/>
        </w:rPr>
        <w:t>2)</w:t>
      </w:r>
      <w:r w:rsidR="00756641" w:rsidRPr="00516D61">
        <w:rPr>
          <w:rFonts w:ascii="Arial" w:hAnsi="Arial" w:cs="Arial"/>
          <w:sz w:val="22"/>
          <w:szCs w:val="22"/>
        </w:rPr>
        <w:t>.</w:t>
      </w:r>
      <w:r w:rsidR="00B33C9E" w:rsidRPr="00516D61">
        <w:rPr>
          <w:rFonts w:ascii="Arial" w:hAnsi="Arial" w:cs="Arial"/>
          <w:sz w:val="22"/>
          <w:szCs w:val="22"/>
        </w:rPr>
        <w:t xml:space="preserve"> </w:t>
      </w:r>
      <w:r w:rsidR="004D4F32" w:rsidRPr="00516D61">
        <w:rPr>
          <w:rFonts w:ascii="Arial" w:hAnsi="Arial" w:cs="Arial"/>
          <w:i/>
          <w:iCs/>
          <w:sz w:val="22"/>
          <w:szCs w:val="22"/>
        </w:rPr>
        <w:t xml:space="preserve">Centre for Mental Health. </w:t>
      </w:r>
      <w:r w:rsidR="004D4F32" w:rsidRPr="00516D61">
        <w:rPr>
          <w:rFonts w:ascii="Arial" w:hAnsi="Arial" w:cs="Arial"/>
          <w:sz w:val="22"/>
          <w:szCs w:val="22"/>
        </w:rPr>
        <w:t>Available at:</w:t>
      </w:r>
      <w:r w:rsidR="00756641" w:rsidRPr="00516D61">
        <w:rPr>
          <w:rFonts w:ascii="Arial" w:hAnsi="Arial" w:cs="Arial"/>
          <w:sz w:val="22"/>
          <w:szCs w:val="22"/>
        </w:rPr>
        <w:t xml:space="preserve"> </w:t>
      </w:r>
      <w:hyperlink r:id="rId30" w:history="1">
        <w:r w:rsidR="00756641" w:rsidRPr="00516D61">
          <w:rPr>
            <w:rStyle w:val="Hyperlink"/>
            <w:rFonts w:ascii="Arial" w:hAnsi="Arial" w:cs="Arial"/>
            <w:sz w:val="22"/>
            <w:szCs w:val="22"/>
          </w:rPr>
          <w:t>https://www.centreformentalhealth.org.uk/publications/working-partnership/</w:t>
        </w:r>
      </w:hyperlink>
      <w:r w:rsidRPr="00516D61">
        <w:rPr>
          <w:rFonts w:ascii="Arial" w:hAnsi="Arial" w:cs="Arial"/>
          <w:sz w:val="22"/>
          <w:szCs w:val="22"/>
        </w:rPr>
        <w:t xml:space="preserve"> </w:t>
      </w:r>
      <w:r w:rsidR="00756641" w:rsidRPr="00516D61">
        <w:rPr>
          <w:rFonts w:ascii="Arial" w:hAnsi="Arial" w:cs="Arial"/>
          <w:sz w:val="22"/>
          <w:szCs w:val="22"/>
        </w:rPr>
        <w:t>(Accessed 27 December 2025).</w:t>
      </w:r>
      <w:r w:rsidR="00B47178" w:rsidRPr="0034663D">
        <w:rPr>
          <w:rFonts w:ascii="Arial" w:hAnsi="Arial" w:cs="Arial"/>
          <w:color w:val="000000"/>
          <w:sz w:val="22"/>
          <w:szCs w:val="22"/>
        </w:rPr>
        <w:br/>
      </w:r>
      <w:r w:rsidR="00B47178" w:rsidRPr="0034663D">
        <w:rPr>
          <w:rFonts w:ascii="Arial" w:hAnsi="Arial" w:cs="Arial"/>
          <w:color w:val="000000"/>
          <w:sz w:val="22"/>
          <w:szCs w:val="22"/>
        </w:rPr>
        <w:br/>
      </w:r>
    </w:p>
    <w:p w14:paraId="72D927FB" w14:textId="77777777" w:rsidR="00B41940" w:rsidRPr="0034663D" w:rsidRDefault="00B41940" w:rsidP="002E3344">
      <w:pPr>
        <w:spacing w:line="360" w:lineRule="auto"/>
        <w:rPr>
          <w:rFonts w:ascii="Arial" w:hAnsi="Arial" w:cs="Arial"/>
          <w:sz w:val="22"/>
          <w:szCs w:val="22"/>
        </w:rPr>
      </w:pPr>
    </w:p>
    <w:sectPr w:rsidR="00B41940" w:rsidRPr="0034663D">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4427C" w14:textId="77777777" w:rsidR="007B1C5C" w:rsidRDefault="007B1C5C" w:rsidP="003B60E3">
      <w:r>
        <w:separator/>
      </w:r>
    </w:p>
  </w:endnote>
  <w:endnote w:type="continuationSeparator" w:id="0">
    <w:p w14:paraId="03E3D831" w14:textId="77777777" w:rsidR="007B1C5C" w:rsidRDefault="007B1C5C" w:rsidP="003B6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2824310"/>
      <w:docPartObj>
        <w:docPartGallery w:val="Page Numbers (Bottom of Page)"/>
        <w:docPartUnique/>
      </w:docPartObj>
    </w:sdtPr>
    <w:sdtEndPr>
      <w:rPr>
        <w:rStyle w:val="PageNumber"/>
      </w:rPr>
    </w:sdtEndPr>
    <w:sdtContent>
      <w:p w14:paraId="30C06C73" w14:textId="557FBD66" w:rsidR="003B60E3" w:rsidRDefault="003B60E3" w:rsidP="00E15D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A6F73F5" w14:textId="77777777" w:rsidR="003B60E3" w:rsidRDefault="003B60E3" w:rsidP="003B60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6677891"/>
      <w:docPartObj>
        <w:docPartGallery w:val="Page Numbers (Bottom of Page)"/>
        <w:docPartUnique/>
      </w:docPartObj>
    </w:sdtPr>
    <w:sdtEndPr>
      <w:rPr>
        <w:rStyle w:val="PageNumber"/>
      </w:rPr>
    </w:sdtEndPr>
    <w:sdtContent>
      <w:p w14:paraId="5AA9CBFA" w14:textId="463E68AC" w:rsidR="003B60E3" w:rsidRDefault="003B60E3" w:rsidP="00E15D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307D86D1" w14:textId="77777777" w:rsidR="003B60E3" w:rsidRDefault="003B60E3" w:rsidP="003B60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0419B" w14:textId="77777777" w:rsidR="007B1C5C" w:rsidRDefault="007B1C5C" w:rsidP="003B60E3">
      <w:r>
        <w:separator/>
      </w:r>
    </w:p>
  </w:footnote>
  <w:footnote w:type="continuationSeparator" w:id="0">
    <w:p w14:paraId="275AB892" w14:textId="77777777" w:rsidR="007B1C5C" w:rsidRDefault="007B1C5C" w:rsidP="003B6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7FEF"/>
    <w:multiLevelType w:val="multilevel"/>
    <w:tmpl w:val="8336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276A7"/>
    <w:multiLevelType w:val="multilevel"/>
    <w:tmpl w:val="75A0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66CAD"/>
    <w:multiLevelType w:val="multilevel"/>
    <w:tmpl w:val="F072D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E1AF4"/>
    <w:multiLevelType w:val="multilevel"/>
    <w:tmpl w:val="524E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BD5827"/>
    <w:multiLevelType w:val="multilevel"/>
    <w:tmpl w:val="0D9A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83A19"/>
    <w:multiLevelType w:val="multilevel"/>
    <w:tmpl w:val="1AF0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0C3380"/>
    <w:multiLevelType w:val="multilevel"/>
    <w:tmpl w:val="DC60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C4271"/>
    <w:multiLevelType w:val="multilevel"/>
    <w:tmpl w:val="4E30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B7BCA"/>
    <w:multiLevelType w:val="multilevel"/>
    <w:tmpl w:val="6D50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A5602"/>
    <w:multiLevelType w:val="multilevel"/>
    <w:tmpl w:val="8F8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94D7F"/>
    <w:multiLevelType w:val="multilevel"/>
    <w:tmpl w:val="9CDC5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1156E"/>
    <w:multiLevelType w:val="multilevel"/>
    <w:tmpl w:val="A058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B6DCC"/>
    <w:multiLevelType w:val="multilevel"/>
    <w:tmpl w:val="DB70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C53CE"/>
    <w:multiLevelType w:val="multilevel"/>
    <w:tmpl w:val="BCE2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335127"/>
    <w:multiLevelType w:val="multilevel"/>
    <w:tmpl w:val="3396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7A0485"/>
    <w:multiLevelType w:val="multilevel"/>
    <w:tmpl w:val="0BCC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812093"/>
    <w:multiLevelType w:val="multilevel"/>
    <w:tmpl w:val="A2786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173137"/>
    <w:multiLevelType w:val="multilevel"/>
    <w:tmpl w:val="951A7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26993"/>
    <w:multiLevelType w:val="multilevel"/>
    <w:tmpl w:val="F660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C7402"/>
    <w:multiLevelType w:val="multilevel"/>
    <w:tmpl w:val="7ED2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D7E1E"/>
    <w:multiLevelType w:val="multilevel"/>
    <w:tmpl w:val="3E440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E2414E"/>
    <w:multiLevelType w:val="multilevel"/>
    <w:tmpl w:val="369E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2E53F3"/>
    <w:multiLevelType w:val="multilevel"/>
    <w:tmpl w:val="B3E6F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644FF7"/>
    <w:multiLevelType w:val="multilevel"/>
    <w:tmpl w:val="0702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67E68"/>
    <w:multiLevelType w:val="multilevel"/>
    <w:tmpl w:val="7D2E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D57FE4"/>
    <w:multiLevelType w:val="multilevel"/>
    <w:tmpl w:val="3F90C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EA375C"/>
    <w:multiLevelType w:val="multilevel"/>
    <w:tmpl w:val="FA16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223856"/>
    <w:multiLevelType w:val="multilevel"/>
    <w:tmpl w:val="E936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44457E"/>
    <w:multiLevelType w:val="multilevel"/>
    <w:tmpl w:val="8AE4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2361D0"/>
    <w:multiLevelType w:val="multilevel"/>
    <w:tmpl w:val="7286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52FF6"/>
    <w:multiLevelType w:val="multilevel"/>
    <w:tmpl w:val="5C08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322F45"/>
    <w:multiLevelType w:val="multilevel"/>
    <w:tmpl w:val="2F70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701535"/>
    <w:multiLevelType w:val="multilevel"/>
    <w:tmpl w:val="8A96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B83A50"/>
    <w:multiLevelType w:val="multilevel"/>
    <w:tmpl w:val="7CA4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2B7F19"/>
    <w:multiLevelType w:val="multilevel"/>
    <w:tmpl w:val="5D0E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906092"/>
    <w:multiLevelType w:val="multilevel"/>
    <w:tmpl w:val="012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0D30B1"/>
    <w:multiLevelType w:val="multilevel"/>
    <w:tmpl w:val="564C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71644"/>
    <w:multiLevelType w:val="multilevel"/>
    <w:tmpl w:val="A8C06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04689B"/>
    <w:multiLevelType w:val="multilevel"/>
    <w:tmpl w:val="B372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D2C58"/>
    <w:multiLevelType w:val="multilevel"/>
    <w:tmpl w:val="B4EE8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005DB4"/>
    <w:multiLevelType w:val="hybridMultilevel"/>
    <w:tmpl w:val="EFFE6D50"/>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4178B7"/>
    <w:multiLevelType w:val="multilevel"/>
    <w:tmpl w:val="BC76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C819E8"/>
    <w:multiLevelType w:val="multilevel"/>
    <w:tmpl w:val="FA54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307E4D"/>
    <w:multiLevelType w:val="multilevel"/>
    <w:tmpl w:val="621C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DC78D8"/>
    <w:multiLevelType w:val="multilevel"/>
    <w:tmpl w:val="AA62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77247">
    <w:abstractNumId w:val="43"/>
  </w:num>
  <w:num w:numId="2" w16cid:durableId="1859586600">
    <w:abstractNumId w:val="22"/>
  </w:num>
  <w:num w:numId="3" w16cid:durableId="743181475">
    <w:abstractNumId w:val="27"/>
  </w:num>
  <w:num w:numId="4" w16cid:durableId="2083063730">
    <w:abstractNumId w:val="39"/>
  </w:num>
  <w:num w:numId="5" w16cid:durableId="610010286">
    <w:abstractNumId w:val="42"/>
  </w:num>
  <w:num w:numId="6" w16cid:durableId="1740135490">
    <w:abstractNumId w:val="14"/>
  </w:num>
  <w:num w:numId="7" w16cid:durableId="1776245431">
    <w:abstractNumId w:val="5"/>
  </w:num>
  <w:num w:numId="8" w16cid:durableId="1525704553">
    <w:abstractNumId w:val="37"/>
  </w:num>
  <w:num w:numId="9" w16cid:durableId="1290741057">
    <w:abstractNumId w:val="38"/>
  </w:num>
  <w:num w:numId="10" w16cid:durableId="1148932753">
    <w:abstractNumId w:val="29"/>
  </w:num>
  <w:num w:numId="11" w16cid:durableId="1067069973">
    <w:abstractNumId w:val="23"/>
  </w:num>
  <w:num w:numId="12" w16cid:durableId="1757632553">
    <w:abstractNumId w:val="1"/>
  </w:num>
  <w:num w:numId="13" w16cid:durableId="1851019264">
    <w:abstractNumId w:val="32"/>
  </w:num>
  <w:num w:numId="14" w16cid:durableId="533538483">
    <w:abstractNumId w:val="31"/>
  </w:num>
  <w:num w:numId="15" w16cid:durableId="824777652">
    <w:abstractNumId w:val="36"/>
  </w:num>
  <w:num w:numId="16" w16cid:durableId="249317770">
    <w:abstractNumId w:val="2"/>
  </w:num>
  <w:num w:numId="17" w16cid:durableId="207106022">
    <w:abstractNumId w:val="34"/>
  </w:num>
  <w:num w:numId="18" w16cid:durableId="1034113153">
    <w:abstractNumId w:val="21"/>
  </w:num>
  <w:num w:numId="19" w16cid:durableId="1735077693">
    <w:abstractNumId w:val="7"/>
  </w:num>
  <w:num w:numId="20" w16cid:durableId="404499258">
    <w:abstractNumId w:val="0"/>
  </w:num>
  <w:num w:numId="21" w16cid:durableId="1177229647">
    <w:abstractNumId w:val="3"/>
  </w:num>
  <w:num w:numId="22" w16cid:durableId="1959293770">
    <w:abstractNumId w:val="4"/>
  </w:num>
  <w:num w:numId="23" w16cid:durableId="1824351118">
    <w:abstractNumId w:val="16"/>
  </w:num>
  <w:num w:numId="24" w16cid:durableId="1495871459">
    <w:abstractNumId w:val="6"/>
  </w:num>
  <w:num w:numId="25" w16cid:durableId="73868688">
    <w:abstractNumId w:val="28"/>
  </w:num>
  <w:num w:numId="26" w16cid:durableId="1016925582">
    <w:abstractNumId w:val="20"/>
  </w:num>
  <w:num w:numId="27" w16cid:durableId="2125222972">
    <w:abstractNumId w:val="17"/>
  </w:num>
  <w:num w:numId="28" w16cid:durableId="487357002">
    <w:abstractNumId w:val="25"/>
  </w:num>
  <w:num w:numId="29" w16cid:durableId="230239828">
    <w:abstractNumId w:val="15"/>
  </w:num>
  <w:num w:numId="30" w16cid:durableId="648368447">
    <w:abstractNumId w:val="44"/>
  </w:num>
  <w:num w:numId="31" w16cid:durableId="1285119359">
    <w:abstractNumId w:val="11"/>
  </w:num>
  <w:num w:numId="32" w16cid:durableId="449276949">
    <w:abstractNumId w:val="12"/>
  </w:num>
  <w:num w:numId="33" w16cid:durableId="979770008">
    <w:abstractNumId w:val="8"/>
  </w:num>
  <w:num w:numId="34" w16cid:durableId="594627930">
    <w:abstractNumId w:val="30"/>
  </w:num>
  <w:num w:numId="35" w16cid:durableId="2098014665">
    <w:abstractNumId w:val="18"/>
  </w:num>
  <w:num w:numId="36" w16cid:durableId="437213120">
    <w:abstractNumId w:val="19"/>
  </w:num>
  <w:num w:numId="37" w16cid:durableId="1365322228">
    <w:abstractNumId w:val="9"/>
  </w:num>
  <w:num w:numId="38" w16cid:durableId="167259561">
    <w:abstractNumId w:val="13"/>
  </w:num>
  <w:num w:numId="39" w16cid:durableId="450049980">
    <w:abstractNumId w:val="41"/>
  </w:num>
  <w:num w:numId="40" w16cid:durableId="39214735">
    <w:abstractNumId w:val="35"/>
  </w:num>
  <w:num w:numId="41" w16cid:durableId="1365130603">
    <w:abstractNumId w:val="33"/>
  </w:num>
  <w:num w:numId="42" w16cid:durableId="2077511194">
    <w:abstractNumId w:val="40"/>
  </w:num>
  <w:num w:numId="43" w16cid:durableId="77332651">
    <w:abstractNumId w:val="24"/>
  </w:num>
  <w:num w:numId="44" w16cid:durableId="1308784866">
    <w:abstractNumId w:val="10"/>
  </w:num>
  <w:num w:numId="45" w16cid:durableId="877789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9F4"/>
    <w:rsid w:val="00000CEA"/>
    <w:rsid w:val="000032E2"/>
    <w:rsid w:val="00011F23"/>
    <w:rsid w:val="00013954"/>
    <w:rsid w:val="00015CD3"/>
    <w:rsid w:val="00017723"/>
    <w:rsid w:val="00036372"/>
    <w:rsid w:val="00045DB8"/>
    <w:rsid w:val="00050EEE"/>
    <w:rsid w:val="000515CD"/>
    <w:rsid w:val="0005629F"/>
    <w:rsid w:val="000716FB"/>
    <w:rsid w:val="00071FFE"/>
    <w:rsid w:val="00072BBE"/>
    <w:rsid w:val="00072E02"/>
    <w:rsid w:val="00080C6E"/>
    <w:rsid w:val="00080D81"/>
    <w:rsid w:val="00082340"/>
    <w:rsid w:val="00083C0D"/>
    <w:rsid w:val="00090C71"/>
    <w:rsid w:val="00092789"/>
    <w:rsid w:val="000A0E55"/>
    <w:rsid w:val="000A4CEA"/>
    <w:rsid w:val="000C6BA5"/>
    <w:rsid w:val="000E46A5"/>
    <w:rsid w:val="000E6024"/>
    <w:rsid w:val="000F32B5"/>
    <w:rsid w:val="000F5670"/>
    <w:rsid w:val="000F65A6"/>
    <w:rsid w:val="001020BB"/>
    <w:rsid w:val="00102C9E"/>
    <w:rsid w:val="00105B03"/>
    <w:rsid w:val="00111A1E"/>
    <w:rsid w:val="00117750"/>
    <w:rsid w:val="00120A9A"/>
    <w:rsid w:val="00120EE4"/>
    <w:rsid w:val="00125945"/>
    <w:rsid w:val="00126458"/>
    <w:rsid w:val="001323E8"/>
    <w:rsid w:val="00133FB4"/>
    <w:rsid w:val="00135641"/>
    <w:rsid w:val="00136C96"/>
    <w:rsid w:val="0014754E"/>
    <w:rsid w:val="0015421B"/>
    <w:rsid w:val="00164F3E"/>
    <w:rsid w:val="0017254C"/>
    <w:rsid w:val="001749C1"/>
    <w:rsid w:val="00186113"/>
    <w:rsid w:val="00192F41"/>
    <w:rsid w:val="001943D8"/>
    <w:rsid w:val="00194DDA"/>
    <w:rsid w:val="00195031"/>
    <w:rsid w:val="001975A1"/>
    <w:rsid w:val="001A20B3"/>
    <w:rsid w:val="001C11CE"/>
    <w:rsid w:val="001C5E83"/>
    <w:rsid w:val="001D25F3"/>
    <w:rsid w:val="001D2D19"/>
    <w:rsid w:val="001D5978"/>
    <w:rsid w:val="001D64D4"/>
    <w:rsid w:val="001E425E"/>
    <w:rsid w:val="001F4746"/>
    <w:rsid w:val="001F7134"/>
    <w:rsid w:val="00206FAC"/>
    <w:rsid w:val="00210730"/>
    <w:rsid w:val="00213594"/>
    <w:rsid w:val="00215F0B"/>
    <w:rsid w:val="00242D6D"/>
    <w:rsid w:val="00246667"/>
    <w:rsid w:val="00251618"/>
    <w:rsid w:val="00257133"/>
    <w:rsid w:val="00257377"/>
    <w:rsid w:val="00267676"/>
    <w:rsid w:val="00267F8D"/>
    <w:rsid w:val="00282C2E"/>
    <w:rsid w:val="00283917"/>
    <w:rsid w:val="0028732C"/>
    <w:rsid w:val="002917CE"/>
    <w:rsid w:val="00294EDB"/>
    <w:rsid w:val="002A31DC"/>
    <w:rsid w:val="002C28DE"/>
    <w:rsid w:val="002D13BF"/>
    <w:rsid w:val="002D1A30"/>
    <w:rsid w:val="002D4176"/>
    <w:rsid w:val="002E3344"/>
    <w:rsid w:val="002F66BF"/>
    <w:rsid w:val="002F7C42"/>
    <w:rsid w:val="00301A76"/>
    <w:rsid w:val="0030785A"/>
    <w:rsid w:val="00307954"/>
    <w:rsid w:val="0031743E"/>
    <w:rsid w:val="003179BA"/>
    <w:rsid w:val="0033734D"/>
    <w:rsid w:val="0034663D"/>
    <w:rsid w:val="00366420"/>
    <w:rsid w:val="003748C0"/>
    <w:rsid w:val="00375EE7"/>
    <w:rsid w:val="003768A0"/>
    <w:rsid w:val="00381A58"/>
    <w:rsid w:val="00384958"/>
    <w:rsid w:val="003865A1"/>
    <w:rsid w:val="0039572E"/>
    <w:rsid w:val="003A1BE6"/>
    <w:rsid w:val="003A3B2C"/>
    <w:rsid w:val="003A6B82"/>
    <w:rsid w:val="003A73CC"/>
    <w:rsid w:val="003B401A"/>
    <w:rsid w:val="003B60E3"/>
    <w:rsid w:val="003C3B12"/>
    <w:rsid w:val="003C3F58"/>
    <w:rsid w:val="003C601C"/>
    <w:rsid w:val="003D2D71"/>
    <w:rsid w:val="003D7D56"/>
    <w:rsid w:val="003E4B07"/>
    <w:rsid w:val="003E5DF7"/>
    <w:rsid w:val="00403412"/>
    <w:rsid w:val="00411B9F"/>
    <w:rsid w:val="0041534E"/>
    <w:rsid w:val="00415E6B"/>
    <w:rsid w:val="004179F3"/>
    <w:rsid w:val="004243B7"/>
    <w:rsid w:val="004277D6"/>
    <w:rsid w:val="00430CC3"/>
    <w:rsid w:val="00432008"/>
    <w:rsid w:val="00436DE0"/>
    <w:rsid w:val="004527F4"/>
    <w:rsid w:val="00456A6E"/>
    <w:rsid w:val="0047177C"/>
    <w:rsid w:val="004748F1"/>
    <w:rsid w:val="00476326"/>
    <w:rsid w:val="00485217"/>
    <w:rsid w:val="0049011D"/>
    <w:rsid w:val="00493E7E"/>
    <w:rsid w:val="00495253"/>
    <w:rsid w:val="004A3715"/>
    <w:rsid w:val="004A6BCB"/>
    <w:rsid w:val="004B1FB5"/>
    <w:rsid w:val="004B4A4D"/>
    <w:rsid w:val="004B6789"/>
    <w:rsid w:val="004C146D"/>
    <w:rsid w:val="004D4F32"/>
    <w:rsid w:val="004D760D"/>
    <w:rsid w:val="004E46BA"/>
    <w:rsid w:val="004F00BB"/>
    <w:rsid w:val="004F58A0"/>
    <w:rsid w:val="004F7F68"/>
    <w:rsid w:val="00510BEC"/>
    <w:rsid w:val="00511418"/>
    <w:rsid w:val="00515576"/>
    <w:rsid w:val="00516D61"/>
    <w:rsid w:val="00527F5F"/>
    <w:rsid w:val="00533A3A"/>
    <w:rsid w:val="00536109"/>
    <w:rsid w:val="00561789"/>
    <w:rsid w:val="0056548D"/>
    <w:rsid w:val="00574030"/>
    <w:rsid w:val="00575957"/>
    <w:rsid w:val="00575E5D"/>
    <w:rsid w:val="005819C1"/>
    <w:rsid w:val="00582941"/>
    <w:rsid w:val="005974A8"/>
    <w:rsid w:val="005A69A9"/>
    <w:rsid w:val="005B3F95"/>
    <w:rsid w:val="005B4502"/>
    <w:rsid w:val="005B6CDA"/>
    <w:rsid w:val="005C13CC"/>
    <w:rsid w:val="005C18DB"/>
    <w:rsid w:val="005C3802"/>
    <w:rsid w:val="005C419B"/>
    <w:rsid w:val="005C4726"/>
    <w:rsid w:val="005C5736"/>
    <w:rsid w:val="005C6AF2"/>
    <w:rsid w:val="005C6D03"/>
    <w:rsid w:val="005D4C8C"/>
    <w:rsid w:val="005D5862"/>
    <w:rsid w:val="005E08A2"/>
    <w:rsid w:val="005E315E"/>
    <w:rsid w:val="005F74D4"/>
    <w:rsid w:val="006105D5"/>
    <w:rsid w:val="0061530F"/>
    <w:rsid w:val="00620CA8"/>
    <w:rsid w:val="00630FF6"/>
    <w:rsid w:val="006359F4"/>
    <w:rsid w:val="00645B23"/>
    <w:rsid w:val="00645B34"/>
    <w:rsid w:val="00645B46"/>
    <w:rsid w:val="00647FCD"/>
    <w:rsid w:val="00650EB7"/>
    <w:rsid w:val="00665BAD"/>
    <w:rsid w:val="00665E29"/>
    <w:rsid w:val="00672BDC"/>
    <w:rsid w:val="006740A0"/>
    <w:rsid w:val="00682C24"/>
    <w:rsid w:val="0069019B"/>
    <w:rsid w:val="00690732"/>
    <w:rsid w:val="00693B44"/>
    <w:rsid w:val="006A6DC1"/>
    <w:rsid w:val="006B3065"/>
    <w:rsid w:val="006D43B3"/>
    <w:rsid w:val="006D44FA"/>
    <w:rsid w:val="006D5ECA"/>
    <w:rsid w:val="006D7524"/>
    <w:rsid w:val="006E29E2"/>
    <w:rsid w:val="006F6E9E"/>
    <w:rsid w:val="006F7434"/>
    <w:rsid w:val="007002DC"/>
    <w:rsid w:val="00700948"/>
    <w:rsid w:val="00701FEE"/>
    <w:rsid w:val="00702795"/>
    <w:rsid w:val="00703895"/>
    <w:rsid w:val="0071326D"/>
    <w:rsid w:val="00721092"/>
    <w:rsid w:val="00725F6A"/>
    <w:rsid w:val="0073258A"/>
    <w:rsid w:val="00734156"/>
    <w:rsid w:val="00734396"/>
    <w:rsid w:val="00744463"/>
    <w:rsid w:val="00744BC0"/>
    <w:rsid w:val="007469A5"/>
    <w:rsid w:val="00756641"/>
    <w:rsid w:val="0075706C"/>
    <w:rsid w:val="00777DBE"/>
    <w:rsid w:val="007875B4"/>
    <w:rsid w:val="00787E37"/>
    <w:rsid w:val="00787F33"/>
    <w:rsid w:val="007A0594"/>
    <w:rsid w:val="007A261C"/>
    <w:rsid w:val="007A3713"/>
    <w:rsid w:val="007B1C5C"/>
    <w:rsid w:val="007B208D"/>
    <w:rsid w:val="007B25BB"/>
    <w:rsid w:val="007B3167"/>
    <w:rsid w:val="007B3A89"/>
    <w:rsid w:val="007C022C"/>
    <w:rsid w:val="007C5FD8"/>
    <w:rsid w:val="007D20DF"/>
    <w:rsid w:val="007D2BA3"/>
    <w:rsid w:val="007D74BF"/>
    <w:rsid w:val="007E0DFA"/>
    <w:rsid w:val="007F1521"/>
    <w:rsid w:val="007F5E47"/>
    <w:rsid w:val="0080542F"/>
    <w:rsid w:val="00807C47"/>
    <w:rsid w:val="00811336"/>
    <w:rsid w:val="00812DA7"/>
    <w:rsid w:val="00816B8E"/>
    <w:rsid w:val="00820EB4"/>
    <w:rsid w:val="008231FE"/>
    <w:rsid w:val="008316E9"/>
    <w:rsid w:val="00833CD8"/>
    <w:rsid w:val="00844A42"/>
    <w:rsid w:val="00855C1F"/>
    <w:rsid w:val="0086198E"/>
    <w:rsid w:val="008806C6"/>
    <w:rsid w:val="00895077"/>
    <w:rsid w:val="00896703"/>
    <w:rsid w:val="008A3347"/>
    <w:rsid w:val="008B487A"/>
    <w:rsid w:val="008B6CA4"/>
    <w:rsid w:val="008C24F1"/>
    <w:rsid w:val="008D1A31"/>
    <w:rsid w:val="008D2007"/>
    <w:rsid w:val="008D3EB4"/>
    <w:rsid w:val="008E41DB"/>
    <w:rsid w:val="008E65A6"/>
    <w:rsid w:val="008E7F31"/>
    <w:rsid w:val="008F2DAD"/>
    <w:rsid w:val="008F7647"/>
    <w:rsid w:val="00907C9A"/>
    <w:rsid w:val="00910A48"/>
    <w:rsid w:val="0091561B"/>
    <w:rsid w:val="00921DC0"/>
    <w:rsid w:val="00922AF4"/>
    <w:rsid w:val="00926617"/>
    <w:rsid w:val="00927090"/>
    <w:rsid w:val="00930C38"/>
    <w:rsid w:val="00940E03"/>
    <w:rsid w:val="009443CC"/>
    <w:rsid w:val="00944A4A"/>
    <w:rsid w:val="00945C1F"/>
    <w:rsid w:val="00946824"/>
    <w:rsid w:val="00952E8B"/>
    <w:rsid w:val="00957ABF"/>
    <w:rsid w:val="009714BF"/>
    <w:rsid w:val="00982F3A"/>
    <w:rsid w:val="0098548A"/>
    <w:rsid w:val="00985871"/>
    <w:rsid w:val="00991FC4"/>
    <w:rsid w:val="009931D7"/>
    <w:rsid w:val="00995E78"/>
    <w:rsid w:val="00997F17"/>
    <w:rsid w:val="009A2324"/>
    <w:rsid w:val="009A3E0C"/>
    <w:rsid w:val="009A64BD"/>
    <w:rsid w:val="009B13AA"/>
    <w:rsid w:val="009B19F7"/>
    <w:rsid w:val="009C6A27"/>
    <w:rsid w:val="009D23E6"/>
    <w:rsid w:val="009D3B7E"/>
    <w:rsid w:val="009E5E03"/>
    <w:rsid w:val="009F2A7C"/>
    <w:rsid w:val="00A01EDC"/>
    <w:rsid w:val="00A02050"/>
    <w:rsid w:val="00A075FA"/>
    <w:rsid w:val="00A13F3D"/>
    <w:rsid w:val="00A1712C"/>
    <w:rsid w:val="00A171CE"/>
    <w:rsid w:val="00A17CDA"/>
    <w:rsid w:val="00A20681"/>
    <w:rsid w:val="00A265E5"/>
    <w:rsid w:val="00A33257"/>
    <w:rsid w:val="00A33503"/>
    <w:rsid w:val="00A42EB3"/>
    <w:rsid w:val="00A4543C"/>
    <w:rsid w:val="00A45A96"/>
    <w:rsid w:val="00A51ACA"/>
    <w:rsid w:val="00A53EA5"/>
    <w:rsid w:val="00A613A5"/>
    <w:rsid w:val="00A71DBC"/>
    <w:rsid w:val="00A739D7"/>
    <w:rsid w:val="00A73DEA"/>
    <w:rsid w:val="00A823C2"/>
    <w:rsid w:val="00A87142"/>
    <w:rsid w:val="00A90D5E"/>
    <w:rsid w:val="00A91140"/>
    <w:rsid w:val="00A9225B"/>
    <w:rsid w:val="00AA3071"/>
    <w:rsid w:val="00AB1188"/>
    <w:rsid w:val="00AB4ADA"/>
    <w:rsid w:val="00AC1609"/>
    <w:rsid w:val="00AC40E0"/>
    <w:rsid w:val="00AD46B8"/>
    <w:rsid w:val="00AD68DF"/>
    <w:rsid w:val="00AD7D8E"/>
    <w:rsid w:val="00AE154E"/>
    <w:rsid w:val="00AE2B90"/>
    <w:rsid w:val="00AE51BC"/>
    <w:rsid w:val="00B01C44"/>
    <w:rsid w:val="00B0226D"/>
    <w:rsid w:val="00B03024"/>
    <w:rsid w:val="00B04747"/>
    <w:rsid w:val="00B123F5"/>
    <w:rsid w:val="00B166A5"/>
    <w:rsid w:val="00B21237"/>
    <w:rsid w:val="00B2191C"/>
    <w:rsid w:val="00B30EB1"/>
    <w:rsid w:val="00B328FA"/>
    <w:rsid w:val="00B33C9E"/>
    <w:rsid w:val="00B33CDF"/>
    <w:rsid w:val="00B404EF"/>
    <w:rsid w:val="00B41940"/>
    <w:rsid w:val="00B47178"/>
    <w:rsid w:val="00B50325"/>
    <w:rsid w:val="00B62768"/>
    <w:rsid w:val="00B65F4F"/>
    <w:rsid w:val="00B67A88"/>
    <w:rsid w:val="00B77FCD"/>
    <w:rsid w:val="00B8124B"/>
    <w:rsid w:val="00B97982"/>
    <w:rsid w:val="00BA3095"/>
    <w:rsid w:val="00BC790C"/>
    <w:rsid w:val="00BE0814"/>
    <w:rsid w:val="00BE46C8"/>
    <w:rsid w:val="00BF61B7"/>
    <w:rsid w:val="00C3231A"/>
    <w:rsid w:val="00C339E1"/>
    <w:rsid w:val="00C404F3"/>
    <w:rsid w:val="00C43548"/>
    <w:rsid w:val="00C6408A"/>
    <w:rsid w:val="00C6444C"/>
    <w:rsid w:val="00C64BF8"/>
    <w:rsid w:val="00C66C68"/>
    <w:rsid w:val="00C70B93"/>
    <w:rsid w:val="00C7166C"/>
    <w:rsid w:val="00C76CDD"/>
    <w:rsid w:val="00C804A4"/>
    <w:rsid w:val="00C8123C"/>
    <w:rsid w:val="00C830C6"/>
    <w:rsid w:val="00C964C0"/>
    <w:rsid w:val="00CB1420"/>
    <w:rsid w:val="00CB35D1"/>
    <w:rsid w:val="00CB478C"/>
    <w:rsid w:val="00CB59D7"/>
    <w:rsid w:val="00CC0918"/>
    <w:rsid w:val="00CC2F8A"/>
    <w:rsid w:val="00CC5869"/>
    <w:rsid w:val="00CC6112"/>
    <w:rsid w:val="00CC68B6"/>
    <w:rsid w:val="00CD6817"/>
    <w:rsid w:val="00CE5BFF"/>
    <w:rsid w:val="00CE7151"/>
    <w:rsid w:val="00CF30FC"/>
    <w:rsid w:val="00CF73CB"/>
    <w:rsid w:val="00D31046"/>
    <w:rsid w:val="00D31240"/>
    <w:rsid w:val="00D32AF7"/>
    <w:rsid w:val="00D35C38"/>
    <w:rsid w:val="00D366FF"/>
    <w:rsid w:val="00D4121D"/>
    <w:rsid w:val="00D41B8A"/>
    <w:rsid w:val="00D5238B"/>
    <w:rsid w:val="00D53306"/>
    <w:rsid w:val="00D56FD9"/>
    <w:rsid w:val="00D66561"/>
    <w:rsid w:val="00D66A06"/>
    <w:rsid w:val="00D74C44"/>
    <w:rsid w:val="00D77624"/>
    <w:rsid w:val="00D8239B"/>
    <w:rsid w:val="00D86DBF"/>
    <w:rsid w:val="00D878A2"/>
    <w:rsid w:val="00D929A3"/>
    <w:rsid w:val="00D9361E"/>
    <w:rsid w:val="00DA3CAC"/>
    <w:rsid w:val="00DB51FA"/>
    <w:rsid w:val="00DC20E4"/>
    <w:rsid w:val="00DC4E21"/>
    <w:rsid w:val="00DD2BD5"/>
    <w:rsid w:val="00DD7C29"/>
    <w:rsid w:val="00DD7E6D"/>
    <w:rsid w:val="00DE47AF"/>
    <w:rsid w:val="00DE6FF4"/>
    <w:rsid w:val="00DE729C"/>
    <w:rsid w:val="00DE7A4B"/>
    <w:rsid w:val="00E07A03"/>
    <w:rsid w:val="00E10F13"/>
    <w:rsid w:val="00E1595E"/>
    <w:rsid w:val="00E15F02"/>
    <w:rsid w:val="00E164CC"/>
    <w:rsid w:val="00E200E4"/>
    <w:rsid w:val="00E271C6"/>
    <w:rsid w:val="00E40CCD"/>
    <w:rsid w:val="00E4234E"/>
    <w:rsid w:val="00E43ADF"/>
    <w:rsid w:val="00E45FB8"/>
    <w:rsid w:val="00E4691F"/>
    <w:rsid w:val="00E500F2"/>
    <w:rsid w:val="00E5323F"/>
    <w:rsid w:val="00E54432"/>
    <w:rsid w:val="00E61914"/>
    <w:rsid w:val="00E62D41"/>
    <w:rsid w:val="00E71877"/>
    <w:rsid w:val="00E71DC9"/>
    <w:rsid w:val="00E72ADB"/>
    <w:rsid w:val="00E80345"/>
    <w:rsid w:val="00E826E4"/>
    <w:rsid w:val="00E92188"/>
    <w:rsid w:val="00E93A60"/>
    <w:rsid w:val="00E9570B"/>
    <w:rsid w:val="00E9772F"/>
    <w:rsid w:val="00EA3610"/>
    <w:rsid w:val="00EA61B4"/>
    <w:rsid w:val="00EB0AE5"/>
    <w:rsid w:val="00EB18C2"/>
    <w:rsid w:val="00EB2F17"/>
    <w:rsid w:val="00EB7B25"/>
    <w:rsid w:val="00EC03C8"/>
    <w:rsid w:val="00EC269D"/>
    <w:rsid w:val="00ED07B4"/>
    <w:rsid w:val="00EE2260"/>
    <w:rsid w:val="00EF4916"/>
    <w:rsid w:val="00F07BD1"/>
    <w:rsid w:val="00F24797"/>
    <w:rsid w:val="00F2659F"/>
    <w:rsid w:val="00F33245"/>
    <w:rsid w:val="00F3433A"/>
    <w:rsid w:val="00F36537"/>
    <w:rsid w:val="00F47A1A"/>
    <w:rsid w:val="00F5492C"/>
    <w:rsid w:val="00F93E78"/>
    <w:rsid w:val="00F95617"/>
    <w:rsid w:val="00FA0313"/>
    <w:rsid w:val="00FA3671"/>
    <w:rsid w:val="00FA4CB4"/>
    <w:rsid w:val="00FB1E49"/>
    <w:rsid w:val="00FB1EF1"/>
    <w:rsid w:val="00FD064B"/>
    <w:rsid w:val="00FE3A6E"/>
    <w:rsid w:val="00FE7495"/>
    <w:rsid w:val="00FF2A78"/>
    <w:rsid w:val="00FF3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C127F"/>
  <w15:chartTrackingRefBased/>
  <w15:docId w15:val="{960F854C-FB02-7D4E-B460-D141FC2A2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0E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359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359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359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359F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6359F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6359F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359F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359F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359F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5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5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35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35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9F4"/>
    <w:rPr>
      <w:rFonts w:eastAsiaTheme="majorEastAsia" w:cstheme="majorBidi"/>
      <w:color w:val="272727" w:themeColor="text1" w:themeTint="D8"/>
    </w:rPr>
  </w:style>
  <w:style w:type="paragraph" w:styleId="Title">
    <w:name w:val="Title"/>
    <w:basedOn w:val="Normal"/>
    <w:next w:val="Normal"/>
    <w:link w:val="TitleChar"/>
    <w:uiPriority w:val="10"/>
    <w:qFormat/>
    <w:rsid w:val="006359F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35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9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35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9F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359F4"/>
    <w:rPr>
      <w:i/>
      <w:iCs/>
      <w:color w:val="404040" w:themeColor="text1" w:themeTint="BF"/>
    </w:rPr>
  </w:style>
  <w:style w:type="paragraph" w:styleId="ListParagraph">
    <w:name w:val="List Paragraph"/>
    <w:basedOn w:val="Normal"/>
    <w:uiPriority w:val="34"/>
    <w:qFormat/>
    <w:rsid w:val="006359F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359F4"/>
    <w:rPr>
      <w:i/>
      <w:iCs/>
      <w:color w:val="0F4761" w:themeColor="accent1" w:themeShade="BF"/>
    </w:rPr>
  </w:style>
  <w:style w:type="paragraph" w:styleId="IntenseQuote">
    <w:name w:val="Intense Quote"/>
    <w:basedOn w:val="Normal"/>
    <w:next w:val="Normal"/>
    <w:link w:val="IntenseQuoteChar"/>
    <w:uiPriority w:val="30"/>
    <w:qFormat/>
    <w:rsid w:val="006359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359F4"/>
    <w:rPr>
      <w:i/>
      <w:iCs/>
      <w:color w:val="0F4761" w:themeColor="accent1" w:themeShade="BF"/>
    </w:rPr>
  </w:style>
  <w:style w:type="character" w:styleId="IntenseReference">
    <w:name w:val="Intense Reference"/>
    <w:basedOn w:val="DefaultParagraphFont"/>
    <w:uiPriority w:val="32"/>
    <w:qFormat/>
    <w:rsid w:val="006359F4"/>
    <w:rPr>
      <w:b/>
      <w:bCs/>
      <w:smallCaps/>
      <w:color w:val="0F4761" w:themeColor="accent1" w:themeShade="BF"/>
      <w:spacing w:val="5"/>
    </w:rPr>
  </w:style>
  <w:style w:type="paragraph" w:styleId="NormalWeb">
    <w:name w:val="Normal (Web)"/>
    <w:basedOn w:val="Normal"/>
    <w:uiPriority w:val="99"/>
    <w:unhideWhenUsed/>
    <w:rsid w:val="006359F4"/>
    <w:pPr>
      <w:spacing w:before="100" w:beforeAutospacing="1" w:after="100" w:afterAutospacing="1"/>
    </w:pPr>
  </w:style>
  <w:style w:type="character" w:customStyle="1" w:styleId="apple-converted-space">
    <w:name w:val="apple-converted-space"/>
    <w:basedOn w:val="DefaultParagraphFont"/>
    <w:rsid w:val="006359F4"/>
  </w:style>
  <w:style w:type="character" w:styleId="Strong">
    <w:name w:val="Strong"/>
    <w:basedOn w:val="DefaultParagraphFont"/>
    <w:uiPriority w:val="22"/>
    <w:qFormat/>
    <w:rsid w:val="006359F4"/>
    <w:rPr>
      <w:b/>
      <w:bCs/>
    </w:rPr>
  </w:style>
  <w:style w:type="character" w:styleId="Hyperlink">
    <w:name w:val="Hyperlink"/>
    <w:basedOn w:val="DefaultParagraphFont"/>
    <w:uiPriority w:val="99"/>
    <w:unhideWhenUsed/>
    <w:rsid w:val="006359F4"/>
    <w:rPr>
      <w:color w:val="0000FF"/>
      <w:u w:val="single"/>
    </w:rPr>
  </w:style>
  <w:style w:type="character" w:styleId="Emphasis">
    <w:name w:val="Emphasis"/>
    <w:basedOn w:val="DefaultParagraphFont"/>
    <w:uiPriority w:val="20"/>
    <w:qFormat/>
    <w:rsid w:val="006359F4"/>
    <w:rPr>
      <w:i/>
      <w:iCs/>
    </w:rPr>
  </w:style>
  <w:style w:type="paragraph" w:styleId="z-TopofForm">
    <w:name w:val="HTML Top of Form"/>
    <w:basedOn w:val="Normal"/>
    <w:next w:val="Normal"/>
    <w:link w:val="z-TopofFormChar"/>
    <w:hidden/>
    <w:uiPriority w:val="99"/>
    <w:semiHidden/>
    <w:unhideWhenUsed/>
    <w:rsid w:val="006359F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359F4"/>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6359F4"/>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6359F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359F4"/>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E500F2"/>
    <w:rPr>
      <w:color w:val="96607D" w:themeColor="followedHyperlink"/>
      <w:u w:val="single"/>
    </w:rPr>
  </w:style>
  <w:style w:type="character" w:customStyle="1" w:styleId="fai-referencecontent">
    <w:name w:val="fai-reference__content"/>
    <w:basedOn w:val="DefaultParagraphFont"/>
    <w:rsid w:val="006D43B3"/>
  </w:style>
  <w:style w:type="character" w:customStyle="1" w:styleId="fui-text">
    <w:name w:val="fui-text"/>
    <w:basedOn w:val="DefaultParagraphFont"/>
    <w:rsid w:val="006D43B3"/>
  </w:style>
  <w:style w:type="character" w:styleId="UnresolvedMention">
    <w:name w:val="Unresolved Mention"/>
    <w:basedOn w:val="DefaultParagraphFont"/>
    <w:uiPriority w:val="99"/>
    <w:semiHidden/>
    <w:unhideWhenUsed/>
    <w:rsid w:val="00282C2E"/>
    <w:rPr>
      <w:color w:val="605E5C"/>
      <w:shd w:val="clear" w:color="auto" w:fill="E1DFDD"/>
    </w:rPr>
  </w:style>
  <w:style w:type="character" w:customStyle="1" w:styleId="group">
    <w:name w:val="group"/>
    <w:basedOn w:val="DefaultParagraphFont"/>
    <w:rsid w:val="00282C2E"/>
  </w:style>
  <w:style w:type="paragraph" w:styleId="Footer">
    <w:name w:val="footer"/>
    <w:basedOn w:val="Normal"/>
    <w:link w:val="FooterChar"/>
    <w:uiPriority w:val="99"/>
    <w:unhideWhenUsed/>
    <w:rsid w:val="003B60E3"/>
    <w:pPr>
      <w:tabs>
        <w:tab w:val="center" w:pos="4513"/>
        <w:tab w:val="right" w:pos="9026"/>
      </w:tabs>
    </w:pPr>
  </w:style>
  <w:style w:type="character" w:customStyle="1" w:styleId="FooterChar">
    <w:name w:val="Footer Char"/>
    <w:basedOn w:val="DefaultParagraphFont"/>
    <w:link w:val="Footer"/>
    <w:uiPriority w:val="99"/>
    <w:rsid w:val="003B60E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B60E3"/>
  </w:style>
  <w:style w:type="paragraph" w:customStyle="1" w:styleId="c-bibliographic-informationcitation">
    <w:name w:val="c-bibliographic-information__citation"/>
    <w:basedOn w:val="Normal"/>
    <w:rsid w:val="0003637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3746461/?utm_source=chatgpt.com" TargetMode="External"/><Relationship Id="rId18" Type="http://schemas.openxmlformats.org/officeDocument/2006/relationships/hyperlink" Target="https://www.legislation.gov.uk/ukpga/2014/23/contents" TargetMode="External"/><Relationship Id="rId26" Type="http://schemas.openxmlformats.org/officeDocument/2006/relationships/hyperlink" Target="https://journals.sagepub.com/doi/pdf/10.1177/0272989X211058068" TargetMode="External"/><Relationship Id="rId3" Type="http://schemas.openxmlformats.org/officeDocument/2006/relationships/styles" Target="styles.xml"/><Relationship Id="rId21" Type="http://schemas.openxmlformats.org/officeDocument/2006/relationships/hyperlink" Target="https://www.local.gov.uk/publications/top-tips-and-key-actions-successful-collaborative-partnership-working-across-menta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he-nhs-constitution-for-england" TargetMode="External"/><Relationship Id="rId17" Type="http://schemas.openxmlformats.org/officeDocument/2006/relationships/hyperlink" Target="https://www.health.org.uk/publications/quick-guides/person-centred-care" TargetMode="External"/><Relationship Id="rId25" Type="http://schemas.openxmlformats.org/officeDocument/2006/relationships/hyperlink" Target="https://www.hee.nhs.uk/our-work/person-centred-car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collections/health-and-care-act-2022" TargetMode="External"/><Relationship Id="rId20" Type="http://schemas.openxmlformats.org/officeDocument/2006/relationships/hyperlink" Target="https://www.legislation.gov.uk/ukpga/2005/9/contents" TargetMode="External"/><Relationship Id="rId29" Type="http://schemas.openxmlformats.org/officeDocument/2006/relationships/hyperlink" Target="https://www.cambridge.org/core/journals/advances-in-psychiatric-treatment/article/partnership-working-a-policy-with-promise-for-mental-%20Resnicow,%20K.,%20Catley,%20D.,%20Goggin,%20K.,%20Hawley,%20S.,%20%26%20Williams,%20G.%20C.%20(2022).%C2%A0Shared%20decision%20making%20in%20health%20care:%20Theoretical%20perspectives%20for%20why%20it%20works%20and%20for%20whom.%C2%A0Medical%20Decision%20Making,%2042(6),%20755&#8211;764healthcare/3CDCCFE5FE2791AB93B5E5710865DA3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27151403/" TargetMode="External"/><Relationship Id="rId24" Type="http://schemas.openxmlformats.org/officeDocument/2006/relationships/hyperlink" Target="https://www.england.nhs.uk/long-read/health-inequalities-equality-legal-dutie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uk/government/publications/the-nhs-constitution-for-england" TargetMode="External"/><Relationship Id="rId23" Type="http://schemas.openxmlformats.org/officeDocument/2006/relationships/hyperlink" Target="https://www.longtermplan.nhs.uk/" TargetMode="External"/><Relationship Id="rId28" Type="http://schemas.openxmlformats.org/officeDocument/2006/relationships/hyperlink" Target="https://www.scie.org.uk/publications/guides/guide50/" TargetMode="External"/><Relationship Id="rId10" Type="http://schemas.openxmlformats.org/officeDocument/2006/relationships/hyperlink" Target="https://www.cqc.org.uk/publications/monitoring-mental-health-act/2023-2024/workforce" TargetMode="External"/><Relationship Id="rId19" Type="http://schemas.openxmlformats.org/officeDocument/2006/relationships/hyperlink" Target="https://www.legislation.gov.uk/ukpga/2010/15/content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11/scs.12376" TargetMode="External"/><Relationship Id="rId14" Type="http://schemas.openxmlformats.org/officeDocument/2006/relationships/hyperlink" Target="https://doi.org/10.1136/medethics-2014-102282" TargetMode="External"/><Relationship Id="rId22" Type="http://schemas.openxmlformats.org/officeDocument/2006/relationships/hyperlink" Target="https://www.nice.org.uk/guidance/ng53/resources/working-with-adults-to-ensure-personcentred-care-and-support-for-admission-to-and-discharge-from-inpatient-mental-health-settings-pdf-5740302628069" TargetMode="External"/><Relationship Id="rId27" Type="http://schemas.openxmlformats.org/officeDocument/2006/relationships/hyperlink" Target="https://www.health.org.uk/resources-and-toolkits/quick-guides/person-centred-care-made-simple" TargetMode="External"/><Relationship Id="rId30" Type="http://schemas.openxmlformats.org/officeDocument/2006/relationships/hyperlink" Target="https://www.centreformentalhealth.org.uk/publications/working-partnership/" TargetMode="External"/><Relationship Id="rId8" Type="http://schemas.openxmlformats.org/officeDocument/2006/relationships/hyperlink" Target="https://doi.org/10.1136/jech.57.4.2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A5CC-3DFE-1B40-B15D-0A8206D1A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3221</Words>
  <Characters>21647</Characters>
  <Application>Microsoft Office Word</Application>
  <DocSecurity>0</DocSecurity>
  <Lines>373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24745</CharactersWithSpaces>
  <SharedDoc>false</SharedDoc>
  <HLinks>
    <vt:vector size="270" baseType="variant">
      <vt:variant>
        <vt:i4>917571</vt:i4>
      </vt:variant>
      <vt:variant>
        <vt:i4>132</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129</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126</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123</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120</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117</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114</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111</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108</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105</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102</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99</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96</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93</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90</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87</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84</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81</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78</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75</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72</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69</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66</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63</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60</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57</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54</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51</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48</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45</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917571</vt:i4>
      </vt:variant>
      <vt:variant>
        <vt:i4>42</vt:i4>
      </vt:variant>
      <vt:variant>
        <vt:i4>0</vt:i4>
      </vt:variant>
      <vt:variant>
        <vt:i4>5</vt:i4>
      </vt:variant>
      <vt:variant>
        <vt:lpwstr>https://uowtsd-my.sharepoint.com/personal/2412252_student_uwtsd_ac_uk/Documents/Microsoft Copilot Chat Files/5016 Component 2 Report Guidance.docx</vt:lpwstr>
      </vt:variant>
      <vt:variant>
        <vt:lpwstr/>
      </vt:variant>
      <vt:variant>
        <vt:i4>2490428</vt:i4>
      </vt:variant>
      <vt:variant>
        <vt:i4>39</vt:i4>
      </vt:variant>
      <vt:variant>
        <vt:i4>0</vt:i4>
      </vt:variant>
      <vt:variant>
        <vt:i4>5</vt:i4>
      </vt:variant>
      <vt:variant>
        <vt:lpwstr>https://www.gov.uk/government/publications/the-nhs-constitution-for-england</vt:lpwstr>
      </vt:variant>
      <vt:variant>
        <vt:lpwstr/>
      </vt:variant>
      <vt:variant>
        <vt:i4>5636189</vt:i4>
      </vt:variant>
      <vt:variant>
        <vt:i4>36</vt:i4>
      </vt:variant>
      <vt:variant>
        <vt:i4>0</vt:i4>
      </vt:variant>
      <vt:variant>
        <vt:i4>5</vt:i4>
      </vt:variant>
      <vt:variant>
        <vt:lpwstr>https://www.legislation.gov.uk/ukpga/2010/15/contents</vt:lpwstr>
      </vt:variant>
      <vt:variant>
        <vt:lpwstr/>
      </vt:variant>
      <vt:variant>
        <vt:i4>5701654</vt:i4>
      </vt:variant>
      <vt:variant>
        <vt:i4>33</vt:i4>
      </vt:variant>
      <vt:variant>
        <vt:i4>0</vt:i4>
      </vt:variant>
      <vt:variant>
        <vt:i4>5</vt:i4>
      </vt:variant>
      <vt:variant>
        <vt:lpwstr>https://www.legislation.gov.uk/ukpga/2005/9/contents</vt:lpwstr>
      </vt:variant>
      <vt:variant>
        <vt:lpwstr/>
      </vt:variant>
      <vt:variant>
        <vt:i4>983045</vt:i4>
      </vt:variant>
      <vt:variant>
        <vt:i4>30</vt:i4>
      </vt:variant>
      <vt:variant>
        <vt:i4>0</vt:i4>
      </vt:variant>
      <vt:variant>
        <vt:i4>5</vt:i4>
      </vt:variant>
      <vt:variant>
        <vt:lpwstr>https://pubmed.ncbi.nlm.nih.gov/27151403/</vt:lpwstr>
      </vt:variant>
      <vt:variant>
        <vt:lpwstr/>
      </vt:variant>
      <vt:variant>
        <vt:i4>5636189</vt:i4>
      </vt:variant>
      <vt:variant>
        <vt:i4>27</vt:i4>
      </vt:variant>
      <vt:variant>
        <vt:i4>0</vt:i4>
      </vt:variant>
      <vt:variant>
        <vt:i4>5</vt:i4>
      </vt:variant>
      <vt:variant>
        <vt:lpwstr>https://www.legislation.gov.uk/ukpga/2010/15/contents</vt:lpwstr>
      </vt:variant>
      <vt:variant>
        <vt:lpwstr/>
      </vt:variant>
      <vt:variant>
        <vt:i4>5701654</vt:i4>
      </vt:variant>
      <vt:variant>
        <vt:i4>24</vt:i4>
      </vt:variant>
      <vt:variant>
        <vt:i4>0</vt:i4>
      </vt:variant>
      <vt:variant>
        <vt:i4>5</vt:i4>
      </vt:variant>
      <vt:variant>
        <vt:lpwstr>https://www.legislation.gov.uk/ukpga/2005/9/contents</vt:lpwstr>
      </vt:variant>
      <vt:variant>
        <vt:lpwstr/>
      </vt:variant>
      <vt:variant>
        <vt:i4>5242970</vt:i4>
      </vt:variant>
      <vt:variant>
        <vt:i4>21</vt:i4>
      </vt:variant>
      <vt:variant>
        <vt:i4>0</vt:i4>
      </vt:variant>
      <vt:variant>
        <vt:i4>5</vt:i4>
      </vt:variant>
      <vt:variant>
        <vt:lpwstr>https://www.legislation.gov.uk/ukpga/2014/23/contents</vt:lpwstr>
      </vt:variant>
      <vt:variant>
        <vt:lpwstr/>
      </vt:variant>
      <vt:variant>
        <vt:i4>852054</vt:i4>
      </vt:variant>
      <vt:variant>
        <vt:i4>18</vt:i4>
      </vt:variant>
      <vt:variant>
        <vt:i4>0</vt:i4>
      </vt:variant>
      <vt:variant>
        <vt:i4>5</vt:i4>
      </vt:variant>
      <vt:variant>
        <vt:lpwstr>https://www.longtermplan.nhs.uk/</vt:lpwstr>
      </vt:variant>
      <vt:variant>
        <vt:lpwstr/>
      </vt:variant>
      <vt:variant>
        <vt:i4>2490428</vt:i4>
      </vt:variant>
      <vt:variant>
        <vt:i4>15</vt:i4>
      </vt:variant>
      <vt:variant>
        <vt:i4>0</vt:i4>
      </vt:variant>
      <vt:variant>
        <vt:i4>5</vt:i4>
      </vt:variant>
      <vt:variant>
        <vt:lpwstr>https://www.gov.uk/government/publications/the-nhs-constitution-for-england</vt:lpwstr>
      </vt:variant>
      <vt:variant>
        <vt:lpwstr/>
      </vt:variant>
      <vt:variant>
        <vt:i4>5636189</vt:i4>
      </vt:variant>
      <vt:variant>
        <vt:i4>12</vt:i4>
      </vt:variant>
      <vt:variant>
        <vt:i4>0</vt:i4>
      </vt:variant>
      <vt:variant>
        <vt:i4>5</vt:i4>
      </vt:variant>
      <vt:variant>
        <vt:lpwstr>https://www.legislation.gov.uk/ukpga/2010/15/contents</vt:lpwstr>
      </vt:variant>
      <vt:variant>
        <vt:lpwstr/>
      </vt:variant>
      <vt:variant>
        <vt:i4>5701654</vt:i4>
      </vt:variant>
      <vt:variant>
        <vt:i4>9</vt:i4>
      </vt:variant>
      <vt:variant>
        <vt:i4>0</vt:i4>
      </vt:variant>
      <vt:variant>
        <vt:i4>5</vt:i4>
      </vt:variant>
      <vt:variant>
        <vt:lpwstr>https://www.legislation.gov.uk/ukpga/2005/9/contents</vt:lpwstr>
      </vt:variant>
      <vt:variant>
        <vt:lpwstr/>
      </vt:variant>
      <vt:variant>
        <vt:i4>983045</vt:i4>
      </vt:variant>
      <vt:variant>
        <vt:i4>6</vt:i4>
      </vt:variant>
      <vt:variant>
        <vt:i4>0</vt:i4>
      </vt:variant>
      <vt:variant>
        <vt:i4>5</vt:i4>
      </vt:variant>
      <vt:variant>
        <vt:lpwstr>https://pubmed.ncbi.nlm.nih.gov/27151403/</vt:lpwstr>
      </vt:variant>
      <vt:variant>
        <vt:lpwstr/>
      </vt:variant>
      <vt:variant>
        <vt:i4>852054</vt:i4>
      </vt:variant>
      <vt:variant>
        <vt:i4>3</vt:i4>
      </vt:variant>
      <vt:variant>
        <vt:i4>0</vt:i4>
      </vt:variant>
      <vt:variant>
        <vt:i4>5</vt:i4>
      </vt:variant>
      <vt:variant>
        <vt:lpwstr>https://www.longtermplan.nhs.uk/</vt:lpwstr>
      </vt:variant>
      <vt:variant>
        <vt:lpwstr/>
      </vt:variant>
      <vt:variant>
        <vt:i4>5242970</vt:i4>
      </vt:variant>
      <vt:variant>
        <vt:i4>0</vt:i4>
      </vt:variant>
      <vt:variant>
        <vt:i4>0</vt:i4>
      </vt:variant>
      <vt:variant>
        <vt:i4>5</vt:i4>
      </vt:variant>
      <vt:variant>
        <vt:lpwstr>https://www.legislation.gov.uk/ukpga/2014/23/contents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Iona Grant Whittaker (2412252)</dc:creator>
  <cp:keywords/>
  <dc:description/>
  <cp:lastModifiedBy>Precious Iona Grant Whittaker (2412252)</cp:lastModifiedBy>
  <cp:revision>2</cp:revision>
  <dcterms:created xsi:type="dcterms:W3CDTF">2026-06-12T19:56:00Z</dcterms:created>
  <dcterms:modified xsi:type="dcterms:W3CDTF">2026-06-12T19:56:00Z</dcterms:modified>
</cp:coreProperties>
</file>