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2C1B1" w14:textId="77777777" w:rsidR="006A3825" w:rsidRPr="006A3825" w:rsidRDefault="006A3825" w:rsidP="006A3825">
      <w:pPr>
        <w:ind w:left="720"/>
        <w:jc w:val="center"/>
        <w:rPr>
          <w:rFonts w:ascii="Arial" w:hAnsi="Arial" w:cs="Arial"/>
          <w:sz w:val="32"/>
          <w:szCs w:val="32"/>
        </w:rPr>
      </w:pPr>
    </w:p>
    <w:p w14:paraId="565E1F0B" w14:textId="4D8C6F2F" w:rsidR="004E6ACB" w:rsidRPr="006A3825" w:rsidRDefault="006A3825" w:rsidP="006A3825">
      <w:pPr>
        <w:jc w:val="center"/>
        <w:rPr>
          <w:rFonts w:ascii="Arial" w:hAnsi="Arial" w:cs="Arial"/>
          <w:b/>
          <w:bCs/>
          <w:sz w:val="32"/>
          <w:szCs w:val="32"/>
        </w:rPr>
      </w:pPr>
      <w:r w:rsidRPr="006A3825">
        <w:rPr>
          <w:rFonts w:ascii="Arial" w:hAnsi="Arial" w:cs="Arial"/>
          <w:b/>
          <w:bCs/>
          <w:sz w:val="32"/>
          <w:szCs w:val="32"/>
        </w:rPr>
        <w:t>In terms of formation of a contract, critically evaluate how an offer can be distinguished from an invitation to treat and how an offer can be terminated.</w:t>
      </w:r>
    </w:p>
    <w:p w14:paraId="4558961F" w14:textId="48831704" w:rsidR="006A3825" w:rsidRDefault="00AB4B2B" w:rsidP="00AB4B2B">
      <w:pPr>
        <w:tabs>
          <w:tab w:val="left" w:pos="6830"/>
        </w:tabs>
        <w:rPr>
          <w:rFonts w:ascii="Arial" w:hAnsi="Arial" w:cs="Arial"/>
        </w:rPr>
      </w:pPr>
      <w:r>
        <w:rPr>
          <w:rFonts w:ascii="Arial" w:hAnsi="Arial" w:cs="Arial"/>
        </w:rPr>
        <w:tab/>
      </w:r>
    </w:p>
    <w:p w14:paraId="1FCC2737" w14:textId="77777777" w:rsidR="00172517" w:rsidRPr="00AB4B2B" w:rsidRDefault="00172517" w:rsidP="006A3825">
      <w:pPr>
        <w:rPr>
          <w:rFonts w:ascii="Arial" w:hAnsi="Arial" w:cs="Arial"/>
          <w:sz w:val="22"/>
          <w:szCs w:val="22"/>
        </w:rPr>
      </w:pPr>
    </w:p>
    <w:p w14:paraId="5B415060" w14:textId="577082DC" w:rsidR="00172517" w:rsidRPr="00AB4B2B" w:rsidRDefault="00172517" w:rsidP="006A3825">
      <w:pPr>
        <w:rPr>
          <w:rFonts w:ascii="Arial" w:hAnsi="Arial" w:cs="Arial"/>
          <w:sz w:val="22"/>
          <w:szCs w:val="22"/>
        </w:rPr>
      </w:pPr>
      <w:r w:rsidRPr="00AB4B2B">
        <w:rPr>
          <w:rFonts w:ascii="Arial" w:hAnsi="Arial" w:cs="Arial"/>
          <w:sz w:val="22"/>
          <w:szCs w:val="22"/>
        </w:rPr>
        <w:t xml:space="preserve">   </w:t>
      </w:r>
      <w:r w:rsidR="007C788E" w:rsidRPr="00AB4B2B">
        <w:rPr>
          <w:rFonts w:ascii="Arial" w:hAnsi="Arial" w:cs="Arial"/>
          <w:sz w:val="22"/>
          <w:szCs w:val="22"/>
        </w:rPr>
        <w:t xml:space="preserve">A contract is a legally recognised agreement that establishes enforceable obligations between parties. The distinguishing characteristics of contractual obligations remain in their foundation upon the elements of offer, consideration, and agreement as established by the contracting parties. </w:t>
      </w:r>
      <w:proofErr w:type="gramStart"/>
      <w:r w:rsidR="007C788E" w:rsidRPr="00AB4B2B">
        <w:rPr>
          <w:rFonts w:ascii="Arial" w:hAnsi="Arial" w:cs="Arial"/>
          <w:sz w:val="22"/>
          <w:szCs w:val="22"/>
        </w:rPr>
        <w:t>In order to</w:t>
      </w:r>
      <w:proofErr w:type="gramEnd"/>
      <w:r w:rsidR="007C788E" w:rsidRPr="00AB4B2B">
        <w:rPr>
          <w:rFonts w:ascii="Arial" w:hAnsi="Arial" w:cs="Arial"/>
          <w:sz w:val="22"/>
          <w:szCs w:val="22"/>
        </w:rPr>
        <w:t xml:space="preserve"> ascertain the presence of a contract that engenders legally enforceable obligations, it is imperative to initially discern the existence of a mutually binding agreement between the involved parties. </w:t>
      </w:r>
      <w:proofErr w:type="gramStart"/>
      <w:r w:rsidR="007C788E" w:rsidRPr="00AB4B2B">
        <w:rPr>
          <w:rFonts w:ascii="Arial" w:hAnsi="Arial" w:cs="Arial"/>
          <w:sz w:val="22"/>
          <w:szCs w:val="22"/>
        </w:rPr>
        <w:t>In order for</w:t>
      </w:r>
      <w:proofErr w:type="gramEnd"/>
      <w:r w:rsidR="007C788E" w:rsidRPr="00AB4B2B">
        <w:rPr>
          <w:rFonts w:ascii="Arial" w:hAnsi="Arial" w:cs="Arial"/>
          <w:sz w:val="22"/>
          <w:szCs w:val="22"/>
        </w:rPr>
        <w:t xml:space="preserve"> the formation of a legally binding agreement to be established, it is imperative that a consensus ad idem is achieved. However, it is crucial to note that the attainment of such consensus does not solely hinge upon the subjective alignment of intentions between the parties involved. In judicial proceedings, the courts examine extrinsic evidence, such as the verbal and behavioural expressions of the involved parties, </w:t>
      </w:r>
      <w:proofErr w:type="gramStart"/>
      <w:r w:rsidR="007C788E" w:rsidRPr="00AB4B2B">
        <w:rPr>
          <w:rFonts w:ascii="Arial" w:hAnsi="Arial" w:cs="Arial"/>
          <w:sz w:val="22"/>
          <w:szCs w:val="22"/>
        </w:rPr>
        <w:t>in order to</w:t>
      </w:r>
      <w:proofErr w:type="gramEnd"/>
      <w:r w:rsidR="007C788E" w:rsidRPr="00AB4B2B">
        <w:rPr>
          <w:rFonts w:ascii="Arial" w:hAnsi="Arial" w:cs="Arial"/>
          <w:sz w:val="22"/>
          <w:szCs w:val="22"/>
        </w:rPr>
        <w:t xml:space="preserve"> objectively ascertain their intentions. Subsequently, the courts evaluate whether, based on this evidence, a reasonable individual would conclude that a mutual agreement was reached between the parties. The case in question is Storer v Manchester City Council [1974]. </w:t>
      </w:r>
      <w:r w:rsidR="00E63149" w:rsidRPr="00AB4B2B">
        <w:rPr>
          <w:rFonts w:ascii="Arial" w:hAnsi="Arial" w:cs="Arial"/>
          <w:sz w:val="22"/>
          <w:szCs w:val="22"/>
        </w:rPr>
        <w:t>(Storer v Manchester City Council [1974] 1 WLR 1403, [1974</w:t>
      </w:r>
      <w:proofErr w:type="gramStart"/>
      <w:r w:rsidR="00E63149" w:rsidRPr="00AB4B2B">
        <w:rPr>
          <w:rFonts w:ascii="Arial" w:hAnsi="Arial" w:cs="Arial"/>
          <w:sz w:val="22"/>
          <w:szCs w:val="22"/>
        </w:rPr>
        <w:t xml:space="preserve">])  </w:t>
      </w:r>
      <w:r w:rsidR="007C788E" w:rsidRPr="00AB4B2B">
        <w:rPr>
          <w:rFonts w:ascii="Arial" w:hAnsi="Arial" w:cs="Arial"/>
          <w:sz w:val="22"/>
          <w:szCs w:val="22"/>
        </w:rPr>
        <w:t>(</w:t>
      </w:r>
      <w:proofErr w:type="gramEnd"/>
      <w:r w:rsidR="007C788E" w:rsidRPr="00AB4B2B">
        <w:rPr>
          <w:rFonts w:ascii="Arial" w:hAnsi="Arial" w:cs="Arial"/>
          <w:sz w:val="22"/>
          <w:szCs w:val="22"/>
        </w:rPr>
        <w:t xml:space="preserve">Merkin and </w:t>
      </w:r>
      <w:proofErr w:type="spellStart"/>
      <w:r w:rsidR="007C788E" w:rsidRPr="00AB4B2B">
        <w:rPr>
          <w:rFonts w:ascii="Arial" w:hAnsi="Arial" w:cs="Arial"/>
          <w:sz w:val="22"/>
          <w:szCs w:val="22"/>
        </w:rPr>
        <w:t>Saintier</w:t>
      </w:r>
      <w:proofErr w:type="spellEnd"/>
      <w:r w:rsidR="007C788E" w:rsidRPr="00AB4B2B">
        <w:rPr>
          <w:rFonts w:ascii="Arial" w:hAnsi="Arial" w:cs="Arial"/>
          <w:sz w:val="22"/>
          <w:szCs w:val="22"/>
        </w:rPr>
        <w:t>, 2021)</w:t>
      </w:r>
    </w:p>
    <w:p w14:paraId="45AE7F44" w14:textId="0E933A1F" w:rsidR="007C788E" w:rsidRPr="00AB4B2B" w:rsidRDefault="007C788E" w:rsidP="006A3825">
      <w:pPr>
        <w:rPr>
          <w:rFonts w:ascii="Arial" w:hAnsi="Arial" w:cs="Arial"/>
          <w:sz w:val="22"/>
          <w:szCs w:val="22"/>
        </w:rPr>
      </w:pPr>
      <w:r w:rsidRPr="00AB4B2B">
        <w:rPr>
          <w:rFonts w:ascii="Arial" w:hAnsi="Arial" w:cs="Arial"/>
          <w:sz w:val="22"/>
          <w:szCs w:val="22"/>
        </w:rPr>
        <w:t xml:space="preserve">  </w:t>
      </w:r>
      <w:r w:rsidR="00E63149" w:rsidRPr="00AB4B2B">
        <w:rPr>
          <w:rFonts w:ascii="Arial" w:hAnsi="Arial" w:cs="Arial"/>
          <w:sz w:val="22"/>
          <w:szCs w:val="22"/>
        </w:rPr>
        <w:t>In accordance with the rationale espoused in the Storer case, judicial authorities prioritise the assessment of an offeror's words and conduct from an objective standpoint, rather than delving into the offeror's subjective intent. (Murray, 2011)</w:t>
      </w:r>
      <w:r w:rsidR="00B577C8" w:rsidRPr="00AB4B2B">
        <w:rPr>
          <w:rFonts w:ascii="Arial" w:hAnsi="Arial" w:cs="Arial"/>
          <w:sz w:val="22"/>
          <w:szCs w:val="22"/>
        </w:rPr>
        <w:t xml:space="preserve"> In contradistinction, the House of Lords in the case of Gibson v Manchester CC (1979) (Gibson v. Manchester County Council, [1979]) did not ascertain the existence of a concluded contract. The judicial body known as the House of Lords rendered a decision wherein it was determined that the letter issued by the council did not bestow upon G the authority to obligate the council to promptly execute the sale of the house upon G's expression of consent. Contrary to the user's assertion, it is imperative to note that the council explicitly cautioned against perceiving their correspondence as a definitive offer. Instead, they extended an invitation to G to submit a "formal application," which subsequently transformed into the actual offer. Based on the available evidence, it can be inferred that the council's behaviour demonstrated a clear inclination to acknowledge and embrace G's offer. However, it is important to note that the formal act of acceptance, which entails the explicit communication of such acceptance to G, had not yet been finalised by the council. The individual denoted as G has prematurely engaged in an act of reliance, thereby rendering their insistence on the sale untenable. The delineation between offers and invitations to treat is subject to a set of well-defined principles or customs that govern specific commonplace scenarios, thereby surpassing the general methodology. In numerous prevalent contractual scenarios, these conventions have predominantly supplanted the pursuit of the parties' intentions. The rules in question may be displaced by the presentation of evidence indicating a contrary intention. However, in cases where the parties have not explicitly expressed their intentions, these rules shall be applied in an objective manner, without regard to the subjective intentions of the individual who made the statement. (Chen-Wishart, 2022)</w:t>
      </w:r>
    </w:p>
    <w:p w14:paraId="74E8F057" w14:textId="63756737" w:rsidR="00E93FAC" w:rsidRPr="00AB4B2B" w:rsidRDefault="00B577C8" w:rsidP="00E93FAC">
      <w:pPr>
        <w:rPr>
          <w:rFonts w:ascii="Arial" w:hAnsi="Arial" w:cs="Arial"/>
          <w:sz w:val="22"/>
          <w:szCs w:val="22"/>
        </w:rPr>
      </w:pPr>
      <w:r w:rsidRPr="00AB4B2B">
        <w:rPr>
          <w:rFonts w:ascii="Arial" w:hAnsi="Arial" w:cs="Arial"/>
          <w:sz w:val="22"/>
          <w:szCs w:val="22"/>
        </w:rPr>
        <w:t xml:space="preserve">  </w:t>
      </w:r>
      <w:r w:rsidR="00E93FAC" w:rsidRPr="00AB4B2B">
        <w:rPr>
          <w:rFonts w:ascii="Arial" w:hAnsi="Arial" w:cs="Arial"/>
          <w:sz w:val="22"/>
          <w:szCs w:val="22"/>
        </w:rPr>
        <w:t xml:space="preserve">An offer is a declaration of a party's willingness to </w:t>
      </w:r>
      <w:proofErr w:type="gramStart"/>
      <w:r w:rsidR="00E93FAC" w:rsidRPr="00AB4B2B">
        <w:rPr>
          <w:rFonts w:ascii="Arial" w:hAnsi="Arial" w:cs="Arial"/>
          <w:sz w:val="22"/>
          <w:szCs w:val="22"/>
        </w:rPr>
        <w:t>enter into</w:t>
      </w:r>
      <w:proofErr w:type="gramEnd"/>
      <w:r w:rsidR="00E93FAC" w:rsidRPr="00AB4B2B">
        <w:rPr>
          <w:rFonts w:ascii="Arial" w:hAnsi="Arial" w:cs="Arial"/>
          <w:sz w:val="22"/>
          <w:szCs w:val="22"/>
        </w:rPr>
        <w:t xml:space="preserve"> a contract on specified terms, if these terms are accepted by the party or parties to whom the offer is directed. The offer may be made verbally, in writing, or by conduct; there is generally no requirement as to the form in which it must be made. One of the rules of offer is that the offer must be communicated effectively to the offeree.  This principle was illustrated in the 1856 case Taylor v Laird. (Taylor v Laird, [1856])</w:t>
      </w:r>
    </w:p>
    <w:p w14:paraId="6D1BC464" w14:textId="10EF928A" w:rsidR="00B577C8" w:rsidRPr="00AB4B2B" w:rsidRDefault="00E93FAC" w:rsidP="00E93FAC">
      <w:pPr>
        <w:rPr>
          <w:rFonts w:ascii="Arial" w:hAnsi="Arial" w:cs="Arial"/>
          <w:sz w:val="22"/>
          <w:szCs w:val="22"/>
        </w:rPr>
      </w:pPr>
      <w:r w:rsidRPr="00AB4B2B">
        <w:rPr>
          <w:rFonts w:ascii="Arial" w:hAnsi="Arial" w:cs="Arial"/>
          <w:sz w:val="22"/>
          <w:szCs w:val="22"/>
        </w:rPr>
        <w:t xml:space="preserve">Nevertheless, care must be taken to differentiate among a proposition and an invitation to treat. An invitation to treat is merely an expression of willingness to engage in negotiations </w:t>
      </w:r>
      <w:r w:rsidRPr="00AB4B2B">
        <w:rPr>
          <w:rFonts w:ascii="Arial" w:hAnsi="Arial" w:cs="Arial"/>
          <w:sz w:val="22"/>
          <w:szCs w:val="22"/>
        </w:rPr>
        <w:lastRenderedPageBreak/>
        <w:t xml:space="preserve">that will hopefully result in the signing of a contract later. The primary distinction between the two statements is said to be one of intent; that is, did the statement's author plan on being bound by the agreement of his terms without additionally negotiations, or did he intend for the declaration to be part of the ongoing negotiation process? (Ewan </w:t>
      </w:r>
      <w:proofErr w:type="spellStart"/>
      <w:r w:rsidRPr="00AB4B2B">
        <w:rPr>
          <w:rFonts w:ascii="Arial" w:hAnsi="Arial" w:cs="Arial"/>
          <w:sz w:val="22"/>
          <w:szCs w:val="22"/>
        </w:rPr>
        <w:t>Mckendrick</w:t>
      </w:r>
      <w:proofErr w:type="spellEnd"/>
      <w:r w:rsidRPr="00AB4B2B">
        <w:rPr>
          <w:rFonts w:ascii="Arial" w:hAnsi="Arial" w:cs="Arial"/>
          <w:sz w:val="22"/>
          <w:szCs w:val="22"/>
        </w:rPr>
        <w:t>, 2015)</w:t>
      </w:r>
    </w:p>
    <w:p w14:paraId="69688A42" w14:textId="301F1740" w:rsidR="00CC5416" w:rsidRPr="00AB4B2B" w:rsidRDefault="00CC5416" w:rsidP="00CC5416">
      <w:pPr>
        <w:rPr>
          <w:rFonts w:ascii="Arial" w:hAnsi="Arial" w:cs="Arial"/>
          <w:sz w:val="22"/>
          <w:szCs w:val="22"/>
        </w:rPr>
      </w:pPr>
      <w:r w:rsidRPr="00AB4B2B">
        <w:rPr>
          <w:rFonts w:ascii="Arial" w:hAnsi="Arial" w:cs="Arial"/>
          <w:sz w:val="22"/>
          <w:szCs w:val="22"/>
        </w:rPr>
        <w:t xml:space="preserve">    In instances where merchandise is prominently exhibited within retail establishments or publicised through print media or catalogues, accompanied by conspicuous indications of pricing, it is reasonable to infer that the ordinary </w:t>
      </w:r>
      <w:proofErr w:type="gramStart"/>
      <w:r w:rsidRPr="00AB4B2B">
        <w:rPr>
          <w:rFonts w:ascii="Arial" w:hAnsi="Arial" w:cs="Arial"/>
          <w:sz w:val="22"/>
          <w:szCs w:val="22"/>
        </w:rPr>
        <w:t>consumer  would</w:t>
      </w:r>
      <w:proofErr w:type="gramEnd"/>
      <w:r w:rsidRPr="00AB4B2B">
        <w:rPr>
          <w:rFonts w:ascii="Arial" w:hAnsi="Arial" w:cs="Arial"/>
          <w:sz w:val="22"/>
          <w:szCs w:val="22"/>
        </w:rPr>
        <w:t xml:space="preserve"> interpret such actions as indicative of the store proprietor or advertiser's intention to proffer said items for purchase.</w:t>
      </w:r>
    </w:p>
    <w:p w14:paraId="7F8AA200" w14:textId="7E0F4642" w:rsidR="00B83D72" w:rsidRPr="00AB4B2B" w:rsidRDefault="00CC5416" w:rsidP="00B83D72">
      <w:pPr>
        <w:rPr>
          <w:rFonts w:ascii="Arial" w:hAnsi="Arial" w:cs="Arial"/>
          <w:sz w:val="22"/>
          <w:szCs w:val="22"/>
        </w:rPr>
      </w:pPr>
      <w:r w:rsidRPr="00AB4B2B">
        <w:rPr>
          <w:rFonts w:ascii="Arial" w:hAnsi="Arial" w:cs="Arial"/>
          <w:sz w:val="22"/>
          <w:szCs w:val="22"/>
        </w:rPr>
        <w:t xml:space="preserve">Notwithstanding any contrary implications, it is a well-established principle that the customary norm dictates that the exhibition or promotion of merchandise with the intention of selling said goods does not constitute a binding offer to sell, but rather serves as a mere enticement to engage in negotiations. This proposition holds true even in instances where the term 'offer' is employed, as judicial interpretation may ascertain that it was not employed in its legally recognised connotation, as exemplified in the case of Spencer v Harding (1870). (Spencer v </w:t>
      </w:r>
      <w:proofErr w:type="gramStart"/>
      <w:r w:rsidRPr="00AB4B2B">
        <w:rPr>
          <w:rFonts w:ascii="Arial" w:hAnsi="Arial" w:cs="Arial"/>
          <w:sz w:val="22"/>
          <w:szCs w:val="22"/>
        </w:rPr>
        <w:t>Harding ,</w:t>
      </w:r>
      <w:proofErr w:type="gramEnd"/>
      <w:r w:rsidRPr="00AB4B2B">
        <w:rPr>
          <w:rFonts w:ascii="Arial" w:hAnsi="Arial" w:cs="Arial"/>
          <w:sz w:val="22"/>
          <w:szCs w:val="22"/>
        </w:rPr>
        <w:t xml:space="preserve"> [1870])  Accordingly, it is commonly accepted within legal discourse that the customer assumes the role of the offeror in a transactional context upon the act of presenting the goods at the designated cash desk or through any other means that clearly demonstrates an unequivocal intention to engage in a purchase. Traders are vested with the pivotal authority to either accept or decline the customer's proposition.</w:t>
      </w:r>
      <w:r w:rsidR="00B83D72" w:rsidRPr="00AB4B2B">
        <w:rPr>
          <w:sz w:val="22"/>
          <w:szCs w:val="22"/>
        </w:rPr>
        <w:t xml:space="preserve"> </w:t>
      </w:r>
      <w:r w:rsidR="00B83D72" w:rsidRPr="00AB4B2B">
        <w:rPr>
          <w:rFonts w:ascii="Arial" w:hAnsi="Arial" w:cs="Arial"/>
          <w:sz w:val="22"/>
          <w:szCs w:val="22"/>
        </w:rPr>
        <w:t xml:space="preserve">In a series of cases involving violations of statutes pertaining to the sale of </w:t>
      </w:r>
      <w:proofErr w:type="gramStart"/>
      <w:r w:rsidR="00B83D72" w:rsidRPr="00AB4B2B">
        <w:rPr>
          <w:rFonts w:ascii="Arial" w:hAnsi="Arial" w:cs="Arial"/>
          <w:sz w:val="22"/>
          <w:szCs w:val="22"/>
        </w:rPr>
        <w:t>particular goods</w:t>
      </w:r>
      <w:proofErr w:type="gramEnd"/>
      <w:r w:rsidR="00B83D72" w:rsidRPr="00AB4B2B">
        <w:rPr>
          <w:rFonts w:ascii="Arial" w:hAnsi="Arial" w:cs="Arial"/>
          <w:sz w:val="22"/>
          <w:szCs w:val="22"/>
        </w:rPr>
        <w:t xml:space="preserve">, this principle was established and refined. Pharmaceutical Society of Great Britain v. Boots Cash Chemists (1953) (Pharmaceutical Society of Great Britain v. Boots Cash </w:t>
      </w:r>
      <w:proofErr w:type="gramStart"/>
      <w:r w:rsidR="00B83D72" w:rsidRPr="00AB4B2B">
        <w:rPr>
          <w:rFonts w:ascii="Arial" w:hAnsi="Arial" w:cs="Arial"/>
          <w:sz w:val="22"/>
          <w:szCs w:val="22"/>
        </w:rPr>
        <w:t>Chemists ,</w:t>
      </w:r>
      <w:proofErr w:type="gramEnd"/>
      <w:r w:rsidR="00B83D72" w:rsidRPr="00AB4B2B">
        <w:rPr>
          <w:rFonts w:ascii="Arial" w:hAnsi="Arial" w:cs="Arial"/>
          <w:sz w:val="22"/>
          <w:szCs w:val="22"/>
        </w:rPr>
        <w:t xml:space="preserve"> [1953]) is the leading case. The Pharmacy and Poisons Act of 1933 (PPA) mandated the sale of certain medications under the watchfulness of a registered chemist. The court determined that Boots did not violate the PPA because displays and advertisements do not constitute offers (they are merely invitations to treat). When a customer brings an item to the register to pay for it, she is making an offer that the pharmacist can refuse. (Chen-Wishart, 2022)</w:t>
      </w:r>
    </w:p>
    <w:p w14:paraId="455C6440" w14:textId="231C3FCC" w:rsidR="006206AA" w:rsidRPr="00AB4B2B" w:rsidRDefault="00B83D72" w:rsidP="00E93FAC">
      <w:pPr>
        <w:rPr>
          <w:rFonts w:ascii="Arial" w:hAnsi="Arial" w:cs="Arial"/>
          <w:sz w:val="22"/>
          <w:szCs w:val="22"/>
        </w:rPr>
      </w:pPr>
      <w:r w:rsidRPr="00AB4B2B">
        <w:rPr>
          <w:rFonts w:ascii="Arial" w:hAnsi="Arial" w:cs="Arial"/>
          <w:sz w:val="22"/>
          <w:szCs w:val="22"/>
        </w:rPr>
        <w:t xml:space="preserve">   </w:t>
      </w:r>
      <w:r w:rsidR="006206AA" w:rsidRPr="00AB4B2B">
        <w:rPr>
          <w:rFonts w:ascii="Arial" w:hAnsi="Arial" w:cs="Arial"/>
          <w:sz w:val="22"/>
          <w:szCs w:val="22"/>
        </w:rPr>
        <w:t>The prevailing principle governing advertisements is that, particularly in the context of bilateral contracts, an advertisement shall be construed as an invitation to engage in negotiations rather than a definitive offer. In the case of Partridge v. Crittenden</w:t>
      </w:r>
      <w:r w:rsidR="00D54585" w:rsidRPr="00AB4B2B">
        <w:rPr>
          <w:rFonts w:ascii="Arial" w:hAnsi="Arial" w:cs="Arial"/>
          <w:sz w:val="22"/>
          <w:szCs w:val="22"/>
        </w:rPr>
        <w:t xml:space="preserve"> (Partridge v </w:t>
      </w:r>
      <w:proofErr w:type="gramStart"/>
      <w:r w:rsidR="00D54585" w:rsidRPr="00AB4B2B">
        <w:rPr>
          <w:rFonts w:ascii="Arial" w:hAnsi="Arial" w:cs="Arial"/>
          <w:sz w:val="22"/>
          <w:szCs w:val="22"/>
        </w:rPr>
        <w:t>Crittenden ,</w:t>
      </w:r>
      <w:proofErr w:type="gramEnd"/>
      <w:r w:rsidR="00D54585" w:rsidRPr="00AB4B2B">
        <w:rPr>
          <w:rFonts w:ascii="Arial" w:hAnsi="Arial" w:cs="Arial"/>
          <w:sz w:val="22"/>
          <w:szCs w:val="22"/>
        </w:rPr>
        <w:t xml:space="preserve"> [1968])</w:t>
      </w:r>
      <w:r w:rsidR="006206AA" w:rsidRPr="00AB4B2B">
        <w:rPr>
          <w:rFonts w:ascii="Arial" w:hAnsi="Arial" w:cs="Arial"/>
          <w:sz w:val="22"/>
          <w:szCs w:val="22"/>
        </w:rPr>
        <w:t xml:space="preserve">, the defendant faced charges for engaging in the act of offering wild birds for sale, which is in violation of the provisions set forth in the Protection of Birds Act of 1954. </w:t>
      </w:r>
      <w:r w:rsidR="00D54585" w:rsidRPr="00AB4B2B">
        <w:rPr>
          <w:rFonts w:ascii="Arial" w:hAnsi="Arial" w:cs="Arial"/>
          <w:sz w:val="22"/>
          <w:szCs w:val="22"/>
        </w:rPr>
        <w:t xml:space="preserve">(Protection of Birds Act </w:t>
      </w:r>
      <w:proofErr w:type="gramStart"/>
      <w:r w:rsidR="00D54585" w:rsidRPr="00AB4B2B">
        <w:rPr>
          <w:rFonts w:ascii="Arial" w:hAnsi="Arial" w:cs="Arial"/>
          <w:sz w:val="22"/>
          <w:szCs w:val="22"/>
        </w:rPr>
        <w:t>1954)</w:t>
      </w:r>
      <w:r w:rsidR="006206AA" w:rsidRPr="00AB4B2B">
        <w:rPr>
          <w:rFonts w:ascii="Arial" w:hAnsi="Arial" w:cs="Arial"/>
          <w:sz w:val="22"/>
          <w:szCs w:val="22"/>
        </w:rPr>
        <w:t>The</w:t>
      </w:r>
      <w:proofErr w:type="gramEnd"/>
      <w:r w:rsidR="006206AA" w:rsidRPr="00AB4B2B">
        <w:rPr>
          <w:rFonts w:ascii="Arial" w:hAnsi="Arial" w:cs="Arial"/>
          <w:sz w:val="22"/>
          <w:szCs w:val="22"/>
        </w:rPr>
        <w:t xml:space="preserve"> defendant's advertisement prominently displayed the following statement: "Quality British A.B.C.R... </w:t>
      </w:r>
      <w:proofErr w:type="spellStart"/>
      <w:r w:rsidR="006206AA" w:rsidRPr="00AB4B2B">
        <w:rPr>
          <w:rFonts w:ascii="Arial" w:hAnsi="Arial" w:cs="Arial"/>
          <w:sz w:val="22"/>
          <w:szCs w:val="22"/>
        </w:rPr>
        <w:t>Bramblefinch</w:t>
      </w:r>
      <w:proofErr w:type="spellEnd"/>
      <w:r w:rsidR="006206AA" w:rsidRPr="00AB4B2B">
        <w:rPr>
          <w:rFonts w:ascii="Arial" w:hAnsi="Arial" w:cs="Arial"/>
          <w:sz w:val="22"/>
          <w:szCs w:val="22"/>
        </w:rPr>
        <w:t xml:space="preserve"> cocks, </w:t>
      </w:r>
      <w:proofErr w:type="spellStart"/>
      <w:r w:rsidR="006206AA" w:rsidRPr="00AB4B2B">
        <w:rPr>
          <w:rFonts w:ascii="Arial" w:hAnsi="Arial" w:cs="Arial"/>
          <w:sz w:val="22"/>
          <w:szCs w:val="22"/>
        </w:rPr>
        <w:t>Bramblefinch</w:t>
      </w:r>
      <w:proofErr w:type="spellEnd"/>
      <w:r w:rsidR="006206AA" w:rsidRPr="00AB4B2B">
        <w:rPr>
          <w:rFonts w:ascii="Arial" w:hAnsi="Arial" w:cs="Arial"/>
          <w:sz w:val="22"/>
          <w:szCs w:val="22"/>
        </w:rPr>
        <w:t xml:space="preserve"> hens, 25s each." The court determined that the accused party did not engage in the alleged offence as charged, as there was no actual act of offering the avian creatures for sale. In fact, the promotional material in question merely constituted an invitation to initiate negotiations.</w:t>
      </w:r>
      <w:r w:rsidR="00D54585" w:rsidRPr="00AB4B2B">
        <w:rPr>
          <w:sz w:val="22"/>
          <w:szCs w:val="22"/>
        </w:rPr>
        <w:t xml:space="preserve"> </w:t>
      </w:r>
      <w:r w:rsidR="00D54585" w:rsidRPr="00AB4B2B">
        <w:rPr>
          <w:rFonts w:ascii="Arial" w:hAnsi="Arial" w:cs="Arial"/>
          <w:sz w:val="22"/>
          <w:szCs w:val="22"/>
        </w:rPr>
        <w:t>(</w:t>
      </w:r>
      <w:proofErr w:type="spellStart"/>
      <w:r w:rsidR="00D54585" w:rsidRPr="00AB4B2B">
        <w:rPr>
          <w:rFonts w:ascii="Arial" w:hAnsi="Arial" w:cs="Arial"/>
          <w:sz w:val="22"/>
          <w:szCs w:val="22"/>
        </w:rPr>
        <w:t>Mckendrick</w:t>
      </w:r>
      <w:proofErr w:type="spellEnd"/>
      <w:r w:rsidR="00D54585" w:rsidRPr="00AB4B2B">
        <w:rPr>
          <w:rFonts w:ascii="Arial" w:hAnsi="Arial" w:cs="Arial"/>
          <w:sz w:val="22"/>
          <w:szCs w:val="22"/>
        </w:rPr>
        <w:t xml:space="preserve"> and Oxford University Press, 2018)</w:t>
      </w:r>
    </w:p>
    <w:p w14:paraId="797AA928" w14:textId="46D63284" w:rsidR="00B2389C" w:rsidRPr="00AB4B2B" w:rsidRDefault="00B2389C" w:rsidP="00B2389C">
      <w:pPr>
        <w:rPr>
          <w:rFonts w:ascii="Arial" w:hAnsi="Arial" w:cs="Arial"/>
          <w:sz w:val="22"/>
          <w:szCs w:val="22"/>
        </w:rPr>
      </w:pPr>
      <w:r w:rsidRPr="00AB4B2B">
        <w:rPr>
          <w:rFonts w:ascii="Arial" w:hAnsi="Arial" w:cs="Arial"/>
          <w:sz w:val="22"/>
          <w:szCs w:val="22"/>
        </w:rPr>
        <w:t xml:space="preserve">   In the case of Fisher v Bell (1961), the court determined that the act of showcasing a flick-knife in a storefront window did not constitute an explicit offer to engage in the sale of said item, despite the presence of legal restrictions on the transaction of offensive weapons. The judicial system has consistently adopted a jurisprudential approach wherein displays and advertisements have been accorded exceptional treatment, being construed as offers, with the aim of attaining equitable </w:t>
      </w:r>
      <w:proofErr w:type="spellStart"/>
      <w:proofErr w:type="gramStart"/>
      <w:r w:rsidRPr="00AB4B2B">
        <w:rPr>
          <w:rFonts w:ascii="Arial" w:hAnsi="Arial" w:cs="Arial"/>
          <w:sz w:val="22"/>
          <w:szCs w:val="22"/>
        </w:rPr>
        <w:t>resolutions.Following</w:t>
      </w:r>
      <w:proofErr w:type="spellEnd"/>
      <w:proofErr w:type="gramEnd"/>
      <w:r w:rsidRPr="00AB4B2B">
        <w:rPr>
          <w:rFonts w:ascii="Arial" w:hAnsi="Arial" w:cs="Arial"/>
          <w:sz w:val="22"/>
          <w:szCs w:val="22"/>
        </w:rPr>
        <w:t xml:space="preserve"> </w:t>
      </w:r>
      <w:proofErr w:type="spellStart"/>
      <w:r w:rsidRPr="00AB4B2B">
        <w:rPr>
          <w:rFonts w:ascii="Arial" w:hAnsi="Arial" w:cs="Arial"/>
          <w:sz w:val="22"/>
          <w:szCs w:val="22"/>
        </w:rPr>
        <w:t>Chapelton</w:t>
      </w:r>
      <w:proofErr w:type="spellEnd"/>
      <w:r w:rsidRPr="00AB4B2B">
        <w:rPr>
          <w:rFonts w:ascii="Arial" w:hAnsi="Arial" w:cs="Arial"/>
          <w:sz w:val="22"/>
          <w:szCs w:val="22"/>
        </w:rPr>
        <w:t xml:space="preserve"> v Barry UDC (1940), the court rendered a decision wherein it was determined that the act of exhibiting deckchairs available for rental on a beach, accompanied by a conspicuous notice disclosing the associated fees, constituted an offer. This offer was subsequently accepted by a customer who availed themselves of a chair. By considering the display as an offer, the court exercised its authority to expedite the formation of the contract, thereby excluding a subsequently introduced harsh exclusion clause. (Chen-Wishart, 2022)</w:t>
      </w:r>
    </w:p>
    <w:p w14:paraId="5EBAC8A1" w14:textId="56F45937" w:rsidR="00B2389C" w:rsidRPr="00AB4B2B" w:rsidRDefault="00B2389C" w:rsidP="00B2389C">
      <w:pPr>
        <w:rPr>
          <w:rFonts w:ascii="Arial" w:hAnsi="Arial" w:cs="Arial"/>
          <w:sz w:val="22"/>
          <w:szCs w:val="22"/>
        </w:rPr>
      </w:pPr>
      <w:r w:rsidRPr="00AB4B2B">
        <w:rPr>
          <w:rFonts w:ascii="Arial" w:hAnsi="Arial" w:cs="Arial"/>
          <w:sz w:val="22"/>
          <w:szCs w:val="22"/>
        </w:rPr>
        <w:t xml:space="preserve">   Occasionally, an ad may be interpreted as an offer rather than an invitation to treat. In Carlill v. Carbolic Smoke Ball Co. (1893), the court rejected the manufacturer's claim that the advertisement was insufficiently specific and unserious. The court found that the advertisement constituted an offer to all people everywhere, and that a contract had been </w:t>
      </w:r>
      <w:r w:rsidRPr="00AB4B2B">
        <w:rPr>
          <w:rFonts w:ascii="Arial" w:hAnsi="Arial" w:cs="Arial"/>
          <w:sz w:val="22"/>
          <w:szCs w:val="22"/>
        </w:rPr>
        <w:lastRenderedPageBreak/>
        <w:t>unilaterally entered into with those who satisfied the stipulation "on the faith of the advertisement." (Chen-Wishart, 2022)</w:t>
      </w:r>
    </w:p>
    <w:p w14:paraId="280BFC33" w14:textId="69C0EB48" w:rsidR="0021303B" w:rsidRPr="00AB4B2B" w:rsidRDefault="0021303B" w:rsidP="00B2389C">
      <w:pPr>
        <w:rPr>
          <w:rFonts w:ascii="Arial" w:hAnsi="Arial" w:cs="Arial"/>
          <w:sz w:val="22"/>
          <w:szCs w:val="22"/>
        </w:rPr>
      </w:pPr>
      <w:r w:rsidRPr="00AB4B2B">
        <w:rPr>
          <w:rFonts w:ascii="Arial" w:hAnsi="Arial" w:cs="Arial"/>
          <w:sz w:val="22"/>
          <w:szCs w:val="22"/>
        </w:rPr>
        <w:t xml:space="preserve">   Spencer v. Harding (Spencer v </w:t>
      </w:r>
      <w:proofErr w:type="gramStart"/>
      <w:r w:rsidRPr="00AB4B2B">
        <w:rPr>
          <w:rFonts w:ascii="Arial" w:hAnsi="Arial" w:cs="Arial"/>
          <w:sz w:val="22"/>
          <w:szCs w:val="22"/>
        </w:rPr>
        <w:t>Harding ,</w:t>
      </w:r>
      <w:proofErr w:type="gramEnd"/>
      <w:r w:rsidRPr="00AB4B2B">
        <w:rPr>
          <w:rFonts w:ascii="Arial" w:hAnsi="Arial" w:cs="Arial"/>
          <w:sz w:val="22"/>
          <w:szCs w:val="22"/>
        </w:rPr>
        <w:t xml:space="preserve"> [1870]) demonstrates that invitations to tender can be considered offers based on their terms. "Such as we may deem appropriate to order" for one year is not an offer because there is no commitment to </w:t>
      </w:r>
      <w:proofErr w:type="spellStart"/>
      <w:proofErr w:type="gramStart"/>
      <w:r w:rsidRPr="00AB4B2B">
        <w:rPr>
          <w:rFonts w:ascii="Arial" w:hAnsi="Arial" w:cs="Arial"/>
          <w:sz w:val="22"/>
          <w:szCs w:val="22"/>
        </w:rPr>
        <w:t>purchase.In</w:t>
      </w:r>
      <w:proofErr w:type="spellEnd"/>
      <w:proofErr w:type="gramEnd"/>
      <w:r w:rsidRPr="00AB4B2B">
        <w:rPr>
          <w:rFonts w:ascii="Arial" w:hAnsi="Arial" w:cs="Arial"/>
          <w:sz w:val="22"/>
          <w:szCs w:val="22"/>
        </w:rPr>
        <w:t xml:space="preserve"> contrast, if the invitation to tender states that the inviter will require specific goods and requests bids to supply them, a bid will appear to be a one-time offer. In </w:t>
      </w:r>
      <w:proofErr w:type="spellStart"/>
      <w:r w:rsidRPr="00AB4B2B">
        <w:rPr>
          <w:rFonts w:ascii="Arial" w:hAnsi="Arial" w:cs="Arial"/>
          <w:sz w:val="22"/>
          <w:szCs w:val="22"/>
        </w:rPr>
        <w:t>Harvela</w:t>
      </w:r>
      <w:proofErr w:type="spellEnd"/>
      <w:r w:rsidRPr="00AB4B2B">
        <w:rPr>
          <w:rFonts w:ascii="Arial" w:hAnsi="Arial" w:cs="Arial"/>
          <w:sz w:val="22"/>
          <w:szCs w:val="22"/>
        </w:rPr>
        <w:t xml:space="preserve"> Investments Ltd. v. Royal Trust Co. of Canada </w:t>
      </w:r>
      <w:proofErr w:type="gramStart"/>
      <w:r w:rsidRPr="00AB4B2B">
        <w:rPr>
          <w:rFonts w:ascii="Arial" w:hAnsi="Arial" w:cs="Arial"/>
          <w:sz w:val="22"/>
          <w:szCs w:val="22"/>
        </w:rPr>
        <w:t>Ltd ,</w:t>
      </w:r>
      <w:proofErr w:type="gramEnd"/>
      <w:r w:rsidRPr="00AB4B2B">
        <w:rPr>
          <w:rFonts w:ascii="Arial" w:hAnsi="Arial" w:cs="Arial"/>
          <w:sz w:val="22"/>
          <w:szCs w:val="22"/>
        </w:rPr>
        <w:t xml:space="preserve"> (</w:t>
      </w:r>
      <w:proofErr w:type="spellStart"/>
      <w:r w:rsidRPr="00AB4B2B">
        <w:rPr>
          <w:rFonts w:ascii="Arial" w:hAnsi="Arial" w:cs="Arial"/>
          <w:sz w:val="22"/>
          <w:szCs w:val="22"/>
        </w:rPr>
        <w:t>Harvela</w:t>
      </w:r>
      <w:proofErr w:type="spellEnd"/>
      <w:r w:rsidRPr="00AB4B2B">
        <w:rPr>
          <w:rFonts w:ascii="Arial" w:hAnsi="Arial" w:cs="Arial"/>
          <w:sz w:val="22"/>
          <w:szCs w:val="22"/>
        </w:rPr>
        <w:t xml:space="preserve"> Investments Ltd. v. Royal Trust Co. of Canada Ltd , [1985]) the House of Lords ruled against the petitioner. All referential bids would make determining the highest impossible. (John Cyril Smith, 2002)</w:t>
      </w:r>
    </w:p>
    <w:p w14:paraId="7C8CEFE2" w14:textId="77777777" w:rsidR="00C415AC" w:rsidRPr="00AB4B2B" w:rsidRDefault="00C415AC" w:rsidP="00C415AC">
      <w:pPr>
        <w:rPr>
          <w:rFonts w:ascii="Arial" w:hAnsi="Arial" w:cs="Arial"/>
          <w:sz w:val="22"/>
          <w:szCs w:val="22"/>
        </w:rPr>
      </w:pPr>
      <w:r w:rsidRPr="00AB4B2B">
        <w:rPr>
          <w:rFonts w:ascii="Arial" w:hAnsi="Arial" w:cs="Arial"/>
          <w:sz w:val="22"/>
          <w:szCs w:val="22"/>
        </w:rPr>
        <w:t xml:space="preserve">   Offers </w:t>
      </w:r>
      <w:proofErr w:type="gramStart"/>
      <w:r w:rsidRPr="00AB4B2B">
        <w:rPr>
          <w:rFonts w:ascii="Arial" w:hAnsi="Arial" w:cs="Arial"/>
          <w:sz w:val="22"/>
          <w:szCs w:val="22"/>
        </w:rPr>
        <w:t>are considered to be</w:t>
      </w:r>
      <w:proofErr w:type="gramEnd"/>
      <w:r w:rsidRPr="00AB4B2B">
        <w:rPr>
          <w:rFonts w:ascii="Arial" w:hAnsi="Arial" w:cs="Arial"/>
          <w:sz w:val="22"/>
          <w:szCs w:val="22"/>
        </w:rPr>
        <w:t xml:space="preserve"> accepted when the hammer falls at an auction, as stated in the Sale of Goods Act of 1979. Auctioneers typically have the option of not selling to the most prevalent bidder.</w:t>
      </w:r>
    </w:p>
    <w:p w14:paraId="7D05C907" w14:textId="77777777" w:rsidR="00892699" w:rsidRPr="00AB4B2B" w:rsidRDefault="00C415AC" w:rsidP="00892699">
      <w:pPr>
        <w:rPr>
          <w:rFonts w:ascii="Arial" w:hAnsi="Arial" w:cs="Arial"/>
          <w:sz w:val="22"/>
          <w:szCs w:val="22"/>
        </w:rPr>
      </w:pPr>
      <w:r w:rsidRPr="00AB4B2B">
        <w:rPr>
          <w:rFonts w:ascii="Arial" w:hAnsi="Arial" w:cs="Arial"/>
          <w:sz w:val="22"/>
          <w:szCs w:val="22"/>
        </w:rPr>
        <w:t xml:space="preserve">Initially, the auction is described as "without reserve." The nineteenth-century case of </w:t>
      </w:r>
      <w:proofErr w:type="spellStart"/>
      <w:r w:rsidRPr="00AB4B2B">
        <w:rPr>
          <w:rFonts w:ascii="Arial" w:hAnsi="Arial" w:cs="Arial"/>
          <w:sz w:val="22"/>
          <w:szCs w:val="22"/>
        </w:rPr>
        <w:t>Warlow</w:t>
      </w:r>
      <w:proofErr w:type="spellEnd"/>
      <w:r w:rsidRPr="00AB4B2B">
        <w:rPr>
          <w:rFonts w:ascii="Arial" w:hAnsi="Arial" w:cs="Arial"/>
          <w:sz w:val="22"/>
          <w:szCs w:val="22"/>
        </w:rPr>
        <w:t xml:space="preserve"> v. Harrison examined this topic. Barry v. Heathcote Ball &amp; Co (Commercial Auctions) Ltd (2001) is a landmark case regarding </w:t>
      </w:r>
      <w:proofErr w:type="spellStart"/>
      <w:proofErr w:type="gramStart"/>
      <w:r w:rsidRPr="00AB4B2B">
        <w:rPr>
          <w:rFonts w:ascii="Arial" w:hAnsi="Arial" w:cs="Arial"/>
          <w:sz w:val="22"/>
          <w:szCs w:val="22"/>
        </w:rPr>
        <w:t>auctions.The</w:t>
      </w:r>
      <w:proofErr w:type="spellEnd"/>
      <w:proofErr w:type="gramEnd"/>
      <w:r w:rsidRPr="00AB4B2B">
        <w:rPr>
          <w:rFonts w:ascii="Arial" w:hAnsi="Arial" w:cs="Arial"/>
          <w:sz w:val="22"/>
          <w:szCs w:val="22"/>
        </w:rPr>
        <w:t xml:space="preserve"> court of appeals upheld the trial judge's ruling. The reasoning of </w:t>
      </w:r>
      <w:proofErr w:type="spellStart"/>
      <w:r w:rsidRPr="00AB4B2B">
        <w:rPr>
          <w:rFonts w:ascii="Arial" w:hAnsi="Arial" w:cs="Arial"/>
          <w:sz w:val="22"/>
          <w:szCs w:val="22"/>
        </w:rPr>
        <w:t>Warlow</w:t>
      </w:r>
      <w:proofErr w:type="spellEnd"/>
      <w:r w:rsidRPr="00AB4B2B">
        <w:rPr>
          <w:rFonts w:ascii="Arial" w:hAnsi="Arial" w:cs="Arial"/>
          <w:sz w:val="22"/>
          <w:szCs w:val="22"/>
        </w:rPr>
        <w:t xml:space="preserve"> v. Harrison was followed.</w:t>
      </w:r>
      <w:r w:rsidR="00892699" w:rsidRPr="00AB4B2B">
        <w:rPr>
          <w:rFonts w:ascii="Arial" w:hAnsi="Arial" w:cs="Arial"/>
          <w:sz w:val="22"/>
          <w:szCs w:val="22"/>
        </w:rPr>
        <w:t xml:space="preserve"> (Chen-Wishart, 2022)</w:t>
      </w:r>
    </w:p>
    <w:p w14:paraId="0D75B5C8" w14:textId="59B324B6" w:rsidR="00C415AC" w:rsidRPr="00AB4B2B" w:rsidRDefault="00892699" w:rsidP="00B2389C">
      <w:pPr>
        <w:rPr>
          <w:rFonts w:ascii="Arial" w:hAnsi="Arial" w:cs="Arial"/>
          <w:sz w:val="22"/>
          <w:szCs w:val="22"/>
        </w:rPr>
      </w:pPr>
      <w:r w:rsidRPr="00AB4B2B">
        <w:rPr>
          <w:rFonts w:ascii="Arial" w:hAnsi="Arial" w:cs="Arial"/>
          <w:sz w:val="22"/>
          <w:szCs w:val="22"/>
        </w:rPr>
        <w:t xml:space="preserve">   In addition, there exist multiple methods by which an offer may be terminated. The primary determinants are acceptance, rejection, revocation, passing of time, and death.</w:t>
      </w:r>
    </w:p>
    <w:p w14:paraId="60CFA8E0" w14:textId="09513827" w:rsidR="00B76528" w:rsidRPr="00AB4B2B" w:rsidRDefault="00B76528" w:rsidP="00B2389C">
      <w:pPr>
        <w:rPr>
          <w:rFonts w:ascii="Arial" w:hAnsi="Arial" w:cs="Arial"/>
          <w:sz w:val="22"/>
          <w:szCs w:val="22"/>
        </w:rPr>
      </w:pPr>
      <w:r w:rsidRPr="00AB4B2B">
        <w:rPr>
          <w:rFonts w:ascii="Arial" w:hAnsi="Arial" w:cs="Arial"/>
          <w:sz w:val="22"/>
          <w:szCs w:val="22"/>
        </w:rPr>
        <w:t xml:space="preserve">   In most cases, an offer can be revoked at any time before it is accepted. Notification of the withdrawal must be sent to the offeree or an authorised agent of the offeree. In Byrne &amp; Co v Leon van </w:t>
      </w:r>
      <w:proofErr w:type="spellStart"/>
      <w:r w:rsidRPr="00AB4B2B">
        <w:rPr>
          <w:rFonts w:ascii="Arial" w:hAnsi="Arial" w:cs="Arial"/>
          <w:sz w:val="22"/>
          <w:szCs w:val="22"/>
        </w:rPr>
        <w:t>Tienhoven</w:t>
      </w:r>
      <w:proofErr w:type="spellEnd"/>
      <w:r w:rsidRPr="00AB4B2B">
        <w:rPr>
          <w:rFonts w:ascii="Arial" w:hAnsi="Arial" w:cs="Arial"/>
          <w:sz w:val="22"/>
          <w:szCs w:val="22"/>
        </w:rPr>
        <w:t xml:space="preserve"> Due to the fact that the withdrawal hadn't been disclosed at the time the offer was accepted, it was established that a contract existed. As soon as the offerees at first discovered of the offer, the offerors had already renounced their intention to transact business with them. None of the parties could rely on a postal offer if it could be revoked by a letter that had already been sent but had not yet been received. </w:t>
      </w:r>
      <w:r w:rsidR="00E900A1" w:rsidRPr="00AB4B2B">
        <w:rPr>
          <w:rFonts w:ascii="Arial" w:hAnsi="Arial" w:cs="Arial"/>
          <w:sz w:val="22"/>
          <w:szCs w:val="22"/>
        </w:rPr>
        <w:t xml:space="preserve">In Errington v. Errington (1952), the Court of Appeal determined that a unilateral offer may not be rescinded once the offeree has begun performing the act requested in the offer. </w:t>
      </w:r>
      <w:r w:rsidRPr="00AB4B2B">
        <w:rPr>
          <w:rFonts w:ascii="Arial" w:hAnsi="Arial" w:cs="Arial"/>
          <w:sz w:val="22"/>
          <w:szCs w:val="22"/>
        </w:rPr>
        <w:t xml:space="preserve">(Peel and </w:t>
      </w:r>
      <w:proofErr w:type="spellStart"/>
      <w:r w:rsidRPr="00AB4B2B">
        <w:rPr>
          <w:rFonts w:ascii="Arial" w:hAnsi="Arial" w:cs="Arial"/>
          <w:sz w:val="22"/>
          <w:szCs w:val="22"/>
        </w:rPr>
        <w:t>Treitel</w:t>
      </w:r>
      <w:proofErr w:type="spellEnd"/>
      <w:r w:rsidRPr="00AB4B2B">
        <w:rPr>
          <w:rFonts w:ascii="Arial" w:hAnsi="Arial" w:cs="Arial"/>
          <w:sz w:val="22"/>
          <w:szCs w:val="22"/>
        </w:rPr>
        <w:t>, 2015)</w:t>
      </w:r>
    </w:p>
    <w:p w14:paraId="69F21802" w14:textId="305D5492" w:rsidR="008D30E5" w:rsidRPr="00AB4B2B" w:rsidRDefault="00E900A1" w:rsidP="00B2389C">
      <w:pPr>
        <w:rPr>
          <w:rFonts w:ascii="Arial" w:hAnsi="Arial" w:cs="Arial"/>
          <w:sz w:val="22"/>
          <w:szCs w:val="22"/>
        </w:rPr>
      </w:pPr>
      <w:r w:rsidRPr="00AB4B2B">
        <w:rPr>
          <w:rFonts w:ascii="Arial" w:hAnsi="Arial" w:cs="Arial"/>
          <w:sz w:val="22"/>
          <w:szCs w:val="22"/>
        </w:rPr>
        <w:t xml:space="preserve">   </w:t>
      </w:r>
      <w:r w:rsidR="008D30E5" w:rsidRPr="00AB4B2B">
        <w:rPr>
          <w:rFonts w:ascii="Arial" w:hAnsi="Arial" w:cs="Arial"/>
          <w:sz w:val="22"/>
          <w:szCs w:val="22"/>
        </w:rPr>
        <w:t xml:space="preserve">There is some uncertainty in the English authorities as to the precise circumstances under which an offer will lapse on the death of either party. The orthodox view is that the responsibility should not fall on the executor if the buyer has been notified of the offeror's death. Therefore, in the event of a proposal to give an assurance, it has been determined that the offeree is unable to accept the proposition after he was notified of the offeror's death: </w:t>
      </w:r>
      <w:proofErr w:type="spellStart"/>
      <w:r w:rsidR="008D30E5" w:rsidRPr="00AB4B2B">
        <w:rPr>
          <w:rFonts w:ascii="Arial" w:hAnsi="Arial" w:cs="Arial"/>
          <w:sz w:val="22"/>
          <w:szCs w:val="22"/>
        </w:rPr>
        <w:t>Clementson</w:t>
      </w:r>
      <w:proofErr w:type="spellEnd"/>
      <w:r w:rsidR="008D30E5" w:rsidRPr="00AB4B2B">
        <w:rPr>
          <w:rFonts w:ascii="Arial" w:hAnsi="Arial" w:cs="Arial"/>
          <w:sz w:val="22"/>
          <w:szCs w:val="22"/>
        </w:rPr>
        <w:t xml:space="preserve"> vs. </w:t>
      </w:r>
      <w:proofErr w:type="spellStart"/>
      <w:r w:rsidR="008D30E5" w:rsidRPr="00AB4B2B">
        <w:rPr>
          <w:rFonts w:ascii="Arial" w:hAnsi="Arial" w:cs="Arial"/>
          <w:sz w:val="22"/>
          <w:szCs w:val="22"/>
        </w:rPr>
        <w:t>Coulthart</w:t>
      </w:r>
      <w:proofErr w:type="spellEnd"/>
      <w:r w:rsidR="008D30E5" w:rsidRPr="00AB4B2B">
        <w:rPr>
          <w:rFonts w:ascii="Arial" w:hAnsi="Arial" w:cs="Arial"/>
          <w:sz w:val="22"/>
          <w:szCs w:val="22"/>
        </w:rPr>
        <w:t>. However, if the offeree is unaware of the offeror's death at the time of acceptance, the assets of the deceased will be bound. There are incisive dicta to this impact in the case of Bradbury v. Morgan.</w:t>
      </w:r>
      <w:r w:rsidR="00A40714" w:rsidRPr="00AB4B2B">
        <w:rPr>
          <w:rFonts w:ascii="Arial" w:hAnsi="Arial" w:cs="Arial"/>
          <w:sz w:val="22"/>
          <w:szCs w:val="22"/>
        </w:rPr>
        <w:t xml:space="preserve"> (Merkin and </w:t>
      </w:r>
      <w:proofErr w:type="spellStart"/>
      <w:r w:rsidR="00A40714" w:rsidRPr="00AB4B2B">
        <w:rPr>
          <w:rFonts w:ascii="Arial" w:hAnsi="Arial" w:cs="Arial"/>
          <w:sz w:val="22"/>
          <w:szCs w:val="22"/>
        </w:rPr>
        <w:t>Saintier</w:t>
      </w:r>
      <w:proofErr w:type="spellEnd"/>
      <w:r w:rsidR="00A40714" w:rsidRPr="00AB4B2B">
        <w:rPr>
          <w:rFonts w:ascii="Arial" w:hAnsi="Arial" w:cs="Arial"/>
          <w:sz w:val="22"/>
          <w:szCs w:val="22"/>
        </w:rPr>
        <w:t>, 2021)</w:t>
      </w:r>
    </w:p>
    <w:p w14:paraId="0DD64DE0" w14:textId="090EA2A5" w:rsidR="00E900A1" w:rsidRPr="00AB4B2B" w:rsidRDefault="00E900A1" w:rsidP="00E900A1">
      <w:pPr>
        <w:rPr>
          <w:rFonts w:ascii="Arial" w:hAnsi="Arial" w:cs="Arial"/>
          <w:sz w:val="22"/>
          <w:szCs w:val="22"/>
        </w:rPr>
      </w:pPr>
      <w:r w:rsidRPr="00AB4B2B">
        <w:rPr>
          <w:rFonts w:ascii="Arial" w:hAnsi="Arial" w:cs="Arial"/>
          <w:sz w:val="22"/>
          <w:szCs w:val="22"/>
        </w:rPr>
        <w:t xml:space="preserve">   An offer may be expressly made valid for a specified period of time, until a given date, or until the occurrence of a particular event." This offer may be accepted within the specified time frame.</w:t>
      </w:r>
    </w:p>
    <w:p w14:paraId="28DBA49F" w14:textId="6DF36DF1" w:rsidR="00E900A1" w:rsidRPr="00AB4B2B" w:rsidRDefault="00E900A1" w:rsidP="00E900A1">
      <w:pPr>
        <w:rPr>
          <w:rFonts w:ascii="Arial" w:hAnsi="Arial" w:cs="Arial"/>
          <w:sz w:val="22"/>
          <w:szCs w:val="22"/>
        </w:rPr>
      </w:pPr>
      <w:r w:rsidRPr="00AB4B2B">
        <w:rPr>
          <w:rFonts w:ascii="Arial" w:hAnsi="Arial" w:cs="Arial"/>
          <w:sz w:val="22"/>
          <w:szCs w:val="22"/>
        </w:rPr>
        <w:t xml:space="preserve">If the offeror withdraws the offer before the expiration date, this will not constitute a breach of contract unless the offeror agreed for valuable consideration to keep the offer active. For </w:t>
      </w:r>
      <w:proofErr w:type="gramStart"/>
      <w:r w:rsidRPr="00AB4B2B">
        <w:rPr>
          <w:rFonts w:ascii="Arial" w:hAnsi="Arial" w:cs="Arial"/>
          <w:sz w:val="22"/>
          <w:szCs w:val="22"/>
        </w:rPr>
        <w:t>example</w:t>
      </w:r>
      <w:proofErr w:type="gramEnd"/>
      <w:r w:rsidRPr="00AB4B2B">
        <w:rPr>
          <w:rFonts w:ascii="Arial" w:hAnsi="Arial" w:cs="Arial"/>
          <w:sz w:val="22"/>
          <w:szCs w:val="22"/>
        </w:rPr>
        <w:t xml:space="preserve"> In Dickinson v. Dodds, the defendant offered to sell several houses to the plaintiff: "This offer to be extended until Friday, June 12, at 9 a.m." (</w:t>
      </w:r>
      <w:proofErr w:type="spellStart"/>
      <w:r w:rsidRPr="00AB4B2B">
        <w:rPr>
          <w:rFonts w:ascii="Arial" w:hAnsi="Arial" w:cs="Arial"/>
          <w:sz w:val="22"/>
          <w:szCs w:val="22"/>
        </w:rPr>
        <w:t>Halson</w:t>
      </w:r>
      <w:proofErr w:type="spellEnd"/>
      <w:r w:rsidRPr="00AB4B2B">
        <w:rPr>
          <w:rFonts w:ascii="Arial" w:hAnsi="Arial" w:cs="Arial"/>
          <w:sz w:val="22"/>
          <w:szCs w:val="22"/>
        </w:rPr>
        <w:t>, 2013)</w:t>
      </w:r>
    </w:p>
    <w:p w14:paraId="22C3D47D" w14:textId="095F9E29" w:rsidR="00E900A1" w:rsidRPr="00AB4B2B" w:rsidRDefault="000C1A3E" w:rsidP="00E900A1">
      <w:pPr>
        <w:rPr>
          <w:rFonts w:ascii="Arial" w:hAnsi="Arial" w:cs="Arial"/>
          <w:sz w:val="22"/>
          <w:szCs w:val="22"/>
        </w:rPr>
      </w:pPr>
      <w:r w:rsidRPr="00AB4B2B">
        <w:rPr>
          <w:rFonts w:ascii="Arial" w:hAnsi="Arial" w:cs="Arial"/>
          <w:sz w:val="22"/>
          <w:szCs w:val="22"/>
        </w:rPr>
        <w:t xml:space="preserve">   The offer expires when the offeree rejects it and communicates her decision to the offeror. A rejection is not effective until it is conveyed to the offeror. While paired with the postal acceptance rule, this can lead to unpalatable conclusions, such as acceptance arriving before rejection. A counteroffer can constitute a rejection if the offeree responds to the original offer with a new offer containing different terms. Hyde v. Wrench 1840 is an illustration of a counteroffer. (Chen-Wishart, 2022)</w:t>
      </w:r>
    </w:p>
    <w:p w14:paraId="587EB6D7" w14:textId="4FD5D9EA" w:rsidR="006A256D" w:rsidRPr="00AB4B2B" w:rsidRDefault="006A256D" w:rsidP="00E900A1">
      <w:pPr>
        <w:rPr>
          <w:rFonts w:ascii="Arial" w:hAnsi="Arial" w:cs="Arial"/>
          <w:sz w:val="22"/>
          <w:szCs w:val="22"/>
        </w:rPr>
      </w:pPr>
      <w:r w:rsidRPr="00AB4B2B">
        <w:rPr>
          <w:rFonts w:ascii="Arial" w:hAnsi="Arial" w:cs="Arial"/>
          <w:sz w:val="22"/>
          <w:szCs w:val="22"/>
        </w:rPr>
        <w:t xml:space="preserve">   As soon as the offeree accepts the offer, a binding agreement is </w:t>
      </w:r>
      <w:proofErr w:type="gramStart"/>
      <w:r w:rsidRPr="00AB4B2B">
        <w:rPr>
          <w:rFonts w:ascii="Arial" w:hAnsi="Arial" w:cs="Arial"/>
          <w:sz w:val="22"/>
          <w:szCs w:val="22"/>
        </w:rPr>
        <w:t>formed</w:t>
      </w:r>
      <w:proofErr w:type="gramEnd"/>
      <w:r w:rsidRPr="00AB4B2B">
        <w:rPr>
          <w:rFonts w:ascii="Arial" w:hAnsi="Arial" w:cs="Arial"/>
          <w:sz w:val="22"/>
          <w:szCs w:val="22"/>
        </w:rPr>
        <w:t xml:space="preserve"> and the offer expires. It can be made verbally, in writing, or by implication of conduct, </w:t>
      </w:r>
      <w:proofErr w:type="gramStart"/>
      <w:r w:rsidRPr="00AB4B2B">
        <w:rPr>
          <w:rFonts w:ascii="Arial" w:hAnsi="Arial" w:cs="Arial"/>
          <w:sz w:val="22"/>
          <w:szCs w:val="22"/>
        </w:rPr>
        <w:t>as long as</w:t>
      </w:r>
      <w:proofErr w:type="gramEnd"/>
      <w:r w:rsidRPr="00AB4B2B">
        <w:rPr>
          <w:rFonts w:ascii="Arial" w:hAnsi="Arial" w:cs="Arial"/>
          <w:sz w:val="22"/>
          <w:szCs w:val="22"/>
        </w:rPr>
        <w:t xml:space="preserve"> the offeror receives them. However, in </w:t>
      </w:r>
      <w:proofErr w:type="spellStart"/>
      <w:r w:rsidRPr="00AB4B2B">
        <w:rPr>
          <w:rFonts w:ascii="Arial" w:hAnsi="Arial" w:cs="Arial"/>
          <w:sz w:val="22"/>
          <w:szCs w:val="22"/>
        </w:rPr>
        <w:t>Felthouse</w:t>
      </w:r>
      <w:proofErr w:type="spellEnd"/>
      <w:r w:rsidRPr="00AB4B2B">
        <w:rPr>
          <w:rFonts w:ascii="Arial" w:hAnsi="Arial" w:cs="Arial"/>
          <w:sz w:val="22"/>
          <w:szCs w:val="22"/>
        </w:rPr>
        <w:t xml:space="preserve"> v. Bindley [21], the court refused to require the respondent to turn down the offer and pointed out that silence does not constitute acceptance.</w:t>
      </w:r>
      <w:r w:rsidRPr="00AB4B2B">
        <w:rPr>
          <w:sz w:val="22"/>
          <w:szCs w:val="22"/>
        </w:rPr>
        <w:t xml:space="preserve"> </w:t>
      </w:r>
      <w:r w:rsidRPr="00AB4B2B">
        <w:rPr>
          <w:rFonts w:ascii="Arial" w:hAnsi="Arial" w:cs="Arial"/>
          <w:sz w:val="22"/>
          <w:szCs w:val="22"/>
        </w:rPr>
        <w:t xml:space="preserve">As in Powell v. Lee, it is essential to remember that communication must be communicated to either the offeree or an individual approved to accept. In addition, </w:t>
      </w:r>
      <w:r w:rsidRPr="00AB4B2B">
        <w:rPr>
          <w:rFonts w:ascii="Arial" w:hAnsi="Arial" w:cs="Arial"/>
          <w:sz w:val="22"/>
          <w:szCs w:val="22"/>
        </w:rPr>
        <w:lastRenderedPageBreak/>
        <w:t>according to the postal rule established in Adams v. Lindsell, acceptance is conveyed as soon as the letter is sent by post, even if the offeror has not received it.</w:t>
      </w:r>
      <w:r w:rsidR="0089159D" w:rsidRPr="00AB4B2B">
        <w:rPr>
          <w:rFonts w:ascii="Arial" w:hAnsi="Arial" w:cs="Arial"/>
          <w:sz w:val="22"/>
          <w:szCs w:val="22"/>
        </w:rPr>
        <w:t xml:space="preserve"> (Stone, 2015)</w:t>
      </w:r>
      <w:r w:rsidR="0089159D" w:rsidRPr="00AB4B2B">
        <w:rPr>
          <w:sz w:val="22"/>
          <w:szCs w:val="22"/>
        </w:rPr>
        <w:t xml:space="preserve"> </w:t>
      </w:r>
      <w:r w:rsidR="0089159D" w:rsidRPr="00AB4B2B">
        <w:rPr>
          <w:rFonts w:ascii="Arial" w:hAnsi="Arial" w:cs="Arial"/>
          <w:sz w:val="22"/>
          <w:szCs w:val="22"/>
        </w:rPr>
        <w:t>To conclude everything illegally also terminates the contract.</w:t>
      </w:r>
    </w:p>
    <w:p w14:paraId="26013CD6" w14:textId="77777777" w:rsidR="006A256D" w:rsidRDefault="006A256D" w:rsidP="00E900A1">
      <w:pPr>
        <w:rPr>
          <w:rFonts w:ascii="Arial" w:hAnsi="Arial" w:cs="Arial"/>
        </w:rPr>
      </w:pPr>
    </w:p>
    <w:p w14:paraId="48C3D30E" w14:textId="77777777" w:rsidR="00AB4B2B" w:rsidRPr="00AB4B2B" w:rsidRDefault="00AB4B2B" w:rsidP="00AB4B2B">
      <w:pPr>
        <w:pStyle w:val="NormalWeb"/>
        <w:spacing w:before="0" w:beforeAutospacing="0" w:after="240" w:afterAutospacing="0" w:line="360" w:lineRule="auto"/>
        <w:rPr>
          <w:sz w:val="56"/>
          <w:szCs w:val="56"/>
        </w:rPr>
      </w:pPr>
      <w:r w:rsidRPr="00AB4B2B">
        <w:rPr>
          <w:sz w:val="56"/>
          <w:szCs w:val="56"/>
        </w:rPr>
        <w:t>Reference list</w:t>
      </w:r>
    </w:p>
    <w:p w14:paraId="1B84A7DD" w14:textId="77777777" w:rsidR="00AB4B2B" w:rsidRDefault="00AB4B2B" w:rsidP="00AB4B2B">
      <w:pPr>
        <w:pStyle w:val="NormalWeb"/>
        <w:numPr>
          <w:ilvl w:val="0"/>
          <w:numId w:val="1"/>
        </w:numPr>
        <w:spacing w:before="0" w:beforeAutospacing="0" w:after="240" w:afterAutospacing="0" w:line="360" w:lineRule="auto"/>
      </w:pPr>
      <w:r>
        <w:rPr>
          <w:i/>
          <w:iCs/>
        </w:rPr>
        <w:t>Adams v Lindsell</w:t>
      </w:r>
      <w:r>
        <w:t xml:space="preserve"> [1818] Available at: https://plus-lexis-com.ezproxy.uwtsd.ac.uk/uk/cases-uk/adams-v-lindsell?crid=490bce61-21d1-46ab-8379-4fdea368112c [Accessed 17 Jul. 2023].</w:t>
      </w:r>
    </w:p>
    <w:p w14:paraId="4B2892B7" w14:textId="77777777" w:rsidR="00AB4B2B" w:rsidRDefault="00AB4B2B" w:rsidP="00AB4B2B">
      <w:pPr>
        <w:pStyle w:val="NormalWeb"/>
        <w:numPr>
          <w:ilvl w:val="0"/>
          <w:numId w:val="1"/>
        </w:numPr>
        <w:spacing w:before="0" w:beforeAutospacing="0" w:after="240" w:afterAutospacing="0" w:line="360" w:lineRule="auto"/>
      </w:pPr>
      <w:r>
        <w:rPr>
          <w:i/>
          <w:iCs/>
        </w:rPr>
        <w:t xml:space="preserve">Barry v. Heathcote Ball &amp; Co (Commercial Auctions) Ltd (2001) </w:t>
      </w:r>
      <w:r>
        <w:t>Available at: https://www.e-lawresources.co.uk/Heathcote-Ball-v-Barry.php [Accessed 16 Jul. 2023].</w:t>
      </w:r>
    </w:p>
    <w:p w14:paraId="6E91509E" w14:textId="77777777" w:rsidR="00AB4B2B" w:rsidRDefault="00AB4B2B" w:rsidP="00AB4B2B">
      <w:pPr>
        <w:pStyle w:val="NormalWeb"/>
        <w:numPr>
          <w:ilvl w:val="0"/>
          <w:numId w:val="1"/>
        </w:numPr>
        <w:spacing w:before="0" w:beforeAutospacing="0" w:after="240" w:afterAutospacing="0" w:line="360" w:lineRule="auto"/>
      </w:pPr>
      <w:r>
        <w:rPr>
          <w:i/>
          <w:iCs/>
        </w:rPr>
        <w:t>Bradbury v. Morgan</w:t>
      </w:r>
      <w:r>
        <w:t xml:space="preserve"> [1862] (Court of Exchequer) Available at: https://plus-lexis-com.ezproxy.uwtsd.ac.uk/uk/cases-uk/bradbury-v-morgan?crid=07346d61-dba0-4f6f-9591-640c669c3f75 [Accessed 17 Jul. 2023].</w:t>
      </w:r>
    </w:p>
    <w:p w14:paraId="57CEAAF1" w14:textId="77777777" w:rsidR="00AB4B2B" w:rsidRDefault="00AB4B2B" w:rsidP="00AB4B2B">
      <w:pPr>
        <w:pStyle w:val="NormalWeb"/>
        <w:numPr>
          <w:ilvl w:val="0"/>
          <w:numId w:val="1"/>
        </w:numPr>
        <w:spacing w:before="0" w:beforeAutospacing="0" w:after="240" w:afterAutospacing="0" w:line="360" w:lineRule="auto"/>
      </w:pPr>
      <w:r>
        <w:rPr>
          <w:i/>
          <w:iCs/>
        </w:rPr>
        <w:t xml:space="preserve">Byrne &amp; Co v Leon Van </w:t>
      </w:r>
      <w:proofErr w:type="spellStart"/>
      <w:r>
        <w:rPr>
          <w:i/>
          <w:iCs/>
        </w:rPr>
        <w:t>Tienhoven</w:t>
      </w:r>
      <w:proofErr w:type="spellEnd"/>
      <w:r>
        <w:t xml:space="preserve"> [1880] (Court of Common Pleas) Available at: https://plus-lexis-com.ezproxy.uwtsd.ac.uk/uk/cases-uk/byrne-co-v-leon-van-tienhoven-co?crid=36de670f-8dbd-45a4-8676-fdf1d986c44b [Accessed 17 Jul. 2023].</w:t>
      </w:r>
    </w:p>
    <w:p w14:paraId="2E80CEF8" w14:textId="77777777" w:rsidR="00AB4B2B" w:rsidRDefault="00AB4B2B" w:rsidP="00AB4B2B">
      <w:pPr>
        <w:pStyle w:val="NormalWeb"/>
        <w:numPr>
          <w:ilvl w:val="0"/>
          <w:numId w:val="1"/>
        </w:numPr>
        <w:spacing w:before="0" w:beforeAutospacing="0" w:after="240" w:afterAutospacing="0" w:line="360" w:lineRule="auto"/>
      </w:pPr>
      <w:proofErr w:type="spellStart"/>
      <w:r>
        <w:rPr>
          <w:i/>
          <w:iCs/>
        </w:rPr>
        <w:t>Chapelton</w:t>
      </w:r>
      <w:proofErr w:type="spellEnd"/>
      <w:r>
        <w:rPr>
          <w:i/>
          <w:iCs/>
        </w:rPr>
        <w:t xml:space="preserve"> v Barry UDC</w:t>
      </w:r>
      <w:r>
        <w:t xml:space="preserve"> [1940] (Court of Appeal) Available at: https://plus-lexis-com.ezproxy.uwtsd.ac.uk/uk/cases-uk/chapelton-v-barry-udc?crid=6c1cd315-1569-41eb-adfe-61ff2283df6c [Accessed 16 Jul. 2023].</w:t>
      </w:r>
    </w:p>
    <w:p w14:paraId="1E90DDC2" w14:textId="77777777" w:rsidR="00AB4B2B" w:rsidRDefault="00AB4B2B" w:rsidP="00AB4B2B">
      <w:pPr>
        <w:pStyle w:val="NormalWeb"/>
        <w:numPr>
          <w:ilvl w:val="0"/>
          <w:numId w:val="1"/>
        </w:numPr>
        <w:spacing w:before="0" w:beforeAutospacing="0" w:after="240" w:afterAutospacing="0" w:line="360" w:lineRule="auto"/>
      </w:pPr>
      <w:r>
        <w:t xml:space="preserve">Chen-Wishart, M. (2022). </w:t>
      </w:r>
      <w:r>
        <w:rPr>
          <w:i/>
          <w:iCs/>
        </w:rPr>
        <w:t>Contract Law</w:t>
      </w:r>
      <w:r>
        <w:t>. 6th ed. Oxford, United Kingdom: Oxford University Press. Copyright.</w:t>
      </w:r>
    </w:p>
    <w:p w14:paraId="369810E7" w14:textId="77777777" w:rsidR="00AB4B2B" w:rsidRDefault="00AB4B2B" w:rsidP="00AB4B2B">
      <w:pPr>
        <w:pStyle w:val="NormalWeb"/>
        <w:numPr>
          <w:ilvl w:val="0"/>
          <w:numId w:val="1"/>
        </w:numPr>
        <w:spacing w:before="0" w:beforeAutospacing="0" w:after="240" w:afterAutospacing="0" w:line="360" w:lineRule="auto"/>
      </w:pPr>
      <w:proofErr w:type="spellStart"/>
      <w:r>
        <w:rPr>
          <w:i/>
          <w:iCs/>
        </w:rPr>
        <w:t>Clementson</w:t>
      </w:r>
      <w:proofErr w:type="spellEnd"/>
      <w:r>
        <w:rPr>
          <w:i/>
          <w:iCs/>
        </w:rPr>
        <w:t xml:space="preserve"> vs. </w:t>
      </w:r>
      <w:proofErr w:type="spellStart"/>
      <w:r>
        <w:rPr>
          <w:i/>
          <w:iCs/>
        </w:rPr>
        <w:t>Coulthart</w:t>
      </w:r>
      <w:proofErr w:type="spellEnd"/>
      <w:r>
        <w:rPr>
          <w:i/>
          <w:iCs/>
        </w:rPr>
        <w:t xml:space="preserve"> </w:t>
      </w:r>
      <w:r>
        <w:t>[1879] Available at: https://uk.practicallaw.thomsonreuters.com/D-000-4514?transitionType=Default&amp;contextData=(sc.Default) [Accessed 17 Jul. 2023].</w:t>
      </w:r>
    </w:p>
    <w:p w14:paraId="02CD34F4" w14:textId="77777777" w:rsidR="00AB4B2B" w:rsidRDefault="00AB4B2B" w:rsidP="00AB4B2B">
      <w:pPr>
        <w:pStyle w:val="NormalWeb"/>
        <w:numPr>
          <w:ilvl w:val="0"/>
          <w:numId w:val="1"/>
        </w:numPr>
        <w:spacing w:before="0" w:beforeAutospacing="0" w:after="240" w:afterAutospacing="0" w:line="360" w:lineRule="auto"/>
      </w:pPr>
      <w:r>
        <w:rPr>
          <w:i/>
          <w:iCs/>
        </w:rPr>
        <w:t>Dickinson v Dodds</w:t>
      </w:r>
      <w:r>
        <w:t xml:space="preserve"> [1876] (Court of Appeal) Available at: https://plus-lexis-com.ezproxy.uwtsd.ac.uk/uk/cases-uk/dickinson-v-dodds?crid=a4386949-f552-426c-aed4-f4d67e79f5df [Accessed 17 Jul. 2023].</w:t>
      </w:r>
    </w:p>
    <w:p w14:paraId="15752F9D" w14:textId="77777777" w:rsidR="00AB4B2B" w:rsidRDefault="00AB4B2B" w:rsidP="00AB4B2B">
      <w:pPr>
        <w:pStyle w:val="NormalWeb"/>
        <w:numPr>
          <w:ilvl w:val="0"/>
          <w:numId w:val="1"/>
        </w:numPr>
        <w:spacing w:before="0" w:beforeAutospacing="0" w:after="240" w:afterAutospacing="0" w:line="360" w:lineRule="auto"/>
      </w:pPr>
      <w:r>
        <w:rPr>
          <w:i/>
          <w:iCs/>
        </w:rPr>
        <w:lastRenderedPageBreak/>
        <w:t>Errington v Errington [1952] 1 KB 290</w:t>
      </w:r>
      <w:r>
        <w:t xml:space="preserve"> [1952] Available at: https://lawprof.co/contract/contract-formation-cases/errington-v-errington-1952-1-kb-290-contract/ [Accessed 17 Jul. 2023].</w:t>
      </w:r>
    </w:p>
    <w:p w14:paraId="4BB04BA4" w14:textId="77777777" w:rsidR="00AB4B2B" w:rsidRDefault="00AB4B2B" w:rsidP="00AB4B2B">
      <w:pPr>
        <w:pStyle w:val="NormalWeb"/>
        <w:numPr>
          <w:ilvl w:val="0"/>
          <w:numId w:val="1"/>
        </w:numPr>
        <w:spacing w:before="0" w:beforeAutospacing="0" w:after="240" w:afterAutospacing="0" w:line="360" w:lineRule="auto"/>
      </w:pPr>
      <w:r>
        <w:t xml:space="preserve">Ewan </w:t>
      </w:r>
      <w:proofErr w:type="spellStart"/>
      <w:r>
        <w:t>Mckendrick</w:t>
      </w:r>
      <w:proofErr w:type="spellEnd"/>
      <w:r>
        <w:t xml:space="preserve"> (2015). </w:t>
      </w:r>
      <w:r>
        <w:rPr>
          <w:i/>
          <w:iCs/>
        </w:rPr>
        <w:t>Contract law</w:t>
      </w:r>
      <w:r>
        <w:t>. London: Palgrave.</w:t>
      </w:r>
    </w:p>
    <w:p w14:paraId="4552A67F" w14:textId="77777777" w:rsidR="00AB4B2B" w:rsidRDefault="00AB4B2B" w:rsidP="00AB4B2B">
      <w:pPr>
        <w:pStyle w:val="NormalWeb"/>
        <w:numPr>
          <w:ilvl w:val="0"/>
          <w:numId w:val="1"/>
        </w:numPr>
        <w:spacing w:before="0" w:beforeAutospacing="0" w:after="240" w:afterAutospacing="0" w:line="360" w:lineRule="auto"/>
      </w:pPr>
      <w:r>
        <w:rPr>
          <w:i/>
          <w:iCs/>
        </w:rPr>
        <w:t xml:space="preserve">Fisher v Bell </w:t>
      </w:r>
      <w:r>
        <w:t>[1960] (QBD) Available at: https://plus-lexis-com.ezproxy.uwtsd.ac.uk/uk/cases-uk/fisher-v-bell?crid=83571213-1eab-4146-af32-ba7a5303afb9 [Accessed 16 Jul. 2023].</w:t>
      </w:r>
    </w:p>
    <w:p w14:paraId="0ECA40C3" w14:textId="77777777" w:rsidR="00AB4B2B" w:rsidRDefault="00AB4B2B" w:rsidP="00AB4B2B">
      <w:pPr>
        <w:pStyle w:val="NormalWeb"/>
        <w:numPr>
          <w:ilvl w:val="0"/>
          <w:numId w:val="1"/>
        </w:numPr>
        <w:spacing w:before="0" w:beforeAutospacing="0" w:after="240" w:afterAutospacing="0" w:line="360" w:lineRule="auto"/>
      </w:pPr>
      <w:r>
        <w:rPr>
          <w:i/>
          <w:iCs/>
        </w:rPr>
        <w:t>Gibson v. Manchester County Council</w:t>
      </w:r>
      <w:r>
        <w:t xml:space="preserve"> [1979] (United Kingdom House of Lords Decisions) Available at: https://www.bailii.org/cgi-bin/format.cgi?doc=/uk/cases/UKHL/1979/6.html&amp;query=(Storer)+AND+(v)+AND+(Manchester)+AND+(City)+AND+(Council)+AND+(1974) [Accessed 15 Jul. 2023].</w:t>
      </w:r>
    </w:p>
    <w:p w14:paraId="00233E87" w14:textId="77777777" w:rsidR="00AB4B2B" w:rsidRDefault="00AB4B2B" w:rsidP="00AB4B2B">
      <w:pPr>
        <w:pStyle w:val="NormalWeb"/>
        <w:numPr>
          <w:ilvl w:val="0"/>
          <w:numId w:val="1"/>
        </w:numPr>
        <w:spacing w:before="0" w:beforeAutospacing="0" w:after="240" w:afterAutospacing="0" w:line="360" w:lineRule="auto"/>
      </w:pPr>
      <w:proofErr w:type="spellStart"/>
      <w:r>
        <w:t>Halson</w:t>
      </w:r>
      <w:proofErr w:type="spellEnd"/>
      <w:r>
        <w:t xml:space="preserve">, R. (2013). </w:t>
      </w:r>
      <w:r>
        <w:rPr>
          <w:i/>
          <w:iCs/>
        </w:rPr>
        <w:t>Contract law</w:t>
      </w:r>
      <w:r>
        <w:t>. Harlow: Pearson Education.</w:t>
      </w:r>
    </w:p>
    <w:p w14:paraId="632271AB" w14:textId="77777777" w:rsidR="00AB4B2B" w:rsidRDefault="00AB4B2B" w:rsidP="00AB4B2B">
      <w:pPr>
        <w:pStyle w:val="NormalWeb"/>
        <w:numPr>
          <w:ilvl w:val="0"/>
          <w:numId w:val="1"/>
        </w:numPr>
        <w:spacing w:before="0" w:beforeAutospacing="0" w:after="240" w:afterAutospacing="0" w:line="360" w:lineRule="auto"/>
      </w:pPr>
      <w:proofErr w:type="spellStart"/>
      <w:r>
        <w:rPr>
          <w:i/>
          <w:iCs/>
        </w:rPr>
        <w:t>Harvela</w:t>
      </w:r>
      <w:proofErr w:type="spellEnd"/>
      <w:r>
        <w:rPr>
          <w:i/>
          <w:iCs/>
        </w:rPr>
        <w:t xml:space="preserve"> Investments Ltd. v. Royal Trust Co. of Canada Ltd </w:t>
      </w:r>
      <w:r>
        <w:t>[1985] (House of Lords) Available at: https://www.bailii.org/cgi-bin/format.cgi?doc=/uk/cases/UKHL/1985/16.html&amp;query=(Harvela)+AND+(Investments)+AND+(Ltd.)+AND+(v.)+AND+(Royal)+AND+(Trust)+AND+(Co.)+AND+(of)+AND+(Canada)+AND+(Ltd) [Accessed 16 Jul. 2023].</w:t>
      </w:r>
    </w:p>
    <w:p w14:paraId="3B6FA8E8" w14:textId="77777777" w:rsidR="00AB4B2B" w:rsidRDefault="00AB4B2B" w:rsidP="00AB4B2B">
      <w:pPr>
        <w:pStyle w:val="NormalWeb"/>
        <w:numPr>
          <w:ilvl w:val="0"/>
          <w:numId w:val="1"/>
        </w:numPr>
        <w:spacing w:before="0" w:beforeAutospacing="0" w:after="240" w:afterAutospacing="0" w:line="360" w:lineRule="auto"/>
      </w:pPr>
      <w:r>
        <w:rPr>
          <w:i/>
          <w:iCs/>
        </w:rPr>
        <w:t>Hyde v Wrench</w:t>
      </w:r>
      <w:r>
        <w:t xml:space="preserve"> [1840] (Rolls </w:t>
      </w:r>
      <w:proofErr w:type="gramStart"/>
      <w:r>
        <w:t>Court )</w:t>
      </w:r>
      <w:proofErr w:type="gramEnd"/>
      <w:r>
        <w:t xml:space="preserve"> Available at: https://plus-lexis-com.ezproxy.uwtsd.ac.uk/uk/cases-uk/hyde-v-wrench?crid=3d42e706-0ad5-4e52-a484-38a0cdeb2226 [Accessed 17 Jul. 2023].</w:t>
      </w:r>
    </w:p>
    <w:p w14:paraId="45AF90D7" w14:textId="77777777" w:rsidR="00AB4B2B" w:rsidRDefault="00AB4B2B" w:rsidP="00AB4B2B">
      <w:pPr>
        <w:pStyle w:val="NormalWeb"/>
        <w:numPr>
          <w:ilvl w:val="0"/>
          <w:numId w:val="1"/>
        </w:numPr>
        <w:spacing w:before="0" w:beforeAutospacing="0" w:after="240" w:afterAutospacing="0" w:line="360" w:lineRule="auto"/>
      </w:pPr>
      <w:r>
        <w:t xml:space="preserve">John Cyril Smith (2002). </w:t>
      </w:r>
      <w:r>
        <w:rPr>
          <w:i/>
          <w:iCs/>
        </w:rPr>
        <w:t>The law of contract</w:t>
      </w:r>
      <w:r>
        <w:t>. London: Sweet &amp; Maxwell.</w:t>
      </w:r>
    </w:p>
    <w:p w14:paraId="7B5469A9" w14:textId="77777777" w:rsidR="00AB4B2B" w:rsidRDefault="00AB4B2B" w:rsidP="00AB4B2B">
      <w:pPr>
        <w:pStyle w:val="NormalWeb"/>
        <w:numPr>
          <w:ilvl w:val="0"/>
          <w:numId w:val="1"/>
        </w:numPr>
        <w:spacing w:before="0" w:beforeAutospacing="0" w:after="240" w:afterAutospacing="0" w:line="360" w:lineRule="auto"/>
      </w:pPr>
      <w:proofErr w:type="spellStart"/>
      <w:r>
        <w:t>Mckendrick</w:t>
      </w:r>
      <w:proofErr w:type="spellEnd"/>
      <w:r>
        <w:t xml:space="preserve">, E. and Oxford University Press (2018). </w:t>
      </w:r>
      <w:r>
        <w:rPr>
          <w:i/>
          <w:iCs/>
        </w:rPr>
        <w:t xml:space="preserve">Contract </w:t>
      </w:r>
      <w:proofErr w:type="gramStart"/>
      <w:r>
        <w:rPr>
          <w:i/>
          <w:iCs/>
        </w:rPr>
        <w:t>law :</w:t>
      </w:r>
      <w:proofErr w:type="gramEnd"/>
      <w:r>
        <w:rPr>
          <w:i/>
          <w:iCs/>
        </w:rPr>
        <w:t xml:space="preserve"> text, cases and materials</w:t>
      </w:r>
      <w:r>
        <w:t>. 8th ed. Oxford: Oxford University Press.</w:t>
      </w:r>
    </w:p>
    <w:p w14:paraId="70666543" w14:textId="77777777" w:rsidR="00AB4B2B" w:rsidRDefault="00AB4B2B" w:rsidP="00AB4B2B">
      <w:pPr>
        <w:pStyle w:val="NormalWeb"/>
        <w:numPr>
          <w:ilvl w:val="0"/>
          <w:numId w:val="1"/>
        </w:numPr>
        <w:spacing w:before="0" w:beforeAutospacing="0" w:after="240" w:afterAutospacing="0" w:line="360" w:lineRule="auto"/>
      </w:pPr>
      <w:r>
        <w:t xml:space="preserve">Merkin, R.M. and </w:t>
      </w:r>
      <w:proofErr w:type="spellStart"/>
      <w:r>
        <w:t>Saintier</w:t>
      </w:r>
      <w:proofErr w:type="spellEnd"/>
      <w:r>
        <w:t xml:space="preserve">, S. (2021). </w:t>
      </w:r>
      <w:r>
        <w:rPr>
          <w:i/>
          <w:iCs/>
        </w:rPr>
        <w:t>Poole’s textbook on contract law</w:t>
      </w:r>
      <w:r>
        <w:t>. Oxford: Oxford University Press. Copyright.</w:t>
      </w:r>
    </w:p>
    <w:p w14:paraId="2347B8B2" w14:textId="77777777" w:rsidR="00AB4B2B" w:rsidRDefault="00AB4B2B" w:rsidP="00AB4B2B">
      <w:pPr>
        <w:pStyle w:val="NormalWeb"/>
        <w:numPr>
          <w:ilvl w:val="0"/>
          <w:numId w:val="1"/>
        </w:numPr>
        <w:spacing w:before="0" w:beforeAutospacing="0" w:after="240" w:afterAutospacing="0" w:line="360" w:lineRule="auto"/>
      </w:pPr>
      <w:r>
        <w:t xml:space="preserve">Merkin, R.M. and </w:t>
      </w:r>
      <w:proofErr w:type="spellStart"/>
      <w:r>
        <w:t>Séverine</w:t>
      </w:r>
      <w:proofErr w:type="spellEnd"/>
      <w:r>
        <w:t xml:space="preserve"> </w:t>
      </w:r>
      <w:proofErr w:type="spellStart"/>
      <w:r>
        <w:t>Saintier</w:t>
      </w:r>
      <w:proofErr w:type="spellEnd"/>
      <w:r>
        <w:t xml:space="preserve"> (2019). </w:t>
      </w:r>
      <w:r>
        <w:rPr>
          <w:i/>
          <w:iCs/>
        </w:rPr>
        <w:t>Poole’s casebook on contract law</w:t>
      </w:r>
      <w:r>
        <w:t>. Oxford: Oxford University Press. Copyright.</w:t>
      </w:r>
    </w:p>
    <w:p w14:paraId="11855A29" w14:textId="77777777" w:rsidR="00AB4B2B" w:rsidRDefault="00AB4B2B" w:rsidP="00AB4B2B">
      <w:pPr>
        <w:pStyle w:val="NormalWeb"/>
        <w:numPr>
          <w:ilvl w:val="0"/>
          <w:numId w:val="1"/>
        </w:numPr>
        <w:spacing w:before="0" w:beforeAutospacing="0" w:after="240" w:afterAutospacing="0" w:line="360" w:lineRule="auto"/>
      </w:pPr>
      <w:r>
        <w:lastRenderedPageBreak/>
        <w:t xml:space="preserve">Murray, R. (2011). </w:t>
      </w:r>
      <w:r>
        <w:rPr>
          <w:i/>
          <w:iCs/>
        </w:rPr>
        <w:t xml:space="preserve">Contract </w:t>
      </w:r>
      <w:proofErr w:type="gramStart"/>
      <w:r>
        <w:rPr>
          <w:i/>
          <w:iCs/>
        </w:rPr>
        <w:t>law :</w:t>
      </w:r>
      <w:proofErr w:type="gramEnd"/>
      <w:r>
        <w:rPr>
          <w:i/>
          <w:iCs/>
        </w:rPr>
        <w:t xml:space="preserve"> the fundamentals</w:t>
      </w:r>
      <w:r>
        <w:t>. London: Sweet &amp; Maxwell.</w:t>
      </w:r>
    </w:p>
    <w:p w14:paraId="43E09409" w14:textId="77777777" w:rsidR="00AB4B2B" w:rsidRDefault="00AB4B2B" w:rsidP="00AB4B2B">
      <w:pPr>
        <w:pStyle w:val="NormalWeb"/>
        <w:numPr>
          <w:ilvl w:val="0"/>
          <w:numId w:val="1"/>
        </w:numPr>
        <w:spacing w:before="0" w:beforeAutospacing="0" w:after="240" w:afterAutospacing="0" w:line="360" w:lineRule="auto"/>
      </w:pPr>
      <w:r>
        <w:rPr>
          <w:i/>
          <w:iCs/>
        </w:rPr>
        <w:t xml:space="preserve">Partridge v Crittenden </w:t>
      </w:r>
      <w:r>
        <w:t>[1968] (QBD) Available at: https://plus-lexis-com.ezproxy.uwtsd.ac.uk/uk/cases-uk/partridge-v-crittenden?crid=19dff653-cea9-4518-a756-746c2783f621 [Accessed 16 Jul. 2023].</w:t>
      </w:r>
    </w:p>
    <w:p w14:paraId="199BFF81" w14:textId="77777777" w:rsidR="00AB4B2B" w:rsidRDefault="00AB4B2B" w:rsidP="00AB4B2B">
      <w:pPr>
        <w:pStyle w:val="NormalWeb"/>
        <w:numPr>
          <w:ilvl w:val="0"/>
          <w:numId w:val="1"/>
        </w:numPr>
        <w:spacing w:before="0" w:beforeAutospacing="0" w:after="240" w:afterAutospacing="0" w:line="360" w:lineRule="auto"/>
      </w:pPr>
      <w:r>
        <w:t xml:space="preserve">Peel, </w:t>
      </w:r>
      <w:proofErr w:type="gramStart"/>
      <w:r>
        <w:t>E.</w:t>
      </w:r>
      <w:proofErr w:type="gramEnd"/>
      <w:r>
        <w:t xml:space="preserve"> and </w:t>
      </w:r>
      <w:proofErr w:type="spellStart"/>
      <w:r>
        <w:t>Treitel</w:t>
      </w:r>
      <w:proofErr w:type="spellEnd"/>
      <w:r>
        <w:t xml:space="preserve">, G.H. (2015). </w:t>
      </w:r>
      <w:r>
        <w:rPr>
          <w:i/>
          <w:iCs/>
        </w:rPr>
        <w:t>The law of contract</w:t>
      </w:r>
      <w:r>
        <w:t>. 14th ed. London: Sweet &amp; Maxwell.</w:t>
      </w:r>
    </w:p>
    <w:p w14:paraId="10A5B05D" w14:textId="77777777" w:rsidR="00AB4B2B" w:rsidRDefault="00AB4B2B" w:rsidP="00AB4B2B">
      <w:pPr>
        <w:pStyle w:val="NormalWeb"/>
        <w:numPr>
          <w:ilvl w:val="0"/>
          <w:numId w:val="1"/>
        </w:numPr>
        <w:spacing w:before="0" w:beforeAutospacing="0" w:after="240" w:afterAutospacing="0" w:line="360" w:lineRule="auto"/>
      </w:pPr>
      <w:r>
        <w:rPr>
          <w:i/>
          <w:iCs/>
        </w:rPr>
        <w:t xml:space="preserve">Pharmaceutical Society of Great Britain v. Boots Cash Chemists </w:t>
      </w:r>
      <w:r>
        <w:t>[1953] (Court of Appeal) Available at: https://plus-lexis-com.ezproxy.uwtsd.ac.uk/uk/cases-uk/pharmaceutical-society-of-great-britain-v-boo_5?crid=8983ce3a-4fa7-4f8e-9256-be00c352c8d8 [Accessed 16 Jul. 2023].</w:t>
      </w:r>
    </w:p>
    <w:p w14:paraId="3F6B919D" w14:textId="77777777" w:rsidR="00AB4B2B" w:rsidRDefault="00AB4B2B" w:rsidP="00AB4B2B">
      <w:pPr>
        <w:pStyle w:val="NormalWeb"/>
        <w:numPr>
          <w:ilvl w:val="0"/>
          <w:numId w:val="1"/>
        </w:numPr>
        <w:spacing w:before="0" w:beforeAutospacing="0" w:after="240" w:afterAutospacing="0" w:line="360" w:lineRule="auto"/>
      </w:pPr>
      <w:r>
        <w:rPr>
          <w:i/>
          <w:iCs/>
        </w:rPr>
        <w:t xml:space="preserve">Pharmacy and Poisons Act of </w:t>
      </w:r>
      <w:proofErr w:type="gramStart"/>
      <w:r>
        <w:rPr>
          <w:i/>
          <w:iCs/>
        </w:rPr>
        <w:t xml:space="preserve">1933 </w:t>
      </w:r>
      <w:r>
        <w:t>.</w:t>
      </w:r>
      <w:proofErr w:type="gramEnd"/>
      <w:r>
        <w:t xml:space="preserve"> Available at: https://www.legislation.gov.uk/ukpga/1968/67/schedule/5/crossheading/the-pharmacy-and-poisons-act-1933-c-25/enacted#:~:text=The%20Pharmacy%20and%20Poisons%20Act%201933%20(c.&amp;text=6In%20section%2023%2C%20in,word%20%22%20non%2Dmedicinal%20%22. [Accessed 16 Jul. 2023].</w:t>
      </w:r>
    </w:p>
    <w:p w14:paraId="1CBE05DC" w14:textId="77777777" w:rsidR="00AB4B2B" w:rsidRDefault="00AB4B2B" w:rsidP="00AB4B2B">
      <w:pPr>
        <w:pStyle w:val="NormalWeb"/>
        <w:numPr>
          <w:ilvl w:val="0"/>
          <w:numId w:val="1"/>
        </w:numPr>
        <w:spacing w:before="0" w:beforeAutospacing="0" w:after="240" w:afterAutospacing="0" w:line="360" w:lineRule="auto"/>
      </w:pPr>
      <w:r>
        <w:t xml:space="preserve">Poole, J. (2016a). </w:t>
      </w:r>
      <w:r>
        <w:rPr>
          <w:i/>
          <w:iCs/>
        </w:rPr>
        <w:t>Casebook on contract law</w:t>
      </w:r>
      <w:r>
        <w:t xml:space="preserve">. 13th ed. Oxford </w:t>
      </w:r>
      <w:proofErr w:type="spellStart"/>
      <w:r>
        <w:t>Oxford</w:t>
      </w:r>
      <w:proofErr w:type="spellEnd"/>
      <w:r>
        <w:t xml:space="preserve"> University Press.</w:t>
      </w:r>
    </w:p>
    <w:p w14:paraId="40F389E3" w14:textId="77777777" w:rsidR="00AB4B2B" w:rsidRDefault="00AB4B2B" w:rsidP="00AB4B2B">
      <w:pPr>
        <w:pStyle w:val="NormalWeb"/>
        <w:numPr>
          <w:ilvl w:val="0"/>
          <w:numId w:val="1"/>
        </w:numPr>
        <w:spacing w:before="0" w:beforeAutospacing="0" w:after="240" w:afterAutospacing="0" w:line="360" w:lineRule="auto"/>
      </w:pPr>
      <w:r>
        <w:t xml:space="preserve">Poole, J. (2016b). </w:t>
      </w:r>
      <w:r>
        <w:rPr>
          <w:i/>
          <w:iCs/>
        </w:rPr>
        <w:t>Textbook on contract law</w:t>
      </w:r>
      <w:r>
        <w:t>. 13th ed. Oxford: Oxford University Press.</w:t>
      </w:r>
    </w:p>
    <w:p w14:paraId="59FD8F72" w14:textId="77777777" w:rsidR="00AB4B2B" w:rsidRDefault="00AB4B2B" w:rsidP="00AB4B2B">
      <w:pPr>
        <w:pStyle w:val="NormalWeb"/>
        <w:numPr>
          <w:ilvl w:val="0"/>
          <w:numId w:val="1"/>
        </w:numPr>
        <w:spacing w:before="0" w:beforeAutospacing="0" w:after="240" w:afterAutospacing="0" w:line="360" w:lineRule="auto"/>
      </w:pPr>
      <w:proofErr w:type="spellStart"/>
      <w:r>
        <w:rPr>
          <w:i/>
          <w:iCs/>
        </w:rPr>
        <w:t>powell</w:t>
      </w:r>
      <w:proofErr w:type="spellEnd"/>
      <w:r>
        <w:rPr>
          <w:i/>
          <w:iCs/>
        </w:rPr>
        <w:t xml:space="preserve"> v lee</w:t>
      </w:r>
      <w:r>
        <w:t xml:space="preserve"> [1908] (Divisional </w:t>
      </w:r>
      <w:proofErr w:type="gramStart"/>
      <w:r>
        <w:t>Court )</w:t>
      </w:r>
      <w:proofErr w:type="gramEnd"/>
      <w:r>
        <w:t xml:space="preserve"> Available at: https://plus-lexis-com.ezproxy.uwtsd.ac.uk/uk/cases-uk/powell-v-lee?crid=e6cfb9cc-c173-4066-8e10-abb532e609da [Accessed 17 Jul. 2023].</w:t>
      </w:r>
    </w:p>
    <w:p w14:paraId="6F74FB47" w14:textId="77777777" w:rsidR="00AB4B2B" w:rsidRDefault="00AB4B2B" w:rsidP="00AB4B2B">
      <w:pPr>
        <w:pStyle w:val="NormalWeb"/>
        <w:numPr>
          <w:ilvl w:val="0"/>
          <w:numId w:val="1"/>
        </w:numPr>
        <w:spacing w:before="0" w:beforeAutospacing="0" w:after="240" w:afterAutospacing="0" w:line="360" w:lineRule="auto"/>
      </w:pPr>
      <w:r>
        <w:rPr>
          <w:i/>
          <w:iCs/>
        </w:rPr>
        <w:t>Protection of Birds Act 1954</w:t>
      </w:r>
      <w:r>
        <w:t>. Available at: https://www.legislation.gov.uk/ukpga/1954/30/contents/enacted [Accessed 16 Jul. 2023].</w:t>
      </w:r>
    </w:p>
    <w:p w14:paraId="75D8BE16" w14:textId="77777777" w:rsidR="00AB4B2B" w:rsidRDefault="00AB4B2B" w:rsidP="00AB4B2B">
      <w:pPr>
        <w:pStyle w:val="NormalWeb"/>
        <w:numPr>
          <w:ilvl w:val="0"/>
          <w:numId w:val="1"/>
        </w:numPr>
        <w:spacing w:before="0" w:beforeAutospacing="0" w:after="240" w:afterAutospacing="0" w:line="360" w:lineRule="auto"/>
      </w:pPr>
      <w:r>
        <w:t xml:space="preserve">Rose, F. (2022). </w:t>
      </w:r>
      <w:r>
        <w:rPr>
          <w:i/>
          <w:iCs/>
        </w:rPr>
        <w:t xml:space="preserve">Blackstone’s Statutes on Contract, </w:t>
      </w:r>
      <w:proofErr w:type="gramStart"/>
      <w:r>
        <w:rPr>
          <w:i/>
          <w:iCs/>
        </w:rPr>
        <w:t>Tort</w:t>
      </w:r>
      <w:proofErr w:type="gramEnd"/>
      <w:r>
        <w:rPr>
          <w:i/>
          <w:iCs/>
        </w:rPr>
        <w:t xml:space="preserve"> and Restitution</w:t>
      </w:r>
      <w:r>
        <w:t>. Oxford University Press.</w:t>
      </w:r>
    </w:p>
    <w:p w14:paraId="17015665" w14:textId="77777777" w:rsidR="00AB4B2B" w:rsidRDefault="00AB4B2B" w:rsidP="00AB4B2B">
      <w:pPr>
        <w:pStyle w:val="NormalWeb"/>
        <w:numPr>
          <w:ilvl w:val="0"/>
          <w:numId w:val="1"/>
        </w:numPr>
        <w:spacing w:before="0" w:beforeAutospacing="0" w:after="240" w:afterAutospacing="0" w:line="360" w:lineRule="auto"/>
      </w:pPr>
      <w:proofErr w:type="spellStart"/>
      <w:r>
        <w:lastRenderedPageBreak/>
        <w:t>Saintier</w:t>
      </w:r>
      <w:proofErr w:type="spellEnd"/>
      <w:r>
        <w:t xml:space="preserve">, R. (2021). </w:t>
      </w:r>
      <w:r>
        <w:rPr>
          <w:i/>
          <w:iCs/>
        </w:rPr>
        <w:t xml:space="preserve">Poole’s Textbook </w:t>
      </w:r>
      <w:proofErr w:type="gramStart"/>
      <w:r>
        <w:rPr>
          <w:i/>
          <w:iCs/>
        </w:rPr>
        <w:t>On</w:t>
      </w:r>
      <w:proofErr w:type="gramEnd"/>
      <w:r>
        <w:rPr>
          <w:i/>
          <w:iCs/>
        </w:rPr>
        <w:t xml:space="preserve"> Contract Law.</w:t>
      </w:r>
      <w:r>
        <w:t xml:space="preserve"> S.L.: Oxford </w:t>
      </w:r>
      <w:proofErr w:type="spellStart"/>
      <w:r>
        <w:t>Univ</w:t>
      </w:r>
      <w:proofErr w:type="spellEnd"/>
      <w:r>
        <w:t xml:space="preserve"> Press.</w:t>
      </w:r>
    </w:p>
    <w:p w14:paraId="295C12AC" w14:textId="77777777" w:rsidR="00AB4B2B" w:rsidRDefault="00AB4B2B" w:rsidP="00AB4B2B">
      <w:pPr>
        <w:pStyle w:val="NormalWeb"/>
        <w:numPr>
          <w:ilvl w:val="0"/>
          <w:numId w:val="1"/>
        </w:numPr>
        <w:spacing w:before="0" w:beforeAutospacing="0" w:after="240" w:afterAutospacing="0" w:line="360" w:lineRule="auto"/>
      </w:pPr>
      <w:r>
        <w:rPr>
          <w:i/>
          <w:iCs/>
        </w:rPr>
        <w:t>Sale of Goods Act 1979</w:t>
      </w:r>
      <w:r>
        <w:t>. Available at: https://www.legislation.gov.uk/ukpga/1979/54 [Accessed 16 Jul. 2023].</w:t>
      </w:r>
    </w:p>
    <w:p w14:paraId="4C4509E1" w14:textId="77777777" w:rsidR="00AB4B2B" w:rsidRDefault="00AB4B2B" w:rsidP="00AB4B2B">
      <w:pPr>
        <w:pStyle w:val="NormalWeb"/>
        <w:numPr>
          <w:ilvl w:val="0"/>
          <w:numId w:val="1"/>
        </w:numPr>
        <w:spacing w:before="0" w:beforeAutospacing="0" w:after="240" w:afterAutospacing="0" w:line="360" w:lineRule="auto"/>
      </w:pPr>
      <w:r>
        <w:rPr>
          <w:i/>
          <w:iCs/>
        </w:rPr>
        <w:t xml:space="preserve">Spencer v Harding </w:t>
      </w:r>
      <w:r>
        <w:t>[1870] (Court of common pleas) Available at: https://plus-lexis-com.ezproxy.uwtsd.ac.uk/uk/cases-uk/spencer-v-harding?crid=b5ea5139-107e-4866-92c0-ab291882b516 [Accessed 16 Jul. 2023].</w:t>
      </w:r>
    </w:p>
    <w:p w14:paraId="0F98DBD3" w14:textId="77777777" w:rsidR="00AB4B2B" w:rsidRDefault="00AB4B2B" w:rsidP="00AB4B2B">
      <w:pPr>
        <w:pStyle w:val="NormalWeb"/>
        <w:numPr>
          <w:ilvl w:val="0"/>
          <w:numId w:val="1"/>
        </w:numPr>
        <w:spacing w:before="0" w:beforeAutospacing="0" w:after="240" w:afterAutospacing="0" w:line="360" w:lineRule="auto"/>
      </w:pPr>
      <w:r>
        <w:t xml:space="preserve">Stone, R. (2015). </w:t>
      </w:r>
      <w:r>
        <w:rPr>
          <w:i/>
          <w:iCs/>
        </w:rPr>
        <w:t>The modern law of contract</w:t>
      </w:r>
      <w:r>
        <w:t>. London: Routledge.</w:t>
      </w:r>
    </w:p>
    <w:p w14:paraId="7635F462" w14:textId="77777777" w:rsidR="00AB4B2B" w:rsidRDefault="00AB4B2B" w:rsidP="00AB4B2B">
      <w:pPr>
        <w:pStyle w:val="NormalWeb"/>
        <w:numPr>
          <w:ilvl w:val="0"/>
          <w:numId w:val="1"/>
        </w:numPr>
        <w:spacing w:before="0" w:beforeAutospacing="0" w:after="240" w:afterAutospacing="0" w:line="360" w:lineRule="auto"/>
      </w:pPr>
      <w:r>
        <w:rPr>
          <w:i/>
          <w:iCs/>
        </w:rPr>
        <w:t>Storer v Manchester City Council [1974] 1 WLR 1403</w:t>
      </w:r>
      <w:r>
        <w:t xml:space="preserve"> [1974] Available at: https://lawlessons.co.uk/storer-v-manchester-city-council-1974-1-wlr-1403/ [Accessed 15 Jul. 2023].</w:t>
      </w:r>
    </w:p>
    <w:p w14:paraId="0EED3F6D" w14:textId="77777777" w:rsidR="00AB4B2B" w:rsidRDefault="00AB4B2B" w:rsidP="00AB4B2B">
      <w:pPr>
        <w:pStyle w:val="NormalWeb"/>
        <w:numPr>
          <w:ilvl w:val="0"/>
          <w:numId w:val="1"/>
        </w:numPr>
        <w:spacing w:before="0" w:beforeAutospacing="0" w:after="240" w:afterAutospacing="0" w:line="360" w:lineRule="auto"/>
      </w:pPr>
      <w:r>
        <w:rPr>
          <w:i/>
          <w:iCs/>
        </w:rPr>
        <w:t>Taylor v Laird</w:t>
      </w:r>
      <w:r>
        <w:t xml:space="preserve"> [1856] Available at: https://casejudgments.com/taylor-v-laird-1856-a-quick-summary/ [Accessed 15 Jul. 2023].</w:t>
      </w:r>
    </w:p>
    <w:p w14:paraId="3EA6FAC2" w14:textId="77777777" w:rsidR="00AB4B2B" w:rsidRDefault="00AB4B2B" w:rsidP="00AB4B2B">
      <w:pPr>
        <w:pStyle w:val="NormalWeb"/>
        <w:numPr>
          <w:ilvl w:val="0"/>
          <w:numId w:val="1"/>
        </w:numPr>
        <w:spacing w:before="0" w:beforeAutospacing="0" w:after="240" w:afterAutospacing="0" w:line="360" w:lineRule="auto"/>
      </w:pPr>
      <w:r>
        <w:t xml:space="preserve">Taylor, R.D. and Taylor, D. (2019). </w:t>
      </w:r>
      <w:r>
        <w:rPr>
          <w:i/>
          <w:iCs/>
        </w:rPr>
        <w:t>Contract law directions</w:t>
      </w:r>
      <w:r>
        <w:t>. Oxford, United Kingdom: Oxford University Press.</w:t>
      </w:r>
    </w:p>
    <w:p w14:paraId="26EECD3A" w14:textId="77777777" w:rsidR="00AB4B2B" w:rsidRDefault="00AB4B2B" w:rsidP="00AB4B2B">
      <w:pPr>
        <w:pStyle w:val="NormalWeb"/>
        <w:numPr>
          <w:ilvl w:val="0"/>
          <w:numId w:val="1"/>
        </w:numPr>
        <w:spacing w:before="0" w:beforeAutospacing="0" w:after="240" w:afterAutospacing="0" w:line="360" w:lineRule="auto"/>
      </w:pPr>
      <w:proofErr w:type="spellStart"/>
      <w:r>
        <w:rPr>
          <w:i/>
          <w:iCs/>
        </w:rPr>
        <w:t>Warlow</w:t>
      </w:r>
      <w:proofErr w:type="spellEnd"/>
      <w:r>
        <w:rPr>
          <w:i/>
          <w:iCs/>
        </w:rPr>
        <w:t xml:space="preserve"> v. Harrison </w:t>
      </w:r>
      <w:r>
        <w:t>[1859] Available at: https://plus-lexis-com.ezproxy.uwtsd.ac.uk/uk/cases-uk/warlow-v-harrison_2?crid=a2c12cc6-2d73-4d47-a6e6-c98eee941a30 [Accessed 16 Jul. 2023].</w:t>
      </w:r>
    </w:p>
    <w:p w14:paraId="506D4877" w14:textId="77777777" w:rsidR="00AB4B2B" w:rsidRPr="00E93FAC" w:rsidRDefault="00AB4B2B" w:rsidP="00E900A1">
      <w:pPr>
        <w:rPr>
          <w:rFonts w:ascii="Arial" w:hAnsi="Arial" w:cs="Arial"/>
        </w:rPr>
      </w:pPr>
    </w:p>
    <w:sectPr w:rsidR="00AB4B2B" w:rsidRPr="00E93F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C4AC7"/>
    <w:multiLevelType w:val="hybridMultilevel"/>
    <w:tmpl w:val="F6EC7F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4033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4FD"/>
    <w:rsid w:val="000C1A3E"/>
    <w:rsid w:val="00172517"/>
    <w:rsid w:val="0021303B"/>
    <w:rsid w:val="0037130D"/>
    <w:rsid w:val="00460B1F"/>
    <w:rsid w:val="004E6ACB"/>
    <w:rsid w:val="006206AA"/>
    <w:rsid w:val="006A256D"/>
    <w:rsid w:val="006A3825"/>
    <w:rsid w:val="007C788E"/>
    <w:rsid w:val="0089159D"/>
    <w:rsid w:val="00892699"/>
    <w:rsid w:val="008D30E5"/>
    <w:rsid w:val="00A40714"/>
    <w:rsid w:val="00AB4B2B"/>
    <w:rsid w:val="00B2389C"/>
    <w:rsid w:val="00B577C8"/>
    <w:rsid w:val="00B76528"/>
    <w:rsid w:val="00B83D72"/>
    <w:rsid w:val="00C415AC"/>
    <w:rsid w:val="00CC5416"/>
    <w:rsid w:val="00D54585"/>
    <w:rsid w:val="00D804FD"/>
    <w:rsid w:val="00E63149"/>
    <w:rsid w:val="00E900A1"/>
    <w:rsid w:val="00E93FAC"/>
    <w:rsid w:val="00EB0005"/>
    <w:rsid w:val="00EC2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39A8A"/>
  <w15:chartTrackingRefBased/>
  <w15:docId w15:val="{E56513B5-02EC-446F-96A0-E42EFC0D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825"/>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B4B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132282">
      <w:bodyDiv w:val="1"/>
      <w:marLeft w:val="0"/>
      <w:marRight w:val="0"/>
      <w:marTop w:val="0"/>
      <w:marBottom w:val="0"/>
      <w:divBdr>
        <w:top w:val="none" w:sz="0" w:space="0" w:color="auto"/>
        <w:left w:val="none" w:sz="0" w:space="0" w:color="auto"/>
        <w:bottom w:val="none" w:sz="0" w:space="0" w:color="auto"/>
        <w:right w:val="none" w:sz="0" w:space="0" w:color="auto"/>
      </w:divBdr>
      <w:divsChild>
        <w:div w:id="343283575">
          <w:marLeft w:val="0"/>
          <w:marRight w:val="0"/>
          <w:marTop w:val="0"/>
          <w:marBottom w:val="0"/>
          <w:divBdr>
            <w:top w:val="none" w:sz="0" w:space="0" w:color="auto"/>
            <w:left w:val="none" w:sz="0" w:space="0" w:color="auto"/>
            <w:bottom w:val="none" w:sz="0" w:space="0" w:color="auto"/>
            <w:right w:val="none" w:sz="0" w:space="0" w:color="auto"/>
          </w:divBdr>
        </w:div>
      </w:divsChild>
    </w:div>
    <w:div w:id="190352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7</Pages>
  <Words>2962</Words>
  <Characters>16886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6</cp:revision>
  <dcterms:created xsi:type="dcterms:W3CDTF">2023-07-21T13:10:00Z</dcterms:created>
  <dcterms:modified xsi:type="dcterms:W3CDTF">2023-07-21T17:57:00Z</dcterms:modified>
</cp:coreProperties>
</file>