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186A1" w14:textId="77777777" w:rsidR="00E876B6" w:rsidRDefault="00BF1BD0" w:rsidP="00E876B6">
      <w:pPr>
        <w:jc w:val="center"/>
        <w:rPr>
          <w:rFonts w:ascii="Nunito" w:hAnsi="Nunito"/>
          <w:b/>
          <w:bCs/>
          <w:caps/>
          <w:color w:val="578EBE"/>
          <w:shd w:val="clear" w:color="auto" w:fill="FFFFFF"/>
        </w:rPr>
      </w:pPr>
      <w:r>
        <w:rPr>
          <w:noProof/>
        </w:rPr>
        <w:drawing>
          <wp:inline distT="0" distB="0" distL="0" distR="0" wp14:anchorId="1CBF428E" wp14:editId="7068F31C">
            <wp:extent cx="2528379" cy="1009227"/>
            <wp:effectExtent l="0" t="0" r="5715" b="0"/>
            <wp:docPr id="84215568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155684" name="Picture 1" descr="Discover University of Wales Trinity Saint David"/>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bwMode="auto">
                    <a:xfrm>
                      <a:off x="0" y="0"/>
                      <a:ext cx="2529451" cy="1009655"/>
                    </a:xfrm>
                    <a:prstGeom prst="rect">
                      <a:avLst/>
                    </a:prstGeom>
                    <a:noFill/>
                    <a:ln>
                      <a:noFill/>
                    </a:ln>
                  </pic:spPr>
                </pic:pic>
              </a:graphicData>
            </a:graphic>
          </wp:inline>
        </w:drawing>
      </w:r>
    </w:p>
    <w:p w14:paraId="6176A973" w14:textId="77777777" w:rsidR="00E876B6" w:rsidRDefault="00E876B6" w:rsidP="00CE570E">
      <w:pPr>
        <w:spacing w:before="100" w:beforeAutospacing="1" w:after="100" w:afterAutospacing="1" w:line="240" w:lineRule="auto"/>
        <w:jc w:val="left"/>
        <w:outlineLvl w:val="2"/>
        <w:rPr>
          <w:rFonts w:ascii="Nunito" w:hAnsi="Nunito"/>
          <w:b/>
          <w:bCs/>
          <w:caps/>
          <w:color w:val="578EBE"/>
          <w:shd w:val="clear" w:color="auto" w:fill="FFFFFF"/>
        </w:rPr>
      </w:pPr>
    </w:p>
    <w:p w14:paraId="204F8E40" w14:textId="4A0E47B9" w:rsidR="00CE570E" w:rsidRPr="006D3BF8" w:rsidRDefault="006D3BF8" w:rsidP="00E876B6">
      <w:pPr>
        <w:jc w:val="center"/>
        <w:rPr>
          <w:b/>
          <w:bCs/>
          <w:sz w:val="56"/>
          <w:szCs w:val="56"/>
          <w:shd w:val="clear" w:color="auto" w:fill="FFFFFF"/>
        </w:rPr>
      </w:pPr>
      <w:r w:rsidRPr="006D3BF8">
        <w:rPr>
          <w:b/>
          <w:bCs/>
          <w:sz w:val="56"/>
          <w:szCs w:val="56"/>
          <w:shd w:val="clear" w:color="auto" w:fill="FFFFFF"/>
        </w:rPr>
        <w:t>Global Business Environment</w:t>
      </w:r>
    </w:p>
    <w:p w14:paraId="2710EF30" w14:textId="77777777" w:rsidR="00E876B6" w:rsidRDefault="00E876B6" w:rsidP="006D3BF8">
      <w:pPr>
        <w:rPr>
          <w:shd w:val="clear" w:color="auto" w:fill="FFFFFF"/>
        </w:rPr>
      </w:pPr>
    </w:p>
    <w:p w14:paraId="3C585F28" w14:textId="4350C3ED" w:rsidR="006D3BF8" w:rsidRDefault="006D3BF8" w:rsidP="00E876B6">
      <w:pPr>
        <w:jc w:val="center"/>
        <w:rPr>
          <w:b/>
          <w:bCs/>
          <w:sz w:val="56"/>
          <w:szCs w:val="56"/>
          <w:shd w:val="clear" w:color="auto" w:fill="FFFFFF"/>
        </w:rPr>
      </w:pPr>
      <w:r>
        <w:rPr>
          <w:b/>
          <w:bCs/>
          <w:sz w:val="56"/>
          <w:szCs w:val="56"/>
          <w:shd w:val="clear" w:color="auto" w:fill="FFFFFF"/>
        </w:rPr>
        <w:t>Individual Essay</w:t>
      </w:r>
    </w:p>
    <w:p w14:paraId="22101FEE" w14:textId="77777777" w:rsidR="006D3BF8" w:rsidRDefault="006D3BF8" w:rsidP="00E876B6">
      <w:pPr>
        <w:jc w:val="center"/>
        <w:rPr>
          <w:b/>
          <w:bCs/>
          <w:sz w:val="56"/>
          <w:szCs w:val="56"/>
          <w:shd w:val="clear" w:color="auto" w:fill="FFFFFF"/>
        </w:rPr>
      </w:pPr>
    </w:p>
    <w:p w14:paraId="4FB4D848" w14:textId="75AABDCB" w:rsidR="00E876B6" w:rsidRDefault="00BF1BD0" w:rsidP="006D3BF8">
      <w:pPr>
        <w:jc w:val="center"/>
        <w:rPr>
          <w:shd w:val="clear" w:color="auto" w:fill="FFFFFF"/>
        </w:rPr>
      </w:pPr>
      <w:r>
        <w:rPr>
          <w:shd w:val="clear" w:color="auto" w:fill="FFFFFF"/>
        </w:rPr>
        <w:t>Student Name</w:t>
      </w:r>
      <w:r w:rsidR="002E3A00">
        <w:rPr>
          <w:shd w:val="clear" w:color="auto" w:fill="FFFFFF"/>
        </w:rPr>
        <w:t xml:space="preserve"> Andrei Bodiu</w:t>
      </w:r>
    </w:p>
    <w:p w14:paraId="67DA25CF" w14:textId="3CBC0D5C" w:rsidR="0057255A" w:rsidRPr="0057255A" w:rsidRDefault="00BF1BD0" w:rsidP="006D3BF8">
      <w:pPr>
        <w:jc w:val="center"/>
        <w:rPr>
          <w:rFonts w:eastAsia="Times New Roman" w:cs="Times New Roman"/>
          <w:kern w:val="0"/>
          <w:lang w:eastAsia="en-IN"/>
          <w14:ligatures w14:val="none"/>
        </w:rPr>
      </w:pPr>
      <w:r>
        <w:rPr>
          <w:shd w:val="clear" w:color="auto" w:fill="FFFFFF"/>
        </w:rPr>
        <w:t>Student ID</w:t>
      </w:r>
      <w:r w:rsidR="002E3A00">
        <w:rPr>
          <w:shd w:val="clear" w:color="auto" w:fill="FFFFFF"/>
        </w:rPr>
        <w:t xml:space="preserve"> </w:t>
      </w:r>
      <w:r w:rsidR="004F187C">
        <w:rPr>
          <w:shd w:val="clear" w:color="auto" w:fill="FFFFFF"/>
        </w:rPr>
        <w:t>2315630</w:t>
      </w:r>
    </w:p>
    <w:p w14:paraId="36E9665E" w14:textId="77777777" w:rsidR="00CE570E" w:rsidRDefault="00CE570E" w:rsidP="00CE570E">
      <w:pPr>
        <w:spacing w:before="100" w:beforeAutospacing="1" w:after="100" w:afterAutospacing="1" w:line="240" w:lineRule="auto"/>
        <w:jc w:val="left"/>
        <w:outlineLvl w:val="2"/>
        <w:rPr>
          <w:rFonts w:eastAsia="Times New Roman" w:cs="Times New Roman"/>
          <w:b/>
          <w:bCs/>
          <w:kern w:val="0"/>
          <w:sz w:val="27"/>
          <w:szCs w:val="27"/>
          <w:lang w:eastAsia="en-IN"/>
          <w14:ligatures w14:val="none"/>
        </w:rPr>
      </w:pPr>
    </w:p>
    <w:p w14:paraId="3308FAC4" w14:textId="77777777" w:rsidR="00CE570E" w:rsidRDefault="00CE570E" w:rsidP="00CE570E">
      <w:pPr>
        <w:spacing w:before="100" w:beforeAutospacing="1" w:after="100" w:afterAutospacing="1" w:line="240" w:lineRule="auto"/>
        <w:jc w:val="left"/>
        <w:outlineLvl w:val="2"/>
        <w:rPr>
          <w:rFonts w:eastAsia="Times New Roman" w:cs="Times New Roman"/>
          <w:b/>
          <w:bCs/>
          <w:kern w:val="0"/>
          <w:sz w:val="27"/>
          <w:szCs w:val="27"/>
          <w:lang w:eastAsia="en-IN"/>
          <w14:ligatures w14:val="none"/>
        </w:rPr>
      </w:pPr>
    </w:p>
    <w:p w14:paraId="7A890A24" w14:textId="77777777" w:rsidR="00B31D89" w:rsidRDefault="00BF1BD0">
      <w:pPr>
        <w:spacing w:line="259" w:lineRule="auto"/>
        <w:jc w:val="left"/>
        <w:rPr>
          <w:rFonts w:eastAsia="Times New Roman" w:cs="Times New Roman"/>
          <w:b/>
          <w:bCs/>
          <w:kern w:val="0"/>
          <w:sz w:val="27"/>
          <w:szCs w:val="27"/>
          <w:lang w:eastAsia="en-IN"/>
          <w14:ligatures w14:val="none"/>
        </w:rPr>
      </w:pPr>
      <w:r>
        <w:rPr>
          <w:rFonts w:eastAsia="Times New Roman" w:cs="Times New Roman"/>
          <w:b/>
          <w:bCs/>
          <w:kern w:val="0"/>
          <w:sz w:val="27"/>
          <w:szCs w:val="27"/>
          <w:lang w:eastAsia="en-IN"/>
          <w14:ligatures w14:val="none"/>
        </w:rPr>
        <w:br w:type="page"/>
      </w:r>
    </w:p>
    <w:sdt>
      <w:sdtPr>
        <w:rPr>
          <w:rFonts w:ascii="Times New Roman" w:eastAsiaTheme="minorHAnsi" w:hAnsi="Times New Roman" w:cstheme="minorBidi"/>
          <w:color w:val="auto"/>
          <w:kern w:val="2"/>
          <w:sz w:val="24"/>
          <w:szCs w:val="22"/>
          <w:lang w:val="en-IN"/>
          <w14:ligatures w14:val="standardContextual"/>
        </w:rPr>
        <w:id w:val="-1884398265"/>
        <w:docPartObj>
          <w:docPartGallery w:val="Table of Contents"/>
          <w:docPartUnique/>
        </w:docPartObj>
      </w:sdtPr>
      <w:sdtEndPr>
        <w:rPr>
          <w:b/>
          <w:bCs/>
          <w:noProof/>
        </w:rPr>
      </w:sdtEndPr>
      <w:sdtContent>
        <w:p w14:paraId="7656F838" w14:textId="77777777" w:rsidR="008F33F1" w:rsidRPr="008F33F1" w:rsidRDefault="00BF1BD0">
          <w:pPr>
            <w:pStyle w:val="TOCHeading"/>
            <w:rPr>
              <w:rFonts w:ascii="Times New Roman" w:hAnsi="Times New Roman" w:cs="Times New Roman"/>
              <w:b/>
              <w:bCs/>
              <w:color w:val="000000" w:themeColor="text1"/>
            </w:rPr>
          </w:pPr>
          <w:r w:rsidRPr="008F33F1">
            <w:rPr>
              <w:rFonts w:ascii="Times New Roman" w:hAnsi="Times New Roman" w:cs="Times New Roman"/>
              <w:b/>
              <w:bCs/>
              <w:color w:val="000000" w:themeColor="text1"/>
            </w:rPr>
            <w:t>Table of Contents</w:t>
          </w:r>
        </w:p>
        <w:p w14:paraId="270D2CB0" w14:textId="4CBC7622" w:rsidR="002A3318" w:rsidRDefault="00BF1BD0">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72208385" w:history="1">
            <w:r w:rsidR="002A3318" w:rsidRPr="004A2819">
              <w:rPr>
                <w:rStyle w:val="Hyperlink"/>
                <w:rFonts w:eastAsia="Times New Roman"/>
                <w:noProof/>
                <w:lang w:eastAsia="en-IN"/>
              </w:rPr>
              <w:t>Introduction</w:t>
            </w:r>
            <w:r w:rsidR="002A3318">
              <w:rPr>
                <w:noProof/>
                <w:webHidden/>
              </w:rPr>
              <w:tab/>
            </w:r>
            <w:r w:rsidR="002A3318">
              <w:rPr>
                <w:noProof/>
                <w:webHidden/>
              </w:rPr>
              <w:fldChar w:fldCharType="begin"/>
            </w:r>
            <w:r w:rsidR="002A3318">
              <w:rPr>
                <w:noProof/>
                <w:webHidden/>
              </w:rPr>
              <w:instrText xml:space="preserve"> PAGEREF _Toc172208385 \h </w:instrText>
            </w:r>
            <w:r w:rsidR="002A3318">
              <w:rPr>
                <w:noProof/>
                <w:webHidden/>
              </w:rPr>
            </w:r>
            <w:r w:rsidR="002A3318">
              <w:rPr>
                <w:noProof/>
                <w:webHidden/>
              </w:rPr>
              <w:fldChar w:fldCharType="separate"/>
            </w:r>
            <w:r w:rsidR="002A3318">
              <w:rPr>
                <w:noProof/>
                <w:webHidden/>
              </w:rPr>
              <w:t>3</w:t>
            </w:r>
            <w:r w:rsidR="002A3318">
              <w:rPr>
                <w:noProof/>
                <w:webHidden/>
              </w:rPr>
              <w:fldChar w:fldCharType="end"/>
            </w:r>
          </w:hyperlink>
        </w:p>
        <w:p w14:paraId="3F781F4C" w14:textId="079088E2" w:rsidR="002A3318" w:rsidRDefault="00BF1BD0">
          <w:pPr>
            <w:pStyle w:val="TOC1"/>
            <w:tabs>
              <w:tab w:val="right" w:leader="dot" w:pos="9016"/>
            </w:tabs>
            <w:rPr>
              <w:rFonts w:asciiTheme="minorHAnsi" w:eastAsiaTheme="minorEastAsia" w:hAnsiTheme="minorHAnsi"/>
              <w:noProof/>
              <w:sz w:val="22"/>
              <w:lang w:eastAsia="en-IN"/>
            </w:rPr>
          </w:pPr>
          <w:hyperlink w:anchor="_Toc172208386" w:history="1">
            <w:r w:rsidR="002A3318" w:rsidRPr="004A2819">
              <w:rPr>
                <w:rStyle w:val="Hyperlink"/>
                <w:rFonts w:eastAsia="Times New Roman"/>
                <w:noProof/>
                <w:lang w:eastAsia="en-IN"/>
              </w:rPr>
              <w:t>Main Body</w:t>
            </w:r>
            <w:r w:rsidR="002A3318">
              <w:rPr>
                <w:noProof/>
                <w:webHidden/>
              </w:rPr>
              <w:tab/>
            </w:r>
            <w:r w:rsidR="002A3318">
              <w:rPr>
                <w:noProof/>
                <w:webHidden/>
              </w:rPr>
              <w:fldChar w:fldCharType="begin"/>
            </w:r>
            <w:r w:rsidR="002A3318">
              <w:rPr>
                <w:noProof/>
                <w:webHidden/>
              </w:rPr>
              <w:instrText xml:space="preserve"> PAGEREF _Toc172208386 \h </w:instrText>
            </w:r>
            <w:r w:rsidR="002A3318">
              <w:rPr>
                <w:noProof/>
                <w:webHidden/>
              </w:rPr>
            </w:r>
            <w:r w:rsidR="002A3318">
              <w:rPr>
                <w:noProof/>
                <w:webHidden/>
              </w:rPr>
              <w:fldChar w:fldCharType="separate"/>
            </w:r>
            <w:r w:rsidR="002A3318">
              <w:rPr>
                <w:noProof/>
                <w:webHidden/>
              </w:rPr>
              <w:t>3</w:t>
            </w:r>
            <w:r w:rsidR="002A3318">
              <w:rPr>
                <w:noProof/>
                <w:webHidden/>
              </w:rPr>
              <w:fldChar w:fldCharType="end"/>
            </w:r>
          </w:hyperlink>
        </w:p>
        <w:p w14:paraId="7E558BC2" w14:textId="324BC291" w:rsidR="002A3318" w:rsidRDefault="00BF1BD0">
          <w:pPr>
            <w:pStyle w:val="TOC1"/>
            <w:tabs>
              <w:tab w:val="right" w:leader="dot" w:pos="9016"/>
            </w:tabs>
            <w:rPr>
              <w:rFonts w:asciiTheme="minorHAnsi" w:eastAsiaTheme="minorEastAsia" w:hAnsiTheme="minorHAnsi"/>
              <w:noProof/>
              <w:sz w:val="22"/>
              <w:lang w:eastAsia="en-IN"/>
            </w:rPr>
          </w:pPr>
          <w:hyperlink w:anchor="_Toc172208387" w:history="1">
            <w:r w:rsidR="002A3318" w:rsidRPr="004A2819">
              <w:rPr>
                <w:rStyle w:val="Hyperlink"/>
                <w:rFonts w:eastAsia="Times New Roman"/>
                <w:noProof/>
                <w:lang w:eastAsia="en-IN"/>
              </w:rPr>
              <w:t>Conclusion</w:t>
            </w:r>
            <w:r w:rsidR="002A3318">
              <w:rPr>
                <w:noProof/>
                <w:webHidden/>
              </w:rPr>
              <w:tab/>
            </w:r>
            <w:r w:rsidR="002A3318">
              <w:rPr>
                <w:noProof/>
                <w:webHidden/>
              </w:rPr>
              <w:fldChar w:fldCharType="begin"/>
            </w:r>
            <w:r w:rsidR="002A3318">
              <w:rPr>
                <w:noProof/>
                <w:webHidden/>
              </w:rPr>
              <w:instrText xml:space="preserve"> PAGEREF _Toc172208387 \h </w:instrText>
            </w:r>
            <w:r w:rsidR="002A3318">
              <w:rPr>
                <w:noProof/>
                <w:webHidden/>
              </w:rPr>
            </w:r>
            <w:r w:rsidR="002A3318">
              <w:rPr>
                <w:noProof/>
                <w:webHidden/>
              </w:rPr>
              <w:fldChar w:fldCharType="separate"/>
            </w:r>
            <w:r w:rsidR="002A3318">
              <w:rPr>
                <w:noProof/>
                <w:webHidden/>
              </w:rPr>
              <w:t>7</w:t>
            </w:r>
            <w:r w:rsidR="002A3318">
              <w:rPr>
                <w:noProof/>
                <w:webHidden/>
              </w:rPr>
              <w:fldChar w:fldCharType="end"/>
            </w:r>
          </w:hyperlink>
        </w:p>
        <w:p w14:paraId="32DF99EC" w14:textId="32C9E82E" w:rsidR="002A3318" w:rsidRDefault="00BF1BD0">
          <w:pPr>
            <w:pStyle w:val="TOC1"/>
            <w:tabs>
              <w:tab w:val="right" w:leader="dot" w:pos="9016"/>
            </w:tabs>
            <w:rPr>
              <w:rFonts w:asciiTheme="minorHAnsi" w:eastAsiaTheme="minorEastAsia" w:hAnsiTheme="minorHAnsi"/>
              <w:noProof/>
              <w:sz w:val="22"/>
              <w:lang w:eastAsia="en-IN"/>
            </w:rPr>
          </w:pPr>
          <w:hyperlink w:anchor="_Toc172208388" w:history="1">
            <w:r w:rsidR="002A3318" w:rsidRPr="004A2819">
              <w:rPr>
                <w:rStyle w:val="Hyperlink"/>
                <w:noProof/>
              </w:rPr>
              <w:t>References</w:t>
            </w:r>
            <w:r w:rsidR="002A3318">
              <w:rPr>
                <w:noProof/>
                <w:webHidden/>
              </w:rPr>
              <w:tab/>
            </w:r>
            <w:r w:rsidR="002A3318">
              <w:rPr>
                <w:noProof/>
                <w:webHidden/>
              </w:rPr>
              <w:fldChar w:fldCharType="begin"/>
            </w:r>
            <w:r w:rsidR="002A3318">
              <w:rPr>
                <w:noProof/>
                <w:webHidden/>
              </w:rPr>
              <w:instrText xml:space="preserve"> PAGEREF _Toc172208388 \h </w:instrText>
            </w:r>
            <w:r w:rsidR="002A3318">
              <w:rPr>
                <w:noProof/>
                <w:webHidden/>
              </w:rPr>
            </w:r>
            <w:r w:rsidR="002A3318">
              <w:rPr>
                <w:noProof/>
                <w:webHidden/>
              </w:rPr>
              <w:fldChar w:fldCharType="separate"/>
            </w:r>
            <w:r w:rsidR="002A3318">
              <w:rPr>
                <w:noProof/>
                <w:webHidden/>
              </w:rPr>
              <w:t>8</w:t>
            </w:r>
            <w:r w:rsidR="002A3318">
              <w:rPr>
                <w:noProof/>
                <w:webHidden/>
              </w:rPr>
              <w:fldChar w:fldCharType="end"/>
            </w:r>
          </w:hyperlink>
        </w:p>
        <w:p w14:paraId="02E7B216" w14:textId="4720C3BB" w:rsidR="002A3318" w:rsidRDefault="00BF1BD0" w:rsidP="002A3318">
          <w:pPr>
            <w:rPr>
              <w:b/>
              <w:bCs/>
              <w:noProof/>
            </w:rPr>
          </w:pPr>
          <w:r>
            <w:rPr>
              <w:b/>
              <w:bCs/>
              <w:noProof/>
            </w:rPr>
            <w:fldChar w:fldCharType="end"/>
          </w:r>
        </w:p>
      </w:sdtContent>
    </w:sdt>
    <w:p w14:paraId="14436B23" w14:textId="4B3D1F54" w:rsidR="00B31D89" w:rsidRPr="00B31D89" w:rsidRDefault="00BF1BD0" w:rsidP="002A3318">
      <w:r w:rsidRPr="00B31D89">
        <w:rPr>
          <w:lang w:eastAsia="en-IN"/>
        </w:rPr>
        <w:br w:type="page"/>
      </w:r>
    </w:p>
    <w:p w14:paraId="7971CF04" w14:textId="77777777" w:rsidR="006A3A4D" w:rsidRPr="006A3A4D" w:rsidRDefault="00BF1BD0" w:rsidP="00085ED5">
      <w:pPr>
        <w:pStyle w:val="Heading1"/>
        <w:rPr>
          <w:rFonts w:eastAsia="Times New Roman"/>
          <w:lang w:eastAsia="en-IN"/>
        </w:rPr>
      </w:pPr>
      <w:bookmarkStart w:id="0" w:name="_Toc172208385"/>
      <w:r w:rsidRPr="00CE570E">
        <w:rPr>
          <w:rFonts w:eastAsia="Times New Roman"/>
          <w:lang w:eastAsia="en-IN"/>
        </w:rPr>
        <w:lastRenderedPageBreak/>
        <w:t>Introduction</w:t>
      </w:r>
      <w:bookmarkEnd w:id="0"/>
      <w:r w:rsidRPr="00CE570E">
        <w:rPr>
          <w:rFonts w:eastAsia="Times New Roman"/>
          <w:lang w:eastAsia="en-IN"/>
        </w:rPr>
        <w:t xml:space="preserve"> </w:t>
      </w:r>
    </w:p>
    <w:p w14:paraId="515F575C" w14:textId="3DDB1A1F" w:rsidR="00B0015F" w:rsidRDefault="00A23D70" w:rsidP="002A3318">
      <w:pPr>
        <w:rPr>
          <w:lang w:eastAsia="en-IN"/>
        </w:rPr>
      </w:pPr>
      <w:r>
        <w:rPr>
          <w:lang w:eastAsia="en-IN"/>
        </w:rPr>
        <w:t xml:space="preserve">This </w:t>
      </w:r>
      <w:r w:rsidR="002A3318">
        <w:rPr>
          <w:lang w:eastAsia="en-IN"/>
        </w:rPr>
        <w:t>essay</w:t>
      </w:r>
      <w:r>
        <w:rPr>
          <w:lang w:eastAsia="en-IN"/>
        </w:rPr>
        <w:t xml:space="preserve"> will attempt to explain each factor in the PESTLE framework in as much detail as possible. Through an adequate literature review and illustration of the case study, this </w:t>
      </w:r>
      <w:r w:rsidR="008248EA">
        <w:rPr>
          <w:lang w:eastAsia="en-IN"/>
        </w:rPr>
        <w:t xml:space="preserve">report </w:t>
      </w:r>
      <w:r>
        <w:rPr>
          <w:lang w:eastAsia="en-IN"/>
        </w:rPr>
        <w:t>will endeavour to highlight the significance of integrating PESTLE features in strategic management. One of the essential methods of analy</w:t>
      </w:r>
      <w:r w:rsidR="00046B5C">
        <w:rPr>
          <w:lang w:eastAsia="en-IN"/>
        </w:rPr>
        <w:t>s</w:t>
      </w:r>
      <w:r>
        <w:rPr>
          <w:lang w:eastAsia="en-IN"/>
        </w:rPr>
        <w:t xml:space="preserve">ing the external environment that might affect the operations of a corporation is PESTLE analysis. This comprises the political, economic, social, technological, legal and environmental factors that are very crucial in the Policy and outcomes of an </w:t>
      </w:r>
      <w:r w:rsidR="00713AC2">
        <w:rPr>
          <w:lang w:eastAsia="en-IN"/>
        </w:rPr>
        <w:t>organisation</w:t>
      </w:r>
      <w:r>
        <w:rPr>
          <w:lang w:eastAsia="en-IN"/>
        </w:rPr>
        <w:t>. The above analysis of these particular components reveals that when such aspects are</w:t>
      </w:r>
      <w:r w:rsidR="000F7CE2">
        <w:rPr>
          <w:lang w:eastAsia="en-IN"/>
        </w:rPr>
        <w:t xml:space="preserve"> discovered</w:t>
      </w:r>
      <w:r>
        <w:rPr>
          <w:lang w:eastAsia="en-IN"/>
        </w:rPr>
        <w:t xml:space="preserve">, it becomes possible for firms to make sound decisions, proactively manage risks, and possibly make reasonable forecasts about market conditions. </w:t>
      </w:r>
    </w:p>
    <w:p w14:paraId="51A738CA" w14:textId="0AE48ED7" w:rsidR="00CE570E" w:rsidRPr="00CE570E" w:rsidRDefault="00BF1BD0" w:rsidP="00085ED5">
      <w:pPr>
        <w:pStyle w:val="Heading1"/>
        <w:rPr>
          <w:rFonts w:eastAsia="Times New Roman"/>
          <w:lang w:eastAsia="en-IN"/>
        </w:rPr>
      </w:pPr>
      <w:bookmarkStart w:id="1" w:name="_Toc172208386"/>
      <w:r w:rsidRPr="00CE570E">
        <w:rPr>
          <w:rFonts w:eastAsia="Times New Roman"/>
          <w:lang w:eastAsia="en-IN"/>
        </w:rPr>
        <w:t xml:space="preserve">Main </w:t>
      </w:r>
      <w:r w:rsidR="002A3318">
        <w:rPr>
          <w:rFonts w:eastAsia="Times New Roman"/>
          <w:lang w:eastAsia="en-IN"/>
        </w:rPr>
        <w:t>Body</w:t>
      </w:r>
      <w:bookmarkEnd w:id="1"/>
      <w:r w:rsidRPr="00CE570E">
        <w:rPr>
          <w:rFonts w:eastAsia="Times New Roman"/>
          <w:lang w:eastAsia="en-IN"/>
        </w:rPr>
        <w:t xml:space="preserve"> </w:t>
      </w:r>
    </w:p>
    <w:p w14:paraId="173A8B75" w14:textId="77777777" w:rsidR="009F123E" w:rsidRPr="002A3318" w:rsidRDefault="00BF1BD0" w:rsidP="002A3318">
      <w:pPr>
        <w:rPr>
          <w:b/>
          <w:bCs/>
          <w:lang w:eastAsia="en-IN"/>
        </w:rPr>
      </w:pPr>
      <w:r w:rsidRPr="002A3318">
        <w:rPr>
          <w:b/>
          <w:bCs/>
          <w:lang w:eastAsia="en-IN"/>
        </w:rPr>
        <w:t xml:space="preserve">Political Environment </w:t>
      </w:r>
    </w:p>
    <w:p w14:paraId="2BA2C184" w14:textId="35C63AC4" w:rsidR="009D58F5" w:rsidRPr="002A3318" w:rsidRDefault="00BF1BD0" w:rsidP="002A3318">
      <w:pPr>
        <w:rPr>
          <w:lang w:eastAsia="en-IN"/>
        </w:rPr>
      </w:pPr>
      <w:r>
        <w:rPr>
          <w:lang w:eastAsia="en-IN"/>
        </w:rPr>
        <w:t xml:space="preserve">PESTLE political factors comprise government policies, trade policies and political risks which greatly influence the operations of corporations. Regulations may for instance include operational limitations or structural hindrances within the landscape to enter the market. Affecting a company's ability to engage in international business is trade regulation that includes tariffs and trade treaties. This paper elaborates on the impact of political events on Jordan's e-government adoption, as revealed in the </w:t>
      </w:r>
      <w:r>
        <w:rPr>
          <w:lang w:eastAsia="en-IN"/>
        </w:rPr>
        <w:t xml:space="preserve">study by Abdoh et al. (2020). </w:t>
      </w:r>
      <w:r w:rsidR="00B52837">
        <w:rPr>
          <w:lang w:eastAsia="en-IN"/>
        </w:rPr>
        <w:t>G</w:t>
      </w:r>
      <w:r>
        <w:rPr>
          <w:lang w:eastAsia="en-IN"/>
        </w:rPr>
        <w:t xml:space="preserve">overnment policies and regulatory systems act as enhancing to digital projects and technical developments. This is because political stability ensures a stable environment for business operations, which is equally critical in the marketplace. </w:t>
      </w:r>
      <w:r w:rsidR="00713AC2">
        <w:rPr>
          <w:lang w:eastAsia="en-IN"/>
        </w:rPr>
        <w:t>Organisation</w:t>
      </w:r>
      <w:r>
        <w:rPr>
          <w:lang w:eastAsia="en-IN"/>
        </w:rPr>
        <w:t>s operating in politically unstable regions are exposed to many dangers and too much unpredictability, which are antithetical to growth and development. Any firm, which seeks to manage regulate, and capitali</w:t>
      </w:r>
      <w:r w:rsidR="00B221EE">
        <w:rPr>
          <w:lang w:eastAsia="en-IN"/>
        </w:rPr>
        <w:t>s</w:t>
      </w:r>
      <w:r>
        <w:rPr>
          <w:lang w:eastAsia="en-IN"/>
        </w:rPr>
        <w:t>e on opportunities</w:t>
      </w:r>
      <w:r>
        <w:rPr>
          <w:lang w:eastAsia="en-IN"/>
        </w:rPr>
        <w:t xml:space="preserve"> in other environments, must comprehend these politics.</w:t>
      </w:r>
      <w:r w:rsidR="00C4768F">
        <w:rPr>
          <w:lang w:eastAsia="en-IN"/>
        </w:rPr>
        <w:t xml:space="preserve"> </w:t>
      </w:r>
    </w:p>
    <w:p w14:paraId="1DE6A685" w14:textId="77777777" w:rsidR="00CE570E" w:rsidRPr="002A3318" w:rsidRDefault="00BF1BD0" w:rsidP="002A3318">
      <w:pPr>
        <w:rPr>
          <w:b/>
          <w:bCs/>
          <w:lang w:eastAsia="en-IN"/>
        </w:rPr>
      </w:pPr>
      <w:r w:rsidRPr="002A3318">
        <w:rPr>
          <w:b/>
          <w:bCs/>
          <w:lang w:eastAsia="en-IN"/>
        </w:rPr>
        <w:t xml:space="preserve">Economic Environment </w:t>
      </w:r>
    </w:p>
    <w:p w14:paraId="348EED52" w14:textId="62EDB088" w:rsidR="009C0954" w:rsidRDefault="00BF1BD0" w:rsidP="00740E3B">
      <w:pPr>
        <w:rPr>
          <w:lang w:eastAsia="en-IN"/>
        </w:rPr>
      </w:pPr>
      <w:r>
        <w:rPr>
          <w:lang w:eastAsia="en-IN"/>
        </w:rPr>
        <w:t xml:space="preserve">Business dynamics are more associated with the characteristics of the economy since they influence operations and revenues. Some of the factors that have an impact on the operations of businesses including Tesco PLC, the UK's grocery chain are inflation, interest rate and the growth rate of the economy. Tesco experiences severe problems during high inflation because increased prices of goods are due to higher costs. This pressure </w:t>
      </w:r>
      <w:r w:rsidR="006274E5">
        <w:rPr>
          <w:lang w:eastAsia="en-IN"/>
        </w:rPr>
        <w:t>h</w:t>
      </w:r>
      <w:r>
        <w:rPr>
          <w:lang w:eastAsia="en-IN"/>
        </w:rPr>
        <w:t xml:space="preserve">as cost </w:t>
      </w:r>
      <w:r w:rsidR="0061143D">
        <w:rPr>
          <w:lang w:eastAsia="en-IN"/>
        </w:rPr>
        <w:t xml:space="preserve">and </w:t>
      </w:r>
      <w:r>
        <w:rPr>
          <w:lang w:eastAsia="en-IN"/>
        </w:rPr>
        <w:t xml:space="preserve">pushes customers' purchasing power down and this in one way reduces Tesco's total sales, and profitability in </w:t>
      </w:r>
      <w:r>
        <w:rPr>
          <w:lang w:eastAsia="en-IN"/>
        </w:rPr>
        <w:lastRenderedPageBreak/>
        <w:t xml:space="preserve">general (Jonah, 2018). The economic </w:t>
      </w:r>
      <w:r>
        <w:rPr>
          <w:lang w:eastAsia="en-IN"/>
        </w:rPr>
        <w:t>crisis highlighted in Jonah's study (2018) also affirms how Tesco like other stores recorded a decline in sales due to low customer traffic. New working power concepts make inflation reduce the consumers' buying power, thus giving market performance and basic products prestige.</w:t>
      </w:r>
    </w:p>
    <w:p w14:paraId="2F946807" w14:textId="5529E299" w:rsidR="00106879" w:rsidRDefault="00BF1BD0" w:rsidP="002A3318">
      <w:pPr>
        <w:rPr>
          <w:lang w:eastAsia="en-IN"/>
        </w:rPr>
      </w:pPr>
      <w:r>
        <w:rPr>
          <w:lang w:eastAsia="en-IN"/>
        </w:rPr>
        <w:t>Another example of how Tesco's financial management is connected with other crucial factors is interest rates that influence operational expenditures for investment or necessary credits for expansion. Projections regarding economic development also are rather significant because the economic growth rates are usually high for most retail companies like Tesco. After all, customers are likely to have more purchasing power during such periods than in other periods of slow economic growth. Policies can also be a</w:t>
      </w:r>
      <w:r>
        <w:rPr>
          <w:lang w:eastAsia="en-IN"/>
        </w:rPr>
        <w:t>djusted, costs can be managed, and possibilities for innovations can be explored for maintaining competitiveness in times of shifting economic processes if analysed in terms of economic elements in PESTLE. This long-range planning enables the firm to get the best of opportunities for the firm's sustainable growth and minimi</w:t>
      </w:r>
      <w:r w:rsidR="00F33A6A">
        <w:rPr>
          <w:lang w:eastAsia="en-IN"/>
        </w:rPr>
        <w:t>s</w:t>
      </w:r>
      <w:r>
        <w:rPr>
          <w:lang w:eastAsia="en-IN"/>
        </w:rPr>
        <w:t>e the risk associated with fluctuation in commerce.</w:t>
      </w:r>
    </w:p>
    <w:p w14:paraId="6B679DF8" w14:textId="77777777" w:rsidR="00CE570E" w:rsidRPr="002A3318" w:rsidRDefault="00BF1BD0" w:rsidP="002A3318">
      <w:pPr>
        <w:rPr>
          <w:b/>
          <w:bCs/>
          <w:lang w:eastAsia="en-IN"/>
        </w:rPr>
      </w:pPr>
      <w:r w:rsidRPr="002A3318">
        <w:rPr>
          <w:b/>
          <w:bCs/>
          <w:lang w:eastAsia="en-IN"/>
        </w:rPr>
        <w:t xml:space="preserve">Social Environment </w:t>
      </w:r>
    </w:p>
    <w:p w14:paraId="0124339A" w14:textId="4E104578" w:rsidR="00D97EAE" w:rsidRDefault="00BF1BD0" w:rsidP="00717DE1">
      <w:pPr>
        <w:rPr>
          <w:noProof/>
          <w:lang w:eastAsia="en-IN"/>
        </w:rPr>
      </w:pPr>
      <w:r>
        <w:rPr>
          <w:lang w:eastAsia="en-IN"/>
        </w:rPr>
        <w:t xml:space="preserve">The social factors in the PESTLE environment consist of shifts in living standards among the people, cultural changes, and </w:t>
      </w:r>
      <w:r w:rsidR="00E53A56">
        <w:rPr>
          <w:lang w:eastAsia="en-IN"/>
        </w:rPr>
        <w:t>demographic</w:t>
      </w:r>
      <w:r>
        <w:rPr>
          <w:lang w:eastAsia="en-IN"/>
        </w:rPr>
        <w:t xml:space="preserve"> changes which affect the consumers and the strategies of the companies. Nike is one of the leading companies in the world that deals in the production of sportswear. Some of Nike's special opportunities and difficulties in changing demographics include; In demographic factors, there is a likelihood of an elderly group of people which poses an opportunity as well as a challenge to Nike. Older consumers may prefer comfort and usability in shoes more than other needs, which would motivate Nike to d</w:t>
      </w:r>
      <w:r>
        <w:rPr>
          <w:lang w:eastAsia="en-IN"/>
        </w:rPr>
        <w:t>evelop and design shoes based on these requirements. Other segments are also often in the pursuit of contemporary, state-of-the-art athletic wear enhanced by technology, which in Nike's case, requires constant product development and marketing adaptability</w:t>
      </w:r>
      <w:r w:rsidR="00E53A56">
        <w:rPr>
          <w:lang w:eastAsia="en-IN"/>
        </w:rPr>
        <w:t xml:space="preserve"> (</w:t>
      </w:r>
      <w:r w:rsidR="00E53A56">
        <w:rPr>
          <w:shd w:val="clear" w:color="auto" w:fill="FFFFFF"/>
        </w:rPr>
        <w:t>Agwu and Onwuegbuzie, 2018)</w:t>
      </w:r>
      <w:r>
        <w:rPr>
          <w:lang w:eastAsia="en-IN"/>
        </w:rPr>
        <w:t>.</w:t>
      </w:r>
      <w:r w:rsidRPr="00D97EAE">
        <w:rPr>
          <w:noProof/>
          <w:lang w:eastAsia="en-IN"/>
        </w:rPr>
        <w:t xml:space="preserve"> </w:t>
      </w:r>
    </w:p>
    <w:p w14:paraId="726AB0F0" w14:textId="483031EC" w:rsidR="00717DE1" w:rsidRDefault="00BF1BD0" w:rsidP="00717DE1">
      <w:pPr>
        <w:rPr>
          <w:lang w:eastAsia="en-IN"/>
        </w:rPr>
      </w:pPr>
      <w:r>
        <w:rPr>
          <w:lang w:eastAsia="en-IN"/>
        </w:rPr>
        <w:t>The marketing strategies used by Nike also shift over cultural factors. The company's approach towards diversity regarding the commercials, I think is perfect since it appeals to so many groups of people. Nike does not only enhance the factors that make a market attractive but also appeals to a big audience advocating for equality in the representation of its athletes and using diverse voices in its marketing messages. This means that; alteration in life experience impacts the behavior of the customer about</w:t>
      </w:r>
      <w:r>
        <w:rPr>
          <w:lang w:eastAsia="en-IN"/>
        </w:rPr>
        <w:t xml:space="preserve"> trends in consumption patterns. Nike ensures that it keeps on producing trendy products to cover the market demand by associating with new trends such </w:t>
      </w:r>
      <w:r>
        <w:rPr>
          <w:lang w:eastAsia="en-IN"/>
        </w:rPr>
        <w:lastRenderedPageBreak/>
        <w:t>as athleisure wear or sustainable fashion. Using the conducted PESTLE research, Nike and related companies can analyse social factors, which will allow them to determine potential consumer trends, introduce new product offerings, and retain a competitive advantage within a globali</w:t>
      </w:r>
      <w:r w:rsidR="008C0A28">
        <w:rPr>
          <w:lang w:eastAsia="en-IN"/>
        </w:rPr>
        <w:t>s</w:t>
      </w:r>
      <w:r>
        <w:rPr>
          <w:lang w:eastAsia="en-IN"/>
        </w:rPr>
        <w:t>ed market</w:t>
      </w:r>
      <w:r w:rsidR="00E53A56">
        <w:rPr>
          <w:lang w:eastAsia="en-IN"/>
        </w:rPr>
        <w:t xml:space="preserve"> (</w:t>
      </w:r>
      <w:r w:rsidR="00E53A56">
        <w:rPr>
          <w:shd w:val="clear" w:color="auto" w:fill="FFFFFF"/>
        </w:rPr>
        <w:t>Chen, 2023)</w:t>
      </w:r>
      <w:r>
        <w:rPr>
          <w:lang w:eastAsia="en-IN"/>
        </w:rPr>
        <w:t>.</w:t>
      </w:r>
    </w:p>
    <w:p w14:paraId="2676DD3F" w14:textId="77777777" w:rsidR="00CE570E" w:rsidRPr="002A3318" w:rsidRDefault="00BF1BD0" w:rsidP="002A3318">
      <w:pPr>
        <w:rPr>
          <w:b/>
          <w:bCs/>
          <w:lang w:eastAsia="en-IN"/>
        </w:rPr>
      </w:pPr>
      <w:r w:rsidRPr="002A3318">
        <w:rPr>
          <w:b/>
          <w:bCs/>
          <w:lang w:eastAsia="en-IN"/>
        </w:rPr>
        <w:t xml:space="preserve">Technological Environment </w:t>
      </w:r>
    </w:p>
    <w:p w14:paraId="72CC596D" w14:textId="38204E52" w:rsidR="00BA605F" w:rsidRPr="002A3318" w:rsidRDefault="00BF1BD0" w:rsidP="002A3318">
      <w:pPr>
        <w:rPr>
          <w:lang w:eastAsia="en-IN"/>
        </w:rPr>
      </w:pPr>
      <w:r>
        <w:rPr>
          <w:lang w:eastAsia="en-IN"/>
        </w:rPr>
        <w:t xml:space="preserve">Technological advancements and creations define to a large extent business plans and </w:t>
      </w:r>
      <w:r w:rsidR="00713AC2">
        <w:rPr>
          <w:lang w:eastAsia="en-IN"/>
        </w:rPr>
        <w:t>organisation</w:t>
      </w:r>
      <w:r>
        <w:rPr>
          <w:lang w:eastAsia="en-IN"/>
        </w:rPr>
        <w:t>al management techniques. Companies like Amazon don't leave their customers stagnant but instead, unleash advanced technologies like artificial intelligence recommendation systems to create variety in customers' experiences and trigger sales boosts. Processing big volumes of data enables the firm to provide more relevant recommendations to the customers, thus enhancing satisfaction levels and customer loyalty. For instance, to deliver personali</w:t>
      </w:r>
      <w:r w:rsidR="00CB40D4">
        <w:rPr>
          <w:lang w:eastAsia="en-IN"/>
        </w:rPr>
        <w:t>s</w:t>
      </w:r>
      <w:r>
        <w:rPr>
          <w:lang w:eastAsia="en-IN"/>
        </w:rPr>
        <w:t>ed products, Amazon's AI-based systems analy</w:t>
      </w:r>
      <w:r w:rsidR="00C25D95">
        <w:rPr>
          <w:lang w:eastAsia="en-IN"/>
        </w:rPr>
        <w:t>s</w:t>
      </w:r>
      <w:r>
        <w:rPr>
          <w:lang w:eastAsia="en-IN"/>
        </w:rPr>
        <w:t>e buye</w:t>
      </w:r>
      <w:r>
        <w:rPr>
          <w:lang w:eastAsia="en-IN"/>
        </w:rPr>
        <w:t>r behaviour and habits; hence, enhancing the shopping experience and boosting the conversion rates. Besides increasing the effectiveness of operations, this technical advancement contributes to the improvement of competitive position in the sphere of e-commerce for Amazon (Kashyap &amp; Dwesar, 2021</w:t>
      </w:r>
      <w:r w:rsidR="002B42D3">
        <w:rPr>
          <w:lang w:eastAsia="en-IN"/>
        </w:rPr>
        <w:t xml:space="preserve">). </w:t>
      </w:r>
      <w:r>
        <w:rPr>
          <w:lang w:eastAsia="en-IN"/>
        </w:rPr>
        <w:t xml:space="preserve">Accepting technology change enables corporate entities to adapt to the dynamic market demands, </w:t>
      </w:r>
      <w:r w:rsidR="00E53A56">
        <w:rPr>
          <w:lang w:eastAsia="en-IN"/>
        </w:rPr>
        <w:t xml:space="preserve">and </w:t>
      </w:r>
      <w:r w:rsidR="002A3318">
        <w:rPr>
          <w:lang w:eastAsia="en-IN"/>
        </w:rPr>
        <w:t>unbureaucratic</w:t>
      </w:r>
      <w:r>
        <w:rPr>
          <w:lang w:eastAsia="en-IN"/>
        </w:rPr>
        <w:t xml:space="preserve"> processes and develop products. When technology is integrated by companies and incorporated into th</w:t>
      </w:r>
      <w:r>
        <w:rPr>
          <w:lang w:eastAsia="en-IN"/>
        </w:rPr>
        <w:t xml:space="preserve">e company strategies, such firms can real and maintain leadership positions in the evolving digital environment through better client relations and </w:t>
      </w:r>
      <w:r w:rsidR="00713AC2">
        <w:rPr>
          <w:lang w:eastAsia="en-IN"/>
        </w:rPr>
        <w:t>organisation</w:t>
      </w:r>
      <w:r>
        <w:rPr>
          <w:lang w:eastAsia="en-IN"/>
        </w:rPr>
        <w:t>al efficiency.</w:t>
      </w:r>
    </w:p>
    <w:p w14:paraId="248FADA6" w14:textId="77777777" w:rsidR="00CE570E" w:rsidRPr="002A3318" w:rsidRDefault="00BF1BD0" w:rsidP="002A3318">
      <w:pPr>
        <w:rPr>
          <w:b/>
          <w:bCs/>
          <w:lang w:eastAsia="en-IN"/>
        </w:rPr>
      </w:pPr>
      <w:r w:rsidRPr="002A3318">
        <w:rPr>
          <w:b/>
          <w:bCs/>
          <w:lang w:eastAsia="en-IN"/>
        </w:rPr>
        <w:t xml:space="preserve">Legal Environment </w:t>
      </w:r>
    </w:p>
    <w:p w14:paraId="0A56DE75" w14:textId="00D0DEEF" w:rsidR="00A7262E" w:rsidRDefault="00BF1BD0" w:rsidP="002A3318">
      <w:pPr>
        <w:rPr>
          <w:lang w:eastAsia="en-IN"/>
        </w:rPr>
      </w:pPr>
      <w:r>
        <w:rPr>
          <w:lang w:eastAsia="en-IN"/>
        </w:rPr>
        <w:t xml:space="preserve">Legal factors of the PESTLE business analysis framework include rules that have a direct influence on the legal factors of the business </w:t>
      </w:r>
      <w:r w:rsidR="00713AC2">
        <w:rPr>
          <w:lang w:eastAsia="en-IN"/>
        </w:rPr>
        <w:t>organisation</w:t>
      </w:r>
      <w:r>
        <w:rPr>
          <w:lang w:eastAsia="en-IN"/>
        </w:rPr>
        <w:t>'s demands and operations. Creating a legal climate is thus important especially for the operation of business entities such as Uber due to the nature of their operation more emphases on employment laws and regulations. Legal decisions that provided the drivers with the status of employees other than independent contractors have significantly restrained the activity of Uber at the international level. LinkedIn now has new duties to perform with this change including Pay; Hours worked; and Affirmative certai</w:t>
      </w:r>
      <w:r>
        <w:rPr>
          <w:lang w:eastAsia="en-IN"/>
        </w:rPr>
        <w:t>nties on compliance with labor relations (Cunningham-Parmeter, 2016). Besides, it has affected Uber in that it has had to change policies concerning fares and business strategies because of legal restraints and the preservation of the equilibrium of the ride-sharing sector.</w:t>
      </w:r>
      <w:r w:rsidR="002A3318">
        <w:rPr>
          <w:lang w:eastAsia="en-IN"/>
        </w:rPr>
        <w:t xml:space="preserve"> </w:t>
      </w:r>
      <w:r>
        <w:rPr>
          <w:lang w:eastAsia="en-IN"/>
        </w:rPr>
        <w:t xml:space="preserve">Among them, the legal regulations demanded consumer protection and health and safety regulation requirements for the company's </w:t>
      </w:r>
      <w:r w:rsidR="00E53A56">
        <w:rPr>
          <w:lang w:eastAsia="en-IN"/>
        </w:rPr>
        <w:t>former</w:t>
      </w:r>
      <w:r>
        <w:rPr>
          <w:lang w:eastAsia="en-IN"/>
        </w:rPr>
        <w:t xml:space="preserve"> business processes and played a considerable role in determining Uber's services portfolio. Continuous </w:t>
      </w:r>
      <w:r>
        <w:rPr>
          <w:lang w:eastAsia="en-IN"/>
        </w:rPr>
        <w:t>compliance with legal systems avails legal understanding of Uber at all times, hence protecting everyone, including the drivers, consumers, and other stakeholders such as government bodies, among others.</w:t>
      </w:r>
      <w:r w:rsidR="009E4BFB">
        <w:rPr>
          <w:lang w:eastAsia="en-IN"/>
        </w:rPr>
        <w:t xml:space="preserve"> </w:t>
      </w:r>
      <w:r>
        <w:rPr>
          <w:lang w:eastAsia="en-IN"/>
        </w:rPr>
        <w:t xml:space="preserve">The legal factors that enhance Uber and such businesses can be controlled through the high level of legal forces regulating such businesses in the global economy with the help of strong compliance </w:t>
      </w:r>
      <w:r w:rsidR="00713AC2">
        <w:rPr>
          <w:lang w:eastAsia="en-IN"/>
        </w:rPr>
        <w:t>organisation</w:t>
      </w:r>
      <w:r>
        <w:rPr>
          <w:lang w:eastAsia="en-IN"/>
        </w:rPr>
        <w:t xml:space="preserve">s and </w:t>
      </w:r>
      <w:r w:rsidR="00713AC2">
        <w:rPr>
          <w:lang w:eastAsia="en-IN"/>
        </w:rPr>
        <w:t>organisation</w:t>
      </w:r>
      <w:r>
        <w:rPr>
          <w:lang w:eastAsia="en-IN"/>
        </w:rPr>
        <w:t>al changes</w:t>
      </w:r>
      <w:r w:rsidR="00E53A56">
        <w:rPr>
          <w:lang w:eastAsia="en-IN"/>
        </w:rPr>
        <w:t xml:space="preserve"> (</w:t>
      </w:r>
      <w:r w:rsidR="00E53A56">
        <w:rPr>
          <w:shd w:val="clear" w:color="auto" w:fill="FFFFFF"/>
        </w:rPr>
        <w:t>Pollman, 2019)</w:t>
      </w:r>
      <w:r>
        <w:rPr>
          <w:lang w:eastAsia="en-IN"/>
        </w:rPr>
        <w:t>.</w:t>
      </w:r>
    </w:p>
    <w:p w14:paraId="41A0F097" w14:textId="77777777" w:rsidR="00CE570E" w:rsidRPr="002A3318" w:rsidRDefault="00BF1BD0" w:rsidP="002A3318">
      <w:pPr>
        <w:rPr>
          <w:b/>
          <w:bCs/>
          <w:lang w:eastAsia="en-IN"/>
        </w:rPr>
      </w:pPr>
      <w:r w:rsidRPr="002A3318">
        <w:rPr>
          <w:b/>
          <w:bCs/>
          <w:lang w:eastAsia="en-IN"/>
        </w:rPr>
        <w:t xml:space="preserve">Environmental Factors </w:t>
      </w:r>
    </w:p>
    <w:p w14:paraId="3EC07522" w14:textId="27DFC427" w:rsidR="00B10EB3" w:rsidRDefault="007020FE" w:rsidP="00B10EB3">
      <w:pPr>
        <w:rPr>
          <w:lang w:eastAsia="en-IN"/>
        </w:rPr>
      </w:pPr>
      <w:r>
        <w:rPr>
          <w:lang w:eastAsia="en-IN"/>
        </w:rPr>
        <w:t xml:space="preserve">Factors considered within the PESTLE framework include sustainability, climate, and legal factors that may affect </w:t>
      </w:r>
      <w:r w:rsidR="00713AC2">
        <w:rPr>
          <w:lang w:eastAsia="en-IN"/>
        </w:rPr>
        <w:t>organisation</w:t>
      </w:r>
      <w:r>
        <w:rPr>
          <w:lang w:eastAsia="en-IN"/>
        </w:rPr>
        <w:t>s’ environment and their strategic plans. Especially recogni</w:t>
      </w:r>
      <w:r w:rsidR="00F2030D">
        <w:rPr>
          <w:lang w:eastAsia="en-IN"/>
        </w:rPr>
        <w:t>s</w:t>
      </w:r>
      <w:r>
        <w:rPr>
          <w:lang w:eastAsia="en-IN"/>
        </w:rPr>
        <w:t xml:space="preserve">ed for the company’s commitment to sustainability, Patagonia illustrates how </w:t>
      </w:r>
      <w:r w:rsidR="00713AC2">
        <w:rPr>
          <w:lang w:eastAsia="en-IN"/>
        </w:rPr>
        <w:t>organisation</w:t>
      </w:r>
      <w:r>
        <w:rPr>
          <w:lang w:eastAsia="en-IN"/>
        </w:rPr>
        <w:t>s integrate sustainability into core operations.</w:t>
      </w:r>
      <w:r w:rsidR="002A3318">
        <w:rPr>
          <w:lang w:eastAsia="en-IN"/>
        </w:rPr>
        <w:t xml:space="preserve"> </w:t>
      </w:r>
      <w:r>
        <w:rPr>
          <w:lang w:eastAsia="en-IN"/>
        </w:rPr>
        <w:t>Several environmental regulations have a massive impact on the sustainability initiatives that Patagonia has from purchasing to production. As per stringent standards set by the environment, the processing methodologies in Patagonia and the acquisition measures are aligned, thus ensuring that only sustainable methods are used to harness resources to minimise the effects on the environment. For instance, Patagonia's "Worn Wear" campaign consequently decreases waste, and the message of sustainability strengthens it by focusing on product lifetime through repair and recycling (Park, 2020). Furthermore, the environmental policies implemented by Patagonia are an added advantage as they create awareness concerning the natural world among consumers who are sensitive towards the environment. Patagonia does not only minimi</w:t>
      </w:r>
      <w:r w:rsidR="00132F0D">
        <w:rPr>
          <w:lang w:eastAsia="en-IN"/>
        </w:rPr>
        <w:t>s</w:t>
      </w:r>
      <w:r>
        <w:rPr>
          <w:lang w:eastAsia="en-IN"/>
        </w:rPr>
        <w:t>e impacts on the environment but also increases customers' loyalty and attracts a rising population focused on ethical consumerism by prioriti</w:t>
      </w:r>
      <w:r w:rsidR="005633F0">
        <w:rPr>
          <w:lang w:eastAsia="en-IN"/>
        </w:rPr>
        <w:t>s</w:t>
      </w:r>
      <w:r>
        <w:rPr>
          <w:lang w:eastAsia="en-IN"/>
        </w:rPr>
        <w:t>ing sustainability.</w:t>
      </w:r>
      <w:r w:rsidR="003123C4">
        <w:rPr>
          <w:lang w:eastAsia="en-IN"/>
        </w:rPr>
        <w:t xml:space="preserve"> </w:t>
      </w:r>
      <w:r>
        <w:rPr>
          <w:lang w:eastAsia="en-IN"/>
        </w:rPr>
        <w:t>Identifying and choosing environmental relations assist organisations such as Patagonia to ensure the alignment of operations to global sustainable goals, adhere to the law, and spur creativity in eco-friendlier production. What is most important, this carefully designed approach not only contributes to the minimi</w:t>
      </w:r>
      <w:r w:rsidR="00AF5AAD">
        <w:rPr>
          <w:lang w:eastAsia="en-IN"/>
        </w:rPr>
        <w:t>s</w:t>
      </w:r>
      <w:r>
        <w:rPr>
          <w:lang w:eastAsia="en-IN"/>
        </w:rPr>
        <w:t xml:space="preserve">ation of potential adverse effects on the external environment but also makes companies real pioneers in the sphere of corporate social responsibility, which, in turn, contributes to the long-term competitiveness and increase in the value for the stakeholders. </w:t>
      </w:r>
    </w:p>
    <w:p w14:paraId="785A67E0" w14:textId="77777777" w:rsidR="00B10EB3" w:rsidRDefault="00BF1BD0">
      <w:pPr>
        <w:spacing w:line="259" w:lineRule="auto"/>
        <w:jc w:val="left"/>
        <w:rPr>
          <w:lang w:eastAsia="en-IN"/>
        </w:rPr>
      </w:pPr>
      <w:r>
        <w:rPr>
          <w:lang w:eastAsia="en-IN"/>
        </w:rPr>
        <w:br w:type="page"/>
      </w:r>
    </w:p>
    <w:p w14:paraId="3F4FE400" w14:textId="77777777" w:rsidR="00CE570E" w:rsidRDefault="00BF1BD0" w:rsidP="00E00A63">
      <w:pPr>
        <w:pStyle w:val="Heading1"/>
        <w:rPr>
          <w:rFonts w:eastAsia="Times New Roman"/>
          <w:lang w:eastAsia="en-IN"/>
        </w:rPr>
      </w:pPr>
      <w:bookmarkStart w:id="2" w:name="_Toc172208387"/>
      <w:r w:rsidRPr="00CE570E">
        <w:rPr>
          <w:rFonts w:eastAsia="Times New Roman"/>
          <w:lang w:eastAsia="en-IN"/>
        </w:rPr>
        <w:t>Conclusion</w:t>
      </w:r>
      <w:bookmarkEnd w:id="2"/>
      <w:r w:rsidRPr="00CE570E">
        <w:rPr>
          <w:rFonts w:eastAsia="Times New Roman"/>
          <w:lang w:eastAsia="en-IN"/>
        </w:rPr>
        <w:t xml:space="preserve"> </w:t>
      </w:r>
    </w:p>
    <w:p w14:paraId="76EAB5EE" w14:textId="7BEE57DB" w:rsidR="00786A8A" w:rsidRPr="00786A8A" w:rsidRDefault="007F15E1" w:rsidP="00786A8A">
      <w:pPr>
        <w:rPr>
          <w:lang w:eastAsia="en-IN"/>
        </w:rPr>
      </w:pPr>
      <w:r>
        <w:rPr>
          <w:lang w:eastAsia="en-IN"/>
        </w:rPr>
        <w:t xml:space="preserve">In Conclusion, </w:t>
      </w:r>
      <w:r w:rsidR="00E53A56">
        <w:rPr>
          <w:lang w:eastAsia="en-IN"/>
        </w:rPr>
        <w:t xml:space="preserve">the </w:t>
      </w:r>
      <w:r w:rsidRPr="00786A8A">
        <w:rPr>
          <w:lang w:eastAsia="en-IN"/>
        </w:rPr>
        <w:t>PESTLE study offers in general a thorough framework for comprehending the external elements affecting corporate operations. Business strategy and results are greatly shaped by political, economic, social, technological, legal, and environmental elements as well as by others. Examining real-world case studies like Jordan, Tesco, Nike, Amazon, Uber, and Patagonia, this essay emphasizes the use of the PESTLE study in predicting market trends, reducing risk, and guiding decisions. Companies that properly evaluate and react to these outside variables will be more suited for success in the worldwide market.</w:t>
      </w:r>
    </w:p>
    <w:p w14:paraId="70EE82D8" w14:textId="77777777" w:rsidR="002A3318" w:rsidRDefault="002A3318">
      <w:pPr>
        <w:spacing w:line="259" w:lineRule="auto"/>
        <w:jc w:val="left"/>
        <w:rPr>
          <w:rFonts w:eastAsiaTheme="majorEastAsia" w:cstheme="majorBidi"/>
          <w:b/>
          <w:color w:val="000000" w:themeColor="text1"/>
          <w:sz w:val="32"/>
          <w:szCs w:val="32"/>
        </w:rPr>
      </w:pPr>
      <w:r>
        <w:br w:type="page"/>
      </w:r>
    </w:p>
    <w:p w14:paraId="255254D0" w14:textId="4E74C676" w:rsidR="00CE570E" w:rsidRPr="007A3717" w:rsidRDefault="00BF1BD0" w:rsidP="007A3717">
      <w:pPr>
        <w:pStyle w:val="Heading1"/>
      </w:pPr>
      <w:bookmarkStart w:id="3" w:name="_Toc172208388"/>
      <w:r w:rsidRPr="00CE570E">
        <w:t>References</w:t>
      </w:r>
      <w:bookmarkEnd w:id="3"/>
    </w:p>
    <w:p w14:paraId="7A3D58C8" w14:textId="77777777" w:rsidR="006D3BF8" w:rsidRPr="006D3BF8" w:rsidRDefault="006D3BF8" w:rsidP="006D3BF8">
      <w:pPr>
        <w:rPr>
          <w:shd w:val="clear" w:color="auto" w:fill="FFFFFF"/>
        </w:rPr>
      </w:pPr>
      <w:r w:rsidRPr="006D3BF8">
        <w:rPr>
          <w:shd w:val="clear" w:color="auto" w:fill="FFFFFF"/>
        </w:rPr>
        <w:t>Abdoh, H.M.B., Saany, S.I.A., Jebur, H.H. and El-Ebiary, Y., (2020). The effect of PESTLE factors on E-government adoption in Jordan: A conceptual model. </w:t>
      </w:r>
      <w:r w:rsidRPr="006D3BF8">
        <w:rPr>
          <w:i/>
          <w:iCs/>
          <w:shd w:val="clear" w:color="auto" w:fill="FFFFFF"/>
        </w:rPr>
        <w:t>IJETT</w:t>
      </w:r>
      <w:r w:rsidRPr="006D3BF8">
        <w:rPr>
          <w:shd w:val="clear" w:color="auto" w:fill="FFFFFF"/>
        </w:rPr>
        <w:t>, </w:t>
      </w:r>
      <w:r w:rsidRPr="006D3BF8">
        <w:rPr>
          <w:i/>
          <w:iCs/>
          <w:shd w:val="clear" w:color="auto" w:fill="FFFFFF"/>
        </w:rPr>
        <w:t>68</w:t>
      </w:r>
      <w:r w:rsidRPr="006D3BF8">
        <w:rPr>
          <w:shd w:val="clear" w:color="auto" w:fill="FFFFFF"/>
        </w:rPr>
        <w:t>, pp.19-23.</w:t>
      </w:r>
    </w:p>
    <w:p w14:paraId="1E83DD9B" w14:textId="13AEB10D" w:rsidR="006D3BF8" w:rsidRPr="006D3BF8" w:rsidRDefault="006D3BF8" w:rsidP="006D3BF8">
      <w:pPr>
        <w:rPr>
          <w:shd w:val="clear" w:color="auto" w:fill="FFFFFF"/>
        </w:rPr>
      </w:pPr>
      <w:r w:rsidRPr="006D3BF8">
        <w:rPr>
          <w:shd w:val="clear" w:color="auto" w:fill="FFFFFF"/>
        </w:rPr>
        <w:t>Agwu, M.E. and Onwuegbuzie, H.N., (2018). Effects of international marketing environments on entrepreneurship development. </w:t>
      </w:r>
      <w:r w:rsidRPr="006D3BF8">
        <w:rPr>
          <w:i/>
          <w:iCs/>
          <w:shd w:val="clear" w:color="auto" w:fill="FFFFFF"/>
        </w:rPr>
        <w:t xml:space="preserve">Journal of </w:t>
      </w:r>
      <w:r w:rsidR="00D475A3">
        <w:rPr>
          <w:i/>
          <w:iCs/>
          <w:shd w:val="clear" w:color="auto" w:fill="FFFFFF"/>
        </w:rPr>
        <w:t>Innovation</w:t>
      </w:r>
      <w:r w:rsidRPr="006D3BF8">
        <w:rPr>
          <w:i/>
          <w:iCs/>
          <w:shd w:val="clear" w:color="auto" w:fill="FFFFFF"/>
        </w:rPr>
        <w:t xml:space="preserve"> and entrepreneurship</w:t>
      </w:r>
      <w:r w:rsidRPr="006D3BF8">
        <w:rPr>
          <w:shd w:val="clear" w:color="auto" w:fill="FFFFFF"/>
        </w:rPr>
        <w:t>, </w:t>
      </w:r>
      <w:r w:rsidRPr="006D3BF8">
        <w:rPr>
          <w:i/>
          <w:iCs/>
          <w:shd w:val="clear" w:color="auto" w:fill="FFFFFF"/>
        </w:rPr>
        <w:t>7</w:t>
      </w:r>
      <w:r w:rsidRPr="006D3BF8">
        <w:rPr>
          <w:shd w:val="clear" w:color="auto" w:fill="FFFFFF"/>
        </w:rPr>
        <w:t>(1), p.12.</w:t>
      </w:r>
    </w:p>
    <w:p w14:paraId="43D93AFB" w14:textId="77777777" w:rsidR="006D3BF8" w:rsidRPr="006D3BF8" w:rsidRDefault="006D3BF8" w:rsidP="006D3BF8">
      <w:pPr>
        <w:rPr>
          <w:shd w:val="clear" w:color="auto" w:fill="FFFFFF"/>
        </w:rPr>
      </w:pPr>
      <w:r w:rsidRPr="006D3BF8">
        <w:rPr>
          <w:shd w:val="clear" w:color="auto" w:fill="FFFFFF"/>
        </w:rPr>
        <w:t>Chen, T., (2023). The Effectiveness on Nike’s “Dream Crazy” Campaign. </w:t>
      </w:r>
      <w:r w:rsidRPr="006D3BF8">
        <w:rPr>
          <w:i/>
          <w:iCs/>
          <w:shd w:val="clear" w:color="auto" w:fill="FFFFFF"/>
        </w:rPr>
        <w:t>Highlights in Business, Economics and Management</w:t>
      </w:r>
      <w:r w:rsidRPr="006D3BF8">
        <w:rPr>
          <w:shd w:val="clear" w:color="auto" w:fill="FFFFFF"/>
        </w:rPr>
        <w:t>, </w:t>
      </w:r>
      <w:r w:rsidRPr="006D3BF8">
        <w:rPr>
          <w:i/>
          <w:iCs/>
          <w:shd w:val="clear" w:color="auto" w:fill="FFFFFF"/>
        </w:rPr>
        <w:t>23</w:t>
      </w:r>
      <w:r w:rsidRPr="006D3BF8">
        <w:rPr>
          <w:shd w:val="clear" w:color="auto" w:fill="FFFFFF"/>
        </w:rPr>
        <w:t>, pp.1088-1093.</w:t>
      </w:r>
    </w:p>
    <w:p w14:paraId="7FB88772" w14:textId="77777777" w:rsidR="006D3BF8" w:rsidRPr="006D3BF8" w:rsidRDefault="006D3BF8" w:rsidP="006D3BF8">
      <w:pPr>
        <w:rPr>
          <w:shd w:val="clear" w:color="auto" w:fill="FFFFFF"/>
        </w:rPr>
      </w:pPr>
      <w:r w:rsidRPr="006D3BF8">
        <w:rPr>
          <w:shd w:val="clear" w:color="auto" w:fill="FFFFFF"/>
        </w:rPr>
        <w:t>Cunningham-Parmeter, K., (2016). From Amazon to Uber: Defining employment in the modern economy. </w:t>
      </w:r>
      <w:r w:rsidRPr="006D3BF8">
        <w:rPr>
          <w:i/>
          <w:iCs/>
          <w:shd w:val="clear" w:color="auto" w:fill="FFFFFF"/>
        </w:rPr>
        <w:t>BUL Rev.</w:t>
      </w:r>
      <w:r w:rsidRPr="006D3BF8">
        <w:rPr>
          <w:shd w:val="clear" w:color="auto" w:fill="FFFFFF"/>
        </w:rPr>
        <w:t>, </w:t>
      </w:r>
      <w:r w:rsidRPr="006D3BF8">
        <w:rPr>
          <w:i/>
          <w:iCs/>
          <w:shd w:val="clear" w:color="auto" w:fill="FFFFFF"/>
        </w:rPr>
        <w:t>96</w:t>
      </w:r>
      <w:r w:rsidRPr="006D3BF8">
        <w:rPr>
          <w:shd w:val="clear" w:color="auto" w:fill="FFFFFF"/>
        </w:rPr>
        <w:t>, p.1673.</w:t>
      </w:r>
    </w:p>
    <w:p w14:paraId="65311F91" w14:textId="77777777" w:rsidR="006D3BF8" w:rsidRPr="006D3BF8" w:rsidRDefault="006D3BF8" w:rsidP="006D3BF8">
      <w:pPr>
        <w:rPr>
          <w:shd w:val="clear" w:color="auto" w:fill="FFFFFF"/>
        </w:rPr>
      </w:pPr>
      <w:r w:rsidRPr="006D3BF8">
        <w:rPr>
          <w:shd w:val="clear" w:color="auto" w:fill="FFFFFF"/>
        </w:rPr>
        <w:t>Jonah, U.I., (2018). The influence of transaction costs on the Business Performances of Tesco Supermarket. </w:t>
      </w:r>
      <w:r w:rsidRPr="006D3BF8">
        <w:rPr>
          <w:i/>
          <w:iCs/>
          <w:shd w:val="clear" w:color="auto" w:fill="FFFFFF"/>
        </w:rPr>
        <w:t>International Journal of Business and Social Science</w:t>
      </w:r>
      <w:r w:rsidRPr="006D3BF8">
        <w:rPr>
          <w:shd w:val="clear" w:color="auto" w:fill="FFFFFF"/>
        </w:rPr>
        <w:t>, </w:t>
      </w:r>
      <w:r w:rsidRPr="006D3BF8">
        <w:rPr>
          <w:i/>
          <w:iCs/>
          <w:shd w:val="clear" w:color="auto" w:fill="FFFFFF"/>
        </w:rPr>
        <w:t>9</w:t>
      </w:r>
      <w:r w:rsidRPr="006D3BF8">
        <w:rPr>
          <w:shd w:val="clear" w:color="auto" w:fill="FFFFFF"/>
        </w:rPr>
        <w:t>(5).</w:t>
      </w:r>
    </w:p>
    <w:p w14:paraId="2894E0F5" w14:textId="77777777" w:rsidR="006D3BF8" w:rsidRDefault="006D3BF8" w:rsidP="006D3BF8">
      <w:r w:rsidRPr="006D3BF8">
        <w:rPr>
          <w:shd w:val="clear" w:color="auto" w:fill="FFFFFF"/>
        </w:rPr>
        <w:t>Park, S.H., (2020). A case study on the corporate social responsibility in Patagonia ' Worn wear'. </w:t>
      </w:r>
      <w:r w:rsidRPr="006D3BF8">
        <w:rPr>
          <w:i/>
          <w:iCs/>
          <w:shd w:val="clear" w:color="auto" w:fill="FFFFFF"/>
        </w:rPr>
        <w:t>Journal of the Korea Fashion and Costume Design Association</w:t>
      </w:r>
      <w:r w:rsidRPr="006D3BF8">
        <w:rPr>
          <w:shd w:val="clear" w:color="auto" w:fill="FFFFFF"/>
        </w:rPr>
        <w:t>, </w:t>
      </w:r>
      <w:r w:rsidRPr="006D3BF8">
        <w:rPr>
          <w:i/>
          <w:iCs/>
          <w:shd w:val="clear" w:color="auto" w:fill="FFFFFF"/>
        </w:rPr>
        <w:t>22</w:t>
      </w:r>
      <w:r w:rsidRPr="006D3BF8">
        <w:rPr>
          <w:shd w:val="clear" w:color="auto" w:fill="FFFFFF"/>
        </w:rPr>
        <w:t>(1), pp.61-71.</w:t>
      </w:r>
    </w:p>
    <w:p w14:paraId="7286E454" w14:textId="77777777" w:rsidR="006D3BF8" w:rsidRPr="006D3BF8" w:rsidRDefault="006D3BF8" w:rsidP="006D3BF8">
      <w:pPr>
        <w:rPr>
          <w:shd w:val="clear" w:color="auto" w:fill="FFFFFF"/>
        </w:rPr>
      </w:pPr>
      <w:r w:rsidRPr="006D3BF8">
        <w:rPr>
          <w:shd w:val="clear" w:color="auto" w:fill="FFFFFF"/>
        </w:rPr>
        <w:t>Pollman, E., (2019). Tech, regulatory arbitrage, and limits. </w:t>
      </w:r>
      <w:r w:rsidRPr="006D3BF8">
        <w:rPr>
          <w:i/>
          <w:iCs/>
          <w:shd w:val="clear" w:color="auto" w:fill="FFFFFF"/>
        </w:rPr>
        <w:t>European Business organization law review</w:t>
      </w:r>
      <w:r w:rsidRPr="006D3BF8">
        <w:rPr>
          <w:shd w:val="clear" w:color="auto" w:fill="FFFFFF"/>
        </w:rPr>
        <w:t>, </w:t>
      </w:r>
      <w:r w:rsidRPr="006D3BF8">
        <w:rPr>
          <w:i/>
          <w:iCs/>
          <w:shd w:val="clear" w:color="auto" w:fill="FFFFFF"/>
        </w:rPr>
        <w:t>20</w:t>
      </w:r>
      <w:r w:rsidRPr="006D3BF8">
        <w:rPr>
          <w:shd w:val="clear" w:color="auto" w:fill="FFFFFF"/>
        </w:rPr>
        <w:t>, pp.567-590.</w:t>
      </w:r>
    </w:p>
    <w:p w14:paraId="3BF255BD" w14:textId="77777777" w:rsidR="006D3BF8" w:rsidRPr="006D3BF8" w:rsidRDefault="006D3BF8" w:rsidP="006D3BF8">
      <w:pPr>
        <w:rPr>
          <w:shd w:val="clear" w:color="auto" w:fill="FFFFFF"/>
        </w:rPr>
      </w:pPr>
      <w:r w:rsidRPr="006D3BF8">
        <w:rPr>
          <w:shd w:val="clear" w:color="auto" w:fill="FFFFFF"/>
        </w:rPr>
        <w:t>Sahagun, N., (2019). Diversity is good business: Transforming business and marketing practices for growth. </w:t>
      </w:r>
      <w:r w:rsidRPr="006D3BF8">
        <w:rPr>
          <w:i/>
          <w:iCs/>
          <w:shd w:val="clear" w:color="auto" w:fill="FFFFFF"/>
        </w:rPr>
        <w:t>Journal of Brand Strategy</w:t>
      </w:r>
      <w:r w:rsidRPr="006D3BF8">
        <w:rPr>
          <w:shd w:val="clear" w:color="auto" w:fill="FFFFFF"/>
        </w:rPr>
        <w:t>, </w:t>
      </w:r>
      <w:r w:rsidRPr="006D3BF8">
        <w:rPr>
          <w:i/>
          <w:iCs/>
          <w:shd w:val="clear" w:color="auto" w:fill="FFFFFF"/>
        </w:rPr>
        <w:t>8</w:t>
      </w:r>
      <w:r w:rsidRPr="006D3BF8">
        <w:rPr>
          <w:shd w:val="clear" w:color="auto" w:fill="FFFFFF"/>
        </w:rPr>
        <w:t>(2), pp.107-118.</w:t>
      </w:r>
    </w:p>
    <w:sectPr w:rsidR="006D3BF8" w:rsidRPr="006D3BF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3BE8CE" w14:textId="77777777" w:rsidR="00343A6B" w:rsidRDefault="00343A6B" w:rsidP="00824E43">
      <w:pPr>
        <w:spacing w:after="0" w:line="240" w:lineRule="auto"/>
      </w:pPr>
      <w:r>
        <w:separator/>
      </w:r>
    </w:p>
  </w:endnote>
  <w:endnote w:type="continuationSeparator" w:id="0">
    <w:p w14:paraId="14C476E9" w14:textId="77777777" w:rsidR="00343A6B" w:rsidRDefault="00343A6B" w:rsidP="00824E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Nunito">
    <w:panose1 w:val="00000000000000000000"/>
    <w:charset w:val="00"/>
    <w:family w:val="auto"/>
    <w:pitch w:val="variable"/>
    <w:sig w:usb0="A00002FF" w:usb1="5000204B"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778967"/>
      <w:docPartObj>
        <w:docPartGallery w:val="Page Numbers (Bottom of Page)"/>
        <w:docPartUnique/>
      </w:docPartObj>
    </w:sdtPr>
    <w:sdtEndPr>
      <w:rPr>
        <w:noProof/>
      </w:rPr>
    </w:sdtEndPr>
    <w:sdtContent>
      <w:p w14:paraId="3B00F360" w14:textId="0B5CAC39" w:rsidR="00162A8B" w:rsidRDefault="00162A8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63F7A1" w14:textId="77777777" w:rsidR="00162A8B" w:rsidRDefault="00162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55C67" w14:textId="77777777" w:rsidR="00343A6B" w:rsidRDefault="00343A6B" w:rsidP="00824E43">
      <w:pPr>
        <w:spacing w:after="0" w:line="240" w:lineRule="auto"/>
      </w:pPr>
      <w:r>
        <w:separator/>
      </w:r>
    </w:p>
  </w:footnote>
  <w:footnote w:type="continuationSeparator" w:id="0">
    <w:p w14:paraId="377F94B6" w14:textId="77777777" w:rsidR="00343A6B" w:rsidRDefault="00343A6B" w:rsidP="00824E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335B0"/>
    <w:multiLevelType w:val="hybridMultilevel"/>
    <w:tmpl w:val="D680889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651132"/>
    <w:multiLevelType w:val="multilevel"/>
    <w:tmpl w:val="9F60C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55775723">
    <w:abstractNumId w:val="1"/>
  </w:num>
  <w:num w:numId="2" w16cid:durableId="12916637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70E"/>
    <w:rsid w:val="0002157B"/>
    <w:rsid w:val="00046B5C"/>
    <w:rsid w:val="00071700"/>
    <w:rsid w:val="00085ED5"/>
    <w:rsid w:val="000F10BC"/>
    <w:rsid w:val="000F7CE2"/>
    <w:rsid w:val="00106879"/>
    <w:rsid w:val="00122BC6"/>
    <w:rsid w:val="00132F0D"/>
    <w:rsid w:val="00134668"/>
    <w:rsid w:val="001353EA"/>
    <w:rsid w:val="001420F2"/>
    <w:rsid w:val="00162A8B"/>
    <w:rsid w:val="001772A7"/>
    <w:rsid w:val="0019598A"/>
    <w:rsid w:val="001F314F"/>
    <w:rsid w:val="00235E3F"/>
    <w:rsid w:val="002531FE"/>
    <w:rsid w:val="002605B7"/>
    <w:rsid w:val="002948F4"/>
    <w:rsid w:val="002A0ABC"/>
    <w:rsid w:val="002A3318"/>
    <w:rsid w:val="002B42D3"/>
    <w:rsid w:val="002D5D00"/>
    <w:rsid w:val="002E3A00"/>
    <w:rsid w:val="003123C4"/>
    <w:rsid w:val="00322E1F"/>
    <w:rsid w:val="0032740C"/>
    <w:rsid w:val="00343A6B"/>
    <w:rsid w:val="00382EAD"/>
    <w:rsid w:val="003A01AA"/>
    <w:rsid w:val="003A2320"/>
    <w:rsid w:val="003C6C41"/>
    <w:rsid w:val="003F3A1E"/>
    <w:rsid w:val="004A123F"/>
    <w:rsid w:val="004F187C"/>
    <w:rsid w:val="00515382"/>
    <w:rsid w:val="0052664A"/>
    <w:rsid w:val="005411FF"/>
    <w:rsid w:val="005633F0"/>
    <w:rsid w:val="00564888"/>
    <w:rsid w:val="005659BC"/>
    <w:rsid w:val="0057255A"/>
    <w:rsid w:val="005C49FA"/>
    <w:rsid w:val="005E2D71"/>
    <w:rsid w:val="0060346A"/>
    <w:rsid w:val="0061143D"/>
    <w:rsid w:val="006274E5"/>
    <w:rsid w:val="00654C2F"/>
    <w:rsid w:val="006A3A4D"/>
    <w:rsid w:val="006D3BF8"/>
    <w:rsid w:val="007020FE"/>
    <w:rsid w:val="00713AC2"/>
    <w:rsid w:val="00717DE1"/>
    <w:rsid w:val="00740E3B"/>
    <w:rsid w:val="00744535"/>
    <w:rsid w:val="0077468E"/>
    <w:rsid w:val="00786A8A"/>
    <w:rsid w:val="007A3717"/>
    <w:rsid w:val="007A5FDD"/>
    <w:rsid w:val="007C4D49"/>
    <w:rsid w:val="007F15E1"/>
    <w:rsid w:val="008061DF"/>
    <w:rsid w:val="0081378B"/>
    <w:rsid w:val="008248EA"/>
    <w:rsid w:val="00824E43"/>
    <w:rsid w:val="008452B9"/>
    <w:rsid w:val="00851277"/>
    <w:rsid w:val="0089795B"/>
    <w:rsid w:val="008C0A28"/>
    <w:rsid w:val="008D3AF7"/>
    <w:rsid w:val="008F33F1"/>
    <w:rsid w:val="0094058F"/>
    <w:rsid w:val="00941A2D"/>
    <w:rsid w:val="00964F9E"/>
    <w:rsid w:val="00973DAA"/>
    <w:rsid w:val="00986EA8"/>
    <w:rsid w:val="009B32A8"/>
    <w:rsid w:val="009C0954"/>
    <w:rsid w:val="009D58F5"/>
    <w:rsid w:val="009E4BFB"/>
    <w:rsid w:val="009F123E"/>
    <w:rsid w:val="00A23D70"/>
    <w:rsid w:val="00A2528C"/>
    <w:rsid w:val="00A7262E"/>
    <w:rsid w:val="00A775E6"/>
    <w:rsid w:val="00AF5AAD"/>
    <w:rsid w:val="00B0015F"/>
    <w:rsid w:val="00B10EB3"/>
    <w:rsid w:val="00B221EE"/>
    <w:rsid w:val="00B228C1"/>
    <w:rsid w:val="00B31D89"/>
    <w:rsid w:val="00B52837"/>
    <w:rsid w:val="00B7049A"/>
    <w:rsid w:val="00B82628"/>
    <w:rsid w:val="00BA605F"/>
    <w:rsid w:val="00BC535C"/>
    <w:rsid w:val="00BE07CD"/>
    <w:rsid w:val="00BF1BD0"/>
    <w:rsid w:val="00C16D7A"/>
    <w:rsid w:val="00C25D95"/>
    <w:rsid w:val="00C4768F"/>
    <w:rsid w:val="00C86776"/>
    <w:rsid w:val="00CB1E1B"/>
    <w:rsid w:val="00CB40D4"/>
    <w:rsid w:val="00CC12E1"/>
    <w:rsid w:val="00CE570E"/>
    <w:rsid w:val="00D042A2"/>
    <w:rsid w:val="00D21013"/>
    <w:rsid w:val="00D36F3F"/>
    <w:rsid w:val="00D475A3"/>
    <w:rsid w:val="00D60C3A"/>
    <w:rsid w:val="00D642C5"/>
    <w:rsid w:val="00D70E67"/>
    <w:rsid w:val="00D97EAE"/>
    <w:rsid w:val="00DD0463"/>
    <w:rsid w:val="00E00A63"/>
    <w:rsid w:val="00E53A56"/>
    <w:rsid w:val="00E8735C"/>
    <w:rsid w:val="00E876B6"/>
    <w:rsid w:val="00EF5E8F"/>
    <w:rsid w:val="00F2030D"/>
    <w:rsid w:val="00F33A6A"/>
    <w:rsid w:val="00F34A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18BF3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70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85ED5"/>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085ED5"/>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link w:val="Heading3Char"/>
    <w:uiPriority w:val="9"/>
    <w:qFormat/>
    <w:rsid w:val="00CE570E"/>
    <w:pPr>
      <w:spacing w:before="100" w:beforeAutospacing="1" w:after="100" w:afterAutospacing="1" w:line="240" w:lineRule="auto"/>
      <w:jc w:val="left"/>
      <w:outlineLvl w:val="2"/>
    </w:pPr>
    <w:rPr>
      <w:rFonts w:eastAsia="Times New Roman" w:cs="Times New Roman"/>
      <w:b/>
      <w:bCs/>
      <w:kern w:val="0"/>
      <w:sz w:val="27"/>
      <w:szCs w:val="27"/>
      <w:lang w:eastAsia="en-IN"/>
      <w14:ligatures w14:val="none"/>
    </w:rPr>
  </w:style>
  <w:style w:type="paragraph" w:styleId="Heading4">
    <w:name w:val="heading 4"/>
    <w:basedOn w:val="Normal"/>
    <w:link w:val="Heading4Char"/>
    <w:uiPriority w:val="9"/>
    <w:qFormat/>
    <w:rsid w:val="00CE570E"/>
    <w:pPr>
      <w:spacing w:before="100" w:beforeAutospacing="1" w:after="100" w:afterAutospacing="1" w:line="240" w:lineRule="auto"/>
      <w:jc w:val="left"/>
      <w:outlineLvl w:val="3"/>
    </w:pPr>
    <w:rPr>
      <w:rFonts w:eastAsia="Times New Roman" w:cs="Times New Roman"/>
      <w:b/>
      <w:bCs/>
      <w:kern w:val="0"/>
      <w:szCs w:val="24"/>
      <w:lang w:eastAsia="en-I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E570E"/>
    <w:rPr>
      <w:rFonts w:ascii="Times New Roman" w:eastAsia="Times New Roman" w:hAnsi="Times New Roman" w:cs="Times New Roman"/>
      <w:b/>
      <w:bCs/>
      <w:kern w:val="0"/>
      <w:sz w:val="27"/>
      <w:szCs w:val="27"/>
      <w:lang w:eastAsia="en-IN"/>
      <w14:ligatures w14:val="none"/>
    </w:rPr>
  </w:style>
  <w:style w:type="character" w:customStyle="1" w:styleId="Heading4Char">
    <w:name w:val="Heading 4 Char"/>
    <w:basedOn w:val="DefaultParagraphFont"/>
    <w:link w:val="Heading4"/>
    <w:uiPriority w:val="9"/>
    <w:rsid w:val="00CE570E"/>
    <w:rPr>
      <w:rFonts w:ascii="Times New Roman" w:eastAsia="Times New Roman" w:hAnsi="Times New Roman" w:cs="Times New Roman"/>
      <w:b/>
      <w:bCs/>
      <w:kern w:val="0"/>
      <w:sz w:val="24"/>
      <w:szCs w:val="24"/>
      <w:lang w:eastAsia="en-IN"/>
      <w14:ligatures w14:val="none"/>
    </w:rPr>
  </w:style>
  <w:style w:type="character" w:styleId="Strong">
    <w:name w:val="Strong"/>
    <w:basedOn w:val="DefaultParagraphFont"/>
    <w:uiPriority w:val="22"/>
    <w:qFormat/>
    <w:rsid w:val="00CE570E"/>
    <w:rPr>
      <w:b/>
      <w:bCs/>
    </w:rPr>
  </w:style>
  <w:style w:type="paragraph" w:styleId="NormalWeb">
    <w:name w:val="Normal (Web)"/>
    <w:basedOn w:val="Normal"/>
    <w:uiPriority w:val="99"/>
    <w:semiHidden/>
    <w:unhideWhenUsed/>
    <w:rsid w:val="00CE570E"/>
    <w:pPr>
      <w:spacing w:before="100" w:beforeAutospacing="1" w:after="100" w:afterAutospacing="1" w:line="240" w:lineRule="auto"/>
      <w:jc w:val="left"/>
    </w:pPr>
    <w:rPr>
      <w:rFonts w:eastAsia="Times New Roman" w:cs="Times New Roman"/>
      <w:kern w:val="0"/>
      <w:szCs w:val="24"/>
      <w:lang w:eastAsia="en-IN"/>
      <w14:ligatures w14:val="none"/>
    </w:rPr>
  </w:style>
  <w:style w:type="character" w:customStyle="1" w:styleId="Heading1Char">
    <w:name w:val="Heading 1 Char"/>
    <w:basedOn w:val="DefaultParagraphFont"/>
    <w:link w:val="Heading1"/>
    <w:uiPriority w:val="9"/>
    <w:rsid w:val="00085ED5"/>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085ED5"/>
    <w:rPr>
      <w:rFonts w:ascii="Times New Roman" w:eastAsiaTheme="majorEastAsia" w:hAnsi="Times New Roman" w:cstheme="majorBidi"/>
      <w:b/>
      <w:color w:val="000000" w:themeColor="text1"/>
      <w:sz w:val="28"/>
      <w:szCs w:val="26"/>
    </w:rPr>
  </w:style>
  <w:style w:type="paragraph" w:styleId="Caption">
    <w:name w:val="caption"/>
    <w:basedOn w:val="Normal"/>
    <w:next w:val="Normal"/>
    <w:uiPriority w:val="35"/>
    <w:unhideWhenUsed/>
    <w:qFormat/>
    <w:rsid w:val="00235E3F"/>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8F33F1"/>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2">
    <w:name w:val="toc 2"/>
    <w:basedOn w:val="Normal"/>
    <w:next w:val="Normal"/>
    <w:autoRedefine/>
    <w:uiPriority w:val="39"/>
    <w:unhideWhenUsed/>
    <w:rsid w:val="008F33F1"/>
    <w:pPr>
      <w:spacing w:after="100"/>
      <w:ind w:left="240"/>
    </w:pPr>
  </w:style>
  <w:style w:type="paragraph" w:styleId="TOC1">
    <w:name w:val="toc 1"/>
    <w:basedOn w:val="Normal"/>
    <w:next w:val="Normal"/>
    <w:autoRedefine/>
    <w:uiPriority w:val="39"/>
    <w:unhideWhenUsed/>
    <w:rsid w:val="008F33F1"/>
    <w:pPr>
      <w:spacing w:after="100"/>
    </w:pPr>
  </w:style>
  <w:style w:type="character" w:styleId="Hyperlink">
    <w:name w:val="Hyperlink"/>
    <w:basedOn w:val="DefaultParagraphFont"/>
    <w:uiPriority w:val="99"/>
    <w:unhideWhenUsed/>
    <w:rsid w:val="008F33F1"/>
    <w:rPr>
      <w:color w:val="0563C1" w:themeColor="hyperlink"/>
      <w:u w:val="single"/>
    </w:rPr>
  </w:style>
  <w:style w:type="paragraph" w:styleId="TableofFigures">
    <w:name w:val="table of figures"/>
    <w:basedOn w:val="Normal"/>
    <w:next w:val="Normal"/>
    <w:uiPriority w:val="99"/>
    <w:unhideWhenUsed/>
    <w:rsid w:val="001772A7"/>
    <w:pPr>
      <w:spacing w:after="0"/>
    </w:pPr>
  </w:style>
  <w:style w:type="paragraph" w:styleId="Header">
    <w:name w:val="header"/>
    <w:basedOn w:val="Normal"/>
    <w:link w:val="HeaderChar"/>
    <w:uiPriority w:val="99"/>
    <w:unhideWhenUsed/>
    <w:rsid w:val="00824E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E43"/>
    <w:rPr>
      <w:rFonts w:ascii="Times New Roman" w:hAnsi="Times New Roman"/>
      <w:sz w:val="24"/>
    </w:rPr>
  </w:style>
  <w:style w:type="paragraph" w:styleId="Footer">
    <w:name w:val="footer"/>
    <w:basedOn w:val="Normal"/>
    <w:link w:val="FooterChar"/>
    <w:uiPriority w:val="99"/>
    <w:unhideWhenUsed/>
    <w:rsid w:val="00824E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E43"/>
    <w:rPr>
      <w:rFonts w:ascii="Times New Roman" w:hAnsi="Times New Roman"/>
      <w:sz w:val="24"/>
    </w:rPr>
  </w:style>
  <w:style w:type="paragraph" w:styleId="ListParagraph">
    <w:name w:val="List Paragraph"/>
    <w:basedOn w:val="Normal"/>
    <w:uiPriority w:val="34"/>
    <w:qFormat/>
    <w:rsid w:val="006D3BF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611553-3011-48E6-B7EA-56BBF9FA6B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1780</Words>
  <Characters>11086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2024-07-18T12:27:00Z</dcterms:created>
  <dcterms:modified xsi:type="dcterms:W3CDTF">2024-07-18T12:27:00Z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caca637a1272d2393c20d9dc8965739c22129733a2fe56209579c00995f0e6ec</vt:lpwstr>
  </property>
</Properties>
</file>