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numbering.xml" ContentType="application/vnd.openxmlformats-officedocument.wordprocessingml.numbering+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120" w:after="120"/>
        <w:jc w:val="center"/>
        <w:rPr>
          <w:lang w:val="en-IN"/>
        </w:rPr>
      </w:pPr>
      <w:r>
        <w:rPr/>
        <w:drawing>
          <wp:inline distT="0" distB="0" distL="0" distR="0">
            <wp:extent cx="3451860" cy="12490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
                    <a:stretch>
                      <a:fillRect/>
                    </a:stretch>
                  </pic:blipFill>
                  <pic:spPr bwMode="auto">
                    <a:xfrm>
                      <a:off x="0" y="0"/>
                      <a:ext cx="3451860" cy="1249045"/>
                    </a:xfrm>
                    <a:prstGeom prst="rect">
                      <a:avLst/>
                    </a:prstGeom>
                    <a:noFill/>
                  </pic:spPr>
                </pic:pic>
              </a:graphicData>
            </a:graphic>
          </wp:inline>
        </w:drawing>
      </w:r>
    </w:p>
    <w:p>
      <w:pPr>
        <w:pStyle w:val="Normal"/>
        <w:jc w:val="center"/>
        <w:rPr>
          <w:b/>
          <w:bCs/>
          <w:lang w:val="en-IN"/>
        </w:rPr>
      </w:pPr>
      <w:r>
        <w:rPr>
          <w:b/>
          <w:bCs/>
          <w:lang w:val="en-IN"/>
        </w:rPr>
      </w:r>
    </w:p>
    <w:p>
      <w:pPr>
        <w:pStyle w:val="Normal"/>
        <w:jc w:val="center"/>
        <w:rPr>
          <w:b/>
          <w:bCs/>
          <w:lang w:val="en-IN"/>
        </w:rPr>
      </w:pPr>
      <w:r>
        <w:rPr>
          <w:b/>
          <w:bCs/>
          <w:lang w:val="en-IN"/>
        </w:rPr>
        <w:t>Master of Business Administration (MBA)</w:t>
      </w:r>
    </w:p>
    <w:p>
      <w:pPr>
        <w:pStyle w:val="Normal"/>
        <w:jc w:val="center"/>
        <w:rPr>
          <w:b/>
          <w:bCs/>
          <w:lang w:val="en-IN"/>
        </w:rPr>
      </w:pPr>
      <w:r>
        <w:rPr>
          <w:b/>
          <w:bCs/>
          <w:lang w:val="en-IN"/>
        </w:rPr>
        <w:t xml:space="preserve">Module Title: </w:t>
      </w:r>
      <w:r>
        <w:rPr/>
        <w:t>Strategic Management</w:t>
      </w:r>
    </w:p>
    <w:p>
      <w:pPr>
        <w:pStyle w:val="Normal"/>
        <w:jc w:val="center"/>
        <w:rPr>
          <w:b/>
          <w:bCs/>
          <w:lang w:val="en-IN"/>
        </w:rPr>
      </w:pPr>
      <w:r>
        <w:rPr>
          <w:b/>
          <w:bCs/>
          <w:lang w:val="en-IN"/>
        </w:rPr>
        <w:t xml:space="preserve">Module Code: </w:t>
      </w:r>
      <w:r>
        <w:rPr/>
        <w:t>LCMB7003</w:t>
      </w:r>
    </w:p>
    <w:p>
      <w:pPr>
        <w:pStyle w:val="Normal"/>
        <w:jc w:val="center"/>
        <w:rPr>
          <w:lang w:val="en-IN"/>
        </w:rPr>
      </w:pPr>
      <w:r>
        <w:rPr>
          <w:lang w:val="en-IN"/>
        </w:rPr>
      </w:r>
    </w:p>
    <w:p>
      <w:pPr>
        <w:pStyle w:val="Normal"/>
        <w:jc w:val="center"/>
        <w:rPr>
          <w:b/>
          <w:bCs/>
          <w:lang w:val="en-IN"/>
        </w:rPr>
      </w:pPr>
      <w:r>
        <w:rPr>
          <w:b/>
          <w:bCs/>
          <w:lang w:val="en-IN"/>
        </w:rPr>
        <w:t xml:space="preserve">Assessment Title: </w:t>
      </w:r>
      <w:r>
        <w:rPr/>
        <w:t>Strategic Management Analysis of McDonald’s UK: Competitive Position, Strategic Choices and Reflective Learning</w:t>
      </w:r>
    </w:p>
    <w:p>
      <w:pPr>
        <w:pStyle w:val="Normal"/>
        <w:jc w:val="center"/>
        <w:rPr>
          <w:lang w:val="en-IN"/>
        </w:rPr>
      </w:pPr>
      <w:r>
        <w:rPr>
          <w:lang w:val="en-IN"/>
        </w:rPr>
      </w:r>
    </w:p>
    <w:p>
      <w:pPr>
        <w:pStyle w:val="Normal"/>
        <w:jc w:val="center"/>
        <w:rPr>
          <w:b/>
          <w:bCs/>
          <w:lang w:val="en-IN"/>
        </w:rPr>
      </w:pPr>
      <w:r>
        <w:rPr>
          <w:b/>
          <w:bCs/>
          <w:lang w:val="en-IN"/>
        </w:rPr>
        <w:t xml:space="preserve">Student Name: </w:t>
      </w:r>
      <w:r>
        <w:rPr>
          <w:lang w:val="en-IN"/>
        </w:rPr>
        <w:t>Asfiyabanu Muntasibahemad Malek</w:t>
      </w:r>
    </w:p>
    <w:p>
      <w:pPr>
        <w:pStyle w:val="Normal"/>
        <w:jc w:val="center"/>
        <w:rPr>
          <w:b/>
          <w:bCs/>
          <w:lang w:val="en-IN"/>
        </w:rPr>
      </w:pPr>
      <w:r>
        <w:rPr>
          <w:b/>
          <w:bCs/>
          <w:lang w:val="en-IN"/>
        </w:rPr>
      </w:r>
    </w:p>
    <w:p>
      <w:pPr>
        <w:pStyle w:val="Normal"/>
        <w:jc w:val="center"/>
        <w:rPr>
          <w:b/>
          <w:bCs/>
          <w:lang w:val="en-IN"/>
        </w:rPr>
      </w:pPr>
      <w:r>
        <w:rPr>
          <w:b/>
          <w:bCs/>
          <w:lang w:val="en-IN"/>
        </w:rPr>
        <w:t xml:space="preserve">Student ID: </w:t>
      </w:r>
      <w:r>
        <w:rPr>
          <w:b w:val="false"/>
          <w:bCs w:val="false"/>
          <w:lang w:val="en-IN"/>
        </w:rPr>
        <w:t>2521746</w:t>
      </w:r>
    </w:p>
    <w:p>
      <w:pPr>
        <w:pStyle w:val="Normal"/>
        <w:jc w:val="center"/>
        <w:rPr>
          <w:lang w:val="en-IN"/>
        </w:rPr>
      </w:pPr>
      <w:r>
        <w:rPr>
          <w:lang w:val="en-IN"/>
        </w:rPr>
      </w:r>
    </w:p>
    <w:p>
      <w:pPr>
        <w:pStyle w:val="Normal"/>
        <w:jc w:val="center"/>
        <w:rPr>
          <w:b/>
          <w:bCs/>
          <w:lang w:val="en-IN"/>
        </w:rPr>
      </w:pPr>
      <w:r>
        <w:rPr>
          <w:b/>
          <w:bCs/>
          <w:lang w:val="en-IN"/>
        </w:rPr>
        <w:t>Lecturer Name:</w:t>
      </w:r>
      <w:r>
        <w:rPr>
          <w:b w:val="false"/>
          <w:bCs w:val="false"/>
          <w:lang w:val="en-IN"/>
        </w:rPr>
        <w:t xml:space="preserve"> </w:t>
      </w:r>
      <w:r>
        <w:rPr>
          <w:b w:val="false"/>
          <w:bCs w:val="false"/>
          <w:lang w:val="en-IN"/>
        </w:rPr>
        <w:t>Mr. Ghulam Mujtaba</w:t>
      </w:r>
    </w:p>
    <w:p>
      <w:pPr>
        <w:pStyle w:val="Normal"/>
        <w:jc w:val="center"/>
        <w:rPr>
          <w:lang w:val="en-IN"/>
        </w:rPr>
      </w:pPr>
      <w:r>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t xml:space="preserve"> </w:t>
      </w:r>
    </w:p>
    <w:p>
      <w:pPr>
        <w:pStyle w:val="Normal"/>
        <w:spacing w:lineRule="auto" w:line="259" w:before="0" w:after="160"/>
        <w:jc w:val="start"/>
        <w:rPr>
          <w:lang w:val="en-US"/>
        </w:rPr>
      </w:pPr>
      <w:r>
        <w:rPr>
          <w:lang w:val="en-US"/>
        </w:rPr>
      </w:r>
    </w:p>
    <w:sdt>
      <w:sdtPr>
        <w:docPartObj>
          <w:docPartGallery w:val="Table of Contents"/>
          <w:docPartUnique w:val="true"/>
        </w:docPartObj>
      </w:sdtPr>
      <w:sdtContent>
        <w:p>
          <w:pPr>
            <w:pStyle w:val="TOCHeading"/>
            <w:spacing w:before="0" w:after="0"/>
            <w:jc w:val="center"/>
            <w:rPr>
              <w:rFonts w:ascii="Arial" w:hAnsi="Arial" w:cs="Arial"/>
              <w:b/>
              <w:bCs/>
              <w:color w:themeColor="text1" w:val="000000"/>
            </w:rPr>
          </w:pPr>
          <w:r>
            <w:br w:type="page"/>
          </w:r>
          <w:r>
            <w:rPr>
              <w:rFonts w:cs="Arial" w:ascii="Arial" w:hAnsi="Arial"/>
              <w:b/>
              <w:bCs/>
              <w:color w:themeColor="text1" w:val="000000"/>
            </w:rPr>
            <w:t>Table of Contents</w:t>
          </w:r>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r>
            <w:fldChar w:fldCharType="begin"/>
          </w:r>
          <w:r>
            <w:rPr>
              <w:rStyle w:val="IndexLink"/>
              <w:webHidden/>
            </w:rPr>
            <w:instrText xml:space="preserve"> TOC \z \o "1-3" \u \h</w:instrText>
          </w:r>
          <w:r>
            <w:rPr>
              <w:rStyle w:val="IndexLink"/>
              <w:webHidden/>
            </w:rPr>
            <w:fldChar w:fldCharType="separate"/>
          </w:r>
          <w:hyperlink w:anchor="_Toc237394562">
            <w:r>
              <w:rPr>
                <w:rStyle w:val="IndexLink"/>
                <w:webHidden/>
              </w:rPr>
              <w:t>SECTION 1 — STRATEGIC MANAGEMENT ANALYSIS</w:t>
            </w:r>
            <w:r>
              <w:rPr>
                <w:webHidden/>
              </w:rPr>
              <w:fldChar w:fldCharType="begin"/>
            </w:r>
            <w:r>
              <w:rPr>
                <w:webHidden/>
              </w:rPr>
              <w:instrText xml:space="preserve">PAGEREF _Toc237394562 \h</w:instrText>
            </w:r>
            <w:r>
              <w:rPr>
                <w:webHidden/>
              </w:rPr>
              <w:fldChar w:fldCharType="separate"/>
            </w:r>
            <w:r>
              <w:rPr>
                <w:rStyle w:val="IndexLink"/>
                <w:vanish w:val="false"/>
              </w:rPr>
              <w:tab/>
              <w:t>4</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94563">
            <w:r>
              <w:rPr>
                <w:rStyle w:val="IndexLink"/>
                <w:webHidden/>
                <w:lang w:val="en-IN"/>
              </w:rPr>
              <w:t>1. Organisational Context and Overview</w:t>
            </w:r>
            <w:r>
              <w:rPr>
                <w:webHidden/>
              </w:rPr>
              <w:fldChar w:fldCharType="begin"/>
            </w:r>
            <w:r>
              <w:rPr>
                <w:webHidden/>
              </w:rPr>
              <w:instrText xml:space="preserve">PAGEREF _Toc237394563 \h</w:instrText>
            </w:r>
            <w:r>
              <w:rPr>
                <w:webHidden/>
              </w:rPr>
              <w:fldChar w:fldCharType="separate"/>
            </w:r>
            <w:r>
              <w:rPr>
                <w:rStyle w:val="IndexLink"/>
                <w:vanish w:val="false"/>
              </w:rPr>
              <w:tab/>
              <w:t>4</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64">
            <w:r>
              <w:rPr>
                <w:rStyle w:val="IndexLink"/>
                <w:webHidden/>
                <w:lang w:val="en-IN"/>
              </w:rPr>
              <w:t>1.1 McDonald’s: Historical Development</w:t>
            </w:r>
            <w:r>
              <w:rPr>
                <w:webHidden/>
              </w:rPr>
              <w:fldChar w:fldCharType="begin"/>
            </w:r>
            <w:r>
              <w:rPr>
                <w:webHidden/>
              </w:rPr>
              <w:instrText xml:space="preserve">PAGEREF _Toc237394564 \h</w:instrText>
            </w:r>
            <w:r>
              <w:rPr>
                <w:webHidden/>
              </w:rPr>
              <w:fldChar w:fldCharType="separate"/>
            </w:r>
            <w:r>
              <w:rPr>
                <w:rStyle w:val="IndexLink"/>
                <w:vanish w:val="false"/>
              </w:rPr>
              <w:tab/>
              <w:t>4</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65">
            <w:r>
              <w:rPr>
                <w:rStyle w:val="IndexLink"/>
                <w:webHidden/>
                <w:lang w:val="en-IN"/>
              </w:rPr>
              <w:t>1.2 Mission, Vision and Strategic Purpose</w:t>
            </w:r>
            <w:r>
              <w:rPr>
                <w:webHidden/>
              </w:rPr>
              <w:fldChar w:fldCharType="begin"/>
            </w:r>
            <w:r>
              <w:rPr>
                <w:webHidden/>
              </w:rPr>
              <w:instrText xml:space="preserve">PAGEREF _Toc237394565 \h</w:instrText>
            </w:r>
            <w:r>
              <w:rPr>
                <w:webHidden/>
              </w:rPr>
              <w:fldChar w:fldCharType="separate"/>
            </w:r>
            <w:r>
              <w:rPr>
                <w:rStyle w:val="IndexLink"/>
                <w:vanish w:val="false"/>
              </w:rPr>
              <w:tab/>
              <w:t>4</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66">
            <w:r>
              <w:rPr>
                <w:rStyle w:val="IndexLink"/>
                <w:webHidden/>
                <w:lang w:val="en-IN"/>
              </w:rPr>
              <w:t>1.3 Business Model</w:t>
            </w:r>
            <w:r>
              <w:rPr>
                <w:webHidden/>
              </w:rPr>
              <w:fldChar w:fldCharType="begin"/>
            </w:r>
            <w:r>
              <w:rPr>
                <w:webHidden/>
              </w:rPr>
              <w:instrText xml:space="preserve">PAGEREF _Toc237394566 \h</w:instrText>
            </w:r>
            <w:r>
              <w:rPr>
                <w:webHidden/>
              </w:rPr>
              <w:fldChar w:fldCharType="separate"/>
            </w:r>
            <w:r>
              <w:rPr>
                <w:rStyle w:val="IndexLink"/>
                <w:vanish w:val="false"/>
              </w:rPr>
              <w:tab/>
              <w:t>5</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67">
            <w:r>
              <w:rPr>
                <w:rStyle w:val="IndexLink"/>
                <w:webHidden/>
                <w:lang w:val="en-IN"/>
              </w:rPr>
              <w:t>1.4 UK QSR Industry, Competitors and Market Position</w:t>
            </w:r>
            <w:r>
              <w:rPr>
                <w:webHidden/>
              </w:rPr>
              <w:fldChar w:fldCharType="begin"/>
            </w:r>
            <w:r>
              <w:rPr>
                <w:webHidden/>
              </w:rPr>
              <w:instrText xml:space="preserve">PAGEREF _Toc237394567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94568">
            <w:r>
              <w:rPr>
                <w:rStyle w:val="IndexLink"/>
                <w:webHidden/>
                <w:lang w:val="en-IN"/>
              </w:rPr>
              <w:t>2. External and Internal Analysis</w:t>
            </w:r>
            <w:r>
              <w:rPr>
                <w:webHidden/>
              </w:rPr>
              <w:fldChar w:fldCharType="begin"/>
            </w:r>
            <w:r>
              <w:rPr>
                <w:webHidden/>
              </w:rPr>
              <w:instrText xml:space="preserve">PAGEREF _Toc237394568 \h</w:instrText>
            </w:r>
            <w:r>
              <w:rPr>
                <w:webHidden/>
              </w:rPr>
              <w:fldChar w:fldCharType="separate"/>
            </w:r>
            <w:r>
              <w:rPr>
                <w:rStyle w:val="IndexLink"/>
                <w:vanish w:val="false"/>
              </w:rPr>
              <w:tab/>
              <w:t>5</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69">
            <w:r>
              <w:rPr>
                <w:rStyle w:val="IndexLink"/>
                <w:webHidden/>
                <w:lang w:val="en-IN"/>
              </w:rPr>
              <w:t>2.1 External Environment Analysis: PESTEL</w:t>
            </w:r>
            <w:r>
              <w:rPr>
                <w:webHidden/>
              </w:rPr>
              <w:fldChar w:fldCharType="begin"/>
            </w:r>
            <w:r>
              <w:rPr>
                <w:webHidden/>
              </w:rPr>
              <w:instrText xml:space="preserve">PAGEREF _Toc237394569 \h</w:instrText>
            </w:r>
            <w:r>
              <w:rPr>
                <w:webHidden/>
              </w:rPr>
              <w:fldChar w:fldCharType="separate"/>
            </w:r>
            <w:r>
              <w:rPr>
                <w:rStyle w:val="IndexLink"/>
                <w:vanish w:val="false"/>
              </w:rPr>
              <w:tab/>
              <w:t>5</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70">
            <w:r>
              <w:rPr>
                <w:rStyle w:val="IndexLink"/>
                <w:webHidden/>
                <w:lang w:val="en-IN"/>
              </w:rPr>
              <w:t>2.2 Internal Environment Analysis: VRIO</w:t>
            </w:r>
            <w:r>
              <w:rPr>
                <w:webHidden/>
              </w:rPr>
              <w:fldChar w:fldCharType="begin"/>
            </w:r>
            <w:r>
              <w:rPr>
                <w:webHidden/>
              </w:rPr>
              <w:instrText xml:space="preserve">PAGEREF _Toc237394570 \h</w:instrText>
            </w:r>
            <w:r>
              <w:rPr>
                <w:webHidden/>
              </w:rPr>
              <w:fldChar w:fldCharType="separate"/>
            </w:r>
            <w:r>
              <w:rPr>
                <w:rStyle w:val="IndexLink"/>
                <w:vanish w:val="false"/>
              </w:rPr>
              <w:tab/>
              <w:t>9</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71">
            <w:r>
              <w:rPr>
                <w:rStyle w:val="IndexLink"/>
                <w:webHidden/>
                <w:lang w:val="en-IN"/>
              </w:rPr>
              <w:t>2.3 SWOT Analysis and Strategic Synthesis</w:t>
            </w:r>
            <w:r>
              <w:rPr>
                <w:webHidden/>
              </w:rPr>
              <w:fldChar w:fldCharType="begin"/>
            </w:r>
            <w:r>
              <w:rPr>
                <w:webHidden/>
              </w:rPr>
              <w:instrText xml:space="preserve">PAGEREF _Toc237394571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94572">
            <w:r>
              <w:rPr>
                <w:rStyle w:val="IndexLink"/>
                <w:webHidden/>
                <w:lang w:val="en-IN"/>
              </w:rPr>
              <w:t>3. Comprehensive and Holistic View of the Organisation</w:t>
            </w:r>
            <w:r>
              <w:rPr>
                <w:webHidden/>
              </w:rPr>
              <w:fldChar w:fldCharType="begin"/>
            </w:r>
            <w:r>
              <w:rPr>
                <w:webHidden/>
              </w:rPr>
              <w:instrText xml:space="preserve">PAGEREF _Toc237394572 \h</w:instrText>
            </w:r>
            <w:r>
              <w:rPr>
                <w:webHidden/>
              </w:rPr>
              <w:fldChar w:fldCharType="separate"/>
            </w:r>
            <w:r>
              <w:rPr>
                <w:rStyle w:val="IndexLink"/>
                <w:vanish w:val="false"/>
              </w:rPr>
              <w:tab/>
              <w:t>12</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73">
            <w:r>
              <w:rPr>
                <w:rStyle w:val="IndexLink"/>
                <w:webHidden/>
                <w:lang w:val="en-IN"/>
              </w:rPr>
              <w:t>3.1 Corporate Social Responsibility Strategy</w:t>
            </w:r>
            <w:r>
              <w:rPr>
                <w:webHidden/>
              </w:rPr>
              <w:fldChar w:fldCharType="begin"/>
            </w:r>
            <w:r>
              <w:rPr>
                <w:webHidden/>
              </w:rPr>
              <w:instrText xml:space="preserve">PAGEREF _Toc237394573 \h</w:instrText>
            </w:r>
            <w:r>
              <w:rPr>
                <w:webHidden/>
              </w:rPr>
              <w:fldChar w:fldCharType="separate"/>
            </w:r>
            <w:r>
              <w:rPr>
                <w:rStyle w:val="IndexLink"/>
                <w:vanish w:val="false"/>
              </w:rPr>
              <w:tab/>
              <w:t>12</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74">
            <w:r>
              <w:rPr>
                <w:rStyle w:val="IndexLink"/>
                <w:webHidden/>
                <w:lang w:val="en-IN"/>
              </w:rPr>
              <w:t>3.2 Alignment of CSR with Business Objectives</w:t>
            </w:r>
            <w:r>
              <w:rPr>
                <w:webHidden/>
              </w:rPr>
              <w:fldChar w:fldCharType="begin"/>
            </w:r>
            <w:r>
              <w:rPr>
                <w:webHidden/>
              </w:rPr>
              <w:instrText xml:space="preserve">PAGEREF _Toc237394574 \h</w:instrText>
            </w:r>
            <w:r>
              <w:rPr>
                <w:webHidden/>
              </w:rPr>
              <w:fldChar w:fldCharType="separate"/>
            </w:r>
            <w:r>
              <w:rPr>
                <w:rStyle w:val="IndexLink"/>
                <w:vanish w:val="false"/>
              </w:rPr>
              <w:tab/>
              <w:t>13</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75">
            <w:r>
              <w:rPr>
                <w:rStyle w:val="IndexLink"/>
                <w:webHidden/>
                <w:lang w:val="en-IN"/>
              </w:rPr>
              <w:t>3.3 Balanced Scorecard</w:t>
            </w:r>
            <w:r>
              <w:rPr>
                <w:webHidden/>
              </w:rPr>
              <w:fldChar w:fldCharType="begin"/>
            </w:r>
            <w:r>
              <w:rPr>
                <w:webHidden/>
              </w:rPr>
              <w:instrText xml:space="preserve">PAGEREF _Toc237394575 \h</w:instrText>
            </w:r>
            <w:r>
              <w:rPr>
                <w:webHidden/>
              </w:rPr>
              <w:fldChar w:fldCharType="separate"/>
            </w:r>
            <w:r>
              <w:rPr>
                <w:rStyle w:val="IndexLink"/>
                <w:vanish w:val="false"/>
              </w:rPr>
              <w:tab/>
              <w:t>14</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94576">
            <w:r>
              <w:rPr>
                <w:rStyle w:val="IndexLink"/>
                <w:webHidden/>
                <w:lang w:val="en-IN"/>
              </w:rPr>
              <w:t>4. Strategic Choices and Implementation</w:t>
            </w:r>
            <w:r>
              <w:rPr>
                <w:webHidden/>
              </w:rPr>
              <w:fldChar w:fldCharType="begin"/>
            </w:r>
            <w:r>
              <w:rPr>
                <w:webHidden/>
              </w:rPr>
              <w:instrText xml:space="preserve">PAGEREF _Toc237394576 \h</w:instrText>
            </w:r>
            <w:r>
              <w:rPr>
                <w:webHidden/>
              </w:rPr>
              <w:fldChar w:fldCharType="separate"/>
            </w:r>
            <w:r>
              <w:rPr>
                <w:rStyle w:val="IndexLink"/>
                <w:vanish w:val="false"/>
              </w:rPr>
              <w:tab/>
              <w:t>15</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77">
            <w:r>
              <w:rPr>
                <w:rStyle w:val="IndexLink"/>
                <w:webHidden/>
                <w:lang w:val="en-IN"/>
              </w:rPr>
              <w:t>4.1 Current Business-Level Strategy</w:t>
            </w:r>
            <w:r>
              <w:rPr>
                <w:webHidden/>
              </w:rPr>
              <w:fldChar w:fldCharType="begin"/>
            </w:r>
            <w:r>
              <w:rPr>
                <w:webHidden/>
              </w:rPr>
              <w:instrText xml:space="preserve">PAGEREF _Toc237394577 \h</w:instrText>
            </w:r>
            <w:r>
              <w:rPr>
                <w:webHidden/>
              </w:rPr>
              <w:fldChar w:fldCharType="separate"/>
            </w:r>
            <w:r>
              <w:rPr>
                <w:rStyle w:val="IndexLink"/>
                <w:vanish w:val="false"/>
              </w:rPr>
              <w:tab/>
              <w:t>15</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78">
            <w:r>
              <w:rPr>
                <w:rStyle w:val="IndexLink"/>
                <w:webHidden/>
                <w:lang w:val="en-IN"/>
              </w:rPr>
              <w:t>4.2 Strategic Options Available</w:t>
            </w:r>
            <w:r>
              <w:rPr>
                <w:webHidden/>
              </w:rPr>
              <w:fldChar w:fldCharType="begin"/>
            </w:r>
            <w:r>
              <w:rPr>
                <w:webHidden/>
              </w:rPr>
              <w:instrText xml:space="preserve">PAGEREF _Toc237394578 \h</w:instrText>
            </w:r>
            <w:r>
              <w:rPr>
                <w:webHidden/>
              </w:rPr>
              <w:fldChar w:fldCharType="separate"/>
            </w:r>
            <w:r>
              <w:rPr>
                <w:rStyle w:val="IndexLink"/>
                <w:vanish w:val="false"/>
              </w:rPr>
              <w:tab/>
              <w:t>16</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79">
            <w:r>
              <w:rPr>
                <w:rStyle w:val="IndexLink"/>
                <w:webHidden/>
                <w:lang w:val="en-IN"/>
              </w:rPr>
              <w:t>4.3 Porter’s Five Forces</w:t>
            </w:r>
            <w:r>
              <w:rPr>
                <w:webHidden/>
              </w:rPr>
              <w:fldChar w:fldCharType="begin"/>
            </w:r>
            <w:r>
              <w:rPr>
                <w:webHidden/>
              </w:rPr>
              <w:instrText xml:space="preserve">PAGEREF _Toc237394579 \h</w:instrText>
            </w:r>
            <w:r>
              <w:rPr>
                <w:webHidden/>
              </w:rPr>
              <w:fldChar w:fldCharType="separate"/>
            </w:r>
            <w:r>
              <w:rPr>
                <w:rStyle w:val="IndexLink"/>
                <w:vanish w:val="false"/>
              </w:rPr>
              <w:tab/>
              <w:t>16</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80">
            <w:r>
              <w:rPr>
                <w:rStyle w:val="IndexLink"/>
                <w:webHidden/>
                <w:lang w:val="en-IN"/>
              </w:rPr>
              <w:t>4.4 Ansoff Matrix</w:t>
            </w:r>
            <w:r>
              <w:rPr>
                <w:webHidden/>
              </w:rPr>
              <w:fldChar w:fldCharType="begin"/>
            </w:r>
            <w:r>
              <w:rPr>
                <w:webHidden/>
              </w:rPr>
              <w:instrText xml:space="preserve">PAGEREF _Toc237394580 \h</w:instrText>
            </w:r>
            <w:r>
              <w:rPr>
                <w:webHidden/>
              </w:rPr>
              <w:fldChar w:fldCharType="separate"/>
            </w:r>
            <w:r>
              <w:rPr>
                <w:rStyle w:val="IndexLink"/>
                <w:vanish w:val="false"/>
              </w:rPr>
              <w:tab/>
              <w:t>17</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81">
            <w:r>
              <w:rPr>
                <w:rStyle w:val="IndexLink"/>
                <w:webHidden/>
                <w:lang w:val="en-IN"/>
              </w:rPr>
              <w:t>4.5 Recommended Strategy</w:t>
            </w:r>
            <w:r>
              <w:rPr>
                <w:webHidden/>
              </w:rPr>
              <w:fldChar w:fldCharType="begin"/>
            </w:r>
            <w:r>
              <w:rPr>
                <w:webHidden/>
              </w:rPr>
              <w:instrText xml:space="preserve">PAGEREF _Toc237394581 \h</w:instrText>
            </w:r>
            <w:r>
              <w:rPr>
                <w:webHidden/>
              </w:rPr>
              <w:fldChar w:fldCharType="separate"/>
            </w:r>
            <w:r>
              <w:rPr>
                <w:rStyle w:val="IndexLink"/>
                <w:vanish w:val="false"/>
              </w:rPr>
              <w:tab/>
              <w:t>18</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82">
            <w:r>
              <w:rPr>
                <w:rStyle w:val="IndexLink"/>
                <w:webHidden/>
                <w:lang w:val="en-IN"/>
              </w:rPr>
              <w:t>4.6 Implementation Plan</w:t>
            </w:r>
            <w:r>
              <w:rPr>
                <w:webHidden/>
              </w:rPr>
              <w:fldChar w:fldCharType="begin"/>
            </w:r>
            <w:r>
              <w:rPr>
                <w:webHidden/>
              </w:rPr>
              <w:instrText xml:space="preserve">PAGEREF _Toc237394582 \h</w:instrText>
            </w:r>
            <w:r>
              <w:rPr>
                <w:webHidden/>
              </w:rPr>
              <w:fldChar w:fldCharType="separate"/>
            </w:r>
            <w:r>
              <w:rPr>
                <w:rStyle w:val="IndexLink"/>
                <w:vanish w:val="false"/>
              </w:rPr>
              <w:tab/>
              <w:t>18</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83">
            <w:r>
              <w:rPr>
                <w:rStyle w:val="IndexLink"/>
                <w:webHidden/>
                <w:lang w:val="en-IN"/>
              </w:rPr>
              <w:t>4.7 Implementation Challenges and Mitigation</w:t>
            </w:r>
            <w:r>
              <w:rPr>
                <w:webHidden/>
              </w:rPr>
              <w:fldChar w:fldCharType="begin"/>
            </w:r>
            <w:r>
              <w:rPr>
                <w:webHidden/>
              </w:rPr>
              <w:instrText xml:space="preserve">PAGEREF _Toc237394583 \h</w:instrText>
            </w:r>
            <w:r>
              <w:rPr>
                <w:webHidden/>
              </w:rPr>
              <w:fldChar w:fldCharType="separate"/>
            </w:r>
            <w:r>
              <w:rPr>
                <w:rStyle w:val="IndexLink"/>
                <w:vanish w:val="false"/>
              </w:rPr>
              <w:tab/>
              <w:t>19</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94584">
            <w:r>
              <w:rPr>
                <w:rStyle w:val="IndexLink"/>
                <w:webHidden/>
                <w:lang w:val="en-IN"/>
              </w:rPr>
              <w:t>SECTION 2 – REFLECTIVE ACCOUNT USING GIBBS’ REFLECTIVE CYCLE</w:t>
            </w:r>
            <w:r>
              <w:rPr>
                <w:webHidden/>
              </w:rPr>
              <w:fldChar w:fldCharType="begin"/>
            </w:r>
            <w:r>
              <w:rPr>
                <w:webHidden/>
              </w:rPr>
              <w:instrText xml:space="preserve">PAGEREF _Toc237394584 \h</w:instrText>
            </w:r>
            <w:r>
              <w:rPr>
                <w:webHidden/>
              </w:rPr>
              <w:fldChar w:fldCharType="separate"/>
            </w:r>
            <w:r>
              <w:rPr>
                <w:rStyle w:val="IndexLink"/>
                <w:vanish w:val="false"/>
              </w:rPr>
              <w:tab/>
              <w:t>20</w:t>
            </w:r>
            <w:r>
              <w:rPr>
                <w:webHidden/>
              </w:rPr>
              <w:fldChar w:fldCharType="end"/>
            </w:r>
          </w:hyperlink>
        </w:p>
        <w:p>
          <w:pPr>
            <w:pStyle w:val="TOC2"/>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94585">
            <w:r>
              <w:rPr>
                <w:rStyle w:val="IndexLink"/>
                <w:webHidden/>
              </w:rPr>
              <w:t>5. Reflection Using Gibbs’ Reflective Cycle</w:t>
            </w:r>
            <w:r>
              <w:rPr>
                <w:webHidden/>
              </w:rPr>
              <w:fldChar w:fldCharType="begin"/>
            </w:r>
            <w:r>
              <w:rPr>
                <w:webHidden/>
              </w:rPr>
              <w:instrText xml:space="preserve">PAGEREF _Toc237394585 \h</w:instrText>
            </w:r>
            <w:r>
              <w:rPr>
                <w:webHidden/>
              </w:rPr>
              <w:fldChar w:fldCharType="separate"/>
            </w:r>
            <w:r>
              <w:rPr>
                <w:rStyle w:val="IndexLink"/>
                <w:vanish w:val="false"/>
              </w:rPr>
              <w:tab/>
              <w:t>20</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86">
            <w:r>
              <w:rPr>
                <w:rStyle w:val="IndexLink"/>
                <w:webHidden/>
                <w:lang w:val="en-IN"/>
              </w:rPr>
              <w:t>5.1 Description</w:t>
            </w:r>
            <w:r>
              <w:rPr>
                <w:webHidden/>
              </w:rPr>
              <w:fldChar w:fldCharType="begin"/>
            </w:r>
            <w:r>
              <w:rPr>
                <w:webHidden/>
              </w:rPr>
              <w:instrText xml:space="preserve">PAGEREF _Toc237394586 \h</w:instrText>
            </w:r>
            <w:r>
              <w:rPr>
                <w:webHidden/>
              </w:rPr>
              <w:fldChar w:fldCharType="separate"/>
            </w:r>
            <w:r>
              <w:rPr>
                <w:rStyle w:val="IndexLink"/>
                <w:vanish w:val="false"/>
              </w:rPr>
              <w:tab/>
              <w:t>20</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87">
            <w:r>
              <w:rPr>
                <w:rStyle w:val="IndexLink"/>
                <w:webHidden/>
                <w:lang w:val="en-IN"/>
              </w:rPr>
              <w:t>5.2 Feelings</w:t>
            </w:r>
            <w:r>
              <w:rPr>
                <w:webHidden/>
              </w:rPr>
              <w:fldChar w:fldCharType="begin"/>
            </w:r>
            <w:r>
              <w:rPr>
                <w:webHidden/>
              </w:rPr>
              <w:instrText xml:space="preserve">PAGEREF _Toc237394587 \h</w:instrText>
            </w:r>
            <w:r>
              <w:rPr>
                <w:webHidden/>
              </w:rPr>
              <w:fldChar w:fldCharType="separate"/>
            </w:r>
            <w:r>
              <w:rPr>
                <w:rStyle w:val="IndexLink"/>
                <w:vanish w:val="false"/>
              </w:rPr>
              <w:tab/>
              <w:t>20</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88">
            <w:r>
              <w:rPr>
                <w:rStyle w:val="IndexLink"/>
                <w:webHidden/>
                <w:lang w:val="en-IN"/>
              </w:rPr>
              <w:t>5.3 Evaluation</w:t>
            </w:r>
            <w:r>
              <w:rPr>
                <w:webHidden/>
              </w:rPr>
              <w:fldChar w:fldCharType="begin"/>
            </w:r>
            <w:r>
              <w:rPr>
                <w:webHidden/>
              </w:rPr>
              <w:instrText xml:space="preserve">PAGEREF _Toc237394588 \h</w:instrText>
            </w:r>
            <w:r>
              <w:rPr>
                <w:webHidden/>
              </w:rPr>
              <w:fldChar w:fldCharType="separate"/>
            </w:r>
            <w:r>
              <w:rPr>
                <w:rStyle w:val="IndexLink"/>
                <w:vanish w:val="false"/>
              </w:rPr>
              <w:tab/>
              <w:t>21</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89">
            <w:r>
              <w:rPr>
                <w:rStyle w:val="IndexLink"/>
                <w:webHidden/>
                <w:lang w:val="en-IN"/>
              </w:rPr>
              <w:t>5.4 Analysis</w:t>
            </w:r>
            <w:r>
              <w:rPr>
                <w:webHidden/>
              </w:rPr>
              <w:fldChar w:fldCharType="begin"/>
            </w:r>
            <w:r>
              <w:rPr>
                <w:webHidden/>
              </w:rPr>
              <w:instrText xml:space="preserve">PAGEREF _Toc237394589 \h</w:instrText>
            </w:r>
            <w:r>
              <w:rPr>
                <w:webHidden/>
              </w:rPr>
              <w:fldChar w:fldCharType="separate"/>
            </w:r>
            <w:r>
              <w:rPr>
                <w:rStyle w:val="IndexLink"/>
                <w:vanish w:val="false"/>
              </w:rPr>
              <w:tab/>
              <w:t>22</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90">
            <w:r>
              <w:rPr>
                <w:rStyle w:val="IndexLink"/>
                <w:webHidden/>
                <w:lang w:val="en-IN"/>
              </w:rPr>
              <w:t>5.5 Conclusion</w:t>
            </w:r>
            <w:r>
              <w:rPr>
                <w:webHidden/>
              </w:rPr>
              <w:fldChar w:fldCharType="begin"/>
            </w:r>
            <w:r>
              <w:rPr>
                <w:webHidden/>
              </w:rPr>
              <w:instrText xml:space="preserve">PAGEREF _Toc237394590 \h</w:instrText>
            </w:r>
            <w:r>
              <w:rPr>
                <w:webHidden/>
              </w:rPr>
              <w:fldChar w:fldCharType="separate"/>
            </w:r>
            <w:r>
              <w:rPr>
                <w:rStyle w:val="IndexLink"/>
                <w:vanish w:val="false"/>
              </w:rPr>
              <w:tab/>
              <w:t>22</w:t>
            </w:r>
            <w:r>
              <w:rPr>
                <w:webHidden/>
              </w:rPr>
              <w:fldChar w:fldCharType="end"/>
            </w:r>
          </w:hyperlink>
        </w:p>
        <w:p>
          <w:pPr>
            <w:pStyle w:val="TOC3"/>
            <w:rPr>
              <w:rFonts w:ascii="Aptos" w:hAnsi="Aptos" w:eastAsia="" w:asciiTheme="minorHAnsi" w:eastAsiaTheme="minorEastAsia" w:hAnsiTheme="minorHAnsi"/>
              <w:kern w:val="2"/>
              <w:szCs w:val="24"/>
              <w:lang w:val="en-IN" w:eastAsia="en-IN"/>
              <w14:ligatures w14:val="standardContextual"/>
            </w:rPr>
          </w:pPr>
          <w:hyperlink w:anchor="_Toc237394591">
            <w:r>
              <w:rPr>
                <w:rStyle w:val="IndexLink"/>
                <w:webHidden/>
                <w:lang w:val="en-IN"/>
              </w:rPr>
              <w:t>5.6 Action Plan</w:t>
            </w:r>
            <w:r>
              <w:rPr>
                <w:webHidden/>
              </w:rPr>
              <w:fldChar w:fldCharType="begin"/>
            </w:r>
            <w:r>
              <w:rPr>
                <w:webHidden/>
              </w:rPr>
              <w:instrText xml:space="preserve">PAGEREF _Toc237394591 \h</w:instrText>
            </w:r>
            <w:r>
              <w:rPr>
                <w:webHidden/>
              </w:rPr>
              <w:fldChar w:fldCharType="separate"/>
            </w:r>
            <w:r>
              <w:rPr>
                <w:rStyle w:val="IndexLink"/>
                <w:vanish w:val="false"/>
              </w:rPr>
              <w:tab/>
              <w:t>23</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kern w:val="2"/>
              <w:szCs w:val="24"/>
              <w:lang w:val="en-IN" w:eastAsia="en-IN"/>
              <w14:ligatures w14:val="standardContextual"/>
            </w:rPr>
          </w:pPr>
          <w:hyperlink w:anchor="_Toc237394592">
            <w:r>
              <w:rPr>
                <w:rStyle w:val="IndexLink"/>
                <w:webHidden/>
                <w:lang w:val="en-IN"/>
              </w:rPr>
              <w:t>REFERENCES</w:t>
            </w:r>
            <w:r>
              <w:rPr>
                <w:webHidden/>
              </w:rPr>
              <w:fldChar w:fldCharType="begin"/>
            </w:r>
            <w:r>
              <w:rPr>
                <w:webHidden/>
              </w:rPr>
              <w:instrText xml:space="preserve">PAGEREF _Toc237394592 \h</w:instrText>
            </w:r>
            <w:r>
              <w:rPr>
                <w:webHidden/>
              </w:rPr>
              <w:fldChar w:fldCharType="separate"/>
            </w:r>
            <w:r>
              <w:rPr>
                <w:rStyle w:val="IndexLink"/>
                <w:vanish w:val="false"/>
              </w:rPr>
              <w:tab/>
              <w:t>24</w:t>
            </w:r>
            <w:r>
              <w:rPr>
                <w:webHidden/>
              </w:rPr>
              <w:fldChar w:fldCharType="end"/>
            </w:r>
          </w:hyperlink>
        </w:p>
        <w:p>
          <w:pPr>
            <w:pStyle w:val="Normal"/>
            <w:rPr/>
          </w:pPr>
          <w:r>
            <w:rPr/>
          </w:r>
          <w:r>
            <w:rPr/>
            <w:fldChar w:fldCharType="end"/>
          </w:r>
        </w:p>
      </w:sdtContent>
    </w:sdt>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rPr>
          <w:lang w:val="en-US"/>
        </w:rPr>
      </w:pPr>
      <w:r>
        <w:rPr>
          <w:lang w:val="en-US"/>
        </w:rPr>
      </w:r>
    </w:p>
    <w:p>
      <w:pPr>
        <w:pStyle w:val="Normal"/>
        <w:spacing w:lineRule="auto" w:line="259" w:before="0" w:after="160"/>
        <w:jc w:val="start"/>
        <w:rPr>
          <w:lang w:val="en-US"/>
        </w:rPr>
      </w:pPr>
      <w:r>
        <w:rPr>
          <w:lang w:val="en-US"/>
        </w:rPr>
      </w:r>
      <w:r>
        <w:br w:type="page"/>
      </w:r>
    </w:p>
    <w:p>
      <w:pPr>
        <w:pStyle w:val="Heading1"/>
        <w:spacing w:before="0" w:after="120"/>
        <w:rPr/>
      </w:pPr>
      <w:bookmarkStart w:id="0" w:name="_Toc237394562"/>
      <w:r>
        <w:rPr/>
        <w:t>SECTION 1 — STRATEGIC MANAGEMENT ANALYSIS</w:t>
      </w:r>
      <w:bookmarkEnd w:id="0"/>
    </w:p>
    <w:p>
      <w:pPr>
        <w:pStyle w:val="Heading2"/>
        <w:rPr>
          <w:lang w:val="en-IN"/>
        </w:rPr>
      </w:pPr>
      <w:bookmarkStart w:id="1" w:name="_Toc237394563"/>
      <w:r>
        <w:rPr>
          <w:lang w:val="en-IN"/>
        </w:rPr>
        <w:t>1. Organisational Context and Overview</w:t>
      </w:r>
      <w:bookmarkEnd w:id="1"/>
    </w:p>
    <w:p>
      <w:pPr>
        <w:pStyle w:val="Heading3"/>
        <w:rPr>
          <w:lang w:val="en-IN"/>
        </w:rPr>
      </w:pPr>
      <w:bookmarkStart w:id="2" w:name="_Toc237394564"/>
      <w:r>
        <w:rPr>
          <w:lang w:val="en-IN"/>
        </w:rPr>
        <w:t>1.1 McDonald’s: Historical Development</w:t>
      </w:r>
      <w:bookmarkEnd w:id="2"/>
    </w:p>
    <w:p>
      <w:pPr>
        <w:pStyle w:val="Normal"/>
        <w:rPr>
          <w:lang w:val="en-IN"/>
        </w:rPr>
      </w:pPr>
      <w:r>
        <w:rPr>
          <w:lang w:val="en-IN"/>
        </w:rPr>
        <w:t xml:space="preserve">McDonald’s is one of the world’s most recognised quick-service restaurant (QSR) organisations. Its development began in the United States before the business expanded internationally through a highly standardised restaurant and franchising model. McDonald’s entered the UK market in </w:t>
      </w:r>
      <w:r>
        <w:rPr>
          <w:b/>
          <w:bCs/>
          <w:lang w:val="en-IN"/>
        </w:rPr>
        <w:t>1974</w:t>
      </w:r>
      <w:r>
        <w:rPr>
          <w:lang w:val="en-IN"/>
        </w:rPr>
        <w:t>, when its first UK restaurant opened in Woolwich, south-east London (McDonalds, 2026). Subsequent expansion included the introduction of breakfast in 1982, the opening of its 100th UK restaurant in Manchester in 1983 and the development of drive-thru and franchised restaurants during the 1980s. This evolution demonstrates the organisation’s ability to adapt its operating model to changing customer requirements while retaining a consistent brand proposition.</w:t>
      </w:r>
    </w:p>
    <w:p>
      <w:pPr>
        <w:pStyle w:val="Normal"/>
        <w:rPr>
          <w:lang w:val="en-IN"/>
        </w:rPr>
      </w:pPr>
      <w:r>
        <w:rPr/>
        <w:drawing>
          <wp:inline distT="0" distB="0" distL="0" distR="0">
            <wp:extent cx="5731510" cy="3820795"/>
            <wp:effectExtent l="0" t="0" r="0" b="0"/>
            <wp:docPr id="2" name="Picture 2" descr="How Much Does a McDonald's Franchise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ow Much Does a McDonald's Franchise Cost?"/>
                    <pic:cNvPicPr>
                      <a:picLocks noChangeAspect="1" noChangeArrowheads="1"/>
                    </pic:cNvPicPr>
                  </pic:nvPicPr>
                  <pic:blipFill>
                    <a:blip r:embed="rId3"/>
                    <a:stretch>
                      <a:fillRect/>
                    </a:stretch>
                  </pic:blipFill>
                  <pic:spPr bwMode="auto">
                    <a:xfrm>
                      <a:off x="0" y="0"/>
                      <a:ext cx="5731510" cy="3820795"/>
                    </a:xfrm>
                    <a:prstGeom prst="rect">
                      <a:avLst/>
                    </a:prstGeom>
                    <a:noFill/>
                  </pic:spPr>
                </pic:pic>
              </a:graphicData>
            </a:graphic>
          </wp:inline>
        </w:drawing>
      </w:r>
    </w:p>
    <w:p>
      <w:pPr>
        <w:pStyle w:val="Heading3"/>
        <w:rPr>
          <w:lang w:val="en-IN"/>
        </w:rPr>
      </w:pPr>
      <w:bookmarkStart w:id="3" w:name="_Toc237394565"/>
      <w:r>
        <w:rPr>
          <w:lang w:val="en-IN"/>
        </w:rPr>
        <w:t>1.2 Mission, Vision and Strategic Purpose</w:t>
      </w:r>
      <w:bookmarkEnd w:id="3"/>
    </w:p>
    <w:p>
      <w:pPr>
        <w:pStyle w:val="Normal"/>
        <w:rPr>
          <w:lang w:val="en-IN"/>
        </w:rPr>
      </w:pPr>
      <w:r>
        <w:rPr>
          <w:lang w:val="en-IN"/>
        </w:rPr>
        <w:t xml:space="preserve">McDonald’s strategic purpose is centred on providing customers with quality food at affordable prices within a convenient and enjoyable environment. Its stated mission emphasises a fun and safe environment, quality ingredients and affordability. In the UK, this purpose is increasingly supported by priorities relating to people, communities, responsible sourcing and sustainability. The company’s </w:t>
      </w:r>
      <w:r>
        <w:rPr>
          <w:b/>
          <w:bCs/>
          <w:lang w:val="en-IN"/>
        </w:rPr>
        <w:t>Plan for Change</w:t>
      </w:r>
      <w:r>
        <w:rPr>
          <w:lang w:val="en-IN"/>
        </w:rPr>
        <w:t>, launched in 2021, focuses on five areas: Planet, People, Restaurants, Food and Communities, indicating that its strategic purpose extends beyond sales towards environmental and social value creation (McDonalds, 2026a).</w:t>
      </w:r>
    </w:p>
    <w:p>
      <w:pPr>
        <w:pStyle w:val="Heading3"/>
        <w:rPr>
          <w:lang w:val="en-IN"/>
        </w:rPr>
      </w:pPr>
      <w:bookmarkStart w:id="4" w:name="_Toc237394566"/>
      <w:r>
        <w:rPr>
          <w:lang w:val="en-IN"/>
        </w:rPr>
        <w:t>1.3 Business Model</w:t>
      </w:r>
      <w:bookmarkEnd w:id="4"/>
    </w:p>
    <w:p>
      <w:pPr>
        <w:pStyle w:val="Normal"/>
        <w:rPr>
          <w:lang w:val="en-IN"/>
        </w:rPr>
      </w:pPr>
      <w:r>
        <w:rPr>
          <w:lang w:val="en-IN"/>
        </w:rPr>
        <w:t xml:space="preserve">McDonald’s UK operates predominantly through a </w:t>
      </w:r>
      <w:r>
        <w:rPr>
          <w:b/>
          <w:bCs/>
          <w:lang w:val="en-IN"/>
        </w:rPr>
        <w:t>franchise-based business model</w:t>
      </w:r>
      <w:r>
        <w:rPr>
          <w:lang w:val="en-IN"/>
        </w:rPr>
        <w:t xml:space="preserve">, combining the organisation’s brand, operating systems, marketing capabilities and supply-chain infrastructure with local franchisee investment and management. McDonald’s and its franchisees operated approximately </w:t>
      </w:r>
      <w:r>
        <w:rPr>
          <w:b/>
          <w:bCs/>
          <w:lang w:val="en-IN"/>
        </w:rPr>
        <w:t>1,500 UK restaurants</w:t>
      </w:r>
      <w:r>
        <w:rPr>
          <w:lang w:val="en-IN"/>
        </w:rPr>
        <w:t>, with McDonald’s itself operating approximately 10% of these restaurants (McDonalds, 2024). This model enables geographical scale while distributing operational investment and responsibility across franchise partners. Digital ordering, McDelivery and app-based services further enhance convenience and customer engagement.</w:t>
      </w:r>
    </w:p>
    <w:p>
      <w:pPr>
        <w:pStyle w:val="Heading3"/>
        <w:rPr>
          <w:lang w:val="en-IN"/>
        </w:rPr>
      </w:pPr>
      <w:bookmarkStart w:id="5" w:name="_Toc237394567"/>
      <w:r>
        <w:rPr>
          <w:lang w:val="en-IN"/>
        </w:rPr>
        <w:t>1.4 UK QSR Industry, Competitors and Market Position</w:t>
      </w:r>
      <w:bookmarkEnd w:id="5"/>
    </w:p>
    <w:p>
      <w:pPr>
        <w:pStyle w:val="Normal"/>
        <w:rPr>
          <w:lang w:val="en-IN"/>
        </w:rPr>
      </w:pPr>
      <w:r>
        <w:rPr>
          <w:lang w:val="en-IN"/>
        </w:rPr>
        <w:t>McDonald’s operates within a highly competitive UK QSR and food-to-go environment, where consumers increasingly consider convenience, affordability, service speed, quality and menu variety (</w:t>
      </w:r>
      <w:r>
        <w:rPr/>
        <w:t xml:space="preserve">Hirth </w:t>
      </w:r>
      <w:r>
        <w:rPr>
          <w:i/>
          <w:iCs/>
        </w:rPr>
        <w:t>et al.,</w:t>
      </w:r>
      <w:r>
        <w:rPr/>
        <w:t xml:space="preserve"> 2021</w:t>
      </w:r>
      <w:r>
        <w:rPr>
          <w:lang w:val="en-IN"/>
        </w:rPr>
        <w:t>). Its competitive environment includes other fast-food restaurants, coffee shops and traditional food outlets. Competitors such as Burger King, KFC and Greggs therefore create pressure across price, convenience, product choice and customer experience. McDonald’s substantial UK restaurant network, recognised brand, franchise system and digital capabilities provide important strategic resources; however, maintaining competitive advantage requires continuous adaptation to changing consumer expectations, economic pressures and sustainability requirements.</w:t>
      </w:r>
    </w:p>
    <w:p>
      <w:pPr>
        <w:pStyle w:val="Heading2"/>
        <w:rPr>
          <w:lang w:val="en-IN"/>
        </w:rPr>
      </w:pPr>
      <w:bookmarkStart w:id="6" w:name="_Toc237394568"/>
      <w:r>
        <w:rPr>
          <w:lang w:val="en-IN"/>
        </w:rPr>
        <w:t>2. External and Internal Analysis</w:t>
      </w:r>
      <w:bookmarkEnd w:id="6"/>
    </w:p>
    <w:p>
      <w:pPr>
        <w:pStyle w:val="Heading3"/>
        <w:rPr>
          <w:lang w:val="en-IN"/>
        </w:rPr>
      </w:pPr>
      <w:bookmarkStart w:id="7" w:name="_Toc237394569"/>
      <w:r>
        <w:rPr>
          <w:lang w:val="en-IN"/>
        </w:rPr>
        <w:t>2.1 External Environment Analysis: PESTEL</w:t>
      </w:r>
      <w:bookmarkEnd w:id="7"/>
    </w:p>
    <w:p>
      <w:pPr>
        <w:pStyle w:val="Normal"/>
        <w:rPr>
          <w:lang w:val="en-IN"/>
        </w:rPr>
      </w:pPr>
      <w:r>
        <w:rPr>
          <w:lang w:val="en-IN"/>
        </w:rPr>
        <w:t>PESTEL analysis provides a systematic assessment of the macro-environmental forces that can influence McDonald’s strategic position in the UK quick-service restaurant (QSR) market. However, the strategic relevance of each factor differs; therefore, the analysis prioritises those developments that have the strongest implications for McDonald’s costs, customer demand, operations and competitive advantage.</w:t>
      </w:r>
    </w:p>
    <w:p>
      <w:pPr>
        <w:pStyle w:val="Heading4"/>
        <w:rPr>
          <w:lang w:val="en-IN"/>
        </w:rPr>
      </w:pPr>
      <w:r>
        <w:rPr>
          <w:lang w:val="en-IN"/>
        </w:rPr>
        <w:t>2.1.1 Political Factors</w:t>
      </w:r>
    </w:p>
    <w:p>
      <w:pPr>
        <w:pStyle w:val="Normal"/>
        <w:rPr>
          <w:lang w:val="en-IN"/>
        </w:rPr>
      </w:pPr>
      <w:r>
        <w:rPr>
          <w:lang w:val="en-IN"/>
        </w:rPr>
        <w:t>The UK food-service sector operates within a highly regulated political environment, particularly concerning food standards, employment, public health and sustainability. Government intervention around healthier food consumption is strategically important for McDonald’s because its core product portfolio contains products that may fall within the wider debate surrounding foods high in fat, salt and sugar (HFSS). From January 2026, restrictions on advertising less healthy food and drink products came into force, including a 9pm watershed for television advertising and restrictions on paid-for online advertising (</w:t>
      </w:r>
      <w:r>
        <w:rPr/>
        <w:t xml:space="preserve">Bone </w:t>
      </w:r>
      <w:r>
        <w:rPr>
          <w:i/>
          <w:iCs/>
        </w:rPr>
        <w:t>et al.,</w:t>
      </w:r>
      <w:r>
        <w:rPr/>
        <w:t xml:space="preserve"> 2026</w:t>
      </w:r>
      <w:r>
        <w:rPr>
          <w:lang w:val="en-IN"/>
        </w:rPr>
        <w:t>). Employment policy is another significant political factor. The National Living Wage increased to £12.71 per hour for workers aged 21 and over from April 2026, representing a 4.1% increase (Gov UK, 2026). Given McDonald’s large workforce and predominantly franchised operating structure, higher wage costs can place pressure on restaurant-level profitability. The strategic implication is that McDonald’s needs to increase labour productivity through training, process redesign and technology rather than attempting to compete primarily through labour-cost reduction.</w:t>
      </w:r>
    </w:p>
    <w:p>
      <w:pPr>
        <w:pStyle w:val="Heading4"/>
        <w:rPr>
          <w:lang w:val="en-IN"/>
        </w:rPr>
      </w:pPr>
      <w:r>
        <w:rPr>
          <w:lang w:val="en-IN"/>
        </w:rPr>
        <w:t>2.1.2 Economic Factors</w:t>
      </w:r>
    </w:p>
    <w:p>
      <w:pPr>
        <w:pStyle w:val="Normal"/>
        <w:rPr>
          <w:lang w:val="en-IN"/>
        </w:rPr>
      </w:pPr>
      <w:r>
        <w:rPr>
          <w:lang w:val="en-IN"/>
        </w:rPr>
        <w:t>Economic conditions are particularly significant for McDonald’s because consumers can alter their spending on eating out when disposable income is under pressure. UK CPI inflation was 2.8% in April 2026, while restaurant and hotel prices increased by 4.4% over the same period (ONS Gov UK, 2026). This creates a strategic tension: McDonald’s must protect margins against increasing input and labour costs while maintaining its perception of affordability.</w:t>
      </w:r>
    </w:p>
    <w:p>
      <w:pPr>
        <w:pStyle w:val="Normal"/>
        <w:keepNext w:val="true"/>
        <w:jc w:val="center"/>
        <w:rPr>
          <w:i/>
          <w:iCs/>
          <w:color w:themeColor="text1" w:val="000000"/>
          <w:szCs w:val="24"/>
        </w:rPr>
      </w:pPr>
      <w:r>
        <w:rPr/>
        <w:drawing>
          <wp:inline distT="0" distB="0" distL="0" distR="0">
            <wp:extent cx="5731510" cy="3171190"/>
            <wp:effectExtent l="0" t="0" r="0" b="0"/>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4"/>
                    <a:stretch>
                      <a:fillRect/>
                    </a:stretch>
                  </pic:blipFill>
                  <pic:spPr bwMode="auto">
                    <a:xfrm>
                      <a:off x="0" y="0"/>
                      <a:ext cx="5731510" cy="3171190"/>
                    </a:xfrm>
                    <a:prstGeom prst="rect">
                      <a:avLst/>
                    </a:prstGeom>
                    <a:noFill/>
                  </pic:spPr>
                </pic:pic>
              </a:graphicData>
            </a:graphic>
          </wp:inline>
        </w:drawing>
      </w:r>
    </w:p>
    <w:p>
      <w:pPr>
        <w:pStyle w:val="Caption"/>
        <w:jc w:val="center"/>
        <w:rPr>
          <w:color w:themeColor="text1" w:val="000000"/>
          <w:sz w:val="24"/>
          <w:szCs w:val="24"/>
        </w:rPr>
      </w:pPr>
      <w:r>
        <w:rPr>
          <w:color w:themeColor="text1" w:val="000000"/>
          <w:sz w:val="24"/>
          <w:szCs w:val="24"/>
        </w:rPr>
        <w:t xml:space="preserve">Figure </w:t>
      </w:r>
      <w:r>
        <w:rPr>
          <w:color w:themeColor="text1" w:val="000000"/>
          <w:sz w:val="24"/>
          <w:szCs w:val="24"/>
        </w:rPr>
        <w:fldChar w:fldCharType="begin"/>
      </w:r>
      <w:r>
        <w:rPr>
          <w:color w:themeColor="text1" w:val="000000"/>
          <w:sz w:val="24"/>
          <w:szCs w:val="24"/>
        </w:rPr>
        <w:instrText xml:space="preserve"> SEQ Figure \* ARABIC </w:instrText>
      </w:r>
      <w:r>
        <w:rPr>
          <w:color w:themeColor="text1" w:val="000000"/>
          <w:sz w:val="24"/>
          <w:szCs w:val="24"/>
        </w:rPr>
        <w:fldChar w:fldCharType="separate"/>
      </w:r>
      <w:r>
        <w:rPr>
          <w:color w:themeColor="text1" w:val="000000"/>
          <w:sz w:val="24"/>
          <w:szCs w:val="24"/>
        </w:rPr>
        <w:t>1</w:t>
      </w:r>
      <w:r>
        <w:rPr>
          <w:color w:themeColor="text1" w:val="000000"/>
          <w:sz w:val="24"/>
          <w:szCs w:val="24"/>
        </w:rPr>
        <w:fldChar w:fldCharType="end"/>
      </w:r>
      <w:r>
        <w:rPr>
          <w:color w:themeColor="text1" w:val="000000"/>
          <w:sz w:val="24"/>
          <w:szCs w:val="24"/>
        </w:rPr>
        <w:t>: CPI annual inflation rate lowest since March 2025</w:t>
      </w:r>
    </w:p>
    <w:p>
      <w:pPr>
        <w:pStyle w:val="Normal"/>
        <w:jc w:val="center"/>
        <w:rPr>
          <w:i/>
          <w:iCs/>
          <w:color w:themeColor="text1" w:val="000000"/>
          <w:szCs w:val="24"/>
          <w:lang w:val="en-IN"/>
        </w:rPr>
      </w:pPr>
      <w:r>
        <w:rPr>
          <w:i/>
          <w:iCs/>
          <w:color w:themeColor="text1" w:val="000000"/>
          <w:szCs w:val="24"/>
          <w:lang w:val="en-IN"/>
        </w:rPr>
        <w:t>(Source: ONS Gov UK, 2026)</w:t>
      </w:r>
    </w:p>
    <w:p>
      <w:pPr>
        <w:pStyle w:val="Normal"/>
        <w:rPr>
          <w:lang w:val="en-IN"/>
        </w:rPr>
      </w:pPr>
      <w:r>
        <w:rPr>
          <w:lang w:val="en-IN"/>
        </w:rPr>
        <w:t xml:space="preserve">The economic environment therefore creates both a threat and an opportunity. Rising costs can reduce margins, but economic pressure may also encourage consumers to substitute more expensive restaurant meals with lower-cost QSR alternatives. Recent UK consumer behaviour indicates that fast-food traffic has remained comparatively resilient while traditional restaurants and pubs have faced greater pressure. </w:t>
      </w:r>
    </w:p>
    <w:p>
      <w:pPr>
        <w:pStyle w:val="Heading4"/>
        <w:rPr>
          <w:lang w:val="en-IN"/>
        </w:rPr>
      </w:pPr>
      <w:r>
        <w:rPr>
          <w:lang w:val="en-IN"/>
        </w:rPr>
        <w:t>2.1.3 Social Factors</w:t>
      </w:r>
    </w:p>
    <w:p>
      <w:pPr>
        <w:pStyle w:val="Normal"/>
        <w:rPr>
          <w:lang w:val="en-IN"/>
        </w:rPr>
      </w:pPr>
      <w:r>
        <w:rPr>
          <w:lang w:val="en-IN"/>
        </w:rPr>
        <w:t>Social trends are producing a more complex consumer environment. Customers increasingly seek convenience, affordability and speed, while simultaneously demonstrating greater awareness of health, nutrition and sustainability (</w:t>
      </w:r>
      <w:r>
        <w:rPr/>
        <w:t xml:space="preserve">Alam </w:t>
      </w:r>
      <w:r>
        <w:rPr>
          <w:i/>
          <w:iCs/>
        </w:rPr>
        <w:t>et al.,</w:t>
      </w:r>
      <w:r>
        <w:rPr/>
        <w:t xml:space="preserve"> 2025</w:t>
      </w:r>
      <w:r>
        <w:rPr>
          <w:lang w:val="en-IN"/>
        </w:rPr>
        <w:t>). This creates a strategic paradox for McDonald’s, its traditional proposition is based strongly on convenience and indulgence, whereas changing expectations increasingly require healthier and more responsible choices.</w:t>
      </w:r>
    </w:p>
    <w:p>
      <w:pPr>
        <w:pStyle w:val="Normal"/>
        <w:rPr>
          <w:lang w:val="en-IN"/>
        </w:rPr>
      </w:pPr>
      <w:r>
        <w:rPr>
          <w:lang w:val="en-IN"/>
        </w:rPr>
        <w:t>The company therefore needs to maintain the emotional and experiential strength of its core products while expanding choice and transparency. Social expectations also differ across demographic groups, meaning a standardised menu alone may not fully address changing consumer preferences. McDonald’s ability to use menu innovation and digital customer data can help it respond more precisely to these differences (</w:t>
      </w:r>
      <w:r>
        <w:rPr/>
        <w:t>Tian, 2022</w:t>
      </w:r>
      <w:r>
        <w:rPr>
          <w:lang w:val="en-IN"/>
        </w:rPr>
        <w:t>). 2.1.4 Technological Factors</w:t>
      </w:r>
    </w:p>
    <w:p>
      <w:pPr>
        <w:pStyle w:val="Normal"/>
        <w:rPr>
          <w:lang w:val="en-IN"/>
        </w:rPr>
      </w:pPr>
      <w:r>
        <w:rPr>
          <w:lang w:val="en-IN"/>
        </w:rPr>
        <w:t>Technology represents one of McDonald’s strongest external opportunities. The McDonald’s UK app integrates ordering, Click &amp; Serve, McDelivery and MyMcDonald’s Rewards, allowing customers to earn one point for each penny spent on eligible menu items (McDonalds, 2026b). This transforms technology from a simple ordering mechanism into a strategic customer-retention platform.</w:t>
      </w:r>
    </w:p>
    <w:p>
      <w:pPr>
        <w:pStyle w:val="Normal"/>
        <w:rPr>
          <w:lang w:val="en-IN"/>
        </w:rPr>
      </w:pPr>
      <w:r>
        <w:rPr>
          <w:lang w:val="en-IN"/>
        </w:rPr>
        <w:t>The importance of technology extends beyond convenience. Digital ordering can generate customer information that supports targeted promotions and personalised offers, potentially increasing purchase frequency and customer lifetime value (</w:t>
      </w:r>
      <w:r>
        <w:rPr/>
        <w:t>Roggeveen and Sethuraman, 2020</w:t>
      </w:r>
      <w:r>
        <w:rPr>
          <w:lang w:val="en-IN"/>
        </w:rPr>
        <w:t>). However, technological capability is not automatically a sustainable advantage because competitors can also develop apps, kiosks and loyalty schemes. The strategic value therefore depends on McDonald’s ability to integrate technology with its large restaurant network, operational processes and brand ecosystem.</w:t>
      </w:r>
    </w:p>
    <w:p>
      <w:pPr>
        <w:pStyle w:val="Heading4"/>
        <w:rPr>
          <w:lang w:val="en-IN"/>
        </w:rPr>
      </w:pPr>
      <w:r>
        <w:rPr>
          <w:lang w:val="en-IN"/>
        </w:rPr>
        <w:t>2.1.5 Environmental Factors</w:t>
      </w:r>
    </w:p>
    <w:p>
      <w:pPr>
        <w:pStyle w:val="Normal"/>
        <w:rPr>
          <w:lang w:val="en-IN"/>
        </w:rPr>
      </w:pPr>
      <w:r>
        <w:rPr>
          <w:lang w:val="en-IN"/>
        </w:rPr>
        <w:t>Environmental pressure is increasingly relevant because McDonald’s business model generates substantial packaging, food waste, energy consumption and supply-chain impacts. McDonald’s UK has established a Plan for Change that includes a target of net-zero emissions across its entire business and value chain by 2040 (McDonlds, 2026a). The organisation also reports that 100% of its primary customer packaging is now recyclable or compostable, while 94% of customer packaging in 2023 was made from renewable, recycled or certified sources.</w:t>
      </w:r>
    </w:p>
    <w:p>
      <w:pPr>
        <w:pStyle w:val="Normal"/>
        <w:rPr>
          <w:lang w:val="en-IN"/>
        </w:rPr>
      </w:pPr>
      <w:r>
        <w:rPr>
          <w:lang w:val="en-IN"/>
        </w:rPr>
        <w:t>These commitments can strengthen corporate reputation and stakeholder trust, but they also create implementation costs and supply-chain dependencies. Environmental performance should therefore be viewed not merely as CSR but as a strategic capability. Effective waste reduction, sustainable sourcing and energy efficiency may simultaneously reduce environmental impact and improve long-term operational efficiency.</w:t>
      </w:r>
    </w:p>
    <w:p>
      <w:pPr>
        <w:pStyle w:val="Heading4"/>
        <w:rPr>
          <w:lang w:val="en-IN"/>
        </w:rPr>
      </w:pPr>
      <w:r>
        <w:rPr>
          <w:lang w:val="en-IN"/>
        </w:rPr>
        <w:t>2.1.6 Legal Factors</w:t>
      </w:r>
    </w:p>
    <w:p>
      <w:pPr>
        <w:pStyle w:val="Normal"/>
        <w:rPr>
          <w:lang w:val="en-IN"/>
        </w:rPr>
      </w:pPr>
      <w:r>
        <w:rPr>
          <w:lang w:val="en-IN"/>
        </w:rPr>
        <w:t>Legal requirements create continuous compliance obligations. Food businesses must comply with food-safety and allergen requirements, while PPDS food is subject to specific allergen-labelling requirements under Natasha’s Law (</w:t>
      </w:r>
      <w:r>
        <w:rPr/>
        <w:t>Gowland and Walker, 2022</w:t>
      </w:r>
      <w:r>
        <w:rPr>
          <w:lang w:val="en-IN"/>
        </w:rPr>
        <w:t>). McDonald’s also needs to manage employment law, advertising restrictions and data-protection responsibilities associated with its digital ecosystem. These regulations can increase administrative and operational costs, but they also protect customer trust. For a brand as large as McDonald’s, a failure in food safety, allergen management or data protection could produce reputational damage that extends beyond an individual restaurant. Consequently, legal compliance should be treated as a strategic risk-management capability rather than simply a minimum operational requirement.</w:t>
      </w:r>
    </w:p>
    <w:p>
      <w:pPr>
        <w:pStyle w:val="Heading3"/>
        <w:rPr>
          <w:lang w:val="en-IN"/>
        </w:rPr>
      </w:pPr>
      <w:bookmarkStart w:id="8" w:name="_Toc237394570"/>
      <w:r>
        <w:rPr>
          <w:lang w:val="en-IN"/>
        </w:rPr>
        <w:t>2.2 Internal Environment Analysis: VRIO</w:t>
      </w:r>
      <w:bookmarkEnd w:id="8"/>
    </w:p>
    <w:p>
      <w:pPr>
        <w:pStyle w:val="Normal"/>
        <w:rPr>
          <w:lang w:val="en-IN"/>
        </w:rPr>
      </w:pPr>
      <w:r>
        <w:rPr>
          <w:lang w:val="en-IN"/>
        </w:rPr>
        <w:t>Barney’s resource-based view argues that resources can provide sustained competitive advantage when they possess characteristics such as value, rarity and difficulty of imitation (</w:t>
      </w:r>
      <w:r>
        <w:rPr/>
        <w:t xml:space="preserve">Mailani </w:t>
      </w:r>
      <w:r>
        <w:rPr>
          <w:i/>
          <w:iCs/>
        </w:rPr>
        <w:t>et al.,</w:t>
      </w:r>
      <w:r>
        <w:rPr/>
        <w:t xml:space="preserve"> 2024</w:t>
      </w:r>
      <w:r>
        <w:rPr>
          <w:lang w:val="en-IN"/>
        </w:rPr>
        <w:t>). Applying this logic to McDonald’s shows that its competitive position is not based on a single resource but on the combination of complementary assets and capabilities.</w:t>
      </w:r>
    </w:p>
    <w:p>
      <w:pPr>
        <w:pStyle w:val="Heading4"/>
        <w:rPr>
          <w:lang w:val="en-IN"/>
        </w:rPr>
      </w:pPr>
      <w:r>
        <w:rPr>
          <w:lang w:val="en-IN"/>
        </w:rPr>
        <w:t>2.2.1 Brand Strength and Reputation</w:t>
      </w:r>
    </w:p>
    <w:p>
      <w:pPr>
        <w:pStyle w:val="Normal"/>
        <w:rPr>
          <w:lang w:val="en-IN"/>
        </w:rPr>
      </w:pPr>
      <w:r>
        <w:rPr>
          <w:lang w:val="en-IN"/>
        </w:rPr>
        <w:t>The McDonald’s brand is highly valuable because it reduces customer uncertainty and provides immediate recognition across the UK market. The Golden Arches are supported by substantial marketing investment, menu innovation and a consistent operating model. McDonald’s itself describes its franchise system as combining brand strength with a proven operating model (</w:t>
      </w:r>
      <w:r>
        <w:rPr/>
        <w:t>Wu, 2020</w:t>
      </w:r>
      <w:r>
        <w:rPr>
          <w:lang w:val="en-IN"/>
        </w:rPr>
        <w:t xml:space="preserve">). The brand is also relatively difficult to imitate because competitors can copy individual products or promotional techniques but cannot easily reproduce decades of accumulated brand associations, customer familiarity and global scale. </w:t>
      </w:r>
    </w:p>
    <w:p>
      <w:pPr>
        <w:pStyle w:val="Heading4"/>
        <w:rPr>
          <w:lang w:val="en-IN"/>
        </w:rPr>
      </w:pPr>
      <w:r>
        <w:rPr>
          <w:lang w:val="en-IN"/>
        </w:rPr>
        <w:t>2.2.2 Franchise Network and Operating System</w:t>
      </w:r>
    </w:p>
    <w:p>
      <w:pPr>
        <w:pStyle w:val="Normal"/>
        <w:rPr>
          <w:lang w:val="en-IN"/>
        </w:rPr>
      </w:pPr>
      <w:r>
        <w:rPr>
          <w:lang w:val="en-IN"/>
        </w:rPr>
        <w:t>McDonald’s franchising capability is another major strategic resource. Its model combines local owner-operators with McDonald’s established standards, systems and support (</w:t>
      </w:r>
      <w:r>
        <w:rPr/>
        <w:t xml:space="preserve">Panda </w:t>
      </w:r>
      <w:r>
        <w:rPr>
          <w:i/>
          <w:iCs/>
        </w:rPr>
        <w:t>et al.,</w:t>
      </w:r>
      <w:r>
        <w:rPr/>
        <w:t xml:space="preserve"> 2023</w:t>
      </w:r>
      <w:r>
        <w:rPr>
          <w:lang w:val="en-IN"/>
        </w:rPr>
        <w:t xml:space="preserve">). The company states that its model is designed around disciplined execution, operational standards and sustainable expansion. The capability is valuable because it supports rapid scale while distributing investment and operational responsibility. It is comparatively difficult to imitate at equivalent scale because competitors would require franchisees and established processes, brand demand, training systems and supply-chain infrastructure. </w:t>
      </w:r>
    </w:p>
    <w:p>
      <w:pPr>
        <w:pStyle w:val="Heading4"/>
        <w:rPr>
          <w:rStyle w:val="SubtleEmphasis"/>
          <w:i w:val="false"/>
          <w:iCs w:val="false"/>
          <w:lang w:val="en-IN"/>
        </w:rPr>
      </w:pPr>
      <w:r>
        <w:rPr>
          <w:lang w:val="en-IN"/>
        </w:rPr>
        <w:t>2.2.3 Digital Ecosystem and Customer Loyalty</w:t>
      </w:r>
    </w:p>
    <w:p>
      <w:pPr>
        <w:pStyle w:val="Normal"/>
        <w:rPr>
          <w:lang w:val="en-IN"/>
        </w:rPr>
      </w:pPr>
      <w:r>
        <w:rPr>
          <w:lang w:val="en-IN"/>
        </w:rPr>
        <w:t xml:space="preserve">MyMcDonald’s Rewards represents a strategically valuable capability because it connects customer transactions, promotions and loyalty within one digital ecosystem (McDonalds, 2026b). Customers can earn points through app-based ordering, kiosks, drive-thru and McDelivery, integrating physical and digital channels. The resource is valuable because it can strengthen retention, increase purchase frequency and support targeted marketing. It is less rare because competing QSR organisations also use digital loyalty systems. Consequently, the sustainable advantage comes not from the existence of an app itself but from the combination of McDonald’s brand, customer scale, restaurant network and digital data. </w:t>
      </w:r>
    </w:p>
    <w:p>
      <w:pPr>
        <w:pStyle w:val="Heading4"/>
        <w:rPr>
          <w:lang w:val="en-IN"/>
        </w:rPr>
      </w:pPr>
      <w:r>
        <w:rPr>
          <w:lang w:val="en-IN"/>
        </w:rPr>
        <w:t>2.2.4 Supply Chain and Operational Capabilities</w:t>
      </w:r>
    </w:p>
    <w:p>
      <w:pPr>
        <w:pStyle w:val="Normal"/>
        <w:rPr>
          <w:lang w:val="en-IN"/>
        </w:rPr>
      </w:pPr>
      <w:r>
        <w:rPr>
          <w:lang w:val="en-IN"/>
        </w:rPr>
        <w:t>McDonald’s standardised operating processes and supply-chain relationships support consistency, speed and scale (</w:t>
      </w:r>
      <w:r>
        <w:rPr/>
        <w:t>Pasaribu and Ellitan, 2025</w:t>
      </w:r>
      <w:r>
        <w:rPr>
          <w:lang w:val="en-IN"/>
        </w:rPr>
        <w:t>). These capabilities are valuable because customers expect predictable quality and service across locations. They also support economies of scale in procurement and distribution. However, supply-chain capabilities are not necessarily rare because major QSR competitors possess sophisticated procurement and distribution systems. Their strongest strategic contribution is therefore through operational reliability and their integration with McDonald’s franchise network and brand. Rising commodity, energy and labour costs make operational efficiency increasingly important for protecting margins.</w:t>
      </w:r>
    </w:p>
    <w:p>
      <w:pPr>
        <w:pStyle w:val="Heading4"/>
        <w:rPr>
          <w:lang w:val="en-IN"/>
        </w:rPr>
      </w:pPr>
      <w:r>
        <w:rPr>
          <w:lang w:val="en-IN"/>
        </w:rPr>
        <w:t>2.2.5 Menu Innovation and Customer Experience</w:t>
      </w:r>
    </w:p>
    <w:p>
      <w:pPr>
        <w:pStyle w:val="Normal"/>
        <w:rPr>
          <w:lang w:val="en-IN"/>
        </w:rPr>
      </w:pPr>
      <w:r>
        <w:rPr>
          <w:lang w:val="en-IN"/>
        </w:rPr>
        <w:t>McDonald’s ability to introduce limited-time products, adapt menus and integrate customer feedback is strategically valuable because consumer preferences change rapidly (</w:t>
      </w:r>
      <w:r>
        <w:rPr/>
        <w:t xml:space="preserve">Nawangwulan </w:t>
      </w:r>
      <w:r>
        <w:rPr>
          <w:i/>
          <w:iCs/>
        </w:rPr>
        <w:t>et al.,</w:t>
      </w:r>
      <w:r>
        <w:rPr/>
        <w:t xml:space="preserve"> 2025</w:t>
      </w:r>
      <w:r>
        <w:rPr>
          <w:lang w:val="en-IN"/>
        </w:rPr>
        <w:t>). Menu innovation can attract new customers and create reasons for existing customers to return. Imitation remains a concern. Competitors can introduce similar products, promotions and limited-time offers relatively quickly. McDonald’s should therefore treat menu innovation as a continuous capability rather than a one-off source of differentiation.</w:t>
      </w:r>
    </w:p>
    <w:p>
      <w:pPr>
        <w:pStyle w:val="Heading3"/>
        <w:rPr>
          <w:lang w:val="en-IN"/>
        </w:rPr>
      </w:pPr>
      <w:bookmarkStart w:id="9" w:name="_Toc237394571"/>
      <w:r>
        <w:rPr>
          <w:lang w:val="en-IN"/>
        </w:rPr>
        <w:t>2.3 SWOT Analysis and Strategic Synthesis</w:t>
      </w:r>
      <w:bookmarkEnd w:id="9"/>
    </w:p>
    <w:p>
      <w:pPr>
        <w:pStyle w:val="Normal"/>
        <w:rPr>
          <w:lang w:val="en-IN"/>
        </w:rPr>
      </w:pPr>
      <w:r>
        <w:rPr>
          <w:lang w:val="en-IN"/>
        </w:rPr>
        <w:t>The preceding PESTEL and VRIO analysis indicates that McDonald’s has substantial internal resources, but its competitive position is influenced by changing customer expectations, cost pressures, regulation and intense competition. The following SWOT synthesises the most strategically significant findings rather than simply repeating all factors identified earlier.</w:t>
      </w:r>
    </w:p>
    <w:tbl>
      <w:tblPr>
        <w:tblStyle w:val="ListTable3-Accent3"/>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4531"/>
        <w:gridCol w:w="4485"/>
      </w:tblGrid>
      <w:tr>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31" w:type="dxa"/>
            <w:tcBorders>
              <w:bottom w:val="nil"/>
              <w:end w:val="single" w:sz="4" w:space="0" w:color="000000"/>
            </w:tcBorders>
            <w:shd w:color="auto" w:fill="196B24" w:themeFill="accent3"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Strengths (Internal)</w:t>
            </w:r>
          </w:p>
        </w:tc>
        <w:tc>
          <w:tcPr>
            <w:tcW w:w="4485" w:type="dxa"/>
            <w:tcBorders>
              <w:start w:val="single" w:sz="4" w:space="0" w:color="000000"/>
              <w:bottom w:val="nil"/>
            </w:tcBorders>
            <w:shd w:color="auto" w:fill="196B24" w:themeFill="accent3"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Weaknesses (Internal)</w:t>
            </w:r>
          </w:p>
        </w:tc>
      </w:tr>
      <w:tr>
        <w:trPr>
          <w:trHeight w:val="7265" w:hRule="atLeast"/>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Borders>
              <w:end w:val="single" w:sz="4" w:space="0" w:color="000000"/>
            </w:tcBorders>
            <w:shd w:color="auto" w:fill="FFFFFF" w:themeFill="background1" w:val="clear"/>
          </w:tcPr>
          <w:p>
            <w:pPr>
              <w:pStyle w:val="NoSpacing"/>
              <w:widowControl/>
              <w:numPr>
                <w:ilvl w:val="0"/>
                <w:numId w:val="1"/>
              </w:numPr>
              <w:spacing w:before="0" w:after="0"/>
              <w:ind w:hanging="360" w:start="317"/>
              <w:rPr>
                <w:rFonts w:ascii="Arial" w:hAnsi="Arial" w:cs="Arial"/>
                <w:lang w:val="en-IN"/>
              </w:rPr>
            </w:pPr>
            <w:r>
              <w:rPr>
                <w:rFonts w:eastAsia="Aptos" w:cs="Arial" w:ascii="Arial" w:hAnsi="Arial"/>
                <w:b/>
                <w:bCs/>
                <w:kern w:val="0"/>
                <w:szCs w:val="22"/>
                <w:lang w:val="en-IN" w:eastAsia="en-US" w:bidi="ar-SA"/>
              </w:rPr>
              <w:t>Strong global and UK brand recognition:</w:t>
            </w:r>
            <w:r>
              <w:rPr>
                <w:rFonts w:eastAsia="Aptos" w:cs="Arial" w:ascii="Arial" w:hAnsi="Arial"/>
                <w:b w:val="false"/>
                <w:bCs w:val="false"/>
                <w:kern w:val="0"/>
                <w:szCs w:val="22"/>
                <w:lang w:val="en-IN" w:eastAsia="en-US" w:bidi="ar-SA"/>
              </w:rPr>
              <w:t xml:space="preserve"> McDonald’s has a highly recognisable brand and established customer familiarity, reducing perceived purchase risk and supporting repeat visits (Dong </w:t>
            </w:r>
            <w:r>
              <w:rPr>
                <w:rFonts w:eastAsia="Aptos" w:cs="Arial" w:ascii="Arial" w:hAnsi="Arial"/>
                <w:b w:val="false"/>
                <w:bCs w:val="false"/>
                <w:i/>
                <w:iCs/>
                <w:kern w:val="0"/>
                <w:szCs w:val="22"/>
                <w:lang w:val="en-IN" w:eastAsia="en-US" w:bidi="ar-SA"/>
              </w:rPr>
              <w:t>et al.,</w:t>
            </w:r>
            <w:r>
              <w:rPr>
                <w:rFonts w:eastAsia="Aptos" w:cs="Arial" w:ascii="Arial" w:hAnsi="Arial"/>
                <w:b w:val="false"/>
                <w:bCs w:val="false"/>
                <w:kern w:val="0"/>
                <w:szCs w:val="22"/>
                <w:lang w:val="en-IN" w:eastAsia="en-US" w:bidi="ar-SA"/>
              </w:rPr>
              <w:t xml:space="preserve"> 2024).</w:t>
            </w:r>
          </w:p>
          <w:p>
            <w:pPr>
              <w:pStyle w:val="NoSpacing"/>
              <w:widowControl/>
              <w:numPr>
                <w:ilvl w:val="0"/>
                <w:numId w:val="1"/>
              </w:numPr>
              <w:spacing w:before="0" w:after="0"/>
              <w:ind w:hanging="360" w:start="317"/>
              <w:rPr>
                <w:rFonts w:ascii="Arial" w:hAnsi="Arial" w:cs="Arial"/>
                <w:lang w:val="en-IN"/>
              </w:rPr>
            </w:pPr>
            <w:r>
              <w:rPr>
                <w:rFonts w:eastAsia="Aptos" w:cs="Arial" w:ascii="Arial" w:hAnsi="Arial"/>
                <w:b/>
                <w:bCs/>
                <w:kern w:val="0"/>
                <w:szCs w:val="22"/>
                <w:lang w:val="en-IN" w:eastAsia="en-US" w:bidi="ar-SA"/>
              </w:rPr>
              <w:t>Extensive franchise network:</w:t>
            </w:r>
            <w:r>
              <w:rPr>
                <w:rFonts w:eastAsia="Aptos" w:cs="Arial" w:ascii="Arial" w:hAnsi="Arial"/>
                <w:b w:val="false"/>
                <w:bCs w:val="false"/>
                <w:kern w:val="0"/>
                <w:szCs w:val="22"/>
                <w:lang w:val="en-IN" w:eastAsia="en-US" w:bidi="ar-SA"/>
              </w:rPr>
              <w:t xml:space="preserve"> The franchise model allows McDonald’s to achieve significant scale while combining local franchisee investment with established systems and operating standards.</w:t>
            </w:r>
          </w:p>
          <w:p>
            <w:pPr>
              <w:pStyle w:val="NoSpacing"/>
              <w:widowControl/>
              <w:numPr>
                <w:ilvl w:val="0"/>
                <w:numId w:val="1"/>
              </w:numPr>
              <w:spacing w:before="0" w:after="0"/>
              <w:ind w:hanging="360" w:start="317"/>
              <w:rPr>
                <w:rFonts w:ascii="Arial" w:hAnsi="Arial" w:cs="Arial"/>
                <w:lang w:val="en-IN"/>
              </w:rPr>
            </w:pPr>
            <w:r>
              <w:rPr>
                <w:rFonts w:eastAsia="Aptos" w:cs="Arial" w:ascii="Arial" w:hAnsi="Arial"/>
                <w:b/>
                <w:bCs/>
                <w:kern w:val="0"/>
                <w:szCs w:val="22"/>
                <w:lang w:val="en-IN" w:eastAsia="en-US" w:bidi="ar-SA"/>
              </w:rPr>
              <w:t>Strong digital and loyalty ecosystem:</w:t>
            </w:r>
            <w:r>
              <w:rPr>
                <w:rFonts w:eastAsia="Aptos" w:cs="Arial" w:ascii="Arial" w:hAnsi="Arial"/>
                <w:b w:val="false"/>
                <w:bCs w:val="false"/>
                <w:kern w:val="0"/>
                <w:szCs w:val="22"/>
                <w:lang w:val="en-IN" w:eastAsia="en-US" w:bidi="ar-SA"/>
              </w:rPr>
              <w:t xml:space="preserve"> The McDonald’s app, MyMcDonald’s Rewards, digital ordering, delivery and other digital channels strengthen customer engagement and provide opportunities for personalised promotions.</w:t>
            </w:r>
          </w:p>
          <w:p>
            <w:pPr>
              <w:pStyle w:val="NoSpacing"/>
              <w:widowControl/>
              <w:numPr>
                <w:ilvl w:val="0"/>
                <w:numId w:val="1"/>
              </w:numPr>
              <w:spacing w:before="0" w:after="0"/>
              <w:ind w:hanging="360" w:start="317"/>
              <w:rPr>
                <w:rFonts w:ascii="Arial" w:hAnsi="Arial" w:cs="Arial"/>
                <w:lang w:val="en-IN"/>
              </w:rPr>
            </w:pPr>
            <w:r>
              <w:rPr>
                <w:rFonts w:eastAsia="Aptos" w:cs="Arial" w:ascii="Arial" w:hAnsi="Arial"/>
                <w:b/>
                <w:bCs/>
                <w:kern w:val="0"/>
                <w:szCs w:val="22"/>
                <w:lang w:val="en-IN" w:eastAsia="en-US" w:bidi="ar-SA"/>
              </w:rPr>
              <w:t>Operational scale and supply-chain capabilities:</w:t>
            </w:r>
            <w:r>
              <w:rPr>
                <w:rFonts w:eastAsia="Aptos" w:cs="Arial" w:ascii="Arial" w:hAnsi="Arial"/>
                <w:b w:val="false"/>
                <w:bCs w:val="false"/>
                <w:kern w:val="0"/>
                <w:szCs w:val="22"/>
                <w:lang w:val="en-IN" w:eastAsia="en-US" w:bidi="ar-SA"/>
              </w:rPr>
              <w:t xml:space="preserve"> Standardised processes and purchasing scale support consistent quality, speed and cost efficiency across restaurants.</w:t>
            </w:r>
          </w:p>
        </w:tc>
        <w:tc>
          <w:tcPr>
            <w:tcW w:w="4485" w:type="dxa"/>
            <w:tcBorders>
              <w:start w:val="single" w:sz="4" w:space="0" w:color="000000"/>
            </w:tcBorders>
          </w:tcPr>
          <w:p>
            <w:pPr>
              <w:pStyle w:val="NoSpacing"/>
              <w:widowControl/>
              <w:numPr>
                <w:ilvl w:val="0"/>
                <w:numId w:val="2"/>
              </w:numPr>
              <w:spacing w:before="0" w:after="0"/>
              <w:ind w:hanging="360" w:start="318"/>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b/>
                <w:bCs/>
                <w:kern w:val="0"/>
                <w:szCs w:val="22"/>
                <w:lang w:val="en-IN" w:eastAsia="en-US" w:bidi="ar-SA"/>
              </w:rPr>
              <w:t>Dependence on a labour-intensive operating model:</w:t>
            </w:r>
            <w:r>
              <w:rPr>
                <w:rFonts w:eastAsia="Aptos" w:cs="Arial" w:ascii="Arial" w:hAnsi="Arial"/>
                <w:kern w:val="0"/>
                <w:szCs w:val="22"/>
                <w:lang w:val="en-IN" w:eastAsia="en-US" w:bidi="ar-SA"/>
              </w:rPr>
              <w:t xml:space="preserve"> Large restaurant operations expose McDonald’s to wage inflation and workforce availability pressures, potentially increasing operating costs (Ashenfelter and Jurajda, 2022).</w:t>
            </w:r>
          </w:p>
          <w:p>
            <w:pPr>
              <w:pStyle w:val="NoSpacing"/>
              <w:widowControl/>
              <w:numPr>
                <w:ilvl w:val="0"/>
                <w:numId w:val="2"/>
              </w:numPr>
              <w:spacing w:before="0" w:after="0"/>
              <w:ind w:hanging="360" w:start="318"/>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b/>
                <w:bCs/>
                <w:kern w:val="0"/>
                <w:szCs w:val="22"/>
                <w:lang w:val="en-IN" w:eastAsia="en-US" w:bidi="ar-SA"/>
              </w:rPr>
              <w:t>Franchise consistency risk:</w:t>
            </w:r>
            <w:r>
              <w:rPr>
                <w:rFonts w:eastAsia="Aptos" w:cs="Arial" w:ascii="Arial" w:hAnsi="Arial"/>
                <w:kern w:val="0"/>
                <w:szCs w:val="22"/>
                <w:lang w:val="en-IN" w:eastAsia="en-US" w:bidi="ar-SA"/>
              </w:rPr>
              <w:t xml:space="preserve"> Although franchising supports rapid scale, differences in franchisee execution can create challenges in maintaining consistent service, food quality and customer experience.</w:t>
            </w:r>
          </w:p>
          <w:p>
            <w:pPr>
              <w:pStyle w:val="NoSpacing"/>
              <w:widowControl/>
              <w:numPr>
                <w:ilvl w:val="0"/>
                <w:numId w:val="2"/>
              </w:numPr>
              <w:spacing w:before="0" w:after="0"/>
              <w:ind w:hanging="360" w:start="318"/>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b/>
                <w:bCs/>
                <w:kern w:val="0"/>
                <w:szCs w:val="22"/>
                <w:lang w:val="en-IN" w:eastAsia="en-US" w:bidi="ar-SA"/>
              </w:rPr>
              <w:t>Health-related brand perceptions:</w:t>
            </w:r>
            <w:r>
              <w:rPr>
                <w:rFonts w:eastAsia="Aptos" w:cs="Arial" w:ascii="Arial" w:hAnsi="Arial"/>
                <w:kern w:val="0"/>
                <w:szCs w:val="22"/>
                <w:lang w:val="en-IN" w:eastAsia="en-US" w:bidi="ar-SA"/>
              </w:rPr>
              <w:t xml:space="preserve"> McDonald’s remains exposed to criticism associated with fast food, calories and HFSS products, potentially conflicting with increasing consumer interest in healthier eating.</w:t>
            </w:r>
          </w:p>
          <w:p>
            <w:pPr>
              <w:pStyle w:val="NoSpacing"/>
              <w:widowControl/>
              <w:numPr>
                <w:ilvl w:val="0"/>
                <w:numId w:val="2"/>
              </w:numPr>
              <w:spacing w:before="0" w:after="0"/>
              <w:ind w:hanging="360" w:start="318"/>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b/>
                <w:bCs/>
                <w:kern w:val="0"/>
                <w:szCs w:val="22"/>
                <w:lang w:val="en-IN" w:eastAsia="en-US" w:bidi="ar-SA"/>
              </w:rPr>
              <w:t>Complexity of balancing value and profitability:</w:t>
            </w:r>
            <w:r>
              <w:rPr>
                <w:rFonts w:eastAsia="Aptos" w:cs="Arial" w:ascii="Arial" w:hAnsi="Arial"/>
                <w:kern w:val="0"/>
                <w:szCs w:val="22"/>
                <w:lang w:val="en-IN" w:eastAsia="en-US" w:bidi="ar-SA"/>
              </w:rPr>
              <w:t xml:space="preserve"> Maintaining affordability for customers while responding to higher labour, food and energy costs creates pressure on margins.</w:t>
            </w:r>
          </w:p>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r>
          </w:p>
        </w:tc>
      </w:tr>
    </w:tbl>
    <w:p>
      <w:pPr>
        <w:pStyle w:val="Normal"/>
        <w:rPr>
          <w:vanish/>
          <w:lang w:val="en-IN"/>
        </w:rPr>
      </w:pPr>
      <w:r>
        <w:rPr>
          <w:vanish/>
          <w:lang w:val="en-IN"/>
        </w:rPr>
      </w:r>
    </w:p>
    <w:tbl>
      <w:tblPr>
        <w:tblStyle w:val="ListTable3-Accent3"/>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4531"/>
        <w:gridCol w:w="4485"/>
      </w:tblGrid>
      <w:tr>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31" w:type="dxa"/>
            <w:tcBorders>
              <w:bottom w:val="nil"/>
              <w:end w:val="single" w:sz="4" w:space="0" w:color="000000"/>
            </w:tcBorders>
            <w:shd w:color="auto" w:fill="196B24" w:themeFill="accent3"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Opportunities (External)</w:t>
            </w:r>
          </w:p>
        </w:tc>
        <w:tc>
          <w:tcPr>
            <w:tcW w:w="4485" w:type="dxa"/>
            <w:tcBorders>
              <w:start w:val="single" w:sz="4" w:space="0" w:color="000000"/>
              <w:bottom w:val="nil"/>
            </w:tcBorders>
            <w:shd w:color="auto" w:fill="196B24" w:themeFill="accent3"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Threats (External)</w:t>
            </w:r>
          </w:p>
        </w:tc>
      </w:tr>
      <w:tr>
        <w:trPr>
          <w:trHeight w:val="7220" w:hRule="atLeast"/>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Borders>
              <w:end w:val="single" w:sz="4" w:space="0" w:color="000000"/>
            </w:tcBorders>
            <w:shd w:color="auto" w:fill="FFFFFF" w:themeFill="background1" w:val="clear"/>
          </w:tcPr>
          <w:p>
            <w:pPr>
              <w:pStyle w:val="NoSpacing"/>
              <w:widowControl/>
              <w:numPr>
                <w:ilvl w:val="0"/>
                <w:numId w:val="3"/>
              </w:numPr>
              <w:spacing w:before="0" w:after="0"/>
              <w:ind w:hanging="360" w:start="318"/>
              <w:rPr>
                <w:rFonts w:ascii="Arial" w:hAnsi="Arial" w:cs="Arial"/>
                <w:lang w:val="en-IN"/>
              </w:rPr>
            </w:pPr>
            <w:r>
              <w:rPr>
                <w:rFonts w:eastAsia="Aptos" w:cs="Arial" w:ascii="Arial" w:hAnsi="Arial"/>
                <w:b/>
                <w:bCs/>
                <w:kern w:val="0"/>
                <w:szCs w:val="22"/>
                <w:lang w:val="en-IN" w:eastAsia="en-US" w:bidi="ar-SA"/>
              </w:rPr>
              <w:t>Expansion of digital personalisation:</w:t>
            </w:r>
            <w:r>
              <w:rPr>
                <w:rFonts w:eastAsia="Aptos" w:cs="Arial" w:ascii="Arial" w:hAnsi="Arial"/>
                <w:b w:val="false"/>
                <w:bCs w:val="false"/>
                <w:kern w:val="0"/>
                <w:szCs w:val="22"/>
                <w:lang w:val="en-IN" w:eastAsia="en-US" w:bidi="ar-SA"/>
              </w:rPr>
              <w:t xml:space="preserve"> Greater use of loyalty data and digital ordering can enable more targeted offers, improve customer retention and increase purchase frequency.</w:t>
            </w:r>
          </w:p>
          <w:p>
            <w:pPr>
              <w:pStyle w:val="NoSpacing"/>
              <w:widowControl/>
              <w:numPr>
                <w:ilvl w:val="0"/>
                <w:numId w:val="3"/>
              </w:numPr>
              <w:spacing w:before="0" w:after="0"/>
              <w:ind w:hanging="360" w:start="318"/>
              <w:rPr>
                <w:rFonts w:ascii="Arial" w:hAnsi="Arial" w:cs="Arial"/>
                <w:lang w:val="en-IN"/>
              </w:rPr>
            </w:pPr>
            <w:r>
              <w:rPr>
                <w:rFonts w:eastAsia="Aptos" w:cs="Arial" w:ascii="Arial" w:hAnsi="Arial"/>
                <w:b/>
                <w:bCs/>
                <w:kern w:val="0"/>
                <w:szCs w:val="22"/>
                <w:lang w:val="en-IN" w:eastAsia="en-US" w:bidi="ar-SA"/>
              </w:rPr>
              <w:t>Growing demand for value and convenience:</w:t>
            </w:r>
            <w:r>
              <w:rPr>
                <w:rFonts w:eastAsia="Aptos" w:cs="Arial" w:ascii="Arial" w:hAnsi="Arial"/>
                <w:b w:val="false"/>
                <w:bCs w:val="false"/>
                <w:kern w:val="0"/>
                <w:szCs w:val="22"/>
                <w:lang w:val="en-IN" w:eastAsia="en-US" w:bidi="ar-SA"/>
              </w:rPr>
              <w:t xml:space="preserve"> Economic pressure can increase demand for affordable food-service options, providing McDonald’s with an opportunity to strengthen its value positioning (da Silva Ramos, 2020).</w:t>
            </w:r>
          </w:p>
          <w:p>
            <w:pPr>
              <w:pStyle w:val="NoSpacing"/>
              <w:widowControl/>
              <w:numPr>
                <w:ilvl w:val="0"/>
                <w:numId w:val="3"/>
              </w:numPr>
              <w:spacing w:before="0" w:after="0"/>
              <w:ind w:hanging="360" w:start="318"/>
              <w:rPr>
                <w:rFonts w:ascii="Arial" w:hAnsi="Arial" w:cs="Arial"/>
                <w:lang w:val="en-IN"/>
              </w:rPr>
            </w:pPr>
            <w:r>
              <w:rPr>
                <w:rFonts w:eastAsia="Aptos" w:cs="Arial" w:ascii="Arial" w:hAnsi="Arial"/>
                <w:b/>
                <w:bCs/>
                <w:kern w:val="0"/>
                <w:szCs w:val="22"/>
                <w:lang w:val="en-IN" w:eastAsia="en-US" w:bidi="ar-SA"/>
              </w:rPr>
              <w:t>Menu innovation and healthier choices:</w:t>
            </w:r>
            <w:r>
              <w:rPr>
                <w:rFonts w:eastAsia="Aptos" w:cs="Arial" w:ascii="Arial" w:hAnsi="Arial"/>
                <w:b w:val="false"/>
                <w:bCs w:val="false"/>
                <w:kern w:val="0"/>
                <w:szCs w:val="22"/>
                <w:lang w:val="en-IN" w:eastAsia="en-US" w:bidi="ar-SA"/>
              </w:rPr>
              <w:t xml:space="preserve"> Developing products that respond to health-conscious consumers can broaden McDonald’s appeal while reducing dependence on traditional menu categories.</w:t>
            </w:r>
          </w:p>
          <w:p>
            <w:pPr>
              <w:pStyle w:val="NoSpacing"/>
              <w:widowControl/>
              <w:numPr>
                <w:ilvl w:val="0"/>
                <w:numId w:val="3"/>
              </w:numPr>
              <w:spacing w:before="0" w:after="0"/>
              <w:ind w:hanging="360" w:start="318"/>
              <w:rPr>
                <w:rFonts w:ascii="Arial" w:hAnsi="Arial" w:cs="Arial"/>
                <w:lang w:val="en-IN"/>
              </w:rPr>
            </w:pPr>
            <w:r>
              <w:rPr>
                <w:rFonts w:eastAsia="Aptos" w:cs="Arial" w:ascii="Arial" w:hAnsi="Arial"/>
                <w:b/>
                <w:bCs/>
                <w:kern w:val="0"/>
                <w:szCs w:val="22"/>
                <w:lang w:val="en-IN" w:eastAsia="en-US" w:bidi="ar-SA"/>
              </w:rPr>
              <w:t>Sustainability-led differentiation:</w:t>
            </w:r>
            <w:r>
              <w:rPr>
                <w:rFonts w:eastAsia="Aptos" w:cs="Arial" w:ascii="Arial" w:hAnsi="Arial"/>
                <w:b w:val="false"/>
                <w:bCs w:val="false"/>
                <w:kern w:val="0"/>
                <w:szCs w:val="22"/>
                <w:lang w:val="en-IN" w:eastAsia="en-US" w:bidi="ar-SA"/>
              </w:rPr>
              <w:t xml:space="preserve"> McDonald’s Plan for Change, sustainable sourcing, packaging improvements and emissions-reduction initiatives can strengthen stakeholder trust and potentially improve operational efficiency.</w:t>
            </w:r>
          </w:p>
          <w:p>
            <w:pPr>
              <w:pStyle w:val="NoSpacing"/>
              <w:widowControl/>
              <w:spacing w:before="0" w:after="0"/>
              <w:rPr>
                <w:rFonts w:ascii="Arial" w:hAnsi="Arial" w:cs="Arial"/>
                <w:b w:val="false"/>
                <w:bCs w:val="false"/>
                <w:lang w:val="en-IN"/>
              </w:rPr>
            </w:pPr>
            <w:r>
              <w:rPr>
                <w:rFonts w:eastAsia="Aptos" w:cs="Arial" w:ascii="Arial" w:hAnsi="Arial"/>
                <w:b w:val="false"/>
                <w:bCs w:val="false"/>
                <w:kern w:val="0"/>
                <w:szCs w:val="22"/>
                <w:lang w:val="en-IN" w:eastAsia="en-US" w:bidi="ar-SA"/>
              </w:rPr>
            </w:r>
          </w:p>
        </w:tc>
        <w:tc>
          <w:tcPr>
            <w:tcW w:w="4485" w:type="dxa"/>
            <w:tcBorders>
              <w:start w:val="single" w:sz="4" w:space="0" w:color="000000"/>
            </w:tcBorders>
          </w:tcPr>
          <w:p>
            <w:pPr>
              <w:pStyle w:val="NoSpacing"/>
              <w:widowControl/>
              <w:numPr>
                <w:ilvl w:val="0"/>
                <w:numId w:val="4"/>
              </w:numPr>
              <w:spacing w:before="0" w:after="0"/>
              <w:ind w:hanging="360" w:start="318"/>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b/>
                <w:bCs/>
                <w:kern w:val="0"/>
                <w:szCs w:val="22"/>
                <w:lang w:val="en-IN" w:eastAsia="en-US" w:bidi="ar-SA"/>
              </w:rPr>
              <w:t>Intense competitive rivalry:</w:t>
            </w:r>
            <w:r>
              <w:rPr>
                <w:rFonts w:eastAsia="Aptos" w:cs="Arial" w:ascii="Arial" w:hAnsi="Arial"/>
                <w:kern w:val="0"/>
                <w:szCs w:val="22"/>
                <w:lang w:val="en-IN" w:eastAsia="en-US" w:bidi="ar-SA"/>
              </w:rPr>
              <w:t xml:space="preserve"> Burger King, KFC, Greggs and other QSR/food-to-go businesses compete strongly on price, convenience, product innovation and customer experience.</w:t>
            </w:r>
          </w:p>
          <w:p>
            <w:pPr>
              <w:pStyle w:val="NoSpacing"/>
              <w:widowControl/>
              <w:numPr>
                <w:ilvl w:val="0"/>
                <w:numId w:val="4"/>
              </w:numPr>
              <w:spacing w:before="0" w:after="0"/>
              <w:ind w:hanging="360" w:start="318"/>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b/>
                <w:bCs/>
                <w:kern w:val="0"/>
                <w:szCs w:val="22"/>
                <w:lang w:val="en-IN" w:eastAsia="en-US" w:bidi="ar-SA"/>
              </w:rPr>
              <w:t>Inflation and rising operating costs:</w:t>
            </w:r>
            <w:r>
              <w:rPr>
                <w:rFonts w:eastAsia="Aptos" w:cs="Arial" w:ascii="Arial" w:hAnsi="Arial"/>
                <w:kern w:val="0"/>
                <w:szCs w:val="22"/>
                <w:lang w:val="en-IN" w:eastAsia="en-US" w:bidi="ar-SA"/>
              </w:rPr>
              <w:t xml:space="preserve"> Higher wages, food prices, energy costs and other expenses can reduce restaurant-level profitability and restrict investment capacity.</w:t>
            </w:r>
          </w:p>
          <w:p>
            <w:pPr>
              <w:pStyle w:val="NoSpacing"/>
              <w:widowControl/>
              <w:numPr>
                <w:ilvl w:val="0"/>
                <w:numId w:val="4"/>
              </w:numPr>
              <w:spacing w:before="0" w:after="0"/>
              <w:ind w:hanging="360" w:start="318"/>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b/>
                <w:bCs/>
                <w:kern w:val="0"/>
                <w:szCs w:val="22"/>
                <w:lang w:val="en-IN" w:eastAsia="en-US" w:bidi="ar-SA"/>
              </w:rPr>
              <w:t>Increasing health and advertising regulation:</w:t>
            </w:r>
            <w:r>
              <w:rPr>
                <w:rFonts w:eastAsia="Aptos" w:cs="Arial" w:ascii="Arial" w:hAnsi="Arial"/>
                <w:kern w:val="0"/>
                <w:szCs w:val="22"/>
                <w:lang w:val="en-IN" w:eastAsia="en-US" w:bidi="ar-SA"/>
              </w:rPr>
              <w:t xml:space="preserve"> Restrictions affecting the advertising of less healthy food and drink products can limit traditional promotional approaches and increase compliance requirements (Stoltze </w:t>
            </w:r>
            <w:r>
              <w:rPr>
                <w:rFonts w:eastAsia="Aptos" w:cs="Arial" w:ascii="Arial" w:hAnsi="Arial"/>
                <w:i/>
                <w:iCs/>
                <w:kern w:val="0"/>
                <w:szCs w:val="22"/>
                <w:lang w:val="en-IN" w:eastAsia="en-US" w:bidi="ar-SA"/>
              </w:rPr>
              <w:t>et al.,</w:t>
            </w:r>
            <w:r>
              <w:rPr>
                <w:rFonts w:eastAsia="Aptos" w:cs="Arial" w:ascii="Arial" w:hAnsi="Arial"/>
                <w:kern w:val="0"/>
                <w:szCs w:val="22"/>
                <w:lang w:val="en-IN" w:eastAsia="en-US" w:bidi="ar-SA"/>
              </w:rPr>
              <w:t xml:space="preserve"> 2024).</w:t>
            </w:r>
          </w:p>
          <w:p>
            <w:pPr>
              <w:pStyle w:val="NoSpacing"/>
              <w:widowControl/>
              <w:numPr>
                <w:ilvl w:val="0"/>
                <w:numId w:val="4"/>
              </w:numPr>
              <w:spacing w:before="0" w:after="0"/>
              <w:ind w:hanging="360" w:start="318"/>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b/>
                <w:bCs/>
                <w:kern w:val="0"/>
                <w:szCs w:val="22"/>
                <w:lang w:val="en-IN" w:eastAsia="en-US" w:bidi="ar-SA"/>
              </w:rPr>
              <w:t>Changing consumer preferences:</w:t>
            </w:r>
            <w:r>
              <w:rPr>
                <w:rFonts w:eastAsia="Aptos" w:cs="Arial" w:ascii="Arial" w:hAnsi="Arial"/>
                <w:kern w:val="0"/>
                <w:szCs w:val="22"/>
                <w:lang w:val="en-IN" w:eastAsia="en-US" w:bidi="ar-SA"/>
              </w:rPr>
              <w:t xml:space="preserve"> Increasing expectations around nutrition, sustainability, food quality and ethical sourcing may reduce demand if McDonald’s fails to adapt sufficiently.</w:t>
            </w:r>
          </w:p>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r>
          </w:p>
        </w:tc>
      </w:tr>
    </w:tbl>
    <w:p>
      <w:pPr>
        <w:pStyle w:val="Heading2"/>
        <w:rPr>
          <w:lang w:val="en-IN"/>
        </w:rPr>
      </w:pPr>
      <w:bookmarkStart w:id="10" w:name="_Toc237394572"/>
      <w:r>
        <w:rPr>
          <w:lang w:val="en-IN"/>
        </w:rPr>
        <w:t>3. Comprehensive and Holistic View of the Organisation</w:t>
      </w:r>
      <w:bookmarkEnd w:id="10"/>
    </w:p>
    <w:p>
      <w:pPr>
        <w:pStyle w:val="Heading3"/>
        <w:rPr>
          <w:lang w:val="en-IN"/>
        </w:rPr>
      </w:pPr>
      <w:bookmarkStart w:id="11" w:name="_Toc237394573"/>
      <w:r>
        <w:rPr>
          <w:lang w:val="en-IN"/>
        </w:rPr>
        <w:t>3.1 Corporate Social Responsibility Strategy</w:t>
      </w:r>
      <w:bookmarkEnd w:id="11"/>
    </w:p>
    <w:p>
      <w:pPr>
        <w:pStyle w:val="Normal"/>
        <w:rPr>
          <w:lang w:val="en-IN"/>
        </w:rPr>
      </w:pPr>
      <w:r>
        <w:rPr>
          <w:lang w:val="en-IN"/>
        </w:rPr>
        <w:t xml:space="preserve">Corporate Social Responsibility (CSR) is increasingly important to McDonald’s UK because its extensive restaurant network, supply chain and workforce create significant environmental and social responsibilities. McDonald’s has integrated CSR into its broader </w:t>
      </w:r>
      <w:r>
        <w:rPr>
          <w:b/>
          <w:bCs/>
          <w:lang w:val="en-IN"/>
        </w:rPr>
        <w:t>Plan for Change</w:t>
      </w:r>
      <w:r>
        <w:rPr>
          <w:lang w:val="en-IN"/>
        </w:rPr>
        <w:t>, covering Planet, People, Food, Restaurants and Communities. Its ambition to achieve net-zero emissions across its UK and Ireland business and value chain by 2040 demonstrates that sustainability is increasingly connected with long-term business strategy (McDonalds, 2026a).</w:t>
      </w:r>
    </w:p>
    <w:p>
      <w:pPr>
        <w:pStyle w:val="Heading4"/>
        <w:rPr>
          <w:lang w:val="en-IN"/>
        </w:rPr>
      </w:pPr>
      <w:r>
        <w:rPr>
          <w:lang w:val="en-IN"/>
        </w:rPr>
        <w:t>3.1.1 Environmental and Responsible-Sourcing Initiatives</w:t>
      </w:r>
    </w:p>
    <w:p>
      <w:pPr>
        <w:pStyle w:val="Normal"/>
        <w:rPr>
          <w:lang w:val="en-IN"/>
        </w:rPr>
      </w:pPr>
      <w:r>
        <w:rPr>
          <w:lang w:val="en-IN"/>
        </w:rPr>
        <w:t>McDonald’s has introduced responsible-sourcing initiatives covering emissions, agriculture, waste and supplier engagement. Its Farm Forward programme supports resilient livelihoods and sustainable outcomes for British and Irish farmers, linking environmental objectives with supply-chain resilience. This is strategically significant because responsible sourcing can protect ingredient availability, strengthen supplier relationships and improve stakeholder confidence.</w:t>
      </w:r>
    </w:p>
    <w:p>
      <w:pPr>
        <w:pStyle w:val="Normal"/>
        <w:rPr>
          <w:lang w:val="en-IN"/>
        </w:rPr>
      </w:pPr>
      <w:r>
        <w:rPr>
          <w:lang w:val="en-IN"/>
        </w:rPr>
        <w:t>McDonald’s also aims to achieve net-zero emissions across restaurants and offices by 2030 and across its wider value chain by 2040 (McDonalds, 2026a). The company reported that in 2024, 100% of electricity purchased for sites it owned and operated came from renewable sources. These initiatives may improve reputation and operational efficiency, although value-chain decarbonisation remains challenging because agriculture and supplier emissions are outside direct organisational control.</w:t>
      </w:r>
    </w:p>
    <w:p>
      <w:pPr>
        <w:pStyle w:val="Heading4"/>
        <w:rPr>
          <w:lang w:val="en-IN"/>
        </w:rPr>
      </w:pPr>
      <w:r>
        <w:rPr>
          <w:lang w:val="en-IN"/>
        </w:rPr>
        <w:t>3.1.2 People and Community Responsibility</w:t>
      </w:r>
    </w:p>
    <w:p>
      <w:pPr>
        <w:pStyle w:val="Normal"/>
        <w:rPr>
          <w:lang w:val="en-IN"/>
        </w:rPr>
      </w:pPr>
      <w:r>
        <w:rPr>
          <w:lang w:val="en-IN"/>
        </w:rPr>
        <w:t>McDonald’s CSR strategy also focuses on employment and communities. The organisation aims to help one million people gain skills and access employment opportunities by 2030 and had achieved its target of supporting 3,000 apprentices by 2025. Such initiatives can strengthen employee capabilities while supporting McDonald’s reputation as a significant UK employer. Community engagement is another important dimension. McDonald’s reported that customers, crew, suppliers and franchisees raised £9 million for Ronald McDonald House Charities in 2025, while its food redistribution programme aims to redistribute at least one million meals annually (</w:t>
      </w:r>
      <w:r>
        <w:rPr/>
        <w:t>McDonalds, 2026c</w:t>
      </w:r>
      <w:r>
        <w:rPr>
          <w:lang w:val="en-IN"/>
        </w:rPr>
        <w:t>). These activities strengthen relationships with local communities and can contribute to corporate reputation.</w:t>
      </w:r>
    </w:p>
    <w:p>
      <w:pPr>
        <w:pStyle w:val="Heading3"/>
        <w:rPr>
          <w:lang w:val="en-IN"/>
        </w:rPr>
      </w:pPr>
      <w:bookmarkStart w:id="12" w:name="_Toc237394574"/>
      <w:r>
        <w:rPr>
          <w:lang w:val="en-IN"/>
        </w:rPr>
        <w:t>3.2 Alignment of CSR with Business Objectives</w:t>
      </w:r>
      <w:bookmarkEnd w:id="12"/>
    </w:p>
    <w:p>
      <w:pPr>
        <w:pStyle w:val="Normal"/>
        <w:rPr>
          <w:lang w:val="en-IN"/>
        </w:rPr>
      </w:pPr>
      <w:r>
        <w:rPr>
          <w:lang w:val="en-IN"/>
        </w:rPr>
        <w:t>McDonald’s CSR strategy is broadly aligned with its business objectives because environmental and social initiatives can generate both stakeholder and commercial value (</w:t>
      </w:r>
      <w:r>
        <w:rPr/>
        <w:t>Bolton and Park, 2022</w:t>
      </w:r>
      <w:r>
        <w:rPr>
          <w:lang w:val="en-IN"/>
        </w:rPr>
        <w:t>). Responsible sourcing can improve supply-chain resilience, employee development strengthens workforce capability, community engagement supports reputation, while energy and waste initiatives may improve operational efficiency. However, this alignment is not without challenges. CSR commitments require investment and coordination across franchisees and suppliers, while individual restaurants may prioritise short-term financial performance. Therefore, CSR objectives need to be integrated into measurable operational and strategic targets rather than treated as separate activities.</w:t>
      </w:r>
    </w:p>
    <w:p>
      <w:pPr>
        <w:pStyle w:val="Normal"/>
        <w:rPr>
          <w:lang w:val="en-IN"/>
        </w:rPr>
      </w:pPr>
      <w:r>
        <w:rPr>
          <w:lang w:val="en-IN"/>
        </w:rPr>
        <w:t xml:space="preserve">McDonald’s response to changing health expectations demonstrates this strategic integration. By April 2025, </w:t>
      </w:r>
      <w:r>
        <w:rPr>
          <w:b/>
          <w:bCs/>
          <w:lang w:val="en-IN"/>
        </w:rPr>
        <w:t>89% of its core UK food and drink menu was 500 calories or under</w:t>
      </w:r>
      <w:r>
        <w:rPr>
          <w:lang w:val="en-IN"/>
        </w:rPr>
        <w:t>, indicating an attempt to provide greater choice while responding to public-health concerns (</w:t>
      </w:r>
      <w:r>
        <w:rPr/>
        <w:t>McDonalds, 2025</w:t>
      </w:r>
      <w:r>
        <w:rPr>
          <w:lang w:val="en-IN"/>
        </w:rPr>
        <w:t>). McDonald’s must balance healthier choices with the affordability, convenience and taste associated with its traditional value proposition.</w:t>
      </w:r>
    </w:p>
    <w:p>
      <w:pPr>
        <w:pStyle w:val="Heading3"/>
        <w:rPr>
          <w:lang w:val="en-IN"/>
        </w:rPr>
      </w:pPr>
      <w:bookmarkStart w:id="13" w:name="_Toc237394575"/>
      <w:r>
        <w:rPr>
          <w:lang w:val="en-IN"/>
        </w:rPr>
        <w:t>3.3 Balanced Scorecard</w:t>
      </w:r>
      <w:bookmarkEnd w:id="13"/>
    </w:p>
    <w:p>
      <w:pPr>
        <w:pStyle w:val="Normal"/>
        <w:rPr>
          <w:lang w:val="en-IN"/>
        </w:rPr>
      </w:pPr>
      <w:r>
        <w:rPr>
          <w:lang w:val="en-IN"/>
        </w:rPr>
        <w:t xml:space="preserve">Kaplan and Norton’s Balanced Scorecard evaluates organisational performance through </w:t>
      </w:r>
      <w:r>
        <w:rPr>
          <w:b/>
          <w:bCs/>
          <w:lang w:val="en-IN"/>
        </w:rPr>
        <w:t>financial, customer, internal business process, and learning and growth perspectives</w:t>
      </w:r>
      <w:r>
        <w:rPr>
          <w:lang w:val="en-IN"/>
        </w:rPr>
        <w:t>. This approach is particularly relevant to McDonald’s because long-term competitive advantage depends on more than financial performance alone.</w:t>
      </w:r>
    </w:p>
    <w:p>
      <w:pPr>
        <w:pStyle w:val="Heading4"/>
        <w:rPr>
          <w:lang w:val="en-IN"/>
        </w:rPr>
      </w:pPr>
      <w:r>
        <w:rPr>
          <w:lang w:val="en-IN"/>
        </w:rPr>
        <w:t>3.3.1 Financial Perspective</w:t>
      </w:r>
    </w:p>
    <w:p>
      <w:pPr>
        <w:pStyle w:val="Normal"/>
        <w:rPr>
          <w:lang w:val="en-IN"/>
        </w:rPr>
      </w:pPr>
      <w:r>
        <w:rPr>
          <w:lang w:val="en-IN"/>
        </w:rPr>
        <w:t xml:space="preserve">The primary objective should be </w:t>
      </w:r>
      <w:r>
        <w:rPr>
          <w:b/>
          <w:bCs/>
          <w:lang w:val="en-IN"/>
        </w:rPr>
        <w:t>sustainable revenue and profitability growth while maintaining customer value</w:t>
      </w:r>
      <w:r>
        <w:rPr>
          <w:lang w:val="en-IN"/>
        </w:rPr>
        <w:t>. McDonald’s franchise model provides significant scale, with 80% of its UK franchised restaurants generating annual sales between £2 million and £5.8 million (</w:t>
      </w:r>
      <w:r>
        <w:rPr/>
        <w:t>McDonalds, 2026d</w:t>
      </w:r>
      <w:r>
        <w:rPr>
          <w:lang w:val="en-IN"/>
        </w:rPr>
        <w:t xml:space="preserve">). Relevant KPIs include revenue growth, comparable sales, restaurant profitability and cost efficiency. Targets should focus on maintaining positive comparable-sales growth while protecting margins from rising labour and food costs. Initiatives should include digital sales, targeted promotions, menu innovation and operational efficiency. However, excessive discounting could damage margins, making </w:t>
      </w:r>
      <w:r>
        <w:rPr>
          <w:b/>
          <w:bCs/>
          <w:lang w:val="en-IN"/>
        </w:rPr>
        <w:t>perceived value rather than simply low prices</w:t>
      </w:r>
      <w:r>
        <w:rPr>
          <w:lang w:val="en-IN"/>
        </w:rPr>
        <w:t xml:space="preserve"> strategically important.</w:t>
      </w:r>
    </w:p>
    <w:p>
      <w:pPr>
        <w:pStyle w:val="Heading4"/>
        <w:rPr>
          <w:lang w:val="en-IN"/>
        </w:rPr>
      </w:pPr>
      <w:r>
        <w:rPr>
          <w:lang w:val="en-IN"/>
        </w:rPr>
        <w:t>3.3.2 Customer Perspective</w:t>
      </w:r>
    </w:p>
    <w:p>
      <w:pPr>
        <w:pStyle w:val="Normal"/>
        <w:rPr>
          <w:lang w:val="en-IN"/>
        </w:rPr>
      </w:pPr>
      <w:r>
        <w:rPr>
          <w:lang w:val="en-IN"/>
        </w:rPr>
        <w:t xml:space="preserve">The customer objective should be to improve </w:t>
      </w:r>
      <w:r>
        <w:rPr>
          <w:b/>
          <w:bCs/>
          <w:lang w:val="en-IN"/>
        </w:rPr>
        <w:t>satisfaction, loyalty, perceived value and purchase frequency</w:t>
      </w:r>
      <w:r>
        <w:rPr>
          <w:lang w:val="en-IN"/>
        </w:rPr>
        <w:t>. Relevant KPIs include customer satisfaction, repeat purchases, loyalty participation, digital orders and customer-value measures. MyMcDonald’s Rewards is a key initiative because it connects ordering and loyalty through the app (McDonalds, 2026b). Customers earn points through eligible purchases, creating opportunities for targeted promotions and retention. The strategic target should therefore be continued growth in active loyalty participation while improving customer perceptions of value and service.</w:t>
      </w:r>
    </w:p>
    <w:p>
      <w:pPr>
        <w:pStyle w:val="Heading4"/>
        <w:rPr>
          <w:lang w:val="en-IN"/>
        </w:rPr>
      </w:pPr>
      <w:r>
        <w:rPr>
          <w:lang w:val="en-IN"/>
        </w:rPr>
        <w:t>3.3.3 Internal Business Processes</w:t>
      </w:r>
    </w:p>
    <w:p>
      <w:pPr>
        <w:pStyle w:val="Normal"/>
        <w:rPr>
          <w:lang w:val="en-IN"/>
        </w:rPr>
      </w:pPr>
      <w:r>
        <w:rPr>
          <w:lang w:val="en-IN"/>
        </w:rPr>
        <w:t xml:space="preserve">The internal-process objective should be to provide </w:t>
      </w:r>
      <w:r>
        <w:rPr>
          <w:b/>
          <w:bCs/>
          <w:lang w:val="en-IN"/>
        </w:rPr>
        <w:t>fast, consistent, efficient and sustainable restaurant operations</w:t>
      </w:r>
      <w:r>
        <w:rPr>
          <w:lang w:val="en-IN"/>
        </w:rPr>
        <w:t>. KPIs could include service speed, order accuracy, restaurant productivity, waste and digital-order fulfilment. Digital ordering, standardised procedures and process automation can improve operational efficiency. Sustainability should also be incorporated into operational measures. McDonald’s objective of achieving net-zero emissions for restaurants and offices by 2030 demonstrates how environmental performance can be integrated into operational strategy (McDonalds, 2026a).</w:t>
      </w:r>
    </w:p>
    <w:p>
      <w:pPr>
        <w:pStyle w:val="Heading4"/>
        <w:rPr>
          <w:lang w:val="en-IN"/>
        </w:rPr>
      </w:pPr>
      <w:r>
        <w:rPr>
          <w:lang w:val="en-IN"/>
        </w:rPr>
        <w:t>3.3.4 Learning and Growth</w:t>
      </w:r>
    </w:p>
    <w:p>
      <w:pPr>
        <w:pStyle w:val="Normal"/>
        <w:rPr>
          <w:lang w:val="en-IN"/>
        </w:rPr>
      </w:pPr>
      <w:r>
        <w:rPr>
          <w:lang w:val="en-IN"/>
        </w:rPr>
        <w:t xml:space="preserve">Learning and growth should focus on </w:t>
      </w:r>
      <w:r>
        <w:rPr>
          <w:b/>
          <w:bCs/>
          <w:lang w:val="en-IN"/>
        </w:rPr>
        <w:t>employee capability, engagement, leadership and innovation</w:t>
      </w:r>
      <w:r>
        <w:rPr>
          <w:lang w:val="en-IN"/>
        </w:rPr>
        <w:t>. This is particularly important because frontline employees directly influence customer experience. Relevant KPIs include employee engagement, training completion, staff retention, apprenticeship participation and internal progression. McDonald’s can support these objectives through apprenticeships, leadership development and digital learning. Its target of helping one million people gain skills and access employment opportunities by 2030 provides a measurable long-term development objective (McDonalds, 2026a).</w:t>
      </w:r>
    </w:p>
    <w:p>
      <w:pPr>
        <w:pStyle w:val="Normal"/>
        <w:rPr>
          <w:lang w:val="en-IN"/>
        </w:rPr>
      </w:pPr>
      <w:r>
        <w:rPr>
          <w:lang w:val="en-IN"/>
        </w:rPr>
        <w:t xml:space="preserve">It has been critically analysed that McDonald’s CSR and Balanced Scorecard can reinforce its competitive strategy. CSR contributes to supply-chain resilience, workforce capability, community reputation and environmental efficiency, while the Balanced Scorecard converts strategic priorities into measurable performance objectives. However, the main challenge is balancing short-term financial pressures with longer-term environmental, employee and community objectives. McDonald’s should therefore assess franchisees and restaurant operations using a balanced combination of </w:t>
      </w:r>
      <w:r>
        <w:rPr>
          <w:b/>
          <w:bCs/>
          <w:lang w:val="en-IN"/>
        </w:rPr>
        <w:t>financial, customer, operational, people and sustainability KPIs</w:t>
      </w:r>
      <w:r>
        <w:rPr>
          <w:lang w:val="en-IN"/>
        </w:rPr>
        <w:t>. This would ensure that CSR remains integrated with business strategy and contributes directly to sustainable competitive advantage.</w:t>
      </w:r>
    </w:p>
    <w:p>
      <w:pPr>
        <w:pStyle w:val="Heading2"/>
        <w:rPr>
          <w:lang w:val="en-IN"/>
        </w:rPr>
      </w:pPr>
      <w:bookmarkStart w:id="14" w:name="_Toc237394576"/>
      <w:r>
        <w:rPr>
          <w:lang w:val="en-IN"/>
        </w:rPr>
        <w:t>4. Strategic Choices and Implementation</w:t>
      </w:r>
      <w:bookmarkEnd w:id="14"/>
    </w:p>
    <w:p>
      <w:pPr>
        <w:pStyle w:val="Heading3"/>
        <w:rPr>
          <w:lang w:val="en-IN"/>
        </w:rPr>
      </w:pPr>
      <w:bookmarkStart w:id="15" w:name="_Toc237394577"/>
      <w:r>
        <w:rPr>
          <w:lang w:val="en-IN"/>
        </w:rPr>
        <w:t>4.1 Current Business-Level Strategy</w:t>
      </w:r>
      <w:bookmarkEnd w:id="15"/>
    </w:p>
    <w:p>
      <w:pPr>
        <w:pStyle w:val="Normal"/>
        <w:rPr>
          <w:lang w:val="en-IN"/>
        </w:rPr>
      </w:pPr>
      <w:r>
        <w:rPr>
          <w:lang w:val="en-IN"/>
        </w:rPr>
        <w:t xml:space="preserve">McDonald’s currently follows a hybrid business-level strategy combining </w:t>
      </w:r>
      <w:r>
        <w:rPr>
          <w:b/>
          <w:bCs/>
          <w:lang w:val="en-IN"/>
        </w:rPr>
        <w:t>differentiation, value and operational efficiency</w:t>
      </w:r>
      <w:r>
        <w:rPr>
          <w:lang w:val="en-IN"/>
        </w:rPr>
        <w:t xml:space="preserve"> rather than relying exclusively on cost leadership. Its differentiation is supported by strong brand recognition, menu innovation, convenience, digital ordering and a large restaurant network. At the same time, value remains central to its customer proposition, particularly when consumers face economic pressure. The company’s franchise model strengthens scalability because franchisees operate established restaurants using McDonald’s systems, standards and support. McDonald’s reports that 80% of its UK franchised restaurants generated annual sales between £2 million and £5.8 million during 2025, demonstrating the commercial strength of this operating model (McDonalds, 2026d).</w:t>
      </w:r>
    </w:p>
    <w:p>
      <w:pPr>
        <w:pStyle w:val="Normal"/>
        <w:rPr>
          <w:lang w:val="en-IN"/>
        </w:rPr>
      </w:pPr>
      <w:r>
        <w:rPr>
          <w:lang w:val="en-IN"/>
        </w:rPr>
        <w:t xml:space="preserve">However, competing primarily through low prices would create margin pressure given rising labour and input costs. Therefore, McDonald’s should strengthen a </w:t>
      </w:r>
      <w:r>
        <w:rPr>
          <w:b/>
          <w:bCs/>
          <w:lang w:val="en-IN"/>
        </w:rPr>
        <w:t>value-led differentiation strategy</w:t>
      </w:r>
      <w:r>
        <w:rPr>
          <w:lang w:val="en-IN"/>
        </w:rPr>
        <w:t>, where affordability is combined with customer experience, digital engagement, menu choice and operational efficiency.</w:t>
      </w:r>
    </w:p>
    <w:p>
      <w:pPr>
        <w:pStyle w:val="Heading3"/>
        <w:rPr>
          <w:lang w:val="en-IN"/>
        </w:rPr>
      </w:pPr>
      <w:bookmarkStart w:id="16" w:name="_Toc237394578"/>
      <w:r>
        <w:rPr>
          <w:lang w:val="en-IN"/>
        </w:rPr>
        <w:t>4.2 Strategic Options Available</w:t>
      </w:r>
      <w:bookmarkEnd w:id="16"/>
    </w:p>
    <w:p>
      <w:pPr>
        <w:pStyle w:val="Normal"/>
        <w:rPr>
          <w:lang w:val="en-IN"/>
        </w:rPr>
      </w:pPr>
      <w:r>
        <w:rPr>
          <w:lang w:val="en-IN"/>
        </w:rPr>
        <w:t xml:space="preserve">McDonald’s has several strategic options for the UK market. First, greater </w:t>
      </w:r>
      <w:r>
        <w:rPr>
          <w:b/>
          <w:bCs/>
          <w:lang w:val="en-IN"/>
        </w:rPr>
        <w:t>cost and value efficiency</w:t>
      </w:r>
      <w:r>
        <w:rPr>
          <w:lang w:val="en-IN"/>
        </w:rPr>
        <w:t xml:space="preserve"> could strengthen its position among price-sensitive consumers, but excessive discounting could reduce profitability (</w:t>
      </w:r>
      <w:r>
        <w:rPr/>
        <w:t xml:space="preserve">Zhang </w:t>
      </w:r>
      <w:r>
        <w:rPr>
          <w:i/>
          <w:iCs/>
        </w:rPr>
        <w:t>et al.,</w:t>
      </w:r>
      <w:r>
        <w:rPr/>
        <w:t xml:space="preserve"> 2025</w:t>
      </w:r>
      <w:r>
        <w:rPr>
          <w:lang w:val="en-IN"/>
        </w:rPr>
        <w:t xml:space="preserve">). Second, </w:t>
      </w:r>
      <w:r>
        <w:rPr>
          <w:b/>
          <w:bCs/>
          <w:lang w:val="en-IN"/>
        </w:rPr>
        <w:t>customer-experience differentiation</w:t>
      </w:r>
      <w:r>
        <w:rPr>
          <w:lang w:val="en-IN"/>
        </w:rPr>
        <w:t xml:space="preserve"> could increase loyalty through better service, convenience and personalised engagement. Third, </w:t>
      </w:r>
      <w:r>
        <w:rPr>
          <w:b/>
          <w:bCs/>
          <w:lang w:val="en-IN"/>
        </w:rPr>
        <w:t>digital and loyalty-led growth</w:t>
      </w:r>
      <w:r>
        <w:rPr>
          <w:lang w:val="en-IN"/>
        </w:rPr>
        <w:t xml:space="preserve"> could use the McDonald’s app and customer data to increase purchase frequency. Fourth, </w:t>
      </w:r>
      <w:r>
        <w:rPr>
          <w:b/>
          <w:bCs/>
          <w:lang w:val="en-IN"/>
        </w:rPr>
        <w:t>menu innovation</w:t>
      </w:r>
      <w:r>
        <w:rPr>
          <w:lang w:val="en-IN"/>
        </w:rPr>
        <w:t xml:space="preserve"> could respond to changing preferences, including healthier and more sustainable choices. Finally, </w:t>
      </w:r>
      <w:r>
        <w:rPr>
          <w:b/>
          <w:bCs/>
          <w:lang w:val="en-IN"/>
        </w:rPr>
        <w:t>sustainability-led differentiation</w:t>
      </w:r>
      <w:r>
        <w:rPr>
          <w:lang w:val="en-IN"/>
        </w:rPr>
        <w:t xml:space="preserve"> could strengthen reputation and stakeholder relationships.</w:t>
      </w:r>
    </w:p>
    <w:p>
      <w:pPr>
        <w:pStyle w:val="Normal"/>
        <w:rPr>
          <w:lang w:val="en-IN"/>
        </w:rPr>
      </w:pPr>
      <w:r>
        <w:rPr>
          <w:lang w:val="en-IN"/>
        </w:rPr>
        <w:t>Among these options, digital and customer-experience development supported by menu and sustainability innovation provides the strongest strategic fit. It uses existing McDonald’s capabilities rather than requiring an unrelated diversification strategy.</w:t>
      </w:r>
    </w:p>
    <w:p>
      <w:pPr>
        <w:pStyle w:val="Heading3"/>
        <w:rPr>
          <w:lang w:val="en-IN"/>
        </w:rPr>
      </w:pPr>
      <w:bookmarkStart w:id="17" w:name="_Toc237394579"/>
      <w:r>
        <w:rPr>
          <w:lang w:val="en-IN"/>
        </w:rPr>
        <w:t>4.3 Porter’s Five Forces</w:t>
      </w:r>
      <w:bookmarkEnd w:id="17"/>
    </w:p>
    <w:p>
      <w:pPr>
        <w:pStyle w:val="Normal"/>
        <w:rPr>
          <w:lang w:val="en-IN"/>
        </w:rPr>
      </w:pPr>
      <w:r>
        <w:rPr>
          <w:b/>
          <w:bCs/>
          <w:lang w:val="en-IN"/>
        </w:rPr>
        <w:t>Competitive rivalry is high.</w:t>
      </w:r>
      <w:r>
        <w:rPr>
          <w:lang w:val="en-IN"/>
        </w:rPr>
        <w:t xml:space="preserve"> McDonald’s competes with Burger King, KFC, Greggs and other food-to-go businesses across price, convenience, product innovation and customer experience (</w:t>
      </w:r>
      <w:r>
        <w:rPr/>
        <w:t xml:space="preserve">Hoenink </w:t>
      </w:r>
      <w:r>
        <w:rPr>
          <w:i/>
          <w:iCs/>
        </w:rPr>
        <w:t>et al.,</w:t>
      </w:r>
      <w:r>
        <w:rPr/>
        <w:t xml:space="preserve"> 2024</w:t>
      </w:r>
      <w:r>
        <w:rPr>
          <w:lang w:val="en-IN"/>
        </w:rPr>
        <w:t>). Consequently, relying solely on price would be difficult to sustain.</w:t>
      </w:r>
    </w:p>
    <w:p>
      <w:pPr>
        <w:pStyle w:val="Normal"/>
        <w:rPr>
          <w:lang w:val="en-IN"/>
        </w:rPr>
      </w:pPr>
      <w:r>
        <w:rPr>
          <w:b/>
          <w:bCs/>
          <w:lang w:val="en-IN"/>
        </w:rPr>
        <w:t>The threat of new entrants is moderate.</w:t>
      </w:r>
      <w:r>
        <w:rPr>
          <w:lang w:val="en-IN"/>
        </w:rPr>
        <w:t xml:space="preserve"> Individual restaurants and smaller food concepts can enter the market relatively easily, but achieving McDonald’s scale, brand recognition, supply-chain capability and franchise infrastructure is considerably more difficult. McDonald’s franchise model combines brand strength, operating standards and supply-chain scale, creating barriers that smaller entrants cannot easily reproduce (</w:t>
      </w:r>
      <w:r>
        <w:rPr/>
        <w:t xml:space="preserve">Bhat </w:t>
      </w:r>
      <w:r>
        <w:rPr>
          <w:i/>
          <w:iCs/>
        </w:rPr>
        <w:t>et al.,</w:t>
      </w:r>
      <w:r>
        <w:rPr/>
        <w:t xml:space="preserve"> 2024</w:t>
      </w:r>
      <w:r>
        <w:rPr>
          <w:lang w:val="en-IN"/>
        </w:rPr>
        <w:t>).</w:t>
      </w:r>
    </w:p>
    <w:p>
      <w:pPr>
        <w:pStyle w:val="Normal"/>
        <w:rPr>
          <w:lang w:val="en-IN"/>
        </w:rPr>
      </w:pPr>
      <w:r>
        <w:rPr>
          <w:b/>
          <w:bCs/>
          <w:lang w:val="en-IN"/>
        </w:rPr>
        <w:t>Supplier power is relatively moderate.</w:t>
      </w:r>
      <w:r>
        <w:rPr>
          <w:lang w:val="en-IN"/>
        </w:rPr>
        <w:t xml:space="preserve"> McDonald’s purchasing scale and established supply chain provide bargaining strength, although exposure to agricultural, energy and commodity costs remains a risk.</w:t>
      </w:r>
    </w:p>
    <w:p>
      <w:pPr>
        <w:pStyle w:val="Normal"/>
        <w:rPr>
          <w:lang w:val="en-IN"/>
        </w:rPr>
      </w:pPr>
      <w:r>
        <w:rPr>
          <w:b/>
          <w:bCs/>
          <w:lang w:val="en-IN"/>
        </w:rPr>
        <w:t>Buyer power is high.</w:t>
      </w:r>
      <w:r>
        <w:rPr>
          <w:lang w:val="en-IN"/>
        </w:rPr>
        <w:t xml:space="preserve"> Customers can easily switch between QSR brands and food-to-go alternatives (Hirth </w:t>
      </w:r>
      <w:r>
        <w:rPr>
          <w:i/>
          <w:iCs/>
          <w:lang w:val="en-IN"/>
        </w:rPr>
        <w:t>et al.,</w:t>
      </w:r>
      <w:r>
        <w:rPr>
          <w:lang w:val="en-IN"/>
        </w:rPr>
        <w:t xml:space="preserve"> 2021). Low switching costs mean that McDonald’s must continually demonstrate value, quality and convenience.</w:t>
      </w:r>
    </w:p>
    <w:p>
      <w:pPr>
        <w:pStyle w:val="Normal"/>
        <w:rPr>
          <w:lang w:val="en-IN"/>
        </w:rPr>
      </w:pPr>
      <w:r>
        <w:rPr>
          <w:b/>
          <w:bCs/>
          <w:lang w:val="en-IN"/>
        </w:rPr>
        <w:t>The threat of substitutes is high.</w:t>
      </w:r>
      <w:r>
        <w:rPr>
          <w:lang w:val="en-IN"/>
        </w:rPr>
        <w:t xml:space="preserve"> Supermarkets, cafés, delivery businesses, independent restaurants and home-prepared food provide alternatives to QSR consumption (</w:t>
      </w:r>
      <w:r>
        <w:rPr/>
        <w:t>Scott and Ensaff, 2022</w:t>
      </w:r>
      <w:r>
        <w:rPr>
          <w:lang w:val="en-IN"/>
        </w:rPr>
        <w:t>).</w:t>
      </w:r>
    </w:p>
    <w:p>
      <w:pPr>
        <w:pStyle w:val="Normal"/>
        <w:rPr>
          <w:lang w:val="en-IN"/>
        </w:rPr>
      </w:pPr>
      <w:r>
        <w:rPr>
          <w:lang w:val="en-IN"/>
        </w:rPr>
        <w:t>Five Forces indicates that McDonald’s should avoid a narrow price-based strategy. Its competitive position is stronger when brand, convenience, digital loyalty, operational scale and menu innovation are combined into an integrated value proposition.</w:t>
      </w:r>
    </w:p>
    <w:p>
      <w:pPr>
        <w:pStyle w:val="Heading3"/>
        <w:rPr>
          <w:lang w:val="en-IN"/>
        </w:rPr>
      </w:pPr>
      <w:bookmarkStart w:id="18" w:name="_Toc237394580"/>
      <w:r>
        <w:rPr>
          <w:lang w:val="en-IN"/>
        </w:rPr>
        <w:t>4.4 Ansoff Matrix</w:t>
      </w:r>
      <w:bookmarkEnd w:id="18"/>
    </w:p>
    <w:p>
      <w:pPr>
        <w:pStyle w:val="Normal"/>
        <w:rPr>
          <w:lang w:val="en-IN"/>
        </w:rPr>
      </w:pPr>
      <w:r>
        <w:rPr>
          <w:lang w:val="en-IN"/>
        </w:rPr>
        <w:t xml:space="preserve">Ansoff’s Matrix provides four possible growth directions. </w:t>
      </w:r>
      <w:r>
        <w:rPr>
          <w:b/>
          <w:bCs/>
          <w:lang w:val="en-IN"/>
        </w:rPr>
        <w:t>Market penetration</w:t>
      </w:r>
      <w:r>
        <w:rPr>
          <w:lang w:val="en-IN"/>
        </w:rPr>
        <w:t xml:space="preserve"> offers relatively low risk because McDonald’s can increase purchases from existing UK customers through loyalty rewards, personalised promotions and improved convenience (</w:t>
      </w:r>
      <w:r>
        <w:rPr/>
        <w:t>Rani, 2023</w:t>
      </w:r>
      <w:r>
        <w:rPr>
          <w:lang w:val="en-IN"/>
        </w:rPr>
        <w:t xml:space="preserve">). </w:t>
      </w:r>
      <w:r>
        <w:rPr>
          <w:b/>
          <w:bCs/>
          <w:lang w:val="en-IN"/>
        </w:rPr>
        <w:t>Product development</w:t>
      </w:r>
      <w:r>
        <w:rPr>
          <w:lang w:val="en-IN"/>
        </w:rPr>
        <w:t xml:space="preserve"> provides an opportunity to introduce healthier, plant-based and limited-time products to existing customers. </w:t>
      </w:r>
      <w:r>
        <w:rPr>
          <w:b/>
          <w:bCs/>
          <w:lang w:val="en-IN"/>
        </w:rPr>
        <w:t>Market development</w:t>
      </w:r>
      <w:r>
        <w:rPr>
          <w:lang w:val="en-IN"/>
        </w:rPr>
        <w:t xml:space="preserve"> could involve targeting under-served customer segments or locations, although the UK market is already highly developed. </w:t>
      </w:r>
      <w:r>
        <w:rPr>
          <w:b/>
          <w:bCs/>
          <w:lang w:val="en-IN"/>
        </w:rPr>
        <w:t>Diversification</w:t>
      </w:r>
      <w:r>
        <w:rPr>
          <w:lang w:val="en-IN"/>
        </w:rPr>
        <w:t xml:space="preserve"> would involve entering unrelated markets and would carry the greatest strategic risk.</w:t>
      </w:r>
    </w:p>
    <w:p>
      <w:pPr>
        <w:pStyle w:val="Normal"/>
        <w:rPr>
          <w:lang w:val="en-IN"/>
        </w:rPr>
      </w:pPr>
      <w:r>
        <w:rPr>
          <w:lang w:val="en-IN"/>
        </w:rPr>
        <w:t xml:space="preserve">Therefore, </w:t>
      </w:r>
      <w:r>
        <w:rPr>
          <w:b/>
          <w:bCs/>
          <w:lang w:val="en-IN"/>
        </w:rPr>
        <w:t>market penetration supported by product development</w:t>
      </w:r>
      <w:r>
        <w:rPr>
          <w:lang w:val="en-IN"/>
        </w:rPr>
        <w:t xml:space="preserve"> is the most appropriate combination. McDonald’s can deepen relationships with existing customers through its digital ecosystem while developing products that respond to changing health, sustainability and taste preferences (</w:t>
      </w:r>
      <w:r>
        <w:rPr/>
        <w:t>Rani, 2023</w:t>
      </w:r>
      <w:r>
        <w:rPr>
          <w:lang w:val="en-IN"/>
        </w:rPr>
        <w:t>). This approach is consistent with its existing capabilities and reduces the risk associated with unrelated diversification. McDonald’s already aims to provide more balanced choices without compromising taste, convenience or price, supporting the strategic fit of this direction.</w:t>
      </w:r>
    </w:p>
    <w:p>
      <w:pPr>
        <w:pStyle w:val="Heading3"/>
        <w:rPr>
          <w:lang w:val="en-IN"/>
        </w:rPr>
      </w:pPr>
      <w:bookmarkStart w:id="19" w:name="_Toc237394581"/>
      <w:r>
        <w:rPr>
          <w:lang w:val="en-IN"/>
        </w:rPr>
        <w:t>4.5 Recommended Strategy</w:t>
      </w:r>
      <w:bookmarkEnd w:id="19"/>
    </w:p>
    <w:p>
      <w:pPr>
        <w:pStyle w:val="Normal"/>
        <w:rPr>
          <w:lang w:val="en-IN"/>
        </w:rPr>
      </w:pPr>
      <w:r>
        <w:rPr>
          <w:lang w:val="en-IN"/>
        </w:rPr>
        <w:t>The recommended strategy is Digital-Led Value Differentiation through personalised loyalty, menu innovation and sustainable customer experience.</w:t>
      </w:r>
    </w:p>
    <w:p>
      <w:pPr>
        <w:pStyle w:val="Normal"/>
        <w:rPr>
          <w:lang w:val="en-IN"/>
        </w:rPr>
      </w:pPr>
      <w:r>
        <w:rPr>
          <w:lang w:val="en-IN"/>
        </w:rPr>
        <w:t>This strategy should use McDonald’s existing brand, franchise network and digital capabilities to deliver greater perceived value rather than simply lower prices. The first priority should be to strengthen the McDonald’s app and loyalty ecosystem through more relevant personalised offers. Second, menu innovation should expand balanced and sustainable choices while maintaining affordability and convenience. McDonald’s already has a strategic foundation for this: its Plan for Change aims to provide more balanced choices, and the company reports that 89% of its core UK food and drink menu was 500 calories or under by April 2025 (McDonalds, 2026b).</w:t>
      </w:r>
    </w:p>
    <w:p>
      <w:pPr>
        <w:pStyle w:val="Normal"/>
        <w:rPr>
          <w:lang w:val="en-IN"/>
        </w:rPr>
      </w:pPr>
      <w:r>
        <w:rPr>
          <w:lang w:val="en-IN"/>
        </w:rPr>
        <w:t>Third, sustainability should be incorporated into the customer proposition through responsible sourcing, waste reduction and lower-carbon restaurant operations. McDonald’s Plan for Change targets net-zero emissions across its entire business and value chain by 2040 (McDonalds, 2026a). Together, these actions can strengthen customer loyalty while protecting McDonald’s differentiation from competitors.</w:t>
      </w:r>
    </w:p>
    <w:p>
      <w:pPr>
        <w:pStyle w:val="Heading3"/>
        <w:rPr>
          <w:lang w:val="en-IN"/>
        </w:rPr>
      </w:pPr>
      <w:bookmarkStart w:id="20" w:name="_Toc237394582"/>
      <w:r>
        <w:rPr>
          <w:lang w:val="en-IN"/>
        </w:rPr>
        <w:t>4.6 Implementation Plan</w:t>
      </w:r>
      <w:bookmarkEnd w:id="20"/>
    </w:p>
    <w:tbl>
      <w:tblPr>
        <w:tblStyle w:val="GridTable4-Accent3"/>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4471"/>
        <w:gridCol w:w="1534"/>
        <w:gridCol w:w="3011"/>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71" w:type="dxa"/>
            <w:tcBorders>
              <w:top w:val="single" w:sz="4" w:space="0" w:color="196B24"/>
              <w:start w:val="single" w:sz="4" w:space="0" w:color="196B24"/>
              <w:bottom w:val="single" w:sz="4" w:space="0" w:color="196B24"/>
              <w:end w:val="single" w:sz="4" w:space="0" w:color="196B24"/>
            </w:tcBorders>
            <w:shd w:color="auto" w:fill="196B24" w:themeFill="accent3" w:val="clear"/>
          </w:tcPr>
          <w:p>
            <w:pPr>
              <w:pStyle w:val="Normal"/>
              <w:widowControl/>
              <w:spacing w:before="120" w:after="120"/>
              <w:rPr>
                <w:lang w:val="en-IN"/>
              </w:rPr>
            </w:pPr>
            <w:r>
              <w:rPr>
                <w:rFonts w:eastAsia="Aptos" w:cs=""/>
                <w:b/>
                <w:bCs/>
                <w:color w:themeColor="background1" w:val="FFFFFF"/>
                <w:kern w:val="0"/>
                <w:szCs w:val="22"/>
                <w:lang w:val="en-IN" w:eastAsia="en-US" w:bidi="ar-SA"/>
              </w:rPr>
              <w:t>Action</w:t>
            </w:r>
          </w:p>
        </w:tc>
        <w:tc>
          <w:tcPr>
            <w:tcW w:w="1534" w:type="dxa"/>
            <w:tcBorders>
              <w:top w:val="single" w:sz="4" w:space="0" w:color="196B24"/>
              <w:start w:val="single" w:sz="4" w:space="0" w:color="196B24"/>
              <w:bottom w:val="single" w:sz="4" w:space="0" w:color="196B24"/>
              <w:end w:val="single" w:sz="4" w:space="0" w:color="196B24"/>
            </w:tcBorders>
            <w:shd w:color="auto" w:fill="196B24" w:themeFill="accent3" w:val="clear"/>
          </w:tcPr>
          <w:p>
            <w:pPr>
              <w:pStyle w:val="Normal"/>
              <w:widowControl/>
              <w:spacing w:before="120" w:after="120"/>
              <w:cnfStyle w:val="100000000000" w:firstRow="1" w:lastRow="0" w:firstColumn="0" w:lastColumn="0" w:oddVBand="0" w:evenVBand="0" w:oddHBand="0" w:evenHBand="0" w:firstRowFirstColumn="0" w:firstRowLastColumn="0" w:lastRowFirstColumn="0" w:lastRowLastColumn="0"/>
              <w:rPr>
                <w:lang w:val="en-IN"/>
              </w:rPr>
            </w:pPr>
            <w:r>
              <w:rPr>
                <w:rFonts w:eastAsia="Aptos" w:cs=""/>
                <w:b/>
                <w:bCs/>
                <w:color w:themeColor="background1" w:val="FFFFFF"/>
                <w:kern w:val="0"/>
                <w:szCs w:val="22"/>
                <w:lang w:val="en-IN" w:eastAsia="en-US" w:bidi="ar-SA"/>
              </w:rPr>
              <w:t>Timescale</w:t>
            </w:r>
          </w:p>
        </w:tc>
        <w:tc>
          <w:tcPr>
            <w:tcW w:w="3011" w:type="dxa"/>
            <w:tcBorders>
              <w:top w:val="single" w:sz="4" w:space="0" w:color="196B24"/>
              <w:start w:val="single" w:sz="4" w:space="0" w:color="196B24"/>
              <w:bottom w:val="single" w:sz="4" w:space="0" w:color="196B24"/>
              <w:end w:val="single" w:sz="4" w:space="0" w:color="196B24"/>
            </w:tcBorders>
            <w:shd w:color="auto" w:fill="196B24" w:themeFill="accent3" w:val="clear"/>
          </w:tcPr>
          <w:p>
            <w:pPr>
              <w:pStyle w:val="Normal"/>
              <w:widowControl/>
              <w:spacing w:before="120" w:after="120"/>
              <w:cnfStyle w:val="100000000000" w:firstRow="1" w:lastRow="0" w:firstColumn="0" w:lastColumn="0" w:oddVBand="0" w:evenVBand="0" w:oddHBand="0" w:evenHBand="0" w:firstRowFirstColumn="0" w:firstRowLastColumn="0" w:lastRowFirstColumn="0" w:lastRowLastColumn="0"/>
              <w:rPr>
                <w:lang w:val="en-IN"/>
              </w:rPr>
            </w:pPr>
            <w:r>
              <w:rPr>
                <w:rFonts w:eastAsia="Aptos" w:cs=""/>
                <w:b/>
                <w:bCs/>
                <w:color w:themeColor="background1" w:val="FFFFFF"/>
                <w:kern w:val="0"/>
                <w:szCs w:val="22"/>
                <w:lang w:val="en-IN" w:eastAsia="en-US" w:bidi="ar-SA"/>
              </w:rPr>
              <w:t>KPI</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71" w:type="dxa"/>
            <w:tcBorders/>
            <w:shd w:color="auto" w:fill="C1F0C7" w:themeFill="accent3" w:themeFillTint="33" w:val="clear"/>
          </w:tcPr>
          <w:p>
            <w:pPr>
              <w:pStyle w:val="Normal"/>
              <w:widowControl/>
              <w:spacing w:before="120" w:after="120"/>
              <w:rPr>
                <w:lang w:val="en-IN"/>
              </w:rPr>
            </w:pPr>
            <w:r>
              <w:rPr>
                <w:rFonts w:eastAsia="Aptos" w:cs=""/>
                <w:b/>
                <w:bCs/>
                <w:kern w:val="0"/>
                <w:szCs w:val="22"/>
                <w:lang w:val="en-IN" w:eastAsia="en-US" w:bidi="ar-SA"/>
              </w:rPr>
              <w:t>Improve personalised app offers and loyalty rewards</w:t>
            </w:r>
          </w:p>
        </w:tc>
        <w:tc>
          <w:tcPr>
            <w:tcW w:w="1534" w:type="dxa"/>
            <w:tcBorders/>
            <w:shd w:color="auto" w:fill="C1F0C7" w:themeFill="accent3" w:themeFillTint="33" w:val="clear"/>
          </w:tcPr>
          <w:p>
            <w:pPr>
              <w:pStyle w:val="Normal"/>
              <w:widowControl/>
              <w:spacing w:before="120" w:after="120"/>
              <w:cnfStyle w:val="000000100000" w:firstRow="0" w:lastRow="0" w:firstColumn="0" w:lastColumn="0" w:oddVBand="0" w:evenVBand="0" w:oddHBand="1" w:evenHBand="0" w:firstRowFirstColumn="0" w:firstRowLastColumn="0" w:lastRowFirstColumn="0" w:lastRowLastColumn="0"/>
              <w:rPr>
                <w:lang w:val="en-IN"/>
              </w:rPr>
            </w:pPr>
            <w:r>
              <w:rPr>
                <w:rFonts w:eastAsia="Aptos" w:cs=""/>
                <w:kern w:val="0"/>
                <w:szCs w:val="22"/>
                <w:lang w:val="en-IN" w:eastAsia="en-US" w:bidi="ar-SA"/>
              </w:rPr>
              <w:t>0–12 months</w:t>
            </w:r>
          </w:p>
        </w:tc>
        <w:tc>
          <w:tcPr>
            <w:tcW w:w="3011" w:type="dxa"/>
            <w:tcBorders/>
            <w:shd w:color="auto" w:fill="C1F0C7" w:themeFill="accent3" w:themeFillTint="33" w:val="clear"/>
          </w:tcPr>
          <w:p>
            <w:pPr>
              <w:pStyle w:val="Normal"/>
              <w:widowControl/>
              <w:spacing w:before="120" w:after="120"/>
              <w:cnfStyle w:val="000000100000" w:firstRow="0" w:lastRow="0" w:firstColumn="0" w:lastColumn="0" w:oddVBand="0" w:evenVBand="0" w:oddHBand="1" w:evenHBand="0" w:firstRowFirstColumn="0" w:firstRowLastColumn="0" w:lastRowFirstColumn="0" w:lastRowLastColumn="0"/>
              <w:rPr>
                <w:lang w:val="en-IN"/>
              </w:rPr>
            </w:pPr>
            <w:r>
              <w:rPr>
                <w:rFonts w:eastAsia="Aptos" w:cs=""/>
                <w:kern w:val="0"/>
                <w:szCs w:val="22"/>
                <w:lang w:val="en-IN" w:eastAsia="en-US" w:bidi="ar-SA"/>
              </w:rPr>
              <w:t>Active loyalty users; repeat purchases</w:t>
            </w:r>
          </w:p>
        </w:tc>
      </w:tr>
      <w:tr>
        <w:trPr/>
        <w:tc>
          <w:tcPr>
            <w:cnfStyle w:val="001000000000" w:firstRow="0" w:lastRow="0" w:firstColumn="1" w:lastColumn="0" w:oddVBand="0" w:evenVBand="0" w:oddHBand="0" w:evenHBand="0" w:firstRowFirstColumn="0" w:firstRowLastColumn="0" w:lastRowFirstColumn="0" w:lastRowLastColumn="0"/>
            <w:tcW w:w="4471" w:type="dxa"/>
            <w:tcBorders/>
          </w:tcPr>
          <w:p>
            <w:pPr>
              <w:pStyle w:val="Normal"/>
              <w:widowControl/>
              <w:spacing w:before="120" w:after="120"/>
              <w:rPr>
                <w:lang w:val="en-IN"/>
              </w:rPr>
            </w:pPr>
            <w:r>
              <w:rPr>
                <w:rFonts w:eastAsia="Aptos" w:cs=""/>
                <w:b/>
                <w:bCs/>
                <w:kern w:val="0"/>
                <w:szCs w:val="22"/>
                <w:lang w:val="en-IN" w:eastAsia="en-US" w:bidi="ar-SA"/>
              </w:rPr>
              <w:t>Introduce and test healthier/sustainable menu innovations</w:t>
            </w:r>
          </w:p>
        </w:tc>
        <w:tc>
          <w:tcPr>
            <w:tcW w:w="1534" w:type="dxa"/>
            <w:tcBorders/>
          </w:tcPr>
          <w:p>
            <w:pPr>
              <w:pStyle w:val="Normal"/>
              <w:widowControl/>
              <w:spacing w:before="120" w:after="120"/>
              <w:cnfStyle w:val="000000000000" w:firstRow="0" w:lastRow="0" w:firstColumn="0" w:lastColumn="0" w:oddVBand="0" w:evenVBand="0" w:oddHBand="0" w:evenHBand="0" w:firstRowFirstColumn="0" w:firstRowLastColumn="0" w:lastRowFirstColumn="0" w:lastRowLastColumn="0"/>
              <w:rPr>
                <w:lang w:val="en-IN"/>
              </w:rPr>
            </w:pPr>
            <w:r>
              <w:rPr>
                <w:rFonts w:eastAsia="Aptos" w:cs=""/>
                <w:kern w:val="0"/>
                <w:szCs w:val="22"/>
                <w:lang w:val="en-IN" w:eastAsia="en-US" w:bidi="ar-SA"/>
              </w:rPr>
              <w:t>6–18 months</w:t>
            </w:r>
          </w:p>
        </w:tc>
        <w:tc>
          <w:tcPr>
            <w:tcW w:w="3011" w:type="dxa"/>
            <w:tcBorders/>
          </w:tcPr>
          <w:p>
            <w:pPr>
              <w:pStyle w:val="Normal"/>
              <w:widowControl/>
              <w:spacing w:before="120" w:after="120"/>
              <w:cnfStyle w:val="000000000000" w:firstRow="0" w:lastRow="0" w:firstColumn="0" w:lastColumn="0" w:oddVBand="0" w:evenVBand="0" w:oddHBand="0" w:evenHBand="0" w:firstRowFirstColumn="0" w:firstRowLastColumn="0" w:lastRowFirstColumn="0" w:lastRowLastColumn="0"/>
              <w:rPr>
                <w:lang w:val="en-IN"/>
              </w:rPr>
            </w:pPr>
            <w:r>
              <w:rPr>
                <w:rFonts w:eastAsia="Aptos" w:cs=""/>
                <w:kern w:val="0"/>
                <w:szCs w:val="22"/>
                <w:lang w:val="en-IN" w:eastAsia="en-US" w:bidi="ar-SA"/>
              </w:rPr>
              <w:t>Product sales; customer satisfaction</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71" w:type="dxa"/>
            <w:tcBorders/>
            <w:shd w:color="auto" w:fill="C1F0C7" w:themeFill="accent3" w:themeFillTint="33" w:val="clear"/>
          </w:tcPr>
          <w:p>
            <w:pPr>
              <w:pStyle w:val="Normal"/>
              <w:widowControl/>
              <w:spacing w:before="120" w:after="120"/>
              <w:rPr>
                <w:lang w:val="en-IN"/>
              </w:rPr>
            </w:pPr>
            <w:r>
              <w:rPr>
                <w:rFonts w:eastAsia="Aptos" w:cs=""/>
                <w:b/>
                <w:bCs/>
                <w:kern w:val="0"/>
                <w:szCs w:val="22"/>
                <w:lang w:val="en-IN" w:eastAsia="en-US" w:bidi="ar-SA"/>
              </w:rPr>
              <w:t>Improve digital ordering and restaurant processes</w:t>
            </w:r>
          </w:p>
        </w:tc>
        <w:tc>
          <w:tcPr>
            <w:tcW w:w="1534" w:type="dxa"/>
            <w:tcBorders/>
            <w:shd w:color="auto" w:fill="C1F0C7" w:themeFill="accent3" w:themeFillTint="33" w:val="clear"/>
          </w:tcPr>
          <w:p>
            <w:pPr>
              <w:pStyle w:val="Normal"/>
              <w:widowControl/>
              <w:spacing w:before="120" w:after="120"/>
              <w:cnfStyle w:val="000000100000" w:firstRow="0" w:lastRow="0" w:firstColumn="0" w:lastColumn="0" w:oddVBand="0" w:evenVBand="0" w:oddHBand="1" w:evenHBand="0" w:firstRowFirstColumn="0" w:firstRowLastColumn="0" w:lastRowFirstColumn="0" w:lastRowLastColumn="0"/>
              <w:rPr>
                <w:lang w:val="en-IN"/>
              </w:rPr>
            </w:pPr>
            <w:r>
              <w:rPr>
                <w:rFonts w:eastAsia="Aptos" w:cs=""/>
                <w:kern w:val="0"/>
                <w:szCs w:val="22"/>
                <w:lang w:val="en-IN" w:eastAsia="en-US" w:bidi="ar-SA"/>
              </w:rPr>
              <w:t>6–24 months</w:t>
            </w:r>
          </w:p>
        </w:tc>
        <w:tc>
          <w:tcPr>
            <w:tcW w:w="3011" w:type="dxa"/>
            <w:tcBorders/>
            <w:shd w:color="auto" w:fill="C1F0C7" w:themeFill="accent3" w:themeFillTint="33" w:val="clear"/>
          </w:tcPr>
          <w:p>
            <w:pPr>
              <w:pStyle w:val="Normal"/>
              <w:widowControl/>
              <w:spacing w:before="120" w:after="120"/>
              <w:cnfStyle w:val="000000100000" w:firstRow="0" w:lastRow="0" w:firstColumn="0" w:lastColumn="0" w:oddVBand="0" w:evenVBand="0" w:oddHBand="1" w:evenHBand="0" w:firstRowFirstColumn="0" w:firstRowLastColumn="0" w:lastRowFirstColumn="0" w:lastRowLastColumn="0"/>
              <w:rPr>
                <w:lang w:val="en-IN"/>
              </w:rPr>
            </w:pPr>
            <w:r>
              <w:rPr>
                <w:rFonts w:eastAsia="Aptos" w:cs=""/>
                <w:kern w:val="0"/>
                <w:szCs w:val="22"/>
                <w:lang w:val="en-IN" w:eastAsia="en-US" w:bidi="ar-SA"/>
              </w:rPr>
              <w:t>Order accuracy; service time</w:t>
            </w:r>
          </w:p>
        </w:tc>
      </w:tr>
      <w:tr>
        <w:trPr/>
        <w:tc>
          <w:tcPr>
            <w:cnfStyle w:val="001000000000" w:firstRow="0" w:lastRow="0" w:firstColumn="1" w:lastColumn="0" w:oddVBand="0" w:evenVBand="0" w:oddHBand="0" w:evenHBand="0" w:firstRowFirstColumn="0" w:firstRowLastColumn="0" w:lastRowFirstColumn="0" w:lastRowLastColumn="0"/>
            <w:tcW w:w="4471" w:type="dxa"/>
            <w:tcBorders/>
          </w:tcPr>
          <w:p>
            <w:pPr>
              <w:pStyle w:val="Normal"/>
              <w:widowControl/>
              <w:spacing w:before="120" w:after="120"/>
              <w:rPr>
                <w:lang w:val="en-IN"/>
              </w:rPr>
            </w:pPr>
            <w:r>
              <w:rPr>
                <w:rFonts w:eastAsia="Aptos" w:cs=""/>
                <w:b/>
                <w:bCs/>
                <w:kern w:val="0"/>
                <w:szCs w:val="22"/>
                <w:lang w:val="en-IN" w:eastAsia="en-US" w:bidi="ar-SA"/>
              </w:rPr>
              <w:t>Expand sustainability initiatives across restaurants</w:t>
            </w:r>
          </w:p>
        </w:tc>
        <w:tc>
          <w:tcPr>
            <w:tcW w:w="1534" w:type="dxa"/>
            <w:tcBorders/>
          </w:tcPr>
          <w:p>
            <w:pPr>
              <w:pStyle w:val="Normal"/>
              <w:widowControl/>
              <w:spacing w:before="120" w:after="120"/>
              <w:cnfStyle w:val="000000000000" w:firstRow="0" w:lastRow="0" w:firstColumn="0" w:lastColumn="0" w:oddVBand="0" w:evenVBand="0" w:oddHBand="0" w:evenHBand="0" w:firstRowFirstColumn="0" w:firstRowLastColumn="0" w:lastRowFirstColumn="0" w:lastRowLastColumn="0"/>
              <w:rPr>
                <w:lang w:val="en-IN"/>
              </w:rPr>
            </w:pPr>
            <w:r>
              <w:rPr>
                <w:rFonts w:eastAsia="Aptos" w:cs=""/>
                <w:kern w:val="0"/>
                <w:szCs w:val="22"/>
                <w:lang w:val="en-IN" w:eastAsia="en-US" w:bidi="ar-SA"/>
              </w:rPr>
              <w:t>12–36 months</w:t>
            </w:r>
          </w:p>
        </w:tc>
        <w:tc>
          <w:tcPr>
            <w:tcW w:w="3011" w:type="dxa"/>
            <w:tcBorders/>
          </w:tcPr>
          <w:p>
            <w:pPr>
              <w:pStyle w:val="Normal"/>
              <w:widowControl/>
              <w:spacing w:before="120" w:after="120"/>
              <w:cnfStyle w:val="000000000000" w:firstRow="0" w:lastRow="0" w:firstColumn="0" w:lastColumn="0" w:oddVBand="0" w:evenVBand="0" w:oddHBand="0" w:evenHBand="0" w:firstRowFirstColumn="0" w:firstRowLastColumn="0" w:lastRowFirstColumn="0" w:lastRowLastColumn="0"/>
              <w:rPr>
                <w:lang w:val="en-IN"/>
              </w:rPr>
            </w:pPr>
            <w:r>
              <w:rPr>
                <w:rFonts w:eastAsia="Aptos" w:cs=""/>
                <w:kern w:val="0"/>
                <w:szCs w:val="22"/>
                <w:lang w:val="en-IN" w:eastAsia="en-US" w:bidi="ar-SA"/>
              </w:rPr>
              <w:t>Waste, energy and emissions measures</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71" w:type="dxa"/>
            <w:tcBorders/>
            <w:shd w:color="auto" w:fill="C1F0C7" w:themeFill="accent3" w:themeFillTint="33" w:val="clear"/>
          </w:tcPr>
          <w:p>
            <w:pPr>
              <w:pStyle w:val="Normal"/>
              <w:widowControl/>
              <w:spacing w:before="120" w:after="120"/>
              <w:rPr>
                <w:lang w:val="en-IN"/>
              </w:rPr>
            </w:pPr>
            <w:r>
              <w:rPr>
                <w:rFonts w:eastAsia="Aptos" w:cs=""/>
                <w:b/>
                <w:bCs/>
                <w:kern w:val="0"/>
                <w:szCs w:val="22"/>
                <w:lang w:val="en-IN" w:eastAsia="en-US" w:bidi="ar-SA"/>
              </w:rPr>
              <w:t>Train employees and franchisees on new initiatives</w:t>
            </w:r>
          </w:p>
        </w:tc>
        <w:tc>
          <w:tcPr>
            <w:tcW w:w="1534" w:type="dxa"/>
            <w:tcBorders/>
            <w:shd w:color="auto" w:fill="C1F0C7" w:themeFill="accent3" w:themeFillTint="33" w:val="clear"/>
          </w:tcPr>
          <w:p>
            <w:pPr>
              <w:pStyle w:val="Normal"/>
              <w:widowControl/>
              <w:spacing w:before="120" w:after="120"/>
              <w:cnfStyle w:val="000000100000" w:firstRow="0" w:lastRow="0" w:firstColumn="0" w:lastColumn="0" w:oddVBand="0" w:evenVBand="0" w:oddHBand="1" w:evenHBand="0" w:firstRowFirstColumn="0" w:firstRowLastColumn="0" w:lastRowFirstColumn="0" w:lastRowLastColumn="0"/>
              <w:rPr>
                <w:lang w:val="en-IN"/>
              </w:rPr>
            </w:pPr>
            <w:r>
              <w:rPr>
                <w:rFonts w:eastAsia="Aptos" w:cs=""/>
                <w:kern w:val="0"/>
                <w:szCs w:val="22"/>
                <w:lang w:val="en-IN" w:eastAsia="en-US" w:bidi="ar-SA"/>
              </w:rPr>
              <w:t>Ongoing</w:t>
            </w:r>
          </w:p>
        </w:tc>
        <w:tc>
          <w:tcPr>
            <w:tcW w:w="3011" w:type="dxa"/>
            <w:tcBorders/>
            <w:shd w:color="auto" w:fill="C1F0C7" w:themeFill="accent3" w:themeFillTint="33" w:val="clear"/>
          </w:tcPr>
          <w:p>
            <w:pPr>
              <w:pStyle w:val="Normal"/>
              <w:widowControl/>
              <w:spacing w:before="120" w:after="120"/>
              <w:cnfStyle w:val="000000100000" w:firstRow="0" w:lastRow="0" w:firstColumn="0" w:lastColumn="0" w:oddVBand="0" w:evenVBand="0" w:oddHBand="1" w:evenHBand="0" w:firstRowFirstColumn="0" w:firstRowLastColumn="0" w:lastRowFirstColumn="0" w:lastRowLastColumn="0"/>
              <w:rPr>
                <w:lang w:val="en-IN"/>
              </w:rPr>
            </w:pPr>
            <w:r>
              <w:rPr>
                <w:rFonts w:eastAsia="Aptos" w:cs=""/>
                <w:kern w:val="0"/>
                <w:szCs w:val="22"/>
                <w:lang w:val="en-IN" w:eastAsia="en-US" w:bidi="ar-SA"/>
              </w:rPr>
              <w:t>Training completion; employee engagement</w:t>
            </w:r>
          </w:p>
        </w:tc>
      </w:tr>
    </w:tbl>
    <w:p>
      <w:pPr>
        <w:pStyle w:val="Normal"/>
        <w:rPr>
          <w:lang w:val="en-IN"/>
        </w:rPr>
      </w:pPr>
      <w:r>
        <w:rPr>
          <w:lang w:val="en-IN"/>
        </w:rPr>
        <w:t>Implementation should be coordinated between McDonald’s UK management, franchisees, suppliers and technology teams. The franchise structure is particularly important because strategic consistency depends on franchisees implementing common standards. McDonald’s describes its model as a long-term partnership based on standards, leadership, training and disciplined execution.</w:t>
      </w:r>
    </w:p>
    <w:p>
      <w:pPr>
        <w:pStyle w:val="Heading3"/>
        <w:rPr>
          <w:lang w:val="en-IN"/>
        </w:rPr>
      </w:pPr>
      <w:bookmarkStart w:id="21" w:name="_Toc237394583"/>
      <w:r>
        <w:rPr>
          <w:lang w:val="en-IN"/>
        </w:rPr>
        <w:t>4.7 Implementation Challenges and Mitigation</w:t>
      </w:r>
      <w:bookmarkEnd w:id="21"/>
    </w:p>
    <w:p>
      <w:pPr>
        <w:pStyle w:val="Normal"/>
        <w:rPr>
          <w:lang w:val="en-IN"/>
        </w:rPr>
      </w:pPr>
      <w:r>
        <w:rPr>
          <w:lang w:val="en-IN"/>
        </w:rPr>
        <w:t xml:space="preserve">The main challenge is </w:t>
      </w:r>
      <w:r>
        <w:rPr>
          <w:b/>
          <w:bCs/>
          <w:lang w:val="en-IN"/>
        </w:rPr>
        <w:t>implementation cost</w:t>
      </w:r>
      <w:r>
        <w:rPr>
          <w:lang w:val="en-IN"/>
        </w:rPr>
        <w:t xml:space="preserve">, particularly when restaurants require technology, sustainability upgrades and employee training. McDonald’s should therefore use phased investment and pilot projects before national roll-out. A second challenge is </w:t>
      </w:r>
      <w:r>
        <w:rPr>
          <w:b/>
          <w:bCs/>
          <w:lang w:val="en-IN"/>
        </w:rPr>
        <w:t>franchisee alignment</w:t>
      </w:r>
      <w:r>
        <w:rPr>
          <w:lang w:val="en-IN"/>
        </w:rPr>
        <w:t xml:space="preserve"> because franchisees must accept and implement operational changes. Clear financial incentives, training and performance targets can reduce resistance.</w:t>
      </w:r>
    </w:p>
    <w:p>
      <w:pPr>
        <w:pStyle w:val="Normal"/>
        <w:rPr>
          <w:lang w:val="en-IN"/>
        </w:rPr>
      </w:pPr>
      <w:r>
        <w:rPr>
          <w:lang w:val="en-IN"/>
        </w:rPr>
        <w:t xml:space="preserve">A third challenge is </w:t>
      </w:r>
      <w:r>
        <w:rPr>
          <w:b/>
          <w:bCs/>
          <w:lang w:val="en-IN"/>
        </w:rPr>
        <w:t>customer acceptance</w:t>
      </w:r>
      <w:r>
        <w:rPr>
          <w:lang w:val="en-IN"/>
        </w:rPr>
        <w:t>. New products or digital initiatives may fail if customers perceive them as expensive or less attractive than existing alternatives. McDonald’s should therefore use customer testing and sales data before scaling innovations. Finally, competitors can imitate digital features and menu innovations. McDonald’s should respond by continuously improving its integrated ecosystem rather than depending on individual products or technologies.</w:t>
      </w:r>
    </w:p>
    <w:p>
      <w:pPr>
        <w:pStyle w:val="Normal"/>
        <w:rPr>
          <w:lang w:val="en-IN"/>
        </w:rPr>
      </w:pPr>
      <w:r>
        <w:rPr>
          <w:lang w:val="en-IN"/>
        </w:rPr>
        <w:t>Overall, the recommended digital-led value-differentiation strategy provides the strongest fit between McDonald’s resources, UK market pressures and future growth opportunities. It protects the organisation from excessive price competition while using its brand, franchise network, technology and operational capabilities to create a more sustainable and defensible competitive position.</w:t>
      </w:r>
    </w:p>
    <w:p>
      <w:pPr>
        <w:pStyle w:val="Heading1"/>
        <w:rPr>
          <w:lang w:val="en-IN"/>
        </w:rPr>
      </w:pPr>
      <w:bookmarkStart w:id="22" w:name="_Toc237394584"/>
      <w:r>
        <w:rPr>
          <w:lang w:val="en-IN"/>
        </w:rPr>
        <w:t>SECTION 2 – REFLECTIVE ACCOUNT USING GIBBS’ REFLECTIVE CYCLE</w:t>
      </w:r>
      <w:bookmarkEnd w:id="22"/>
    </w:p>
    <w:p>
      <w:pPr>
        <w:pStyle w:val="Heading2"/>
        <w:rPr/>
      </w:pPr>
      <w:bookmarkStart w:id="23" w:name="_Toc237394585"/>
      <w:r>
        <w:rPr/>
        <w:t>5. Reflection Using Gibbs’ Reflective Cycle</w:t>
      </w:r>
      <w:bookmarkEnd w:id="23"/>
    </w:p>
    <w:p>
      <w:pPr>
        <w:pStyle w:val="Normal"/>
        <w:jc w:val="center"/>
        <w:rPr/>
      </w:pPr>
      <w:r>
        <w:rPr/>
        <mc:AlternateContent>
          <mc:Choice Requires="wps">
            <w:drawing>
              <wp:inline distT="0" distB="0" distL="0" distR="0" wp14:anchorId="4890068C">
                <wp:extent cx="2514600" cy="2777490"/>
                <wp:effectExtent l="76200" t="76200" r="133350" b="137160"/>
                <wp:docPr id="4" name="Picture 1"/>
                <a:graphic xmlns:a="http://schemas.openxmlformats.org/drawingml/2006/main">
                  <a:graphicData uri="http://schemas.openxmlformats.org/drawingml/2006/picture">
                    <pic:pic xmlns:pic="http://schemas.openxmlformats.org/drawingml/2006/picture">
                      <pic:nvPicPr>
                        <pic:cNvPr id="5" name="Picture 1"/>
                        <pic:cNvPicPr/>
                      </pic:nvPicPr>
                      <pic:blipFill>
                        <a:blip r:embed="rId5"/>
                        <a:stretch/>
                      </pic:blipFill>
                      <pic:spPr>
                        <a:xfrm>
                          <a:off x="0" y="0"/>
                          <a:ext cx="2514600" cy="2777400"/>
                        </a:xfrm>
                        <a:prstGeom prst="rect">
                          <a:avLst/>
                        </a:prstGeom>
                        <a:noFill/>
                        <a:ln cap="sq" w="38100">
                          <a:solidFill>
                            <a:srgbClr val="000000"/>
                          </a:solidFill>
                          <a:miter/>
                        </a:ln>
                        <a:effectLst>
                          <a:outerShdw algn="tl" blurRad="50760" dir="2700000" dist="37674" rotWithShape="0">
                            <a:srgbClr val="000000">
                              <a:alpha val="43000"/>
                            </a:srgbClr>
                          </a:outerShdw>
                        </a:effectLst>
                      </pic:spPr>
                    </pic:pic>
                  </a:graphicData>
                </a:graphic>
              </wp:inline>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stroked="t" o:allowincell="f" style="position:absolute;margin-left:0pt;margin-top:-235.55pt;width:197.95pt;height:218.65pt;mso-wrap-style:none;v-text-anchor:middle;mso-position-vertical:top" wp14:anchorId="4890068C" type="_x0000_t75">
                <v:imagedata r:id="rId6" o:detectmouseclick="t"/>
                <v:stroke color="black" weight="38160" joinstyle="miter" endcap="square"/>
                <v:shadow on="t" obscured="f" color="black"/>
                <w10:wrap type="square"/>
              </v:shape>
            </w:pict>
          </mc:Fallback>
        </mc:AlternateContent>
      </w:r>
    </w:p>
    <w:p>
      <w:pPr>
        <w:pStyle w:val="Heading3"/>
        <w:rPr>
          <w:lang w:val="en-IN"/>
        </w:rPr>
      </w:pPr>
      <w:bookmarkStart w:id="24" w:name="_Toc237394586"/>
      <w:r>
        <w:rPr>
          <w:lang w:val="en-IN"/>
        </w:rPr>
        <w:t>5.1 Description</w:t>
      </w:r>
      <w:bookmarkEnd w:id="24"/>
    </w:p>
    <w:p>
      <w:pPr>
        <w:pStyle w:val="Normal"/>
        <w:rPr>
          <w:lang w:val="en-IN"/>
        </w:rPr>
      </w:pPr>
      <w:r>
        <w:rPr>
          <w:lang w:val="en-IN"/>
        </w:rPr>
        <w:t>While preparing the strategic management report on McDonald’s UK, I went through a research and analysis process that was initially more difficult than I expected. At the beginning, I felt confident because McDonald’s is a familiar organisation and I already had a basic understanding of its products, customers and business model. However, once I started researching the organisation from a strategic-management perspective, I realised that knowing a company as a customer is very different from understanding it as a strategic analyst.</w:t>
      </w:r>
    </w:p>
    <w:p>
      <w:pPr>
        <w:pStyle w:val="Normal"/>
        <w:rPr>
          <w:lang w:val="en-IN"/>
        </w:rPr>
      </w:pPr>
      <w:r>
        <w:rPr>
          <w:lang w:val="en-IN"/>
        </w:rPr>
        <w:t>I began by researching McDonald’s UK, its business model, competitors and strategic priorities. I then applied PESTEL and VRIO before developing the SWOT analysis. After this, I examined CSR and the Balanced Scorecard and used Porter’s Five Forces and Ansoff’s Matrix to consider strategic choices. Finally, I developed a strategic recommendation and implementation plan. This process required me to continuously compare information rather than simply collect facts.</w:t>
      </w:r>
    </w:p>
    <w:p>
      <w:pPr>
        <w:pStyle w:val="Heading3"/>
        <w:rPr>
          <w:lang w:val="en-IN"/>
        </w:rPr>
      </w:pPr>
      <w:bookmarkStart w:id="25" w:name="_Toc237394587"/>
      <w:r>
        <w:rPr>
          <w:lang w:val="en-IN"/>
        </w:rPr>
        <w:t>5.2 Feelings</w:t>
      </w:r>
      <w:bookmarkEnd w:id="25"/>
    </w:p>
    <w:p>
      <w:pPr>
        <w:pStyle w:val="Normal"/>
        <w:rPr>
          <w:lang w:val="en-IN"/>
        </w:rPr>
      </w:pPr>
      <w:r>
        <w:rPr>
          <w:lang w:val="en-IN"/>
        </w:rPr>
        <w:t>At the beginning, I felt comfortable because I was working with a well-known organisation. I initially thought that finding information would be the easiest part of the assignment. However, I soon became overwhelmed by the amount of information available. I found myself collecting many facts about McDonald’s without being completely sure whether they were actually relevant to the strategic question.</w:t>
      </w:r>
    </w:p>
    <w:p>
      <w:pPr>
        <w:pStyle w:val="Normal"/>
        <w:rPr>
          <w:lang w:val="en-IN"/>
        </w:rPr>
      </w:pPr>
      <w:r>
        <w:rPr>
          <w:lang w:val="en-IN"/>
        </w:rPr>
        <w:t xml:space="preserve">I also felt frustrated when I realised that </w:t>
      </w:r>
      <w:r>
        <w:rPr>
          <w:b/>
          <w:bCs/>
          <w:lang w:val="en-IN"/>
        </w:rPr>
        <w:t>describing a framework was much easier than critically applying it</w:t>
      </w:r>
      <w:r>
        <w:rPr>
          <w:lang w:val="en-IN"/>
        </w:rPr>
        <w:t>. For example, I could identify political, economic or technological factors relatively quickly, but I initially struggled to explain why a particular factor mattered specifically to McDonald’s. Similarly, identifying the McDonald’s brand as a strength was straightforward, but deciding whether it actually represented a sustainable competitive advantage required much deeper thinking.</w:t>
      </w:r>
    </w:p>
    <w:p>
      <w:pPr>
        <w:pStyle w:val="Normal"/>
        <w:rPr>
          <w:lang w:val="en-IN"/>
        </w:rPr>
      </w:pPr>
      <w:r>
        <w:rPr>
          <w:lang w:val="en-IN"/>
        </w:rPr>
        <w:t>As I progressed, however, I became more confident. I started to feel that the different frameworks were connected rather than separate tasks. When I was able to use PESTEL findings to support SWOT and then use those findings to develop the strategic recommendation, I felt that I was finally thinking more like a strategic-management consultant rather than simply completing an academic exercise.</w:t>
      </w:r>
    </w:p>
    <w:p>
      <w:pPr>
        <w:pStyle w:val="Heading3"/>
        <w:rPr>
          <w:lang w:val="en-IN"/>
        </w:rPr>
      </w:pPr>
      <w:bookmarkStart w:id="26" w:name="_Toc237394588"/>
      <w:r>
        <w:rPr>
          <w:lang w:val="en-IN"/>
        </w:rPr>
        <w:t>5.3 Evaluation</w:t>
      </w:r>
      <w:bookmarkEnd w:id="26"/>
    </w:p>
    <w:p>
      <w:pPr>
        <w:pStyle w:val="Normal"/>
        <w:rPr>
          <w:lang w:val="en-IN"/>
        </w:rPr>
      </w:pPr>
      <w:r>
        <w:rPr>
          <w:lang w:val="en-IN"/>
        </w:rPr>
        <w:t>Looking back, I believe that some aspects of my approach worked particularly well. I found the research on McDonald’s engaging because the organisation has a clear connection between its operations, customers, technology and sustainability activities. I also enjoyed discovering that apparently simple business decisions often involve competing strategic priorities.</w:t>
      </w:r>
    </w:p>
    <w:p>
      <w:pPr>
        <w:pStyle w:val="Normal"/>
        <w:rPr>
          <w:lang w:val="en-IN"/>
        </w:rPr>
      </w:pPr>
      <w:r>
        <w:rPr>
          <w:lang w:val="en-IN"/>
        </w:rPr>
        <w:t>One positive experience was developing the SWOT analysis after completing PESTEL and VRIO. Initially, I wanted to create the SWOT independently, but I realised that doing so would have made it generic. Using the previous analysis helped me develop a more evidence-based understanding of McDonald’s strengths, weaknesses, opportunities and threats.</w:t>
      </w:r>
    </w:p>
    <w:p>
      <w:pPr>
        <w:pStyle w:val="Normal"/>
        <w:rPr>
          <w:lang w:val="en-IN"/>
        </w:rPr>
      </w:pPr>
      <w:r>
        <w:rPr>
          <w:lang w:val="en-IN"/>
        </w:rPr>
        <w:t>However, I also experienced difficulties. I initially relied too heavily on information provided directly by the organisation. While these sources were useful for understanding McDonald’s strategy, I realised that company information naturally presents the organisation from a positive perspective. This made me understand the importance of comparing different sources rather than accepting corporate claims without questioning them.</w:t>
      </w:r>
    </w:p>
    <w:p>
      <w:pPr>
        <w:pStyle w:val="Normal"/>
        <w:rPr>
          <w:lang w:val="en-IN"/>
        </w:rPr>
      </w:pPr>
      <w:r>
        <w:rPr>
          <w:lang w:val="en-IN"/>
        </w:rPr>
        <w:t>Another weakness was that I sometimes tried to include too much information. I learned that a longer analysis is not necessarily a better analysis. Some information was interesting but did not contribute directly to answering the strategic question. Recognising this helped me become more selective.</w:t>
      </w:r>
    </w:p>
    <w:p>
      <w:pPr>
        <w:pStyle w:val="Heading3"/>
        <w:rPr/>
      </w:pPr>
      <w:bookmarkStart w:id="27" w:name="_Toc237394589"/>
      <w:r>
        <w:rPr>
          <w:lang w:val="en-IN"/>
        </w:rPr>
        <w:t>5.4 Analysis</w:t>
      </w:r>
      <w:bookmarkEnd w:id="27"/>
    </w:p>
    <w:p>
      <w:pPr>
        <w:pStyle w:val="Normal"/>
        <w:rPr>
          <w:lang w:val="en-IN"/>
        </w:rPr>
      </w:pPr>
      <w:r>
        <w:rPr>
          <w:lang w:val="en-IN"/>
        </w:rPr>
        <w:t xml:space="preserve">The most important thing I learned from this experience was that </w:t>
      </w:r>
      <w:r>
        <w:rPr>
          <w:b/>
          <w:bCs/>
          <w:lang w:val="en-IN"/>
        </w:rPr>
        <w:t>strategic management requires judgement, not just knowledge of frameworks</w:t>
      </w:r>
      <w:r>
        <w:rPr>
          <w:lang w:val="en-IN"/>
        </w:rPr>
        <w:t>. Before completing the analysis, I viewed models such as PESTEL, VRIO and SWOT mainly as tools that needed to be completed. Through this assignment, I began to understand that their real value comes from the questions they help me ask.</w:t>
      </w:r>
    </w:p>
    <w:p>
      <w:pPr>
        <w:pStyle w:val="Normal"/>
        <w:rPr>
          <w:lang w:val="en-IN"/>
        </w:rPr>
      </w:pPr>
      <w:r>
        <w:rPr>
          <w:lang w:val="en-IN"/>
        </w:rPr>
        <w:t>For example, PESTEL helped me recognise that rising labour costs are not simply an economic issue. They can influence pricing, profitability, employee management and investment in technology. Similarly, VRIO helped me question my initial assumption that McDonald’s large brand automatically creates sustainable competitive advantage. I realised that competitors also possess strong brands and digital capabilities. Therefore, I needed to consider what McDonald’s can do differently and how effectively it organises its resources.</w:t>
      </w:r>
    </w:p>
    <w:p>
      <w:pPr>
        <w:pStyle w:val="Normal"/>
        <w:rPr>
          <w:lang w:val="en-IN"/>
        </w:rPr>
      </w:pPr>
      <w:r>
        <w:rPr>
          <w:lang w:val="en-IN"/>
        </w:rPr>
        <w:t xml:space="preserve">I also learned that strategic decisions often involve </w:t>
      </w:r>
      <w:r>
        <w:rPr>
          <w:b/>
          <w:bCs/>
          <w:lang w:val="en-IN"/>
        </w:rPr>
        <w:t>trade-offs</w:t>
      </w:r>
      <w:r>
        <w:rPr>
          <w:lang w:val="en-IN"/>
        </w:rPr>
        <w:t>. During my analysis, I initially thought that McDonald’s should simply focus on maintaining low prices because affordability is important to its customers. However, I later realised that constantly reducing prices could negatively affect profitability. This changed my thinking: I began to see value as something broader than low price, including convenience, loyalty, quality, digital experience and customer choice.</w:t>
      </w:r>
    </w:p>
    <w:p>
      <w:pPr>
        <w:pStyle w:val="Normal"/>
        <w:rPr>
          <w:lang w:val="en-IN"/>
        </w:rPr>
      </w:pPr>
      <w:r>
        <w:rPr>
          <w:lang w:val="en-IN"/>
        </w:rPr>
        <w:t>Personally, I found this shift in thinking particularly valuable. I became more comfortable questioning my first assumptions instead of immediately accepting them. I also realised that when evidence contradicts my initial view, I should not ignore it; instead, I should reconsider my argument.</w:t>
      </w:r>
    </w:p>
    <w:p>
      <w:pPr>
        <w:pStyle w:val="Heading3"/>
        <w:rPr>
          <w:lang w:val="en-IN"/>
        </w:rPr>
      </w:pPr>
      <w:bookmarkStart w:id="28" w:name="_Toc237394590"/>
      <w:r>
        <w:rPr>
          <w:lang w:val="en-IN"/>
        </w:rPr>
        <w:t>5.5 Conclusion</w:t>
      </w:r>
      <w:bookmarkEnd w:id="28"/>
    </w:p>
    <w:p>
      <w:pPr>
        <w:pStyle w:val="Normal"/>
        <w:rPr>
          <w:lang w:val="en-IN"/>
        </w:rPr>
      </w:pPr>
      <w:r>
        <w:rPr>
          <w:lang w:val="en-IN"/>
        </w:rPr>
        <w:t>Overall, completing this report was a challenging but valuable learning experience for me. I started with confidence because McDonald’s was a familiar organisation, but I quickly realised that strategic analysis requires much more than general business knowledge. I had to learn how to distinguish relevant evidence from unnecessary information, question organisational claims and connect different strategic frameworks.</w:t>
      </w:r>
    </w:p>
    <w:p>
      <w:pPr>
        <w:pStyle w:val="Normal"/>
        <w:rPr>
          <w:lang w:val="en-IN"/>
        </w:rPr>
      </w:pPr>
      <w:r>
        <w:rPr>
          <w:lang w:val="en-IN"/>
        </w:rPr>
        <w:t xml:space="preserve">The biggest improvement I experienced was in my ability to move from </w:t>
      </w:r>
      <w:r>
        <w:rPr>
          <w:b/>
          <w:bCs/>
          <w:lang w:val="en-IN"/>
        </w:rPr>
        <w:t>“what is happening?” to “why does it matter strategically?”</w:t>
      </w:r>
      <w:r>
        <w:rPr>
          <w:lang w:val="en-IN"/>
        </w:rPr>
        <w:t>. I also became more confident in making recommendations based on evidence rather than personal assumptions.</w:t>
      </w:r>
    </w:p>
    <w:p>
      <w:pPr>
        <w:pStyle w:val="Normal"/>
        <w:rPr>
          <w:lang w:val="en-IN"/>
        </w:rPr>
      </w:pPr>
      <w:r>
        <w:rPr>
          <w:lang w:val="en-IN"/>
        </w:rPr>
        <w:t>If I were to complete the assignment again, I would define the central strategic problem earlier, organise my research around that problem and keep a clearer record of my thoughts and difficulties throughout the process.</w:t>
      </w:r>
    </w:p>
    <w:p>
      <w:pPr>
        <w:pStyle w:val="Heading3"/>
        <w:rPr>
          <w:lang w:val="en-IN"/>
        </w:rPr>
      </w:pPr>
      <w:bookmarkStart w:id="29" w:name="_Toc237394591"/>
      <w:r>
        <w:rPr>
          <w:lang w:val="en-IN"/>
        </w:rPr>
        <w:t>5.6 Action Plan</w:t>
      </w:r>
      <w:bookmarkEnd w:id="29"/>
    </w:p>
    <w:tbl>
      <w:tblPr>
        <w:tblStyle w:val="GridTable5Dark-Accent3"/>
        <w:tblW w:w="9016" w:type="dxa"/>
        <w:jc w:val="start"/>
        <w:tblInd w:w="0" w:type="dxa"/>
        <w:shd w:fill="C1F0C7" w:val="clear"/>
        <w:tblLayout w:type="fixed"/>
        <w:tblCellMar>
          <w:top w:w="0" w:type="dxa"/>
          <w:start w:w="108" w:type="dxa"/>
          <w:bottom w:w="0" w:type="dxa"/>
          <w:end w:w="108" w:type="dxa"/>
        </w:tblCellMar>
        <w:tblLook w:firstRow="1" w:noVBand="1" w:lastRow="0" w:firstColumn="1" w:lastColumn="0" w:noHBand="0" w:val="04a0"/>
      </w:tblPr>
      <w:tblGrid>
        <w:gridCol w:w="1953"/>
        <w:gridCol w:w="2815"/>
        <w:gridCol w:w="2592"/>
        <w:gridCol w:w="1656"/>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3" w:type="dxa"/>
            <w:tcBorders/>
            <w:shd w:color="auto" w:fill="196B24" w:themeFill="accent3"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SMART Objective</w:t>
            </w:r>
          </w:p>
        </w:tc>
        <w:tc>
          <w:tcPr>
            <w:tcW w:w="2815" w:type="dxa"/>
            <w:tcBorders>
              <w:bottom w:val="nil"/>
            </w:tcBorders>
            <w:shd w:color="auto" w:fill="196B24" w:themeFill="accent3"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My Action</w:t>
            </w:r>
          </w:p>
        </w:tc>
        <w:tc>
          <w:tcPr>
            <w:tcW w:w="2592" w:type="dxa"/>
            <w:tcBorders>
              <w:bottom w:val="nil"/>
            </w:tcBorders>
            <w:shd w:color="auto" w:fill="196B24" w:themeFill="accent3"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Measurement</w:t>
            </w:r>
          </w:p>
        </w:tc>
        <w:tc>
          <w:tcPr>
            <w:tcW w:w="1656" w:type="dxa"/>
            <w:tcBorders>
              <w:bottom w:val="nil"/>
            </w:tcBorders>
            <w:shd w:color="auto" w:fill="196B24" w:themeFill="accent3" w:val="clear"/>
          </w:tcPr>
          <w:p>
            <w:pPr>
              <w:pStyle w:val="NoSpacing"/>
              <w:widowControl/>
              <w:spacing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Deadline</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3" w:type="dxa"/>
            <w:tcBorders>
              <w:end w:val="nil"/>
            </w:tcBorders>
            <w:shd w:color="auto" w:fill="196B24" w:themeFill="accent3"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Improve critical thinking</w:t>
            </w:r>
          </w:p>
        </w:tc>
        <w:tc>
          <w:tcPr>
            <w:tcW w:w="2815"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challenge at least one assumption in every major analytical section</w:t>
            </w:r>
          </w:p>
        </w:tc>
        <w:tc>
          <w:tcPr>
            <w:tcW w:w="2592"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One explicit critical judgement per section</w:t>
            </w:r>
          </w:p>
        </w:tc>
        <w:tc>
          <w:tcPr>
            <w:tcW w:w="1656"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Next assignment</w:t>
            </w:r>
          </w:p>
        </w:tc>
      </w:tr>
      <w:tr>
        <w:trPr/>
        <w:tc>
          <w:tcPr>
            <w:cnfStyle w:val="001000000000" w:firstRow="0" w:lastRow="0" w:firstColumn="1" w:lastColumn="0" w:oddVBand="0" w:evenVBand="0" w:oddHBand="0" w:evenHBand="0" w:firstRowFirstColumn="0" w:firstRowLastColumn="0" w:lastRowFirstColumn="0" w:lastRowLastColumn="0"/>
            <w:tcW w:w="1953" w:type="dxa"/>
            <w:tcBorders>
              <w:end w:val="nil"/>
            </w:tcBorders>
            <w:shd w:color="auto" w:fill="196B24" w:themeFill="accent3"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Improve source evaluation</w:t>
            </w:r>
          </w:p>
        </w:tc>
        <w:tc>
          <w:tcPr>
            <w:tcW w:w="2815" w:type="dxa"/>
            <w:tcBorders/>
            <w:shd w:color="auto" w:fill="C1F0C7" w:themeFill="accent3"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compare company information with academic and independent sources</w:t>
            </w:r>
          </w:p>
        </w:tc>
        <w:tc>
          <w:tcPr>
            <w:tcW w:w="2592" w:type="dxa"/>
            <w:tcBorders/>
            <w:shd w:color="auto" w:fill="C1F0C7" w:themeFill="accent3"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At least three source types in major sections</w:t>
            </w:r>
          </w:p>
        </w:tc>
        <w:tc>
          <w:tcPr>
            <w:tcW w:w="1656" w:type="dxa"/>
            <w:tcBorders/>
            <w:shd w:color="auto" w:fill="C1F0C7" w:themeFill="accent3"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Within 4 weeks</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3" w:type="dxa"/>
            <w:tcBorders>
              <w:end w:val="nil"/>
            </w:tcBorders>
            <w:shd w:color="auto" w:fill="196B24" w:themeFill="accent3"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Improve strategic synthesis</w:t>
            </w:r>
          </w:p>
        </w:tc>
        <w:tc>
          <w:tcPr>
            <w:tcW w:w="2815"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connect each framework directly to the final recommendation</w:t>
            </w:r>
          </w:p>
        </w:tc>
        <w:tc>
          <w:tcPr>
            <w:tcW w:w="2592"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Every recommendation linked to supporting evidence</w:t>
            </w:r>
          </w:p>
        </w:tc>
        <w:tc>
          <w:tcPr>
            <w:tcW w:w="1656"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Next report</w:t>
            </w:r>
          </w:p>
        </w:tc>
      </w:tr>
      <w:tr>
        <w:trPr/>
        <w:tc>
          <w:tcPr>
            <w:cnfStyle w:val="001000000000" w:firstRow="0" w:lastRow="0" w:firstColumn="1" w:lastColumn="0" w:oddVBand="0" w:evenVBand="0" w:oddHBand="0" w:evenHBand="0" w:firstRowFirstColumn="0" w:firstRowLastColumn="0" w:lastRowFirstColumn="0" w:lastRowLastColumn="0"/>
            <w:tcW w:w="1953" w:type="dxa"/>
            <w:tcBorders>
              <w:end w:val="nil"/>
            </w:tcBorders>
            <w:shd w:color="auto" w:fill="196B24" w:themeFill="accent3"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Reduce unnecessary information</w:t>
            </w:r>
          </w:p>
        </w:tc>
        <w:tc>
          <w:tcPr>
            <w:tcW w:w="2815" w:type="dxa"/>
            <w:tcBorders/>
            <w:shd w:color="auto" w:fill="C1F0C7" w:themeFill="accent3"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assess the relevance of each source before including it</w:t>
            </w:r>
          </w:p>
        </w:tc>
        <w:tc>
          <w:tcPr>
            <w:tcW w:w="2592" w:type="dxa"/>
            <w:tcBorders/>
            <w:shd w:color="auto" w:fill="C1F0C7" w:themeFill="accent3"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Remove information that does not support the research question</w:t>
            </w:r>
          </w:p>
        </w:tc>
        <w:tc>
          <w:tcPr>
            <w:tcW w:w="1656" w:type="dxa"/>
            <w:tcBorders/>
            <w:shd w:color="auto" w:fill="C1F0C7" w:themeFill="accent3" w:themeFillTint="33" w:val="clear"/>
          </w:tcPr>
          <w:p>
            <w:pPr>
              <w:pStyle w:val="NoSpacing"/>
              <w:widowControl/>
              <w:spacing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Throughout next assignment</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3" w:type="dxa"/>
            <w:tcBorders>
              <w:end w:val="nil"/>
            </w:tcBorders>
            <w:shd w:color="auto" w:fill="196B24" w:themeFill="accent3" w:val="clear"/>
          </w:tcPr>
          <w:p>
            <w:pPr>
              <w:pStyle w:val="NoSpacing"/>
              <w:widowControl/>
              <w:spacing w:before="0" w:after="0"/>
              <w:rPr>
                <w:rFonts w:ascii="Arial" w:hAnsi="Arial" w:cs="Arial"/>
                <w:lang w:val="en-IN"/>
              </w:rPr>
            </w:pPr>
            <w:r>
              <w:rPr>
                <w:rFonts w:eastAsia="Aptos" w:cs="Arial" w:ascii="Arial" w:hAnsi="Arial"/>
                <w:b/>
                <w:bCs/>
                <w:color w:themeColor="background1" w:val="FFFFFF"/>
                <w:kern w:val="0"/>
                <w:szCs w:val="22"/>
                <w:lang w:val="en-IN" w:eastAsia="en-US" w:bidi="ar-SA"/>
              </w:rPr>
              <w:t>Develop reflective practice</w:t>
            </w:r>
          </w:p>
        </w:tc>
        <w:tc>
          <w:tcPr>
            <w:tcW w:w="2815"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keep short weekly notes about my feelings, difficulties, decisions and learning</w:t>
            </w:r>
          </w:p>
        </w:tc>
        <w:tc>
          <w:tcPr>
            <w:tcW w:w="2592"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One reflection entry per week</w:t>
            </w:r>
          </w:p>
        </w:tc>
        <w:tc>
          <w:tcPr>
            <w:tcW w:w="1656" w:type="dxa"/>
            <w:tcBorders/>
            <w:shd w:color="auto" w:fill="84E290" w:themeFill="accent3" w:themeFillTint="66" w:val="clear"/>
          </w:tcPr>
          <w:p>
            <w:pPr>
              <w:pStyle w:val="NoSpacing"/>
              <w:widowControl/>
              <w:spacing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From the next assignment</w:t>
            </w:r>
          </w:p>
        </w:tc>
      </w:tr>
    </w:tbl>
    <w:p>
      <w:pPr>
        <w:pStyle w:val="Normal"/>
        <w:spacing w:lineRule="auto" w:line="259" w:before="0" w:after="160"/>
        <w:jc w:val="start"/>
        <w:rPr>
          <w:lang w:val="en-IN"/>
        </w:rPr>
      </w:pPr>
      <w:r>
        <w:rPr>
          <w:lang w:val="en-IN"/>
        </w:rPr>
      </w:r>
      <w:r>
        <w:br w:type="page"/>
      </w:r>
    </w:p>
    <w:p>
      <w:pPr>
        <w:pStyle w:val="Heading1"/>
        <w:spacing w:before="0" w:after="120"/>
        <w:rPr>
          <w:lang w:val="en-IN"/>
        </w:rPr>
      </w:pPr>
      <w:bookmarkStart w:id="30" w:name="_Toc237394592"/>
      <w:r>
        <w:rPr>
          <w:lang w:val="en-IN"/>
        </w:rPr>
        <w:t>REFERENCES</w:t>
      </w:r>
      <w:bookmarkEnd w:id="30"/>
    </w:p>
    <w:p>
      <w:pPr>
        <w:pStyle w:val="Normal"/>
        <w:rPr>
          <w:lang w:val="en-IN"/>
        </w:rPr>
      </w:pPr>
      <w:r>
        <w:rPr/>
        <w:t>Alam, M.W., Kumar, J.V., Awad, M., Saravanan, P., Al</w:t>
      </w:r>
      <w:r>
        <w:rPr>
          <w:rFonts w:cs="Cambria Math" w:ascii="Cambria Math" w:hAnsi="Cambria Math"/>
        </w:rPr>
        <w:t>‐</w:t>
      </w:r>
      <w:r>
        <w:rPr/>
        <w:t>Sowayan, N.S., Rosaiah, P. and Nivetha, M.S., 2025. Emerging trends in food process engineering: integrating sensing technologies for health, sustainability, and consumer preferences.</w:t>
      </w:r>
      <w:r>
        <w:rPr>
          <w:rFonts w:cs="Arial"/>
        </w:rPr>
        <w:t> </w:t>
      </w:r>
      <w:r>
        <w:rPr>
          <w:i/>
          <w:iCs/>
        </w:rPr>
        <w:t>Journal of Food Process Engineering</w:t>
      </w:r>
      <w:r>
        <w:rPr/>
        <w:t>, </w:t>
      </w:r>
      <w:r>
        <w:rPr>
          <w:i/>
          <w:iCs/>
        </w:rPr>
        <w:t>48</w:t>
      </w:r>
      <w:r>
        <w:rPr/>
        <w:t>(1), p.e70035.</w:t>
      </w:r>
    </w:p>
    <w:p>
      <w:pPr>
        <w:pStyle w:val="Normal"/>
        <w:rPr/>
      </w:pPr>
      <w:r>
        <w:rPr/>
        <w:t>Ashenfelter, O. and Jurajda, Š., 2022. Minimum wages, wages, and price pass-through: The case of McDonald’s restaurants. </w:t>
      </w:r>
      <w:r>
        <w:rPr>
          <w:i/>
          <w:iCs/>
        </w:rPr>
        <w:t>Journal of Labor Economics</w:t>
      </w:r>
      <w:r>
        <w:rPr/>
        <w:t>, </w:t>
      </w:r>
      <w:r>
        <w:rPr>
          <w:i/>
          <w:iCs/>
        </w:rPr>
        <w:t>40</w:t>
      </w:r>
      <w:r>
        <w:rPr/>
        <w:t>(S1), pp.S179-S201.</w:t>
      </w:r>
    </w:p>
    <w:p>
      <w:pPr>
        <w:pStyle w:val="Normal"/>
        <w:rPr/>
      </w:pPr>
      <w:r>
        <w:rPr/>
        <w:t>Bhat, M., Agrawal, A. and Barmpas, M.V., 2024. Differentiation, cost leadership, or ending up in the middle?: a reflection on the viability of Porter's generic strategies through a case study comparison of McDonalds and Starbucks. </w:t>
      </w:r>
      <w:r>
        <w:rPr>
          <w:i/>
          <w:iCs/>
        </w:rPr>
        <w:t>Athens journal of business &amp; economics</w:t>
      </w:r>
      <w:r>
        <w:rPr/>
        <w:t>, </w:t>
      </w:r>
      <w:r>
        <w:rPr>
          <w:i/>
          <w:iCs/>
        </w:rPr>
        <w:t>10</w:t>
      </w:r>
      <w:r>
        <w:rPr/>
        <w:t>(3), pp.217-238.</w:t>
      </w:r>
    </w:p>
    <w:p>
      <w:pPr>
        <w:pStyle w:val="Normal"/>
        <w:rPr/>
      </w:pPr>
      <w:r>
        <w:rPr/>
        <w:t>Bolton, B. and Park, J., 2022. Social impact as corporate strategy: responsibility and opportunity. </w:t>
      </w:r>
      <w:r>
        <w:rPr>
          <w:i/>
          <w:iCs/>
        </w:rPr>
        <w:t>Cogent Business &amp; Management</w:t>
      </w:r>
      <w:r>
        <w:rPr/>
        <w:t>, </w:t>
      </w:r>
      <w:r>
        <w:rPr>
          <w:i/>
          <w:iCs/>
        </w:rPr>
        <w:t>9</w:t>
      </w:r>
      <w:r>
        <w:rPr/>
        <w:t>(1), p.2111035.</w:t>
      </w:r>
    </w:p>
    <w:p>
      <w:pPr>
        <w:pStyle w:val="Normal"/>
        <w:rPr/>
      </w:pPr>
      <w:r>
        <w:rPr/>
        <w:t xml:space="preserve">Bone, J., Beloe, P., Bunting, T., Davies, E., Eastaugh, A., Parkin, K. and Barber, J. (2026) </w:t>
      </w:r>
      <w:r>
        <w:rPr>
          <w:i/>
          <w:iCs/>
        </w:rPr>
        <w:t>Mind the gaps: why restrictions on less healthy food and drink advertising fall short</w:t>
      </w:r>
      <w:r>
        <w:rPr/>
        <w:t xml:space="preserve">. Nesta, 11 March. Available at: </w:t>
      </w:r>
      <w:hyperlink r:id="rId7">
        <w:r>
          <w:rPr>
            <w:rStyle w:val="Hyperlink"/>
          </w:rPr>
          <w:t>https://www.nesta.org.uk/report/mind-the-gaps-food-advertising/</w:t>
        </w:r>
      </w:hyperlink>
    </w:p>
    <w:p>
      <w:pPr>
        <w:pStyle w:val="Normal"/>
        <w:rPr/>
      </w:pPr>
      <w:r>
        <w:rPr/>
        <w:t>da Silva Ramos, G., 2020. </w:t>
      </w:r>
      <w:r>
        <w:rPr>
          <w:i/>
          <w:iCs/>
        </w:rPr>
        <w:t>McDonald´ s Inc-Leading the QSR Industry at All Velocity</w:t>
      </w:r>
      <w:r>
        <w:rPr/>
        <w:t> (Master's thesis, Universidade NOVA de Lisboa (Portugal)).</w:t>
      </w:r>
    </w:p>
    <w:p>
      <w:pPr>
        <w:pStyle w:val="Normal"/>
        <w:rPr/>
      </w:pPr>
      <w:r>
        <w:rPr/>
        <w:t>Dong, D.A., Anandan, P., Kushwah, D., Choudhary, D., Jain, A., Maron10, A.R., Musyaffa11, S. and Kee12, D.M.H., 2024. Analysis of the Factors Affecting Customer Preference Towards McDonald’s.</w:t>
      </w:r>
    </w:p>
    <w:p>
      <w:pPr>
        <w:pStyle w:val="Normal"/>
        <w:rPr>
          <w:lang w:val="en-IN"/>
        </w:rPr>
      </w:pPr>
      <w:r>
        <w:rPr>
          <w:lang w:val="en-IN"/>
        </w:rPr>
        <w:t xml:space="preserve">Gov UK, 2026. </w:t>
      </w:r>
      <w:r>
        <w:rPr>
          <w:i/>
          <w:iCs/>
          <w:lang w:val="en-IN"/>
        </w:rPr>
        <w:t>National Living Wage increases to £12.71 per hour.</w:t>
      </w:r>
      <w:r>
        <w:rPr>
          <w:lang w:val="en-IN"/>
        </w:rPr>
        <w:t xml:space="preserve"> [online] available at </w:t>
      </w:r>
      <w:hyperlink r:id="rId8">
        <w:r>
          <w:rPr>
            <w:rStyle w:val="Hyperlink"/>
            <w:lang w:val="en-IN"/>
          </w:rPr>
          <w:t>https://www.gov.uk/government/news/national-living-wage-increases-to-1271-per-hour</w:t>
        </w:r>
      </w:hyperlink>
    </w:p>
    <w:p>
      <w:pPr>
        <w:pStyle w:val="Normal"/>
        <w:rPr>
          <w:lang w:val="en-IN"/>
        </w:rPr>
      </w:pPr>
      <w:r>
        <w:rPr/>
        <w:t>Gowland, M.H. and Walker, M.J., 2022. The forensic implications of food hypersensitivity–a review of cases in United Kingdom courts: January 2014–February 2020. </w:t>
      </w:r>
      <w:r>
        <w:rPr>
          <w:i/>
          <w:iCs/>
        </w:rPr>
        <w:t>Perspectives in Public Health</w:t>
      </w:r>
      <w:r>
        <w:rPr/>
        <w:t>, </w:t>
      </w:r>
      <w:r>
        <w:rPr>
          <w:i/>
          <w:iCs/>
        </w:rPr>
        <w:t>142</w:t>
      </w:r>
      <w:r>
        <w:rPr/>
        <w:t>(6), pp.347-354.</w:t>
      </w:r>
    </w:p>
    <w:p>
      <w:pPr>
        <w:pStyle w:val="Normal"/>
        <w:rPr>
          <w:lang w:val="en-IN"/>
        </w:rPr>
      </w:pPr>
      <w:r>
        <w:rPr/>
        <w:t>Hirth, S., Boons, F. and Doherty, B., 2021. Unpacking food to go: Packaging and food waste of on the go provisioning practices in the UK. </w:t>
      </w:r>
      <w:r>
        <w:rPr>
          <w:i/>
          <w:iCs/>
        </w:rPr>
        <w:t>Geoforum</w:t>
      </w:r>
      <w:r>
        <w:rPr/>
        <w:t>, </w:t>
      </w:r>
      <w:r>
        <w:rPr>
          <w:i/>
          <w:iCs/>
        </w:rPr>
        <w:t>126</w:t>
      </w:r>
      <w:r>
        <w:rPr/>
        <w:t>, pp.115-125.</w:t>
      </w:r>
    </w:p>
    <w:p>
      <w:pPr>
        <w:pStyle w:val="Normal"/>
        <w:rPr/>
      </w:pPr>
      <w:r>
        <w:rPr/>
        <w:t>Hoenink, J., Cerny, C., Mahoney, C. and Pajda, N., 2024. Fuel us, don't fool us: Big Food &amp; Our Communities: Where are food chains expanding?(Out-of-home# 1).</w:t>
      </w:r>
    </w:p>
    <w:p>
      <w:pPr>
        <w:pStyle w:val="Normal"/>
        <w:rPr/>
      </w:pPr>
      <w:r>
        <w:rPr/>
        <w:t>Mailani, D., Hulu, M.Z.T., Simamora, M.R. and Kesuma, S.A., 2024. Resource-based view theory to achieve a sustainable competitive advantage of the firm: Systematic literature review. </w:t>
      </w:r>
      <w:r>
        <w:rPr>
          <w:i/>
          <w:iCs/>
        </w:rPr>
        <w:t>International Journal of Entrepreneurship and Sustainability Studies</w:t>
      </w:r>
      <w:r>
        <w:rPr/>
        <w:t>, </w:t>
      </w:r>
      <w:r>
        <w:rPr>
          <w:i/>
          <w:iCs/>
        </w:rPr>
        <w:t>4</w:t>
      </w:r>
      <w:r>
        <w:rPr/>
        <w:t>(1), p.1.</w:t>
      </w:r>
    </w:p>
    <w:p>
      <w:pPr>
        <w:pStyle w:val="Normal"/>
        <w:rPr>
          <w:lang w:val="en-IN"/>
        </w:rPr>
      </w:pPr>
      <w:r>
        <w:rPr>
          <w:lang w:val="en-IN"/>
        </w:rPr>
        <w:t xml:space="preserve">McDonalds, 2024. </w:t>
      </w:r>
      <w:r>
        <w:rPr>
          <w:i/>
          <w:iCs/>
          <w:lang w:val="en-IN"/>
        </w:rPr>
        <w:t>MCDONALD’S TO INVEST £1 BILLION AND CREATE OVER 24,000 JOBS ACROSS THE UK IN NEXT FOUR YEARS.</w:t>
      </w:r>
      <w:r>
        <w:rPr>
          <w:lang w:val="en-IN"/>
        </w:rPr>
        <w:t xml:space="preserve"> [online] available at </w:t>
      </w:r>
      <w:hyperlink r:id="rId9">
        <w:r>
          <w:rPr>
            <w:rStyle w:val="Hyperlink"/>
            <w:lang w:val="en-IN"/>
          </w:rPr>
          <w:t>https://www.mcdonalds.com/gb/en-gb/newsroom/article/50th-social-and-economic-impact-report.html</w:t>
        </w:r>
      </w:hyperlink>
    </w:p>
    <w:p>
      <w:pPr>
        <w:pStyle w:val="Normal"/>
        <w:rPr/>
      </w:pPr>
      <w:r>
        <w:rPr/>
        <w:t xml:space="preserve">McDonalds, 2025. </w:t>
      </w:r>
      <w:r>
        <w:rPr>
          <w:i/>
          <w:iCs/>
        </w:rPr>
        <w:t>Delivering more choice.</w:t>
      </w:r>
      <w:r>
        <w:rPr/>
        <w:t xml:space="preserve"> [online] available at </w:t>
      </w:r>
      <w:hyperlink r:id="rId10">
        <w:r>
          <w:rPr>
            <w:rStyle w:val="Hyperlink"/>
          </w:rPr>
          <w:t>https://www.mcdonalds.com/gb/en-gb/our-plan-for-change/food/delivering-more-choice.html</w:t>
        </w:r>
      </w:hyperlink>
    </w:p>
    <w:p>
      <w:pPr>
        <w:pStyle w:val="Normal"/>
        <w:rPr>
          <w:lang w:val="en-IN"/>
        </w:rPr>
      </w:pPr>
      <w:r>
        <w:rPr>
          <w:lang w:val="en-IN"/>
        </w:rPr>
        <w:t xml:space="preserve">McDonalds, 2026. </w:t>
      </w:r>
      <w:r>
        <w:rPr>
          <w:i/>
          <w:iCs/>
          <w:lang w:val="en-IN"/>
        </w:rPr>
        <w:t>NEWSROOM.</w:t>
      </w:r>
      <w:r>
        <w:rPr>
          <w:lang w:val="en-IN"/>
        </w:rPr>
        <w:t xml:space="preserve"> [online] available at </w:t>
      </w:r>
      <w:hyperlink r:id="rId11">
        <w:r>
          <w:rPr>
            <w:rStyle w:val="Hyperlink"/>
            <w:lang w:val="en-IN"/>
          </w:rPr>
          <w:t>https://www.mcdonalds.com/gb/en-gb/newsroom/history.html</w:t>
        </w:r>
      </w:hyperlink>
    </w:p>
    <w:p>
      <w:pPr>
        <w:pStyle w:val="Normal"/>
        <w:rPr>
          <w:lang w:val="en-IN"/>
        </w:rPr>
      </w:pPr>
      <w:r>
        <w:rPr>
          <w:lang w:val="en-IN"/>
        </w:rPr>
        <w:t xml:space="preserve">McDonalds, 2026a. </w:t>
      </w:r>
      <w:r>
        <w:rPr>
          <w:i/>
          <w:iCs/>
          <w:lang w:val="en-IN"/>
        </w:rPr>
        <w:t>The detail behind our Plan.</w:t>
      </w:r>
      <w:r>
        <w:rPr>
          <w:lang w:val="en-IN"/>
        </w:rPr>
        <w:t xml:space="preserve"> [online] available at </w:t>
      </w:r>
      <w:hyperlink r:id="rId12">
        <w:r>
          <w:rPr>
            <w:rStyle w:val="Hyperlink"/>
            <w:lang w:val="en-IN"/>
          </w:rPr>
          <w:t>https://www.mcdonalds.com/gb/en-gb/our-plan-for-change/our-plan.html</w:t>
        </w:r>
      </w:hyperlink>
    </w:p>
    <w:p>
      <w:pPr>
        <w:pStyle w:val="Normal"/>
        <w:rPr>
          <w:lang w:val="en-IN"/>
        </w:rPr>
      </w:pPr>
      <w:r>
        <w:rPr>
          <w:lang w:val="en-IN"/>
        </w:rPr>
        <w:t xml:space="preserve">McDonalds, 2026b. </w:t>
      </w:r>
      <w:r>
        <w:rPr>
          <w:i/>
          <w:iCs/>
          <w:lang w:val="en-IN"/>
        </w:rPr>
        <w:t>Learn how to use MyMcDonald’s Rewards.</w:t>
      </w:r>
      <w:r>
        <w:rPr>
          <w:lang w:val="en-IN"/>
        </w:rPr>
        <w:t xml:space="preserve"> [online] available at </w:t>
      </w:r>
      <w:hyperlink r:id="rId13">
        <w:r>
          <w:rPr>
            <w:rStyle w:val="Hyperlink"/>
            <w:lang w:val="en-IN"/>
          </w:rPr>
          <w:t>https://www.mcdonalds.com/gb/en-gb/good-to-know/in-our-restaurants/my-mcdonalds-app/rewards.html</w:t>
        </w:r>
      </w:hyperlink>
    </w:p>
    <w:p>
      <w:pPr>
        <w:pStyle w:val="Normal"/>
        <w:rPr/>
      </w:pPr>
      <w:r>
        <w:rPr/>
        <w:t xml:space="preserve">McDonalds, 2026c. Our commitment and goals. [online] available at </w:t>
      </w:r>
      <w:hyperlink r:id="rId14">
        <w:r>
          <w:rPr>
            <w:rStyle w:val="Hyperlink"/>
          </w:rPr>
          <w:t>https://www.mcdonalds.com/gb/en-gb/good-to-know/in-our-restaurants/my-mcdonalds-app/rewards.html</w:t>
        </w:r>
      </w:hyperlink>
    </w:p>
    <w:p>
      <w:pPr>
        <w:pStyle w:val="Normal"/>
        <w:rPr/>
      </w:pPr>
      <w:r>
        <w:rPr/>
        <w:t xml:space="preserve">McDonalds, 2026d. </w:t>
      </w:r>
      <w:r>
        <w:rPr>
          <w:i/>
          <w:iCs/>
        </w:rPr>
        <w:t>The Financials.</w:t>
      </w:r>
      <w:r>
        <w:rPr/>
        <w:t xml:space="preserve"> [online] available at </w:t>
      </w:r>
      <w:hyperlink r:id="rId15">
        <w:r>
          <w:rPr>
            <w:rStyle w:val="Hyperlink"/>
          </w:rPr>
          <w:t>https://www.mcdonalds.com/gb/en-gb/franchising/the-financials.html</w:t>
        </w:r>
      </w:hyperlink>
    </w:p>
    <w:p>
      <w:pPr>
        <w:pStyle w:val="Normal"/>
        <w:rPr/>
      </w:pPr>
      <w:r>
        <w:rPr/>
        <w:t>Nawangwulan, I.M., Anantadjaya, S.P. and Rachmat, T.A., 2025. Learning of McDonald's operation management and consumer behavior analysis: a qualitative study. </w:t>
      </w:r>
      <w:r>
        <w:rPr>
          <w:i/>
          <w:iCs/>
        </w:rPr>
        <w:t>International Journal of Engineering, Science and Information Technology</w:t>
      </w:r>
      <w:r>
        <w:rPr/>
        <w:t>, </w:t>
      </w:r>
      <w:r>
        <w:rPr>
          <w:i/>
          <w:iCs/>
        </w:rPr>
        <w:t>5</w:t>
      </w:r>
      <w:r>
        <w:rPr/>
        <w:t>(1), p.1.</w:t>
      </w:r>
    </w:p>
    <w:p>
      <w:pPr>
        <w:pStyle w:val="Normal"/>
        <w:rPr>
          <w:lang w:val="en-IN"/>
        </w:rPr>
      </w:pPr>
      <w:r>
        <w:rPr>
          <w:lang w:val="en-IN"/>
        </w:rPr>
        <w:t xml:space="preserve">ONS Gov UK, 2026. </w:t>
      </w:r>
      <w:r>
        <w:rPr>
          <w:i/>
          <w:iCs/>
          <w:lang w:val="en-IN"/>
        </w:rPr>
        <w:t>Consumer price inflation, UK: April 2026.</w:t>
      </w:r>
      <w:r>
        <w:rPr>
          <w:lang w:val="en-IN"/>
        </w:rPr>
        <w:t xml:space="preserve"> [online] available at </w:t>
      </w:r>
      <w:hyperlink r:id="rId16">
        <w:r>
          <w:rPr>
            <w:rStyle w:val="Hyperlink"/>
            <w:lang w:val="en-IN"/>
          </w:rPr>
          <w:t>https://www.ons.gov.uk/economy/inflationandpriceindices/bulletins/consumerpriceinflation/april2026</w:t>
        </w:r>
      </w:hyperlink>
    </w:p>
    <w:p>
      <w:pPr>
        <w:pStyle w:val="Normal"/>
        <w:rPr/>
      </w:pPr>
      <w:r>
        <w:rPr/>
        <w:t>Panda, S., Pandey, S.C., Paswan, A.K. and Pelton, L.E., 2023. Opportunism in an emerging market–franchisee perspective. </w:t>
      </w:r>
      <w:r>
        <w:rPr>
          <w:i/>
          <w:iCs/>
        </w:rPr>
        <w:t>Journal of Business &amp; Industrial Marketing</w:t>
      </w:r>
      <w:r>
        <w:rPr/>
        <w:t>, </w:t>
      </w:r>
      <w:r>
        <w:rPr>
          <w:i/>
          <w:iCs/>
        </w:rPr>
        <w:t>38</w:t>
      </w:r>
      <w:r>
        <w:rPr/>
        <w:t>(10), pp.2092-2106.</w:t>
      </w:r>
    </w:p>
    <w:p>
      <w:pPr>
        <w:pStyle w:val="Normal"/>
        <w:rPr/>
      </w:pPr>
      <w:r>
        <w:rPr/>
        <w:t>Pasaribu, E.M. and Ellitan, L., 2025. A Review of the Strategic Role of Supply Chain Management for Developing Competitive Advantage. </w:t>
      </w:r>
      <w:r>
        <w:rPr>
          <w:i/>
          <w:iCs/>
        </w:rPr>
        <w:t>International Journal of Research</w:t>
      </w:r>
      <w:r>
        <w:rPr/>
        <w:t>, </w:t>
      </w:r>
      <w:r>
        <w:rPr>
          <w:i/>
          <w:iCs/>
        </w:rPr>
        <w:t>12</w:t>
      </w:r>
      <w:r>
        <w:rPr/>
        <w:t>(1), pp.383-396.</w:t>
      </w:r>
    </w:p>
    <w:p>
      <w:pPr>
        <w:pStyle w:val="Normal"/>
        <w:rPr/>
      </w:pPr>
      <w:r>
        <w:rPr/>
        <w:t>Rani, J., 2023. Exploring McDonald', adaotation to changing consumer preferences and trends.</w:t>
      </w:r>
    </w:p>
    <w:p>
      <w:pPr>
        <w:pStyle w:val="Normal"/>
        <w:rPr>
          <w:lang w:val="en-IN"/>
        </w:rPr>
      </w:pPr>
      <w:r>
        <w:rPr/>
        <w:t>Roggeveen, A.L. and Sethuraman, R., 2020. Customer-interfacing retail technologies in 2020 &amp; beyond: An integrative framework and research directions. </w:t>
      </w:r>
      <w:r>
        <w:rPr>
          <w:i/>
          <w:iCs/>
        </w:rPr>
        <w:t>Journal of retailing</w:t>
      </w:r>
      <w:r>
        <w:rPr/>
        <w:t>, </w:t>
      </w:r>
      <w:r>
        <w:rPr>
          <w:i/>
          <w:iCs/>
        </w:rPr>
        <w:t>96</w:t>
      </w:r>
      <w:r>
        <w:rPr/>
        <w:t>(3), pp.299-309.</w:t>
      </w:r>
    </w:p>
    <w:p>
      <w:pPr>
        <w:pStyle w:val="Normal"/>
        <w:rPr/>
      </w:pPr>
      <w:r>
        <w:rPr/>
        <w:t>Scott, L. and Ensaff, H., 2022. COVID-19 and the national lockdown: how food choice and dietary habits changed for families in the United Kingdom. </w:t>
      </w:r>
      <w:r>
        <w:rPr>
          <w:i/>
          <w:iCs/>
        </w:rPr>
        <w:t>Frontiers in Nutrition</w:t>
      </w:r>
      <w:r>
        <w:rPr/>
        <w:t>, </w:t>
      </w:r>
      <w:r>
        <w:rPr>
          <w:i/>
          <w:iCs/>
        </w:rPr>
        <w:t>9</w:t>
      </w:r>
      <w:r>
        <w:rPr/>
        <w:t>, p.847547.</w:t>
      </w:r>
    </w:p>
    <w:p>
      <w:pPr>
        <w:pStyle w:val="Normal"/>
        <w:rPr/>
      </w:pPr>
      <w:r>
        <w:rPr/>
        <w:t>Stoltze, F.M., Correa, T., Aguilar, C.L.C., Taillie, L.S., Reyes, M. and Carpentier, F.R.D., 2024. Beverage industry TV advertising shifts after a stepwise mandatory food marketing restriction: achievements and challenges with regulating the food marketing environment. </w:t>
      </w:r>
      <w:r>
        <w:rPr>
          <w:i/>
          <w:iCs/>
        </w:rPr>
        <w:t>Public Health Nutrition</w:t>
      </w:r>
      <w:r>
        <w:rPr/>
        <w:t>, </w:t>
      </w:r>
      <w:r>
        <w:rPr>
          <w:i/>
          <w:iCs/>
        </w:rPr>
        <w:t>27</w:t>
      </w:r>
      <w:r>
        <w:rPr/>
        <w:t>(1), p.e26.</w:t>
      </w:r>
    </w:p>
    <w:p>
      <w:pPr>
        <w:pStyle w:val="Normal"/>
        <w:rPr>
          <w:lang w:val="en-IN"/>
        </w:rPr>
      </w:pPr>
      <w:r>
        <w:rPr/>
        <w:t>Tian, H., 2022, December. Explore the Marketing Strategy of McDonald's After Digital Transformation. In </w:t>
      </w:r>
      <w:r>
        <w:rPr>
          <w:i/>
          <w:iCs/>
        </w:rPr>
        <w:t>2022 2nd International Conference on Economic Development and Business Culture (ICEDBC 2022)</w:t>
      </w:r>
      <w:r>
        <w:rPr/>
        <w:t> (pp. 447-451). Atlantis Press.</w:t>
      </w:r>
    </w:p>
    <w:p>
      <w:pPr>
        <w:pStyle w:val="Normal"/>
        <w:rPr/>
      </w:pPr>
      <w:r>
        <w:rPr/>
        <w:t>Wu, F., 2020. An Analysis of McDonald’s Business Model Based on Business Ecosystem Theory. In </w:t>
      </w:r>
      <w:r>
        <w:rPr>
          <w:i/>
          <w:iCs/>
        </w:rPr>
        <w:t>RSU International Research Conference</w:t>
      </w:r>
      <w:r>
        <w:rPr/>
        <w:t> (Vol. 1, pp. 1756-1763).</w:t>
      </w:r>
    </w:p>
    <w:p>
      <w:pPr>
        <w:pStyle w:val="Normal"/>
        <w:rPr/>
      </w:pPr>
      <w:r>
        <w:rPr/>
        <w:t>Zhang, D., Meng, S. and Wang, Y., 2025. Impact Analysis of Price Promotion Strategies on Consumer Purchase Patterns in Fast-Moving Consumer Goods Retail. </w:t>
      </w:r>
      <w:r>
        <w:rPr>
          <w:i/>
          <w:iCs/>
        </w:rPr>
        <w:t>Academia Nexus Journal</w:t>
      </w:r>
      <w:r>
        <w:rPr/>
        <w:t>, </w:t>
      </w:r>
      <w:r>
        <w:rPr>
          <w:i/>
          <w:iCs/>
        </w:rPr>
        <w:t>4</w:t>
      </w:r>
      <w:r>
        <w:rPr/>
        <w:t>(1).</w:t>
      </w:r>
    </w:p>
    <w:p>
      <w:pPr>
        <w:pStyle w:val="Normal"/>
        <w:spacing w:before="120" w:after="120"/>
        <w:rPr>
          <w:lang w:val="en-US"/>
        </w:rPr>
      </w:pPr>
      <w:r>
        <w:rPr>
          <w:lang w:val="en-US"/>
        </w:rPr>
      </w:r>
    </w:p>
    <w:sectPr>
      <w:footerReference w:type="even" r:id="rId17"/>
      <w:footerReference w:type="default" r:id="rId18"/>
      <w:footerReference w:type="first" r:id="rId19"/>
      <w:type w:val="nextPage"/>
      <w:pgSz w:w="11906" w:h="16838"/>
      <w:pgMar w:left="1440" w:right="1440" w:gutter="0" w:header="0" w:top="1440" w:footer="708" w:bottom="1440"/>
      <w:pgBorders w:display="allPages" w:offsetFrom="page">
        <w:top w:val="double" w:sz="4" w:space="24" w:color="000000"/>
        <w:left w:val="double" w:sz="4" w:space="24" w:color="000000"/>
        <w:bottom w:val="double" w:sz="4" w:space="24" w:color="000000"/>
        <w:right w:val="double" w:sz="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w:charset w:val="00" w:characterSet="windows-1252"/>
    <w:family w:val="swiss"/>
    <w:pitch w:val="variable"/>
  </w:font>
  <w:font w:name="Aptos Display">
    <w:charset w:val="00" w:characterSet="windows-1252"/>
    <w:family w:val="roman"/>
    <w:pitch w:val="variable"/>
  </w:font>
  <w:font w:name="Liberation Sans">
    <w:altName w:val="Arial"/>
    <w:charset w:val="00" w:characterSet="windows-1252"/>
    <w:family w:val="swiss"/>
    <w:pitch w:val="variable"/>
  </w:font>
  <w:font w:name="Aptos Display">
    <w:charset w:val="00" w:characterSet="windows-1252"/>
    <w:family w:val="swiss"/>
    <w:pitch w:val="variable"/>
  </w:font>
  <w:font w:name="Cambria Math">
    <w:charset w:val="00" w:characterSet="windows-1252"/>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708370363"/>
      <w:docPartObj>
        <w:docPartGallery w:val="Page Numbers (Bottom of Page)"/>
        <w:docPartUnique w:val="true"/>
      </w:docPartObj>
    </w:sdtPr>
    <w:sdtContent>
      <w:p>
        <w:pPr>
          <w:pStyle w:val="Footer"/>
          <w:pBdr>
            <w:top w:val="single" w:sz="4" w:space="1" w:color="D9D9D9" w:themeColor="light1" w:themeShade="d9"/>
          </w:pBdr>
          <w:rPr>
            <w:b/>
            <w:bCs/>
          </w:rPr>
        </w:pPr>
        <w:r>
          <w:rPr/>
          <w:fldChar w:fldCharType="begin"/>
        </w:r>
        <w:r>
          <w:rPr/>
          <w:instrText xml:space="preserve"> PAGE </w:instrText>
        </w:r>
        <w:r>
          <w:rPr/>
          <w:fldChar w:fldCharType="separate"/>
        </w:r>
        <w:r>
          <w:rPr/>
          <w:t>26</w:t>
        </w:r>
        <w:r>
          <w:rPr/>
          <w:fldChar w:fldCharType="end"/>
        </w:r>
        <w:r>
          <w:rPr>
            <w:b/>
            <w:bCs/>
          </w:rPr>
          <w:t xml:space="preserve"> </w:t>
        </w:r>
        <w:r>
          <w:rPr>
            <w:b/>
            <w:bCs/>
          </w:rPr>
          <w:t xml:space="preserve">| </w:t>
        </w:r>
        <w:r>
          <w:rPr>
            <w:color w:themeColor="background1" w:themeShade="7f" w:val="7F7F7F"/>
            <w:spacing w:val="60"/>
          </w:rPr>
          <w:t>Page</w:t>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708370363"/>
      <w:docPartObj>
        <w:docPartGallery w:val="Page Numbers (Bottom of Page)"/>
        <w:docPartUnique w:val="true"/>
      </w:docPartObj>
    </w:sdtPr>
    <w:sdtContent>
      <w:p>
        <w:pPr>
          <w:pStyle w:val="Footer"/>
          <w:pBdr>
            <w:top w:val="single" w:sz="4" w:space="1" w:color="D9D9D9" w:themeColor="light1" w:themeShade="d9"/>
          </w:pBdr>
          <w:rPr>
            <w:b/>
            <w:bCs/>
          </w:rPr>
        </w:pPr>
        <w:r>
          <w:rPr/>
          <w:fldChar w:fldCharType="begin"/>
        </w:r>
        <w:r>
          <w:rPr/>
          <w:instrText xml:space="preserve"> PAGE </w:instrText>
        </w:r>
        <w:r>
          <w:rPr/>
          <w:fldChar w:fldCharType="separate"/>
        </w:r>
        <w:r>
          <w:rPr/>
          <w:t>26</w:t>
        </w:r>
        <w:r>
          <w:rPr/>
          <w:fldChar w:fldCharType="end"/>
        </w:r>
        <w:r>
          <w:rPr>
            <w:b/>
            <w:bCs/>
          </w:rPr>
          <w:t xml:space="preserve"> </w:t>
        </w:r>
        <w:r>
          <w:rPr>
            <w:b/>
            <w:bCs/>
          </w:rPr>
          <w:t xml:space="preserve">| </w:t>
        </w:r>
        <w:r>
          <w:rPr>
            <w:color w:themeColor="background1" w:themeShade="7f" w:val="7F7F7F"/>
            <w:spacing w:val="60"/>
          </w:rPr>
          <w:t>Page</w:t>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2">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3">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4">
    <w:lvl w:ilvl="0">
      <w:start w:val="1"/>
      <w:numFmt w:val="bullet"/>
      <w:lvlText w:val=""/>
      <w:lvlJc w:val="start"/>
      <w:pPr>
        <w:tabs>
          <w:tab w:val="num" w:pos="0"/>
        </w:tabs>
        <w:ind w:start="720" w:hanging="360"/>
      </w:pPr>
      <w:rPr>
        <w:rFonts w:ascii="Symbol" w:hAnsi="Symbol" w:cs="Symbol" w:hint="default"/>
      </w:rPr>
    </w:lvl>
    <w:lvl w:ilvl="1">
      <w:start w:val="1"/>
      <w:numFmt w:val="bullet"/>
      <w:lvlText w:val="o"/>
      <w:lvlJc w:val="start"/>
      <w:pPr>
        <w:tabs>
          <w:tab w:val="num" w:pos="0"/>
        </w:tabs>
        <w:ind w:start="1440" w:hanging="360"/>
      </w:pPr>
      <w:rPr>
        <w:rFonts w:ascii="Courier New" w:hAnsi="Courier New" w:cs="Courier New" w:hint="default"/>
      </w:rPr>
    </w:lvl>
    <w:lvl w:ilvl="2">
      <w:start w:val="1"/>
      <w:numFmt w:val="bullet"/>
      <w:lvlText w:val=""/>
      <w:lvlJc w:val="start"/>
      <w:pPr>
        <w:tabs>
          <w:tab w:val="num" w:pos="0"/>
        </w:tabs>
        <w:ind w:start="2160" w:hanging="360"/>
      </w:pPr>
      <w:rPr>
        <w:rFonts w:ascii="Wingdings" w:hAnsi="Wingdings" w:cs="Wingdings" w:hint="default"/>
      </w:rPr>
    </w:lvl>
    <w:lvl w:ilvl="3">
      <w:start w:val="1"/>
      <w:numFmt w:val="bullet"/>
      <w:lvlText w:val=""/>
      <w:lvlJc w:val="start"/>
      <w:pPr>
        <w:tabs>
          <w:tab w:val="num" w:pos="0"/>
        </w:tabs>
        <w:ind w:start="2880" w:hanging="360"/>
      </w:pPr>
      <w:rPr>
        <w:rFonts w:ascii="Symbol" w:hAnsi="Symbol" w:cs="Symbol" w:hint="default"/>
      </w:rPr>
    </w:lvl>
    <w:lvl w:ilvl="4">
      <w:start w:val="1"/>
      <w:numFmt w:val="bullet"/>
      <w:lvlText w:val="o"/>
      <w:lvlJc w:val="start"/>
      <w:pPr>
        <w:tabs>
          <w:tab w:val="num" w:pos="0"/>
        </w:tabs>
        <w:ind w:start="3600" w:hanging="360"/>
      </w:pPr>
      <w:rPr>
        <w:rFonts w:ascii="Courier New" w:hAnsi="Courier New" w:cs="Courier New" w:hint="default"/>
      </w:rPr>
    </w:lvl>
    <w:lvl w:ilvl="5">
      <w:start w:val="1"/>
      <w:numFmt w:val="bullet"/>
      <w:lvlText w:val=""/>
      <w:lvlJc w:val="start"/>
      <w:pPr>
        <w:tabs>
          <w:tab w:val="num" w:pos="0"/>
        </w:tabs>
        <w:ind w:start="4320" w:hanging="360"/>
      </w:pPr>
      <w:rPr>
        <w:rFonts w:ascii="Wingdings" w:hAnsi="Wingdings" w:cs="Wingdings" w:hint="default"/>
      </w:rPr>
    </w:lvl>
    <w:lvl w:ilvl="6">
      <w:start w:val="1"/>
      <w:numFmt w:val="bullet"/>
      <w:lvlText w:val=""/>
      <w:lvlJc w:val="start"/>
      <w:pPr>
        <w:tabs>
          <w:tab w:val="num" w:pos="0"/>
        </w:tabs>
        <w:ind w:start="5040" w:hanging="360"/>
      </w:pPr>
      <w:rPr>
        <w:rFonts w:ascii="Symbol" w:hAnsi="Symbol" w:cs="Symbol" w:hint="default"/>
      </w:rPr>
    </w:lvl>
    <w:lvl w:ilvl="7">
      <w:start w:val="1"/>
      <w:numFmt w:val="bullet"/>
      <w:lvlText w:val="o"/>
      <w:lvlJc w:val="start"/>
      <w:pPr>
        <w:tabs>
          <w:tab w:val="num" w:pos="0"/>
        </w:tabs>
        <w:ind w:start="5760" w:hanging="360"/>
      </w:pPr>
      <w:rPr>
        <w:rFonts w:ascii="Courier New" w:hAnsi="Courier New" w:cs="Courier New" w:hint="default"/>
      </w:rPr>
    </w:lvl>
    <w:lvl w:ilvl="8">
      <w:start w:val="1"/>
      <w:numFmt w:val="bullet"/>
      <w:lvlText w:val=""/>
      <w:lvlJc w:val="start"/>
      <w:pPr>
        <w:tabs>
          <w:tab w:val="num" w:pos="0"/>
        </w:tabs>
        <w:ind w:start="6480" w:hanging="360"/>
      </w:pPr>
      <w:rPr>
        <w:rFonts w:ascii="Wingdings" w:hAnsi="Wingdings" w:cs="Wingdings" w:hint="default"/>
      </w:rPr>
    </w:lvl>
  </w:abstractNum>
  <w:abstractNum w:abstractNumId="5">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75"/>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rA0NTA3sDQ0NDExsTRU0lEKTi0uzszPAykwqgUAG8zZvSwAAAA="/>
  </w:docVars>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757d7"/>
    <w:pPr>
      <w:widowControl/>
      <w:bidi w:val="0"/>
      <w:spacing w:lineRule="auto" w:line="360" w:before="120" w:after="120"/>
      <w:jc w:val="both"/>
    </w:pPr>
    <w:rPr>
      <w:rFonts w:ascii="Arial" w:hAnsi="Arial" w:eastAsia="Aptos"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d93aa0"/>
    <w:pPr>
      <w:keepNext w:val="true"/>
      <w:keepLines/>
      <w:outlineLvl w:val="0"/>
    </w:pPr>
    <w:rPr>
      <w:rFonts w:eastAsia="" w:eastAsiaTheme="majorEastAsia"/>
      <w:b/>
      <w:bCs/>
      <w:color w:themeColor="text1" w:val="000000"/>
      <w:kern w:val="2"/>
      <w:szCs w:val="48"/>
      <w:lang w:eastAsia="en-IN"/>
    </w:rPr>
  </w:style>
  <w:style w:type="paragraph" w:styleId="Heading2">
    <w:name w:val="heading 2"/>
    <w:basedOn w:val="Normal"/>
    <w:next w:val="Normal"/>
    <w:link w:val="Heading2Char"/>
    <w:autoRedefine/>
    <w:uiPriority w:val="9"/>
    <w:unhideWhenUsed/>
    <w:qFormat/>
    <w:rsid w:val="001d3979"/>
    <w:pPr>
      <w:keepNext w:val="true"/>
      <w:keepLines/>
      <w:outlineLvl w:val="1"/>
    </w:pPr>
    <w:rPr>
      <w:rFonts w:eastAsia="" w:cs="" w:cstheme="majorBidi" w:eastAsiaTheme="majorEastAsia"/>
      <w:szCs w:val="32"/>
      <w:u w:val="single"/>
    </w:rPr>
  </w:style>
  <w:style w:type="paragraph" w:styleId="Heading3">
    <w:name w:val="heading 3"/>
    <w:basedOn w:val="Normal"/>
    <w:next w:val="Normal"/>
    <w:link w:val="Heading3Char"/>
    <w:uiPriority w:val="9"/>
    <w:unhideWhenUsed/>
    <w:qFormat/>
    <w:rsid w:val="00600139"/>
    <w:pPr>
      <w:keepNext w:val="true"/>
      <w:keepLines/>
      <w:outlineLvl w:val="2"/>
    </w:pPr>
    <w:rPr>
      <w:rFonts w:eastAsia="" w:cs="" w:cstheme="majorBidi" w:eastAsiaTheme="majorEastAsia"/>
      <w:b/>
      <w:i/>
      <w:color w:themeColor="text1" w:val="000000"/>
      <w:szCs w:val="28"/>
    </w:rPr>
  </w:style>
  <w:style w:type="paragraph" w:styleId="Heading4">
    <w:name w:val="heading 4"/>
    <w:basedOn w:val="Normal"/>
    <w:next w:val="Normal"/>
    <w:link w:val="Heading4Char"/>
    <w:uiPriority w:val="9"/>
    <w:unhideWhenUsed/>
    <w:qFormat/>
    <w:rsid w:val="00d21c8e"/>
    <w:pPr>
      <w:keepNext w:val="true"/>
      <w:keepLines/>
      <w:spacing w:before="80" w:after="40"/>
      <w:outlineLvl w:val="3"/>
    </w:pPr>
    <w:rPr>
      <w:rFonts w:eastAsia="" w:cs="" w:cstheme="majorBidi" w:eastAsiaTheme="majorEastAsia"/>
      <w:i/>
      <w:iCs/>
      <w:color w:themeColor="text1" w:val="000000"/>
    </w:rPr>
  </w:style>
  <w:style w:type="paragraph" w:styleId="Heading5">
    <w:name w:val="heading 5"/>
    <w:basedOn w:val="Normal"/>
    <w:next w:val="Normal"/>
    <w:link w:val="Heading5Char"/>
    <w:uiPriority w:val="9"/>
    <w:semiHidden/>
    <w:unhideWhenUsed/>
    <w:qFormat/>
    <w:rsid w:val="00991a4e"/>
    <w:pPr>
      <w:keepNext w:val="true"/>
      <w:keepLines/>
      <w:spacing w:before="80" w:after="40"/>
      <w:outlineLvl w:val="4"/>
    </w:pPr>
    <w:rPr>
      <w:rFonts w:ascii="Aptos" w:hAnsi="Aptos" w:eastAsia="" w:cs="" w:asciiTheme="minorHAnsi" w:cstheme="majorBidi" w:eastAsiaTheme="majorEastAsia" w:hAnsiTheme="minorHAnsi"/>
      <w:color w:themeColor="accent1" w:themeShade="bf" w:val="0F4761"/>
    </w:rPr>
  </w:style>
  <w:style w:type="paragraph" w:styleId="Heading6">
    <w:name w:val="heading 6"/>
    <w:basedOn w:val="Normal"/>
    <w:next w:val="Normal"/>
    <w:link w:val="Heading6Char"/>
    <w:uiPriority w:val="9"/>
    <w:semiHidden/>
    <w:unhideWhenUsed/>
    <w:qFormat/>
    <w:rsid w:val="00991a4e"/>
    <w:pPr>
      <w:keepNext w:val="true"/>
      <w:keepLines/>
      <w:spacing w:before="40" w:after="0"/>
      <w:outlineLvl w:val="5"/>
    </w:pPr>
    <w:rPr>
      <w:rFonts w:ascii="Aptos" w:hAnsi="Aptos"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991a4e"/>
    <w:pPr>
      <w:keepNext w:val="true"/>
      <w:keepLines/>
      <w:spacing w:before="40" w:after="0"/>
      <w:outlineLvl w:val="6"/>
    </w:pPr>
    <w:rPr>
      <w:rFonts w:ascii="Aptos" w:hAnsi="Aptos"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991a4e"/>
    <w:pPr>
      <w:keepNext w:val="true"/>
      <w:keepLines/>
      <w:spacing w:before="0" w:after="0"/>
      <w:outlineLvl w:val="7"/>
    </w:pPr>
    <w:rPr>
      <w:rFonts w:ascii="Aptos" w:hAnsi="Aptos"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991a4e"/>
    <w:pPr>
      <w:keepNext w:val="true"/>
      <w:keepLines/>
      <w:spacing w:before="0" w:after="0"/>
      <w:outlineLvl w:val="8"/>
    </w:pPr>
    <w:rPr>
      <w:rFonts w:ascii="Aptos" w:hAnsi="Aptos" w:eastAsia="" w:cs="" w:asciiTheme="minorHAnsi" w:cstheme="majorBidi" w:eastAsiaTheme="majorEastAsia" w:hAnsiTheme="minorHAnsi"/>
      <w:color w:themeColor="text1" w:themeTint="d8" w:val="272727"/>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d93aa0"/>
    <w:rPr>
      <w:rFonts w:ascii="Times New Roman" w:hAnsi="Times New Roman" w:eastAsia="" w:eastAsiaTheme="majorEastAsia"/>
      <w:b/>
      <w:bCs/>
      <w:color w:themeColor="text1" w:val="000000"/>
      <w:kern w:val="2"/>
      <w:sz w:val="24"/>
      <w:szCs w:val="48"/>
      <w:lang w:eastAsia="en-IN"/>
    </w:rPr>
  </w:style>
  <w:style w:type="character" w:styleId="Heading2Char" w:customStyle="1">
    <w:name w:val="Heading 2 Char"/>
    <w:basedOn w:val="DefaultParagraphFont"/>
    <w:link w:val="Heading2"/>
    <w:uiPriority w:val="9"/>
    <w:qFormat/>
    <w:rsid w:val="001d3979"/>
    <w:rPr>
      <w:rFonts w:ascii="Times New Roman" w:hAnsi="Times New Roman" w:eastAsia="" w:cs="" w:cstheme="majorBidi" w:eastAsiaTheme="majorEastAsia"/>
      <w:sz w:val="24"/>
      <w:szCs w:val="32"/>
      <w:u w:val="single"/>
      <w:lang w:val="en-GB"/>
    </w:rPr>
  </w:style>
  <w:style w:type="character" w:styleId="BodyTextChar" w:customStyle="1">
    <w:name w:val="Body Text Char"/>
    <w:basedOn w:val="DefaultParagraphFont"/>
    <w:uiPriority w:val="1"/>
    <w:qFormat/>
    <w:rsid w:val="00c77653"/>
    <w:rPr>
      <w:rFonts w:ascii="Times New Roman" w:hAnsi="Times New Roman" w:eastAsia="Times New Roman" w:cs="Times New Roman"/>
      <w:lang w:val="en-US"/>
    </w:rPr>
  </w:style>
  <w:style w:type="character" w:styleId="Heading3Char" w:customStyle="1">
    <w:name w:val="Heading 3 Char"/>
    <w:basedOn w:val="DefaultParagraphFont"/>
    <w:link w:val="Heading3"/>
    <w:uiPriority w:val="9"/>
    <w:qFormat/>
    <w:rsid w:val="00600139"/>
    <w:rPr>
      <w:rFonts w:ascii="Times New Roman" w:hAnsi="Times New Roman" w:eastAsia="" w:cs="" w:cstheme="majorBidi" w:eastAsiaTheme="majorEastAsia"/>
      <w:b/>
      <w:i/>
      <w:color w:themeColor="text1" w:val="000000"/>
      <w:kern w:val="2"/>
      <w:sz w:val="24"/>
      <w:szCs w:val="28"/>
      <w14:ligatures w14:val="standardContextual"/>
    </w:rPr>
  </w:style>
  <w:style w:type="character" w:styleId="Heading4Char" w:customStyle="1">
    <w:name w:val="Heading 4 Char"/>
    <w:basedOn w:val="DefaultParagraphFont"/>
    <w:link w:val="Heading4"/>
    <w:uiPriority w:val="9"/>
    <w:qFormat/>
    <w:rsid w:val="00d21c8e"/>
    <w:rPr>
      <w:rFonts w:ascii="Arial" w:hAnsi="Arial" w:eastAsia="" w:cs="" w:cstheme="majorBidi" w:eastAsiaTheme="majorEastAsia"/>
      <w:i/>
      <w:iCs/>
      <w:color w:themeColor="text1" w:val="000000"/>
      <w:sz w:val="24"/>
      <w:lang w:val="en-GB"/>
    </w:rPr>
  </w:style>
  <w:style w:type="character" w:styleId="Heading5Char" w:customStyle="1">
    <w:name w:val="Heading 5 Char"/>
    <w:basedOn w:val="DefaultParagraphFont"/>
    <w:link w:val="Heading5"/>
    <w:uiPriority w:val="9"/>
    <w:semiHidden/>
    <w:qFormat/>
    <w:rsid w:val="00991a4e"/>
    <w:rPr>
      <w:rFonts w:eastAsia="" w:cs="" w:cstheme="majorBidi" w:eastAsiaTheme="majorEastAsia"/>
      <w:color w:themeColor="accent1" w:themeShade="bf" w:val="0F4761"/>
      <w:sz w:val="24"/>
      <w:lang w:val="en-GB"/>
    </w:rPr>
  </w:style>
  <w:style w:type="character" w:styleId="Heading6Char" w:customStyle="1">
    <w:name w:val="Heading 6 Char"/>
    <w:basedOn w:val="DefaultParagraphFont"/>
    <w:link w:val="Heading6"/>
    <w:uiPriority w:val="9"/>
    <w:semiHidden/>
    <w:qFormat/>
    <w:rsid w:val="00991a4e"/>
    <w:rPr>
      <w:rFonts w:eastAsia="" w:cs="" w:cstheme="majorBidi" w:eastAsiaTheme="majorEastAsia"/>
      <w:i/>
      <w:iCs/>
      <w:color w:themeColor="text1" w:themeTint="a6" w:val="595959"/>
      <w:sz w:val="24"/>
      <w:lang w:val="en-GB"/>
    </w:rPr>
  </w:style>
  <w:style w:type="character" w:styleId="Heading7Char" w:customStyle="1">
    <w:name w:val="Heading 7 Char"/>
    <w:basedOn w:val="DefaultParagraphFont"/>
    <w:link w:val="Heading7"/>
    <w:uiPriority w:val="9"/>
    <w:semiHidden/>
    <w:qFormat/>
    <w:rsid w:val="00991a4e"/>
    <w:rPr>
      <w:rFonts w:eastAsia="" w:cs="" w:cstheme="majorBidi" w:eastAsiaTheme="majorEastAsia"/>
      <w:color w:themeColor="text1" w:themeTint="a6" w:val="595959"/>
      <w:sz w:val="24"/>
      <w:lang w:val="en-GB"/>
    </w:rPr>
  </w:style>
  <w:style w:type="character" w:styleId="Heading8Char" w:customStyle="1">
    <w:name w:val="Heading 8 Char"/>
    <w:basedOn w:val="DefaultParagraphFont"/>
    <w:link w:val="Heading8"/>
    <w:uiPriority w:val="9"/>
    <w:semiHidden/>
    <w:qFormat/>
    <w:rsid w:val="00991a4e"/>
    <w:rPr>
      <w:rFonts w:eastAsia="" w:cs="" w:cstheme="majorBidi" w:eastAsiaTheme="majorEastAsia"/>
      <w:i/>
      <w:iCs/>
      <w:color w:themeColor="text1" w:themeTint="d8" w:val="272727"/>
      <w:sz w:val="24"/>
      <w:lang w:val="en-GB"/>
    </w:rPr>
  </w:style>
  <w:style w:type="character" w:styleId="Heading9Char" w:customStyle="1">
    <w:name w:val="Heading 9 Char"/>
    <w:basedOn w:val="DefaultParagraphFont"/>
    <w:link w:val="Heading9"/>
    <w:uiPriority w:val="9"/>
    <w:semiHidden/>
    <w:qFormat/>
    <w:rsid w:val="00991a4e"/>
    <w:rPr>
      <w:rFonts w:eastAsia="" w:cs="" w:cstheme="majorBidi" w:eastAsiaTheme="majorEastAsia"/>
      <w:color w:themeColor="text1" w:themeTint="d8" w:val="272727"/>
      <w:sz w:val="24"/>
      <w:lang w:val="en-GB"/>
    </w:rPr>
  </w:style>
  <w:style w:type="character" w:styleId="TitleChar" w:customStyle="1">
    <w:name w:val="Title Char"/>
    <w:basedOn w:val="DefaultParagraphFont"/>
    <w:link w:val="Title"/>
    <w:uiPriority w:val="10"/>
    <w:qFormat/>
    <w:rsid w:val="00991a4e"/>
    <w:rPr>
      <w:rFonts w:ascii="Aptos Display" w:hAnsi="Aptos Display" w:eastAsia="" w:cs="" w:asciiTheme="majorHAnsi" w:cstheme="majorBidi" w:eastAsiaTheme="majorEastAsia" w:hAnsiTheme="majorHAnsi"/>
      <w:spacing w:val="-10"/>
      <w:kern w:val="2"/>
      <w:sz w:val="56"/>
      <w:szCs w:val="56"/>
      <w:lang w:val="en-GB"/>
    </w:rPr>
  </w:style>
  <w:style w:type="character" w:styleId="SubtitleChar" w:customStyle="1">
    <w:name w:val="Subtitle Char"/>
    <w:basedOn w:val="DefaultParagraphFont"/>
    <w:link w:val="Subtitle"/>
    <w:uiPriority w:val="11"/>
    <w:qFormat/>
    <w:rsid w:val="00991a4e"/>
    <w:rPr>
      <w:rFonts w:eastAsia="" w:cs="" w:cstheme="majorBidi" w:eastAsiaTheme="majorEastAsia"/>
      <w:color w:themeColor="text1" w:themeTint="a6" w:val="595959"/>
      <w:spacing w:val="15"/>
      <w:sz w:val="28"/>
      <w:szCs w:val="28"/>
      <w:lang w:val="en-GB"/>
    </w:rPr>
  </w:style>
  <w:style w:type="character" w:styleId="QuoteChar" w:customStyle="1">
    <w:name w:val="Quote Char"/>
    <w:basedOn w:val="DefaultParagraphFont"/>
    <w:link w:val="Quote"/>
    <w:uiPriority w:val="29"/>
    <w:qFormat/>
    <w:rsid w:val="00991a4e"/>
    <w:rPr>
      <w:rFonts w:ascii="Times New Roman" w:hAnsi="Times New Roman"/>
      <w:i/>
      <w:iCs/>
      <w:color w:themeColor="text1" w:themeTint="bf" w:val="404040"/>
      <w:sz w:val="24"/>
      <w:lang w:val="en-GB"/>
    </w:rPr>
  </w:style>
  <w:style w:type="character" w:styleId="IntenseEmphasis">
    <w:name w:val="Intense Emphasis"/>
    <w:basedOn w:val="DefaultParagraphFont"/>
    <w:uiPriority w:val="21"/>
    <w:qFormat/>
    <w:rsid w:val="00991a4e"/>
    <w:rPr>
      <w:i/>
      <w:iCs/>
      <w:color w:themeColor="accent1" w:themeShade="bf" w:val="0F4761"/>
    </w:rPr>
  </w:style>
  <w:style w:type="character" w:styleId="IntenseQuoteChar" w:customStyle="1">
    <w:name w:val="Intense Quote Char"/>
    <w:basedOn w:val="DefaultParagraphFont"/>
    <w:link w:val="IntenseQuote"/>
    <w:uiPriority w:val="30"/>
    <w:qFormat/>
    <w:rsid w:val="00991a4e"/>
    <w:rPr>
      <w:rFonts w:ascii="Times New Roman" w:hAnsi="Times New Roman"/>
      <w:i/>
      <w:iCs/>
      <w:color w:themeColor="accent1" w:themeShade="bf" w:val="0F4761"/>
      <w:sz w:val="24"/>
      <w:lang w:val="en-GB"/>
    </w:rPr>
  </w:style>
  <w:style w:type="character" w:styleId="IntenseReference">
    <w:name w:val="Intense Reference"/>
    <w:basedOn w:val="DefaultParagraphFont"/>
    <w:uiPriority w:val="32"/>
    <w:qFormat/>
    <w:rsid w:val="00991a4e"/>
    <w:rPr>
      <w:b/>
      <w:bCs/>
      <w:smallCaps/>
      <w:color w:themeColor="accent1" w:themeShade="bf" w:val="0F4761"/>
      <w:spacing w:val="5"/>
    </w:rPr>
  </w:style>
  <w:style w:type="character" w:styleId="HeaderChar" w:customStyle="1">
    <w:name w:val="Header Char"/>
    <w:basedOn w:val="DefaultParagraphFont"/>
    <w:link w:val="Header"/>
    <w:uiPriority w:val="99"/>
    <w:qFormat/>
    <w:rsid w:val="00d27cb1"/>
    <w:rPr>
      <w:rFonts w:ascii="Times New Roman" w:hAnsi="Times New Roman"/>
      <w:sz w:val="24"/>
      <w:lang w:val="en-GB"/>
    </w:rPr>
  </w:style>
  <w:style w:type="character" w:styleId="FooterChar" w:customStyle="1">
    <w:name w:val="Footer Char"/>
    <w:basedOn w:val="DefaultParagraphFont"/>
    <w:link w:val="Footer"/>
    <w:uiPriority w:val="99"/>
    <w:qFormat/>
    <w:rsid w:val="00d27cb1"/>
    <w:rPr>
      <w:rFonts w:ascii="Times New Roman" w:hAnsi="Times New Roman"/>
      <w:sz w:val="24"/>
      <w:lang w:val="en-GB"/>
    </w:rPr>
  </w:style>
  <w:style w:type="character" w:styleId="SubtleEmphasis">
    <w:name w:val="Subtle Emphasis"/>
    <w:basedOn w:val="DefaultParagraphFont"/>
    <w:uiPriority w:val="19"/>
    <w:qFormat/>
    <w:rsid w:val="00d21c8e"/>
    <w:rPr>
      <w:i/>
      <w:iCs/>
      <w:color w:themeColor="text1" w:themeTint="bf" w:val="404040"/>
    </w:rPr>
  </w:style>
  <w:style w:type="character" w:styleId="Hyperlink">
    <w:name w:val="Hyperlink"/>
    <w:basedOn w:val="DefaultParagraphFont"/>
    <w:uiPriority w:val="99"/>
    <w:unhideWhenUsed/>
    <w:rsid w:val="00486a10"/>
    <w:rPr>
      <w:color w:themeColor="hyperlink" w:val="467886"/>
      <w:u w:val="single"/>
    </w:rPr>
  </w:style>
  <w:style w:type="character" w:styleId="UnresolvedMention">
    <w:name w:val="Unresolved Mention"/>
    <w:basedOn w:val="DefaultParagraphFont"/>
    <w:uiPriority w:val="99"/>
    <w:semiHidden/>
    <w:unhideWhenUsed/>
    <w:qFormat/>
    <w:rsid w:val="009f1a79"/>
    <w:rPr>
      <w:color w:val="605E5C"/>
      <w:shd w:fill="E1DFDD" w:val="clear"/>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link w:val="BodyTextChar"/>
    <w:uiPriority w:val="1"/>
    <w:qFormat/>
    <w:rsid w:val="00c77653"/>
    <w:pPr>
      <w:widowControl w:val="false"/>
    </w:pPr>
    <w:rPr>
      <w:sz w:val="22"/>
      <w:lang w:val="en-US"/>
    </w:rPr>
  </w:style>
  <w:style w:type="paragraph" w:styleId="List">
    <w:name w:val="List"/>
    <w:basedOn w:val="BodyText"/>
    <w:pPr/>
    <w:rPr>
      <w:rFonts w:cs="Lucida Sans"/>
    </w:rPr>
  </w:style>
  <w:style w:type="paragraph" w:styleId="Caption">
    <w:name w:val="caption"/>
    <w:basedOn w:val="Normal"/>
    <w:next w:val="Normal"/>
    <w:uiPriority w:val="35"/>
    <w:unhideWhenUsed/>
    <w:qFormat/>
    <w:rsid w:val="00636f80"/>
    <w:pPr>
      <w:spacing w:lineRule="auto" w:line="240" w:before="0" w:after="200"/>
    </w:pPr>
    <w:rPr>
      <w:i/>
      <w:iCs/>
      <w:color w:themeColor="text2" w:val="0E2841"/>
      <w:sz w:val="18"/>
      <w:szCs w:val="18"/>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991a4e"/>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991a4e"/>
    <w:pPr>
      <w:spacing w:before="120" w:after="160"/>
    </w:pPr>
    <w:rPr>
      <w:rFonts w:ascii="Aptos" w:hAnsi="Aptos"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991a4e"/>
    <w:pPr>
      <w:spacing w:before="160" w:after="160"/>
      <w:jc w:val="center"/>
    </w:pPr>
    <w:rPr>
      <w:i/>
      <w:iCs/>
      <w:color w:themeColor="text1" w:themeTint="bf" w:val="404040"/>
    </w:rPr>
  </w:style>
  <w:style w:type="paragraph" w:styleId="ListParagraph">
    <w:name w:val="List Paragraph"/>
    <w:basedOn w:val="Normal"/>
    <w:uiPriority w:val="34"/>
    <w:qFormat/>
    <w:rsid w:val="00991a4e"/>
    <w:pPr>
      <w:spacing w:before="120" w:after="120"/>
      <w:ind w:start="720"/>
      <w:contextualSpacing/>
    </w:pPr>
    <w:rPr/>
  </w:style>
  <w:style w:type="paragraph" w:styleId="IntenseQuote">
    <w:name w:val="Intense Quote"/>
    <w:basedOn w:val="Normal"/>
    <w:next w:val="Normal"/>
    <w:link w:val="IntenseQuoteChar"/>
    <w:uiPriority w:val="30"/>
    <w:qFormat/>
    <w:rsid w:val="00991a4e"/>
    <w:pPr>
      <w:pBdr>
        <w:top w:val="single" w:sz="4" w:space="10" w:color="0F4761" w:themeColor="accent1" w:themeShade="bf"/>
        <w:bottom w:val="single" w:sz="4" w:space="10" w:color="0F4761" w:themeColor="accent1" w:themeShade="bf"/>
      </w:pBdr>
      <w:spacing w:before="360" w:after="360"/>
      <w:ind w:start="864" w:end="864"/>
      <w:jc w:val="center"/>
    </w:pPr>
    <w:rPr>
      <w:i/>
      <w:iCs/>
      <w:color w:themeColor="accent1" w:themeShade="bf" w:val="0F4761"/>
    </w:rPr>
  </w:style>
  <w:style w:type="paragraph" w:styleId="HeaderandFooter">
    <w:name w:val="Header and Footer"/>
    <w:basedOn w:val="Normal"/>
    <w:qFormat/>
    <w:pPr/>
    <w:rPr/>
  </w:style>
  <w:style w:type="paragraph" w:styleId="Header">
    <w:name w:val="header"/>
    <w:basedOn w:val="Normal"/>
    <w:link w:val="HeaderChar"/>
    <w:uiPriority w:val="99"/>
    <w:unhideWhenUsed/>
    <w:rsid w:val="00d27cb1"/>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d27cb1"/>
    <w:pPr>
      <w:tabs>
        <w:tab w:val="clear" w:pos="720"/>
        <w:tab w:val="center" w:pos="4513" w:leader="none"/>
        <w:tab w:val="right" w:pos="9026" w:leader="none"/>
      </w:tabs>
      <w:spacing w:lineRule="auto" w:line="240" w:before="0" w:after="0"/>
    </w:pPr>
    <w:rPr/>
  </w:style>
  <w:style w:type="paragraph" w:styleId="NoSpacing">
    <w:name w:val="No Spacing"/>
    <w:uiPriority w:val="1"/>
    <w:qFormat/>
    <w:rsid w:val="00c23a10"/>
    <w:pPr>
      <w:widowControl/>
      <w:bidi w:val="0"/>
      <w:spacing w:lineRule="auto" w:line="240" w:before="0" w:after="0"/>
      <w:jc w:val="both"/>
    </w:pPr>
    <w:rPr>
      <w:rFonts w:ascii="Times New Roman" w:hAnsi="Times New Roman" w:eastAsia="Aptos" w:cs="" w:cstheme="minorBidi" w:eastAsiaTheme="minorHAnsi"/>
      <w:color w:val="auto"/>
      <w:kern w:val="0"/>
      <w:sz w:val="24"/>
      <w:szCs w:val="22"/>
      <w:lang w:val="en-GB" w:eastAsia="en-US" w:bidi="ar-SA"/>
    </w:rPr>
  </w:style>
  <w:style w:type="paragraph" w:styleId="IndexHeading">
    <w:name w:val="index heading"/>
    <w:basedOn w:val="Heading"/>
    <w:pPr/>
    <w:rPr/>
  </w:style>
  <w:style w:type="paragraph" w:styleId="TOCHeading">
    <w:name w:val="TOC Heading"/>
    <w:basedOn w:val="Heading1"/>
    <w:next w:val="Normal"/>
    <w:uiPriority w:val="39"/>
    <w:unhideWhenUsed/>
    <w:qFormat/>
    <w:rsid w:val="00486a10"/>
    <w:pPr>
      <w:spacing w:lineRule="auto" w:line="259" w:before="240" w:after="0"/>
      <w:jc w:val="start"/>
      <w:outlineLvl w:val="9"/>
    </w:pPr>
    <w:rPr>
      <w:rFonts w:ascii="Aptos Display" w:hAnsi="Aptos Display" w:cs="" w:asciiTheme="majorHAnsi" w:cstheme="majorBidi" w:hAnsiTheme="majorHAnsi"/>
      <w:b w:val="false"/>
      <w:bCs w:val="false"/>
      <w:color w:themeColor="accent1" w:themeShade="bf" w:val="0F4761"/>
      <w:kern w:val="0"/>
      <w:sz w:val="32"/>
      <w:szCs w:val="32"/>
      <w:lang w:val="en-US" w:eastAsia="en-US"/>
    </w:rPr>
  </w:style>
  <w:style w:type="paragraph" w:styleId="TOC1">
    <w:name w:val="toc 1"/>
    <w:basedOn w:val="Normal"/>
    <w:next w:val="Normal"/>
    <w:autoRedefine/>
    <w:uiPriority w:val="39"/>
    <w:unhideWhenUsed/>
    <w:rsid w:val="00486a10"/>
    <w:pPr>
      <w:spacing w:before="120" w:after="100"/>
    </w:pPr>
    <w:rPr/>
  </w:style>
  <w:style w:type="paragraph" w:styleId="TOC2">
    <w:name w:val="toc 2"/>
    <w:basedOn w:val="Normal"/>
    <w:next w:val="Normal"/>
    <w:autoRedefine/>
    <w:uiPriority w:val="39"/>
    <w:unhideWhenUsed/>
    <w:rsid w:val="00486a10"/>
    <w:pPr>
      <w:spacing w:before="120" w:after="100"/>
      <w:ind w:start="240"/>
    </w:pPr>
    <w:rPr/>
  </w:style>
  <w:style w:type="paragraph" w:styleId="TOC3">
    <w:name w:val="toc 3"/>
    <w:basedOn w:val="Normal"/>
    <w:next w:val="Normal"/>
    <w:autoRedefine/>
    <w:uiPriority w:val="39"/>
    <w:unhideWhenUsed/>
    <w:rsid w:val="00153496"/>
    <w:pPr>
      <w:tabs>
        <w:tab w:val="clear" w:pos="720"/>
        <w:tab w:val="left" w:pos="1843" w:leader="none"/>
        <w:tab w:val="right" w:pos="9016" w:leader="dot"/>
      </w:tabs>
      <w:spacing w:before="120" w:after="100"/>
      <w:ind w:start="48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ListTable3-Accent3">
    <w:name w:val="List Table 3 Accent 3"/>
    <w:basedOn w:val="TableNormal"/>
    <w:uiPriority w:val="48"/>
    <w:rsid w:val="00c23a10"/>
    <w:pPr>
      <w:spacing w:after="0" w:line="240" w:lineRule="auto"/>
    </w:pPr>
    <w:tblPr>
      <w:tblStyleRowBandSize w:val="1"/>
      <w:tblStyleColBandSize w:val="1"/>
      <w:tblBorders>
        <w:top w:val="single" w:color="196B24" w:themeColor="accent3" w:sz="4" w:space="0"/>
        <w:left w:val="single" w:color="196B24" w:themeColor="accent3" w:sz="4" w:space="0"/>
        <w:bottom w:val="single" w:color="196B24" w:themeColor="accent3" w:sz="4" w:space="0"/>
        <w:right w:val="single" w:color="196B24" w:themeColor="accent3" w:sz="4" w:space="0"/>
      </w:tblBorders>
    </w:tblPr>
    <w:tblStylePr w:type="firstRow">
      <w:rPr>
        <w:b/>
        <w:bCs/>
        <w:color w:val="ffffff" w:themeColor="background1"/>
      </w:rPr>
      <w:tblPr/>
      <w:tcPr>
        <w:shd w:val="clear" w:color="auto" w:fill="196B24" w:themeFill="accent3"/>
      </w:tcPr>
    </w:tblStylePr>
    <w:tblStylePr w:type="lastRow">
      <w:rPr>
        <w:b/>
        <w:bCs/>
      </w:rPr>
      <w:tblPr/>
      <w:tcPr>
        <w:tcBorders>
          <w:top w:val="double" w:color="196B24"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196B24" w:themeColor="accent3" w:sz="4" w:space="0"/>
          <w:right w:val="single" w:color="196B24" w:themeColor="accent3" w:sz="4" w:space="0"/>
        </w:tcBorders>
      </w:tcPr>
    </w:tblStylePr>
    <w:tblStylePr w:type="band1Horz">
      <w:tblPr/>
      <w:tcPr>
        <w:tcBorders>
          <w:top w:val="single" w:color="196B24" w:themeColor="accent3" w:sz="4" w:space="0"/>
          <w:bottom w:val="single" w:color="196B24"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196B24" w:themeColor="accent3" w:sz="4" w:space="0"/>
          <w:left w:val="nil"/>
        </w:tcBorders>
      </w:tcPr>
    </w:tblStylePr>
    <w:tblStylePr w:type="swCell">
      <w:tblPr/>
      <w:tcPr>
        <w:tcBorders>
          <w:top w:val="double" w:color="196B24" w:themeColor="accent3" w:sz="4" w:space="0"/>
          <w:right w:val="nil"/>
        </w:tcBorders>
      </w:tcPr>
    </w:tblStylePr>
  </w:style>
  <w:style w:type="table" w:styleId="GridTable4-Accent3">
    <w:name w:val="Grid Table 4 Accent 3"/>
    <w:basedOn w:val="TableNormal"/>
    <w:uiPriority w:val="49"/>
    <w:rsid w:val="00e3259f"/>
    <w:pPr>
      <w:spacing w:after="0" w:line="240" w:lineRule="auto"/>
    </w:p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insideV w:val="single" w:color="47D459" w:themeColor="accent3" w:themeTint="99" w:sz="4" w:space="0"/>
      </w:tblBorders>
    </w:tblPr>
    <w:tblStylePr w:type="firstRow">
      <w:rPr>
        <w:b/>
        <w:bCs/>
        <w:color w:val="ffffff" w:themeColor="background1"/>
      </w:rPr>
      <w:tblPr/>
      <w:tcPr>
        <w:tcBorders>
          <w:top w:val="single" w:color="196B24" w:themeColor="accent3" w:sz="4" w:space="0"/>
          <w:left w:val="single" w:color="196B24" w:themeColor="accent3" w:sz="4" w:space="0"/>
          <w:bottom w:val="single" w:color="196B24" w:themeColor="accent3" w:sz="4" w:space="0"/>
          <w:right w:val="single" w:color="196B24" w:themeColor="accent3" w:sz="4" w:space="0"/>
          <w:insideH w:val="nil"/>
          <w:insideV w:val="nil"/>
        </w:tcBorders>
        <w:shd w:val="clear" w:color="auto" w:fill="196B24" w:themeFill="accent3"/>
      </w:tcPr>
    </w:tblStylePr>
    <w:tblStylePr w:type="lastRow">
      <w:rPr>
        <w:b/>
        <w:bCs/>
      </w:rPr>
      <w:tblPr/>
      <w:tcPr>
        <w:tcBorders>
          <w:top w:val="double" w:color="196B24" w:themeColor="accent3" w:sz="4" w:space="0"/>
        </w:tcBorders>
      </w:tcPr>
    </w:tblStylePr>
    <w:tblStylePr w:type="firstCol">
      <w:rPr>
        <w:b/>
        <w:bCs/>
      </w:rPr>
      <w:tblPr/>
    </w:tblStylePr>
    <w:tblStylePr w:type="lastCol">
      <w:rPr>
        <w:b/>
        <w:bCs/>
      </w:rPr>
      <w:tbl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3">
    <w:name w:val="Grid Table 5 Dark Accent 3"/>
    <w:basedOn w:val="TableNormal"/>
    <w:uiPriority w:val="50"/>
    <w:rsid w:val="004e5f6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F0C7"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96B24"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96B24"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96B24"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4.png"/><Relationship Id="rId7" Type="http://schemas.openxmlformats.org/officeDocument/2006/relationships/hyperlink" Target="https://www.nesta.org.uk/report/mind-the-gaps-food-advertising/" TargetMode="External"/><Relationship Id="rId8" Type="http://schemas.openxmlformats.org/officeDocument/2006/relationships/hyperlink" Target="https://www.gov.uk/government/news/national-living-wage-increases-to-1271-per-hour" TargetMode="External"/><Relationship Id="rId9" Type="http://schemas.openxmlformats.org/officeDocument/2006/relationships/hyperlink" Target="https://www.mcdonalds.com/gb/en-gb/newsroom/article/50th-social-and-economic-impact-report.html" TargetMode="External"/><Relationship Id="rId10" Type="http://schemas.openxmlformats.org/officeDocument/2006/relationships/hyperlink" Target="https://www.mcdonalds.com/gb/en-gb/our-plan-for-change/food/delivering-more-choice.html" TargetMode="External"/><Relationship Id="rId11" Type="http://schemas.openxmlformats.org/officeDocument/2006/relationships/hyperlink" Target="https://www.mcdonalds.com/gb/en-gb/newsroom/history.html" TargetMode="External"/><Relationship Id="rId12" Type="http://schemas.openxmlformats.org/officeDocument/2006/relationships/hyperlink" Target="https://www.mcdonalds.com/gb/en-gb/our-plan-for-change/our-plan.html" TargetMode="External"/><Relationship Id="rId13" Type="http://schemas.openxmlformats.org/officeDocument/2006/relationships/hyperlink" Target="https://www.mcdonalds.com/gb/en-gb/good-to-know/in-our-restaurants/my-mcdonalds-app/rewards.html" TargetMode="External"/><Relationship Id="rId14" Type="http://schemas.openxmlformats.org/officeDocument/2006/relationships/hyperlink" Target="https://www.mcdonalds.com/gb/en-gb/our-plan-for-change/communities.html" TargetMode="External"/><Relationship Id="rId15" Type="http://schemas.openxmlformats.org/officeDocument/2006/relationships/hyperlink" Target="https://www.mcdonalds.com/gb/en-gb/franchising/the-financials.html" TargetMode="External"/><Relationship Id="rId16" Type="http://schemas.openxmlformats.org/officeDocument/2006/relationships/hyperlink" Target="https://www.ons.gov.uk/economy/inflationandpriceindices/bulletins/consumerpriceinflation/april2026"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oter" Target="footer3.xml"/><Relationship Id="rId20" Type="http://schemas.openxmlformats.org/officeDocument/2006/relationships/numbering" Target="numbering.xml"/><Relationship Id="rId21" Type="http://schemas.openxmlformats.org/officeDocument/2006/relationships/fontTable" Target="fontTable.xml"/><Relationship Id="rId22" Type="http://schemas.openxmlformats.org/officeDocument/2006/relationships/settings" Target="settings.xml"/><Relationship Id="rId23" Type="http://schemas.openxmlformats.org/officeDocument/2006/relationships/theme" Target="theme/theme1.xml"/><Relationship Id="rId24"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E555C8-57BA-4656-8ED4-3B129DD12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Application>LibreOffice/26.2.1.2$Windows_X86_64 LibreOffice_project/620$Build-2</Application>
  <AppVersion>15.0000</AppVersion>
  <Pages>26</Pages>
  <Words>6185</Words>
  <Characters>41417</Characters>
  <CharactersWithSpaces>47338</CharactersWithSpaces>
  <Paragraphs>255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2026-08-11T19:38:00Z</dcterms:created>
  <dc:creator/>
  <dc:description/>
  <dc:language>en-IN</dc:language>
  <cp:lastModifiedBy/>
  <dcterms:modified xsi:type="dcterms:W3CDTF">2026-08-12T04:35:13Z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